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5980" w:type="dxa"/>
            <w:vAlign w:val="bottom"/>
          </w:tcPr>
          <w:p>
            <w:pPr>
              <w:ind w:left="18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4"/>
                <w:szCs w:val="24"/>
                <w:color w:val="auto"/>
              </w:rPr>
            </w:pP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spacing w:after="0"/>
              <w:rPr>
                <w:sz w:val="24"/>
                <w:szCs w:val="24"/>
                <w:color w:val="auto"/>
              </w:rPr>
            </w:pPr>
          </w:p>
        </w:tc>
        <w:tc>
          <w:tcPr>
            <w:tcW w:w="54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spacing w:after="0"/>
              <w:rPr>
                <w:sz w:val="23"/>
                <w:szCs w:val="23"/>
                <w:color w:val="auto"/>
              </w:rPr>
            </w:pP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0580" w:type="dxa"/>
            <w:vAlign w:val="bottom"/>
            <w:gridSpan w:val="3"/>
          </w:tcPr>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744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 at October 31, 2015</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9100" w:type="dxa"/>
            <w:vAlign w:val="bottom"/>
            <w:gridSpan w:val="3"/>
          </w:tcPr>
          <w:p>
            <w:pPr>
              <w:jc w:val="center"/>
              <w:ind w:right="6120"/>
              <w:spacing w:after="0"/>
              <w:rPr>
                <w:sz w:val="20"/>
                <w:szCs w:val="20"/>
                <w:color w:val="auto"/>
              </w:rPr>
            </w:pPr>
            <w:r>
              <w:rPr>
                <w:rFonts w:ascii="Arial" w:cs="Arial" w:eastAsia="Arial" w:hAnsi="Arial"/>
                <w:sz w:val="18"/>
                <w:szCs w:val="18"/>
                <w:color w:val="auto"/>
                <w:w w:val="90"/>
              </w:rPr>
              <w:t>Common stock, $0.01 par value</w:t>
            </w:r>
          </w:p>
        </w:tc>
        <w:tc>
          <w:tcPr>
            <w:tcW w:w="2000" w:type="dxa"/>
            <w:vAlign w:val="bottom"/>
          </w:tcPr>
          <w:p>
            <w:pPr>
              <w:jc w:val="right"/>
              <w:ind w:right="459"/>
              <w:spacing w:after="0"/>
              <w:rPr>
                <w:sz w:val="20"/>
                <w:szCs w:val="20"/>
                <w:color w:val="auto"/>
              </w:rPr>
            </w:pPr>
            <w:r>
              <w:rPr>
                <w:rFonts w:ascii="Arial" w:cs="Arial" w:eastAsia="Arial" w:hAnsi="Arial"/>
                <w:sz w:val="18"/>
                <w:szCs w:val="18"/>
                <w:color w:val="auto"/>
              </w:rPr>
              <w:t>101,568,512</w:t>
            </w:r>
          </w:p>
        </w:tc>
        <w:tc>
          <w:tcPr>
            <w:tcW w:w="3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2015 (unaudited) and December 31,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Income (unaudited) – Three and Nine Months Ended September 30, 2015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2014</w:t>
              </w:r>
            </w:hyperlink>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(unaudited) – Three and Nine Months Ended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2015 and 2014</w:t>
              </w:r>
            </w:hyperlink>
          </w:p>
        </w:tc>
        <w:tc>
          <w:tcPr>
            <w:tcW w:w="128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Stockholders' Equity (Deficit) (unaudited) – Nine Months Ended September 30,</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(unaudited) – Nine Months Ended September 30,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7680" w:type="dxa"/>
            <w:vAlign w:val="bottom"/>
            <w:gridSpan w:val="1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0"/>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1,900,209</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2,182,164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240,140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204,650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237,957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66,583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72,223</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51,725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49,847</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2,348,198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2,782,331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7,090,449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5,855,842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122,888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10,173</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112,367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107,066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84,413</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195,691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212,515</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9,981,185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9,062,861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600"/>
              <w:spacing w:after="0"/>
              <w:rPr>
                <w:sz w:val="20"/>
                <w:szCs w:val="20"/>
                <w:color w:val="auto"/>
              </w:rPr>
            </w:pPr>
            <w:r>
              <w:rPr>
                <w:rFonts w:ascii="Arial" w:cs="Arial" w:eastAsia="Arial" w:hAnsi="Arial"/>
                <w:sz w:val="16"/>
                <w:szCs w:val="16"/>
                <w:b w:val="1"/>
                <w:bCs w:val="1"/>
                <w:color w:val="auto"/>
              </w:rPr>
              <w:t>LIABILITIES AND STOCKHOLDERS' EQUITY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232,999</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303,284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30,814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423,168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548,818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Gaming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137,269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114,879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113,228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107,318</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131,455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67,587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1,113,453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1,313,165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8,748,449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7,345,262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Land concession obligation</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15,987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143,496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152,131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36,569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25,225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10,041,967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8,851,770</w:t>
            </w:r>
          </w:p>
        </w:tc>
        <w:tc>
          <w:tcPr>
            <w:tcW w:w="0" w:type="dxa"/>
            <w:vAlign w:val="bottom"/>
          </w:tcPr>
          <w:p>
            <w:pPr>
              <w:spacing w:after="0"/>
              <w:rPr>
                <w:sz w:val="1"/>
                <w:szCs w:val="1"/>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114,577,441 and 114,426,960 shares issued; 101,543,012</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101,439,297 shares outstanding,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13,034,429 and 12,987,663 shares,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(1,152,393)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(1,145,481)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976,230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948,566</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2,505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deficit</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(176,834)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116,052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239,870</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 (deficit)</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(60,782)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211,091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 (deficit)</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9,981,185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9,062,861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929"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929"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700,014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1,071,829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2,240,321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3,389,557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413,565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476,676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306,411</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1,080,765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1,469,010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3,387,903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4,586,209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(290,523)</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996,285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3,128,981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4,295,686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445,167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647,460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1,435,755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2,112,430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112,239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266,853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125,025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352,546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366,631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14,792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234,037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13,674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843,511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2,622,027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3,244,938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152,774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332,575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506,954</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1,050,748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16,072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(236,069)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Increase (decrease) in swap fair value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(228,036)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87,079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257,894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166,875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822,712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253,006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814,451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622,208</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100,959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100,899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101,986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97"/>
        </w:trPr>
        <w:tc>
          <w:tcPr>
            <w:tcW w:w="10060" w:type="dxa"/>
            <w:vAlign w:val="bottom"/>
            <w:gridSpan w:val="10"/>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814,451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Unrealized gain (loss) on investment securities, net of tax</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w:t>
            </w: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813,668</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w w:val="97"/>
              </w:rPr>
              <w:t>Less: comprehensive income attributable to noncontrolling interest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(192,023)</w:t>
            </w: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190,642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621,645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122" w:right="39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January 1, 2015</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unrealized loss on investment securities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52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520" w:right="16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520" w:right="44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Stock-based compensation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September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30"/>
        </w:trPr>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Total</w:t>
            </w:r>
          </w:p>
        </w:tc>
      </w:tr>
      <w:tr>
        <w:trPr>
          <w:trHeight w:val="135"/>
        </w:trPr>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Par</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paid-in</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86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w w:val="90"/>
              </w:rPr>
              <w:t>stockholders'</w:t>
            </w:r>
          </w:p>
        </w:tc>
      </w:tr>
      <w:tr>
        <w:trPr>
          <w:trHeight w:val="174"/>
        </w:trPr>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value</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deficit</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interest</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equity (deficit)</w:t>
            </w:r>
          </w:p>
        </w:tc>
      </w:tr>
      <w:tr>
        <w:trPr>
          <w:trHeight w:val="254"/>
        </w:trPr>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101,439,297</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7"/>
              </w:rPr>
              <w:t>$ (1,145,481)</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948,566</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2,505</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164,487</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(28,779)</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239,870</w:t>
            </w:r>
          </w:p>
        </w:tc>
        <w:tc>
          <w:tcPr>
            <w:tcW w:w="120" w:type="dxa"/>
            <w:vAlign w:val="bottom"/>
          </w:tcPr>
          <w:p>
            <w:pPr>
              <w:spacing w:after="0"/>
              <w:rPr>
                <w:sz w:val="22"/>
                <w:szCs w:val="22"/>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211,091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85,625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85,625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68,661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154,286</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(470)</w:t>
            </w:r>
          </w:p>
        </w:tc>
      </w:tr>
      <w:tr>
        <w:trPr>
          <w:trHeight w:val="270"/>
        </w:trPr>
        <w:tc>
          <w:tcPr>
            <w:tcW w:w="880" w:type="dxa"/>
            <w:vAlign w:val="bottom"/>
          </w:tcPr>
          <w:p>
            <w:pPr>
              <w:jc w:val="right"/>
              <w:ind w:right="57"/>
              <w:spacing w:after="0"/>
              <w:rPr>
                <w:sz w:val="20"/>
                <w:szCs w:val="20"/>
                <w:color w:val="auto"/>
              </w:rPr>
            </w:pPr>
            <w:r>
              <w:rPr>
                <w:rFonts w:ascii="Arial" w:cs="Arial" w:eastAsia="Arial" w:hAnsi="Arial"/>
                <w:sz w:val="13"/>
                <w:szCs w:val="13"/>
                <w:color w:val="auto"/>
              </w:rPr>
              <w:t>17,716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974</w:t>
            </w:r>
          </w:p>
        </w:tc>
      </w:tr>
      <w:tr>
        <w:trPr>
          <w:trHeight w:val="324"/>
        </w:trPr>
        <w:tc>
          <w:tcPr>
            <w:tcW w:w="880" w:type="dxa"/>
            <w:vAlign w:val="bottom"/>
          </w:tcPr>
          <w:p>
            <w:pPr>
              <w:jc w:val="right"/>
              <w:spacing w:after="0"/>
              <w:rPr>
                <w:sz w:val="20"/>
                <w:szCs w:val="20"/>
                <w:color w:val="auto"/>
              </w:rPr>
            </w:pPr>
            <w:r>
              <w:rPr>
                <w:rFonts w:ascii="Arial" w:cs="Arial" w:eastAsia="Arial" w:hAnsi="Arial"/>
                <w:sz w:val="13"/>
                <w:szCs w:val="13"/>
                <w:color w:val="auto"/>
              </w:rPr>
              <w:t>(46,766)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(6,912)</w:t>
            </w:r>
          </w:p>
        </w:tc>
      </w:tr>
      <w:tr>
        <w:trPr>
          <w:trHeight w:val="270"/>
        </w:trPr>
        <w:tc>
          <w:tcPr>
            <w:tcW w:w="880" w:type="dxa"/>
            <w:vAlign w:val="bottom"/>
          </w:tcPr>
          <w:p>
            <w:pPr>
              <w:jc w:val="right"/>
              <w:ind w:right="57"/>
              <w:spacing w:after="0"/>
              <w:rPr>
                <w:sz w:val="20"/>
                <w:szCs w:val="20"/>
                <w:color w:val="auto"/>
              </w:rPr>
            </w:pPr>
            <w:r>
              <w:rPr>
                <w:rFonts w:ascii="Arial" w:cs="Arial" w:eastAsia="Arial" w:hAnsi="Arial"/>
                <w:sz w:val="13"/>
                <w:szCs w:val="13"/>
                <w:color w:val="auto"/>
              </w:rPr>
              <w:t>132,765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w:t>
            </w:r>
          </w:p>
        </w:tc>
      </w:tr>
      <w:tr>
        <w:trPr>
          <w:trHeight w:val="324"/>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(1,492)</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(253,672)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(253,672)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(195,444)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(449,116)</w:t>
            </w:r>
          </w:p>
        </w:tc>
      </w:tr>
      <w:tr>
        <w:trPr>
          <w:trHeight w:val="324"/>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736</w:t>
            </w:r>
          </w:p>
        </w:tc>
      </w:tr>
      <w:tr>
        <w:trPr>
          <w:trHeight w:val="28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27,031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27,031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30,519</w:t>
            </w:r>
          </w:p>
        </w:tc>
      </w:tr>
      <w:tr>
        <w:trPr>
          <w:trHeight w:val="237"/>
        </w:trPr>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101,543,012</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(1,152,393)</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976,230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1,743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(3,560)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(176,834)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116,052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(60,782)</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-2005965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-1663065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-1320165</wp:posOffset>
            </wp:positionV>
            <wp:extent cx="693801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-942975</wp:posOffset>
            </wp:positionV>
            <wp:extent cx="693801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-565150</wp:posOffset>
            </wp:positionV>
            <wp:extent cx="693801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-187960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80"/>
            <w:col w:w="852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154,286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814,451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245,428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234,037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30,324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22,714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and write-offs of deferred financing costs and other</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20,425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Provision (benefit) for doubtful accounts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Decrease in Redemption Note fair value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36,121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Customer deposits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(126,008)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(67,550)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(96,599)</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345,508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974,128</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(1,331,676)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(707,083)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(124,758)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or maturity of investment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182,103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125,323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199,929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Deposits and purchase of other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(97,938)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(63,244)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4,343</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(1,425,925)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(565,490)</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6,485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(447,504)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(690,373)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4,789,374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825,477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(3,341,925)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(69,450)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of subsidiary repurchased for share award plan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on long-term land concession obligation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(14,489)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(13,193)</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798,070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48,920</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on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(281,955)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455,837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Balance, beginning of period</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2,182,164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2,435,041</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2,890,878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Cash transactions: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235,325</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property and equipment included in accounts and construction payables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38,942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60,435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1,563</w:t>
            </w:r>
          </w:p>
        </w:tc>
      </w:tr>
      <w:tr>
        <w:trPr>
          <w:trHeight w:val="33"/>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1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314" w:right="1440"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and operates the integrated Wynn Macau and Encore at Wynn Macau resort. In Las Vegas, Nevada, the Company owns 100% of and operates the integrated Wynn Las Vegas and Encore at Wynn Las Vegas resort.</w:t>
      </w:r>
    </w:p>
    <w:p>
      <w:pPr>
        <w:spacing w:after="0" w:line="187"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The Company's integrated Macau resort of Wynn Macau and Encore at Wynn Macau features two luxury hotel towers with a total of 1,008 spacious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resort as its Macau Operations.</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Company's integrated Las Vegas resort of Wynn Las Vegas and Encore at Wynn Las Vegas features two luxury hotel towers with a total of 4,748 spacious guest rooms, suites and villas, approximately 186,000 square feet of casino space, 34 food and beverage outlets, an on-site 18-hole golf course, approximately 290,000 square feet of meeting and convention space, approximately 99,000 square feet of retail space, as well as two showrooms, three nightclubs and a beach club. The Company refers to this resort as its Las Vegas Operations.</w:t>
      </w:r>
    </w:p>
    <w:p>
      <w:pPr>
        <w:spacing w:after="0" w:line="18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is currently constructing Wynn Palace, an integrated resort containing a 1,700-room hotel, a performance lake, meeting space, a casino, a spa, retail offerings, and food and beverage outlets in the Cotai area of Macau. The Company expects to open Wynn Palace in the first half of 2016.</w:t>
      </w:r>
    </w:p>
    <w:p>
      <w:pPr>
        <w:spacing w:after="0" w:line="124"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In November 2014, the Company was awarded a gaming license to develop and construct an integrated resort in Everett, Massachusetts, outside of Boston. The resort will be located on a 33 acre site along the Mystic River. The resort will contain a hotel, a waterfront boardwalk, meeting space, a casino, a spa, retail offerings and food and beverage outlets. The Company has begun site preparation and pre-construction activities.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 in the 50%-owned joint venture operating the Ferrari and Maserati automobile dealership inside Wynn Las Vegas, which was permanently closed in October 2015, is accounted for under the equity method. All significant intercompany accounts and transactions have been eliminated. Certain amounts in the condensed consolidated financial statements for the previous years have been reclassified to be consistent with the current year presentation. These reclassifications had no effect on the previously reported net income.</w:t>
      </w: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58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$359.2 million and $1,156.3 million at September 30, 2015 and December 31, 2014, respectively, were invested in bank time deposits, money market funds and commercial paper. In addition, the Company held bank deposits and cash on hand of approximately $1,541.0 million and $1,025.9 million as of September 30, 2015 and December 31, 2014, respectively.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At September 30, 2015 and December 31, 2014, the Company's non-current restricted cash consisted of cash held in trust in accordance with the Company's majority owned subsidiary's share award plan.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and U.S. government agency bonds and commercial paper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2015 and December 31, 2014, approximately 84% and 85%,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 advances commissions to its games promoters in Macau. These were previously supported primarily by held checks and recognized as cash and cash equivalents ($153.4 million as of December 31, 2014). Market conditions in Macau and other regional economic factors have impacted the liquidity of certain games promoters. As a result, the Company's advanced commissions to games promoters now are supported primarily with signed promissory notes. The advanced commissions are on terms requiring settlement within five business days of the month following the advance. The Company recognized advanced commissions of $72.4 million as casino receivables in the accompanying Condensed Consolidated Balance Sheet as of September 30, 2015 and assesses these advanced commissions in connection with the Company's evaluation of its bad debt reserve for casino receivables. Additionally, the amount presented in the accompanying Condensed Consolidated Balance Sheet has been offset by related commissions payable to games promoters of $37.0 million as of September 30, 2015.</w:t>
      </w: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Company recorded the fair value of the Redemption Price Promissory Note (the "Redemption Note") of approximately $1.92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8"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games promoters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26,391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81,878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90,454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10,606</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42,647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131,165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141,374</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9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Income. These taxes totaled approximately $272.8 million and $446.3 million for the three months ended September 30, 2015 and 2014, respectively, and totaled approximately $893.0 million and $1,462.8 million for the nine months ended September 30, 2015 and 2014, respectively.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Company measures certain of its financial assets and liabilities, such as cash equivalents, available-for-sale securities, interest rate swaps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359,220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355,699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247,919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247,919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1,922,723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1,922,723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1,156,285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1,155,457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250,313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250,313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7"/>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7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September 30, 2015 the Company had no cash equivalents categorized as Level 2 deposits held in foreign currencies. As of December 31, 2014, approximately 19% of the Company's cash equivalents categorized as Level 2 were deposits held in foreign currencies.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July 2015, the Financial Accounting Standards Board ("FASB") issued an accounting standards update which changes the measurement principle for inventories valued under the first-in, first-out or weighted-average methods from the lower of cost or market to the lower of cost and net realizable value. Net realizable value is defined by FASB as estimated selling prices in the ordinary course of business, less reasonably predictable costs of completion, disposal and transportation. The effective date for this guidance is for financial statements issued for fiscal years beginning after December 15, 2016, and interim periods within those fiscal years. The Company is currently assessing the impact the adoption of this standard will have on its consolidated financial statements.</w:t>
      </w:r>
    </w:p>
    <w:p>
      <w:pPr>
        <w:spacing w:after="0" w:line="19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April 2015, the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standards update which clarifies that the guidance issued in April 2015 does not apply to line-of-credit arrangements. According to the additional guidance, line-of-credit arrangements will continue to present debt issuance costs as an asset and subsequently amortize the deferred debt issuance costs ratably over the term of the arrangement. The effective date for this guidance is for financial statements issued for fiscal years beginning after December 15, 2015, and interim periods within those fiscal years. Early application is permitted. The Company will adopt this guidance effective January 1, 2016. The Company does not anticipate the adoption of this guidance will have a material effect on the Company's financial condition, results of operations or cash flows.</w:t>
      </w:r>
    </w:p>
    <w:p>
      <w:pPr>
        <w:spacing w:after="0" w:line="16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generally accepted accounting principles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85,625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622,208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100,899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101,581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101,999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101,708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Net income attributable to Wynn Resorts, Limited per common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basic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8"/>
                <w:szCs w:val="18"/>
                <w:color w:val="auto"/>
                <w:w w:val="97"/>
              </w:rPr>
              <w:t>Net income attributable to Wynn Resorts, Limited per common</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 diluted</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4"/>
              </w:rPr>
              <w:t>Anti-dilutive stock options and restricted stock excluded from the</w:t>
            </w:r>
          </w:p>
        </w:tc>
        <w:tc>
          <w:tcPr>
            <w:tcW w:w="280" w:type="dxa"/>
            <w:vAlign w:val="bottom"/>
          </w:tcPr>
          <w:p>
            <w:pPr>
              <w:spacing w:after="0"/>
              <w:rPr>
                <w:sz w:val="19"/>
                <w:szCs w:val="19"/>
                <w:color w:val="auto"/>
              </w:rPr>
            </w:pP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calculation of diluted earnings per share</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220,586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219,950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204,045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203,899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27,969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248,554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247,919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250,313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432"/>
        <w:spacing w:after="0" w:line="336" w:lineRule="auto"/>
        <w:rPr>
          <w:sz w:val="20"/>
          <w:szCs w:val="20"/>
          <w:color w:val="auto"/>
        </w:rPr>
      </w:pPr>
      <w:r>
        <w:rPr>
          <w:rFonts w:ascii="Arial" w:cs="Arial" w:eastAsia="Arial" w:hAnsi="Arial"/>
          <w:sz w:val="17"/>
          <w:szCs w:val="17"/>
          <w:color w:val="auto"/>
        </w:rPr>
        <w:t>For investments with unrealized losses as of September 30, 2015 and December 31, 2014,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at September 30, 2015,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125,031</w:t>
            </w:r>
          </w:p>
        </w:tc>
      </w:tr>
      <w:tr>
        <w:trPr>
          <w:trHeight w:val="27"/>
        </w:trPr>
        <w:tc>
          <w:tcPr>
            <w:tcW w:w="9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104,565</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2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18,323</w:t>
            </w:r>
          </w:p>
        </w:tc>
      </w:tr>
      <w:tr>
        <w:trPr>
          <w:trHeight w:val="27"/>
        </w:trPr>
        <w:tc>
          <w:tcPr>
            <w:tcW w:w="9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247,919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257,930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282,177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312,635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(74,678)</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204,650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237,957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734,625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3,967,561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3,883,626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1,749,288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316,712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316,431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126,491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2,875,425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1,666,326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9,882,725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8,476,787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(2,792,276)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(2,620,945)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7,090,449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5,855,842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Construction in progress consists primarily of costs capitalized, including interest, for the construction of Wynn Palace.</w:t>
      </w:r>
    </w:p>
    <w:p>
      <w:pPr>
        <w:spacing w:after="0" w:line="22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Company reviews the remaining estimated useful lives of its property and equipment on an ongoing basis. For the review of estimated useful lives of buildings and improvements for Wynn Macau, the Company considers factors such as liberalization of the gaming industry in Macau, market expansion and actions taken by the Macau government regarding concession renewals. This review during the third quarter of 2015 indicated that the Company’s estimated useful lives of buildings and improvements extend beyond the current expiration of the gaming concession in June 2022 and land concession in August 2029. As a result, effective September 1, 2015, the Company changed its estimate of remaining useful lives of buildings and improvements for Wynn Macau to better reflect the estimated periods during which these assets are expected to remain in service. The maximum useful life of buildings and improvements for Wynn Macau was increased to 45 years from the date placed in service. The effect of this change in estimate in the quarter ended September 30, 2015, was to reduce depreciation expense and increase net income by $1.8 million, and increase basic and diluted earnings per share by $0.01.</w:t>
      </w:r>
    </w:p>
    <w:p>
      <w:pPr>
        <w:sectPr>
          <w:pgSz w:w="11900" w:h="16838" w:orient="portrait"/>
          <w:cols w:equalWidth="0" w:num="1">
            <w:col w:w="11420"/>
          </w:cols>
          <w:pgMar w:left="240" w:top="122" w:right="2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095"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Senior Term Loan Facility (as amended September 2015), due September 2021; interest at LIBOR or HIBOR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1.50%—2.25%, net of original issue discount of $36,344 at September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2,271,069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w w:val="96"/>
              </w:rPr>
              <w:t>Senior Term Loan Facility, due July 31, 2017 and July 31, 2018; interest at LIBOR or HIBOR plus 1.75%—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2.50%, net of original issue discount of $3,830 at December 31, 2014</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948,823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Senior Revolving Credit Facility, due July 31, 2017, interest at LIBOR or HIBOR plus 1.75%—2.50%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132,524</w:t>
            </w:r>
          </w:p>
        </w:tc>
        <w:tc>
          <w:tcPr>
            <w:tcW w:w="0" w:type="dxa"/>
            <w:vAlign w:val="bottom"/>
          </w:tcPr>
          <w:p>
            <w:pPr>
              <w:spacing w:after="0"/>
              <w:rPr>
                <w:sz w:val="1"/>
                <w:szCs w:val="1"/>
                <w:color w:val="auto"/>
              </w:rPr>
            </w:pPr>
          </w:p>
        </w:tc>
      </w:tr>
      <w:tr>
        <w:trPr>
          <w:trHeight w:val="229"/>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w w:val="93"/>
              </w:rPr>
              <w:t>1/4% Senior Notes, due October 15, 2021, including original issue premium of $4,657 at September 30, 2015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and $5,141 at December 31, 2014</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1,354,657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1,355,141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3/8% First Mortgage Notes, due March 15, 2022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May 30, 2023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March 1, 2025</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net of fair value adjustment of $13,720 at September 30,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1,922,723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w w:val="94"/>
              </w:rPr>
              <w:t>7/8% First Mortgage Notes, due May 1, 2020, net of original issue discount of $1,279 at December 31, 2014</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345,731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 First Mortgage Notes, due August 15, 2020</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1,226,600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8,748,449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7,345,262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8,748,449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7,345,262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September 30, 2015, Wynn Resorts (Macau) S.A. ("Wynn Macau SA"), an indirect subsidiary of Wynn Macau, Limited, amended its senior secured credit facilities, dated July 30, 2012 (the “Amended Wynn Macau Credit Facilities”) to, among other things, increase borrowing capacity and extend maturity dates. Borrowings under the Amended Wynn Macau Credit Facilities consist of both United States dollar and Hong Kong dollar tranches and were used to refinance Wynn Macau SA's existing indebtedness, to fund the construction and development of Wynn Palace and for general corporate purposes.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borrowing availability under the Amended Wynn Macau Credit Facilities was increased to $3.05 billion equivalent, representing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$550 million equivalent, consisting of a $2.3 billion equivalent senior secured term loan facility (the "Wynn Macau Senior Term Loan Facility") and a $750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equivalent senior secured revolving credit facility. Wynn Macau SA has the ability to upsize the Amended Wynn Macau Credit Facilities by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$1.0 billion equivalent senior secured loans upon satisfaction of various conditions.</w:t>
      </w:r>
    </w:p>
    <w:p>
      <w:pPr>
        <w:spacing w:after="0" w:line="17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senior secured term loan facility is repayable in graduating installments of between 2.5% to 7.33% of the principal amount on a quarterly basis commencing December 2018, with a final installment of 50% of the principal amount repayable in September 2021 (extended from July 2018). Any outstanding borrowings from the senior secured revolving credit facility will mature in September 2020 (extended from July 2017) by which time any outstanding borrowings from the senior secured revolving credit facility must be repaid. The Amended Wynn Macau Credit Facilities bear interest at LIBOR or HIBOR plus a margin of 1.50% to 2.25% per annum based on Wynn Macau SA’s Leverage Ratio (as defined in the Amended Wynn Macau Credit Facilities). The commitment fee required to pay for unborrowed amounts under the senior secured revolving credit facility, if any, is between 0.52% to 0.79% per annum, based on Wynn Macau SA’s Leverage Ratio. The annual commitment fee is payable quarterly in arrears and calculated based on the daily average of the unborrowed amounts.</w:t>
      </w: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Amended Wynn Macau Credit Facilities contain a requirement that Wynn Macau SA must make mandatory repayments of indebtedness from specified percentages of excess cash flow. If Wynn Macau SA's Leverage Ratio is greater than 4.5 to 1, then 25% of Excess Cash Flow (as defined in the Amended Wynn Macau Credit Facilities) must be used for prepayment of indebtedness and cancellation of available borrowings under the Amended Wynn Macau Credit Facilities. There is no mandatory prepayment in respect of Excess Cash Flow if Wynn Macau SA's Leverage Ratio is equal or less than 4.5 to 1.</w:t>
      </w:r>
    </w:p>
    <w:p>
      <w:pPr>
        <w:spacing w:after="0" w:line="11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Amended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5.25 to 1 for the fiscal year ending December 31, 2015, and an Interest Coverage Ratio (as defined in the Amended Wynn Macau Credit Facilities) of not less than 2.00 to 1 at any time.</w:t>
      </w:r>
    </w:p>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Borrowings under the Amended Wynn Macau Credit Facilities will continue to be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Amended Wynn Macau Facilities are not guaranteed by the Company or Wynn Macau, Limited.</w:t>
      </w:r>
    </w:p>
    <w:p>
      <w:pPr>
        <w:spacing w:after="0" w:line="146"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September 30, 2015, the guarantee was in the amount of 300 million Macau patacas ("MOP") (approximately $37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Amended Wynn Macau Credit Facilities, Wynn Macau SA is obligated to promptly, upon demand by BNU, repay any claim made on the guarantee by the Macau government. BNU is paid an annual fee for the guarantee of MOP 2.3 million (approximately $0.3 million).</w:t>
      </w:r>
    </w:p>
    <w:p>
      <w:pPr>
        <w:spacing w:after="0" w:line="12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Upon closing of the Amended Wynn Macau Credit Facilities, the Company received proceeds of $2.3 billion from the fully funded senior secured term loan facility. The proceeds were used to repay $953.3 million in outstanding borrowings under the senior secured term loan facility dated July 30, 2012, and $815.8 million in outstanding borrowings under the senior secured revolving credit facility dated July 30, 2012. In connection with Amended Wynn Macau Credit Facilities, the Company on September 30, 2015 recorded a loss on extinguishment of debt of $2.1 million related to the write-off of unamortized deferred financing costs. As of September 30, 2015, the Company had $750 million of available borrowing capacity under the Amended Wynn Macau Credit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February 10, 2015, Wynn Las Vegas, LLC and Wynn Las Vegas Capital Corp., an indirect wholly owned subsidiary of Wynn Resorts, Limited (together, the "Issuers") commenced a cash tender offer for any and all of the outstanding aggregate principal amounts of the 7 7/8% first mortgage notes due May 1, 2020 (the "7 7/8% 2020 Notes") and the 7 3/4% first mortgage notes due August 15, 2020 (the "7 3/4% 2020 Notes" and together with the 7 7/8% 2020 Notes, the "2020 Notes"). Wynn Las Vegas, LLC accepted for purchase valid tenders with respect to $305.8 million of the $377.0 million aggregate principal amount of the 7 7/8% 2020 Notes and $1,146.5 million of the $1,226.6 million aggregate principal amount of the 7 3/4% 2020 Notes. The note holders who validly tendered their 2020 Notes received the total consideration of $1,054.21 for each $1,000 principal amount of 7 7/8% 2020 Notes and $1,073.82 for each $1,000 principal amount of 7 3/4% 2020 Notes. The premium portion of the aggregate total consideration was $101.2 million and was recorded as a loss on extinguishment of debt in the accompanying Condensed Consolidated Statements of Income. The Company satisfied and discharged the indentures under which the 2020 Notes were issued and redeemed the untendered 7 7/8% 2020 Notes on May 1, 2015 and the 7 3/4% 2020 Notes on August 15, 2015.</w:t>
      </w:r>
    </w:p>
    <w:p>
      <w:pPr>
        <w:spacing w:after="0" w:line="19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As part of the cash tender offer of the 7 7/8% 2020 Notes, Wynn Resorts tendered the $30.0 million principal amount it held of its wholly owned subsidiary Wynn Las Vegas, LLC.</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connection with the cash tender, the Company expensed $17.2 million of unamortized deferred financing costs and original issue discount related to the 2020 Notes and incurred other fees of $0.1 million that are included in loss on extinguishment of debt in the accompanying Condensed Consolidated Statements of Income.</w:t>
      </w:r>
    </w:p>
    <w:p>
      <w:pPr>
        <w:spacing w:after="0" w:line="18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Income.</w:t>
      </w:r>
    </w:p>
    <w:p>
      <w:pPr>
        <w:spacing w:after="0" w:line="166" w:lineRule="exact"/>
        <w:rPr>
          <w:sz w:val="20"/>
          <w:szCs w:val="20"/>
          <w:color w:val="auto"/>
        </w:rPr>
      </w:pPr>
    </w:p>
    <w:p>
      <w:pPr>
        <w:jc w:val="both"/>
        <w:ind w:right="520" w:firstLine="432"/>
        <w:spacing w:after="0" w:line="286" w:lineRule="auto"/>
        <w:rPr>
          <w:sz w:val="20"/>
          <w:szCs w:val="20"/>
          <w:color w:val="auto"/>
        </w:rPr>
      </w:pPr>
      <w:r>
        <w:rPr>
          <w:rFonts w:ascii="Arial" w:cs="Arial" w:eastAsia="Arial" w:hAnsi="Arial"/>
          <w:sz w:val="17"/>
          <w:szCs w:val="17"/>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Condensed Consolidated Statements of Income.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Las Vegas Capital Corp., which was a co-issuer) and U.S. Bank National Association, as trustee. The 2025 Notes were issued at par. The Company used the net proceeds from the 2025 Notes to cover the cost of purchasing the 2020 Notes and for general corporate purposes.</w:t>
      </w:r>
    </w:p>
    <w:p>
      <w:pPr>
        <w:spacing w:after="0" w:line="10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2025 Notes are the Issuers' senior unsecured obligations and rank pari passu in right of payment with the Issuers' 5 3/8% first mortgage notes due March 15, 2022 and the 4 1/4% senior notes due May 30, 2023 (together, the "Existing Notes"). The 2025 Notes are unsecured (except by the first priority pledge by Wynn Las Vegas Holdings, LLC of its equity interests in Wynn Las Vegas, LLC), effectiveness of which is subject to the prior approval of the Nevada gaming authorities. Such equity interests in Wynn Las Vegas also secure the Existing Notes. If Wynn Resorts, Limited receives an investment grade rating from one or more ratings agencies, the first priority pledge securing the 2025 Notes will be released.</w:t>
      </w:r>
    </w:p>
    <w:p>
      <w:pPr>
        <w:spacing w:after="0" w:line="119"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all of the Issuers' subsidiaries' (as guarantors), other than Wynn Las Vegas Capital Corp.,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Las Vegas Capital Corp., all 2025 Notes then outstanding will become due and payable immediately without further action or notice.</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November 20, 2014, Wynn America, LLC ("Wynn America"), an indirect wholly owned subsidiary of the Company, entered into a $1.25 billion senior secured credit facility, consisting of a $375 million senior secured revolving credit facility and an $875 million delay draw senior secured term loan facility (together, the "Wynn America Credit Facilities"). As of September 30, 2015, there were no amounts drawn under the Wynn America Credit Facilities, however, there were outstanding letters of credit totaling $10.0 million reducing the available borrowing capacity to $1.24 billion.</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Pursuant to the terms of the Wynn America Credit Facilities, Wynn America agreed to use commercially reasonable efforts to cause a corporate restructuring (the "Wynn Las Vegas Reorganization") that would result in Wynn Las Vegas Holdings, LLC ("WLVH"), a direct wholly owned subsidiary of Wynn America, being the 100% owner of Wynn Las Vegas, LLC. Approvals required under applicable gaming laws and regulations with respect to the Wynn Las Vegas Reorganization were obtained on August 20, 2015. On September 1, 2015, Wynn Resorts Holdings, LLC transferred its equity interest in Wynn Las Vegas, LLC and effectuated the Wynn Las Vegas Reorganization.</w:t>
      </w:r>
    </w:p>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November 5, 2015, Wynn America amended the Wynn America Credit Facilities to extend the available borrowing period from November 20, 2015 to March 30, 2016 and June 30, 2016 for up to $100.3 million and $704.7 million, respectively, of the delay draw senior secured term facility. The available borrowing period for $70.0 million of the delay draw senior secured term facility was not extended. Wynn America paid customary fees and expenses in connection with the amendment.</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2015,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estimated fair value of the Company's long-term debt, excluding the Redemption Note, as of September 30, 2015 and December 31, 2014, was approximately $6.3 billion and $5.4 billion, respectively, compared to its carrying value of $6.8 billion and $5.4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 (decrease) in swap fair value in the accompanying Condensed Consolidated Statements of Income, as the interest rate swaps do not qualify for hedge accounting.</w:t>
      </w:r>
    </w:p>
    <w:p>
      <w:pPr>
        <w:spacing w:after="0" w:line="18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Company utilized Level 2 inputs as described in Note 2 "Summary of Significant Accounting Policies" to determine fair value.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September 30, 2015 and December 31, 2014, the interest rate swaps were recorded as a liability of $1.1 million in other long term liabilities and as an asset of $5.9 million in deposits and other assets, respectively.</w:t>
      </w:r>
    </w:p>
    <w:p>
      <w:pPr>
        <w:spacing w:after="0" w:line="17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Wynn Macau Senior Term Loan Facility. Under two of the swap agreements, the Company pays a fixed interest rate (excluding the applicable interest margin) of 0.73% on notional amounts corresponding to borrowings of HK$3.95 billion (approximately $509.4 million) incurred under the Wynn Macau Senior Term Loan Facility in exchange for receipts on the same amount at a variable interest rate based on the applicable HIBOR at the time of payment. These interest</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rate swaps fix the all-in interest rate on such amounts at 2.48% to 3.23%. These interest rate swap agreements mature in July 2017.</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0.68% on notional amounts corresponding to borrowings of $243.8 million incurred under the Wynn Macau Senior Term Loan Facility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In addition, effective January 1, 2015,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$0.5 million and $0.6 million as of September 30, 2015 and December 31, 2014,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its fair market value of the accommodations. Pursuant to the SW Lease, Wynn Las Vegas pays for all capital improvements to the villa. The fair value is based on independent third-party expert opinions of value, which was $525,000 per year through February 28, 2015 and $559,295 per year from March 1, 2015 through February 28, 2017. The annual rent for the villa will be re-determined every two years during the term of the SW Lease, by the Audit Committee. Certain services for, and maintenance of, the villa are included in the annual rent.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Aircraft Purchase Option Agreement</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approximately two acres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Property charges and other for the three months ended September 30, 2015 and 2014 of $1.0 million and $1.6 million, respectively, consisted primarily of miscellaneous abandonments at the Company's resorts. Property charges and other for the nine months ended September 30, 2015 and 2014 of $4.0 million and $13.7 million, respectively, consisted primarily of charges associated with the renovation of approximately 27,000 square feet of casino space at Wynn Macau for new VIP gaming rooms. These new VIP gaming rooms opened in February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29"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On March 31, 2015, Wynn Macau, Limited paid a dividend of HK$1.05 per share for a total of $702.6 million. The Company's share of this dividend was $507.1 million with a reduction of $195.5 million to noncontrolling interest in the accompanying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Rooms</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Pre-opening costs</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22,714</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5,645</w:t>
            </w:r>
          </w:p>
        </w:tc>
      </w:tr>
      <w:tr>
        <w:trPr>
          <w:trHeight w:val="27"/>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9,325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28,359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is currently constructing Wynn Palace, an integrated resort containing a 1,700-room hotel, a performance lake, meeting space, a casino, a spa, retail offerings, and food and beverage outlets in the Cotai area of Macau.</w:t>
      </w:r>
    </w:p>
    <w:p>
      <w:pPr>
        <w:spacing w:after="0" w:line="17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September 2011, Wynn Macau SA and Palo,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September 30, 2015, the remaining $31.6 million obligation was recorded as a current liability. As of December 31, 2014, the Company recorded this obligation with $30.8 million included as a current liability and $16.0 million included as a long-term liability. The Company also is required to make annual lease payments of $0.8 million during the resort construction period and annual payments of approximately $1.1 million once the development is completed.</w:t>
      </w:r>
    </w:p>
    <w:p>
      <w:pPr>
        <w:spacing w:after="0" w:line="18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July 29, 2013, Wynn Macau SA and Palo, finalized and executed a guaranteed maximum price construction ("GMP") contract with Leighton Contractors (Asia) Limited, acting as the general contractor. Under the GMP contract, the general</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contractor is responsible for both the construction and design of the Wynn Palace project. The general contractor is obligated to substantially complete the project in the first half of 2016 for a guaranteed maximum price of HK$20.6 billion (approximately $2.7 billion). The general contractor has notified the Company that it will not achieve the early completion milestone on January 25, 2016. However, the general contractor stated it is on schedule to complete the project on or before the substantial completion date. The Company continues to expect to open the property in the first half of 2016.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89"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As of September 30, 2015, the Company has incurred approximately $3.1 billion of the approximately $4.1 billion in total project budget costs. The total project budget includes all construction costs, capitalized interest, pre-opening expenses, land costs and financing fees.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93"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16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w:t>
      </w: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court denied the Okada Parties' motion to dismiss the Company's Complaint. On April 22, 2013, the Company filed a second amended complaint. On</w:t>
      </w:r>
    </w:p>
    <w:p>
      <w:pPr>
        <w:spacing w:after="0" w:line="3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the interest payment due at that time to the clerk of the court for deposit into the clerk's trust account.</w:t>
      </w:r>
    </w:p>
    <w:p>
      <w:pPr>
        <w:spacing w:after="0" w:line="16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7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lawsuit is currently in the discovery phase of litigation.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and/or Wynn Macau, Limited (collectively, the "Wynn Macau Parties"). The principal allegations in the lawsuit are that the redemption of the Okada Parties' shares in the Company was improper and undervalued, that the previously disclosed payment by Wynn Macau SA to an unrelated third party in consideration of relinquishment by that party of certain rights in and to any future development on the land in Cotai where the Company is building Wynn Palace was unlawful and that the Company's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178"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Company believes the claims are without merit and will vigorously defend the Wynn Macau Parties against them. Management has determined that based on proceedings to date, it is currently unable to determine the probability of the outcome of this matter or the range of reasonably possible loss, if any.</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6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The Company filed a response on December 18, 2014 and the Federal Plaintiffs filed a reply brief on January 30, 2015.</w:t>
      </w:r>
    </w:p>
    <w:p>
      <w:pPr>
        <w:spacing w:after="0" w:line="18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right="60" w:firstLine="8"/>
        <w:spacing w:after="0" w:line="290"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w:t>
      </w: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2"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25"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2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Revere Action: On October 16, 2014, the City of Revere, the host community to the unsuccessful bidder for the same license, and the International Brotherhood of Electrical Workers, Local 103,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the other applicant for the Greater Boston (Region A) gaming license, to intervene in the Revere Action, and on February 23, 2015, Mohegan Sun filed its complaint. The Mohegan complaint challenges the license award to Wynn MA, seeks judicial review of the MGC's decision, and seeks to vacate the MGC's license award to Wynn MA. On July 1, 2015, the MGC filed motions to dismiss Mohegan Sun's and the City of Revere's complaints. Oral argument on these motions was heard on September 22, 2015.</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Somerville Action: On December 4, 2014, the City of Somerville filed a complaint similar to the one in the Revere Action against the MGC and each of the five gaming commissioners in Suffolk Superior Court. The City of Somerville filed a motion to stay its case pending the results of the Massachusetts Department of Environmental Protection's review of Wynn MA's proposed project and the required mitigation actions. The motion to stay was not opposed by the MGC and on July 9, 2015, the court granted the City of Somerville's motion to stay.</w:t>
      </w:r>
    </w:p>
    <w:p>
      <w:pPr>
        <w:spacing w:after="0" w:line="18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 On May 20, 2015, the City of Boston filed an amended complaint requesting the court to nullify and vacate all decisions made by the MGC leading to and resulting in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On July 9, 2015, the court denied the MGC's motion to dismiss the amended complaint, but established a briefing schedule for the MGC to file a motion to dismiss on the pending lawsuit. Oral argument was heard on September 22, 2015.</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Wynn MA is not named in the above complaints. The MGC has retained private legal representation at its own nontaxpayer-funded expense.</w:t>
      </w:r>
    </w:p>
    <w:p>
      <w:pPr>
        <w:spacing w:after="0" w:line="23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On July 6, 2015, twenty-four (24) individuals (taxable inhabitants) and more than ten (10) voters of the Commonwealth of Massachusetts filed a complaint in Suffolk Superior Court against the Massachusetts Bay Transportation Authority ("MBTA"),</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Massachusetts Department of Transportation, and Wynn MA seeking a declaration that the proposed conveyance of a parcel of land in Everett, Massachusetts from the MBTA to Wynn MA violates state law. MBTA and Wynn MA filed a motion to dismiss and oral argument was heard on September 4, 2015. On October 19, 2015, the court granted the motion and dismissed the complaint.</w:t>
      </w:r>
    </w:p>
    <w:p>
      <w:pPr>
        <w:spacing w:after="0" w:line="18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August 28, 2015, the Secretary of Energy and Environmental Affairs issued a certificate determining that Wynn MA’s Second Supplemental Final Environmental Impact Report ("Report") submitted with respect to the project “adequately and properly complied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w:t>
      </w:r>
    </w:p>
    <w:p>
      <w:pPr>
        <w:spacing w:after="0" w:line="15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will vigorously defend Wynn MA against the claims. Management has determined that based on proceedings to date, it is currently unable to determine the probability of the outcome of this action or the range of reasonably possible loss,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For the three months ended September 30, 2015 and 2014, the Company recorded a tax benefit of $3.9 million and a tax expense of $4.9 million, respectively. For the nine months ended September 30, 2015 and 2014, the Company recorded a tax expense of $12.6 million and $8.3 million, respectively. The Company’s income tax benefit and expense for the three and nine months ended September 30, 2015 and 2014 is primarily related to changes in the domestic valuation allowance for U.S. foreign tax credits ("FTCs").</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Since June 30, 2010, the Company no longer considers its portion of the tax earnings and profits of Wynn Macau, Limited to be permanently invested. The Company recorded deferred U.S. income taxes of $1.7 million with respect to amounts not considered permanently invested. The Company has not provided deferred U.S. income taxes or foreign withholding taxes on temporary differences as these amounts are permanently reinvested. For the nine months ended September 30, 2015 and 2014, the Company recognized income tax benefits related to excess tax deductions associated with stock compensation costs of $0.7 million and $6.6 million, respectively.</w:t>
      </w:r>
    </w:p>
    <w:p>
      <w:pPr>
        <w:spacing w:after="0" w:line="188"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Company assesses the recoverability of its deferred tax asset for FTCs and the appropriateness for a valuation allowance on a quarterly basis. The Company considers factors such as its three year cumulative pre-tax book income, the reversal of taxable timing differences, and expectations regarding the occurrence of U.S. source income versus foreign source income within the FTCs carryforward period. Historically, the Company has recorded a partial valuation allowance on FTCs. If, based on future results and reviews of these factors, the Company was to conclude that the deferred tax asset is not recoverable and an additional valuation allowance is necessary, there could be a significant impact on its effective tax rate.</w:t>
      </w:r>
    </w:p>
    <w:p>
      <w:pPr>
        <w:spacing w:after="0" w:line="11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Wynn Macau SA has received a 5-year exemption from Macau's Complementary Tax on casino gaming profits through December 31, 2015. In October 2015, Wynn Macau SA received an additional 5-year exemption, effective January 1, 2016, from Macau's Complementary Tax on casino gaming profits through December 31, 2020. During the three months ended September 30, 2015 and 2014, the Company was exempted from the payment of $8.7 million and $25.8 million in such taxes. For the nine months ended September 30, 2015 and 2014, the Company was exempted from the payment of such taxes totaling $32.6 million and $80.4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6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2014, the Company received notification that for the 2015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reviews the results of operations for each of its operating segments. Wynn Macau and Encore at Wynn Macau are managed as a single integrated resort and have been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w:t>
      </w:r>
    </w:p>
    <w:p>
      <w:pPr>
        <w:spacing w:after="0" w:line="17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projects under development are Wynn Palace and the Wynn resort in Massachusetts. In the following tables, the assets of the Wynn resort in Massachusetts are included in Corporate and Other. Other Macau primarily represents cash and investment securities held at the Company's Macau holding company. The following tables present the Company's segment information (in thousands):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9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585,116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942,255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1,907,425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3,035,588</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1,260,098</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996,285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1,370,010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3,128,981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4,295,686</w:t>
            </w:r>
          </w:p>
        </w:tc>
      </w:tr>
      <w:tr>
        <w:trPr>
          <w:trHeight w:val="67"/>
        </w:trPr>
        <w:tc>
          <w:tcPr>
            <w:tcW w:w="49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Property EBITDA (1)</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162,822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325,529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548,555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1,016,858</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349,783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403,962</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279,891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458,779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898,338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1,420,820</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14,792</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234,037</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13,674</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83,682</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22,714</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color w:val="auto"/>
              </w:rPr>
              <w:t>Total other operating costs and expenses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127,117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126,204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391,384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370,072</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506,954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1,050,748</w:t>
            </w:r>
          </w:p>
        </w:tc>
      </w:tr>
      <w:tr>
        <w:trPr>
          <w:trHeight w:val="22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and expenses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16,072</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(236,069)</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1,173</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color w:val="auto"/>
              </w:rPr>
              <w:t>Total other non-operating costs and expenses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(228,036)</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822,712</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(8,261)</w:t>
            </w: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814,451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652"/>
        <w:spacing w:after="0" w:line="26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jc w:val="both"/>
        <w:ind w:left="660"/>
        <w:spacing w:after="0" w:line="349" w:lineRule="auto"/>
        <w:rPr>
          <w:sz w:val="20"/>
          <w:szCs w:val="20"/>
          <w:color w:val="auto"/>
        </w:rPr>
      </w:pPr>
      <w:r>
        <w:rPr>
          <w:rFonts w:ascii="Arial" w:cs="Arial" w:eastAsia="Arial" w:hAnsi="Arial"/>
          <w:sz w:val="16"/>
          <w:szCs w:val="16"/>
          <w:color w:val="auto"/>
        </w:rPr>
        <w:t>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Macau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1,520,098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3,043,273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1,854,521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123,348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974,170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Macau</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4,896,071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4,348,789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3,140,176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3,472,931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1,944,938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1,241,141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9,981,185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9,062,861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On October 15, 2015, the Company announced a cash dividend of $0.50 per share, payable on November 24, 2015 to stockholders of record as of November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In the Macau Special Administrative Region of the People's Republic of China ("Macau"), we own 72% of Wynn Macau, Limited and operate Wynn Macau and Encore at Wynn Macau. We refer to the integrated Wynn Macau and Encore at Wynn Macau resort as Wynn Macau | Encore or as our Macau Operations. In Las Vegas, Nevada, we own 100% of and operate Wynn Las Vegas and Encore at Wynn Las Vegas, which we refer to as Wynn Las Vegas | Encore or our Las Vegas Operations. We are developing Wynn Palace, an integrated casino resort in the Cotai area of Macau. In addition, we are developing an integrated casino resort in Everett, Massachusetts.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We operate Wynn Macau | Encore under a 20-year casino concession agreement granted by the Macau government in June 2002. We lease from the Macau government approximately 16 acres of land in downtown Macau's inner harbor where Wynn Macau | Encore is located.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Wynn Macau | Encore features the following as of October 15, 2015:</w:t>
      </w:r>
    </w:p>
    <w:p>
      <w:pPr>
        <w:spacing w:after="0" w:line="279" w:lineRule="exact"/>
        <w:rPr>
          <w:sz w:val="20"/>
          <w:szCs w:val="20"/>
          <w:color w:val="auto"/>
        </w:rPr>
      </w:pPr>
    </w:p>
    <w:p>
      <w:pPr>
        <w:ind w:left="1300" w:right="2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284,000 square feet of casino space offering 24-hour gaming and a full range of games with 451 table games and 688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Rotunda show featuring a Chinese zodiac-inspired ceiling along with gold "prosperity tree" and "dragon of fortune" attractions.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Wynn Macau | Encore. In February 2015, we completed the renovation of approximately 27,000 square feet of our casino space at Wynn Macau for new VIP gaming rooms.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on which an office building is located.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Wynn Las Vegas | Encore features the following as of October 15, 2015:</w:t>
      </w:r>
    </w:p>
    <w:p>
      <w:pPr>
        <w:spacing w:after="0" w:line="387"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with 232 table games and 1,861 slot machines, private gaming salons, a sky casino, a poker room, and a race and sports book;</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jc w:val="both"/>
        <w:ind w:left="1300" w:right="40" w:hanging="644"/>
        <w:spacing w:after="0" w:line="28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Moncler, Nicholas Kirkwood, Oscar de la Renta, Piaget, Prada, Rolex, Vertu and others;</w:t>
      </w:r>
    </w:p>
    <w:p>
      <w:pPr>
        <w:spacing w:after="0" w:line="57"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Specially designed theater presenting "Le Rêve-The Dream," a water-based theatrical production and a theater presenting "Steve Wynn's ShowStoppers," a Broadway-style entertainment production;</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and two full service spas and salons;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Wedding chapel.</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remodel and make enhancements and refinements to Wynn Las Vegas | Encore.</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June 2015, we began the remodel of guest rooms in our Encore hotel tower. We expect these room renovations to be completed by the end of 2015 and believe there will not be a significant impact to our operations and results during the renovation period.</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October 2015, the Ferrari and Maserati automobile dealership inside Wynn Las Vegas was permanently closed. We are in the process of determining the use of the 10,000 square feet of space, which was occupied by the dealership.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currently constructing Wynn Palace, an integrated resort containing a 1,700-room hotel, a performance lake, meeting space, a casino, a spa, retail offerings and food and beverage outlets in the Cotai area of Macau. We are a party to a $2.7 billion guaranteed maximum price ("GMP") contract for the project's construction. The total project budget, including construction costs, capitalized interest, pre-opening expenses, land costs and financing fees, is approximately $4.1 billion. As of September 30, 2015, we have invested approximately $3.1 billion in the project. We expect to open Wynn Palace on Cotai in the first half of 2016.</w:t>
      </w:r>
    </w:p>
    <w:p>
      <w:pPr>
        <w:spacing w:after="0" w:line="188"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In November 2014, the Company was awarded a gaming license to develop and construct an integrated resort in Everett, Massachusetts, outside of Boston. The resort will be located on a 33 acre site along the Mystic River. The resort will contain a hotel, a waterfront boardwalk, meeting space, a casino, a spa, retail offerings and food and beverage outlets. We have begun site preparation and pre-construction activities.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measures specific to the gaming industry are included in our discussion of our operational performance for the periods for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are presented. Below are definitions of these key operating measures discussed:</w:t>
      </w:r>
    </w:p>
    <w:p>
      <w:pPr>
        <w:spacing w:after="0" w:line="211" w:lineRule="exact"/>
        <w:rPr>
          <w:sz w:val="20"/>
          <w:szCs w:val="20"/>
          <w:color w:val="auto"/>
        </w:rPr>
      </w:pPr>
    </w:p>
    <w:p>
      <w:pPr>
        <w:ind w:left="900" w:right="100" w:hanging="325"/>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Table drop for our Las Vegas Operations is the amount of cash and net markers issued that are deposited in a gaming table's drop box.</w:t>
      </w:r>
    </w:p>
    <w:p>
      <w:pPr>
        <w:spacing w:after="0" w:line="20"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right="460" w:hanging="325"/>
        <w:spacing w:after="0" w:line="25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900" w:right="36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the basis for calculating VIP casino win percentage. It is customary in Macau to measure VIP casino play using this rolling chip method. We expect our win as a percentage of turnover in this segment to be within the range of 2.7% to 3.0%.</w:t>
      </w:r>
    </w:p>
    <w:p>
      <w:pPr>
        <w:spacing w:after="0" w:line="188"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In our mass market casino in Macau, customers may purchase cash chips at either the gaming tables or at the casino cage. Beginning in the second quarter of 2015, the sum of these purchases is the base of measurement we will use for calculating win percentage in our mass market casino in accordance with standard Macau industry practice. All prior period amounts have been adjusted to conform to this new measurement.</w:t>
      </w:r>
    </w:p>
    <w:p>
      <w:pPr>
        <w:spacing w:after="0" w:line="16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measurements in our VIP casino and the mass market casino are not comparable as the mass market casino tracks the initial purchase of chips at the gaming table and casino cage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significantly smaller in the VIP casino when compared to the mass market casino.</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third quarter 2015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Arial" w:cs="Arial" w:eastAsia="Arial" w:hAnsi="Arial"/>
                <w:sz w:val="16"/>
                <w:szCs w:val="16"/>
                <w:color w:val="auto"/>
                <w:w w:val="89"/>
              </w:rPr>
              <w:t>(dollars in thousands, except per share data)</w:t>
            </w:r>
          </w:p>
        </w:tc>
        <w:tc>
          <w:tcPr>
            <w:tcW w:w="6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476"/>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74"/>
              <w:spacing w:after="0" w:line="12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102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1"/>
                <w:szCs w:val="11"/>
                <w:color w:val="auto"/>
              </w:rPr>
            </w:pPr>
          </w:p>
        </w:tc>
        <w:tc>
          <w:tcPr>
            <w:tcW w:w="1140" w:type="dxa"/>
            <w:vAlign w:val="bottom"/>
          </w:tcPr>
          <w:p>
            <w:pPr>
              <w:jc w:val="right"/>
              <w:ind w:right="456"/>
              <w:spacing w:after="0" w:line="12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900" w:type="dxa"/>
            <w:vAlign w:val="bottom"/>
          </w:tcPr>
          <w:p>
            <w:pPr>
              <w:jc w:val="right"/>
              <w:ind w:right="136"/>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996,285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1,370,010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3,128,981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4,295,686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Limited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85,625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622,208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Adjusted Property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279,891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458,779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898,338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1,420,820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three months ended September 30, 2015, our net income attributable to Wynn Resorts, Limited was $73.8 million, a decrease of 61.5% over the same period of 2014, resulting in diluted net income per share of $0.73. The reduction in net income attributable to Wynn Resorts, Limited was driven by a decrease in casino revenues from both our Macau Operations and Las Vegas Operations. Adjusted Property EBITDA decreased year-over-year by 39.0%, from $458.8 million for the three months ended September 30, 2014 to $279.9 million for the same period of 2015. Our results reflect continued weak performance from our Macau Operations, with reduction in VIP turnover of 51.3% for the three months ended September 30, 2015, compared to the same period in 2014. The VIP turnover reduction is a result of the current market conditions in Macau as well as regional economic factors on games promoters and our premium customers.</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nine months ended September 30, 2015, our net income attributable to Wynn Resorts, Limited was $85.6 million, a decrease of 86.2% over the same period of 2014, resulting in diluted net income per share of $0.84. Adjusted Property EBITDA decreased year-over-year by 36.8%, from $1,420.8 million for the nine months ended September 30, 2014 to $898.3 million for the same period of 2015. Our results for the nine months ended September 30, 2015 were primarily driven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a decrease in casino revenues from our Macau Operations and $124.0 million in losses from the extinguishment of debt related to the purchase of first mortgage notes due 2020 pursuant to a cash tender offer and subsequent redemption of untendered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2015 compared to the three months ended September 30,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585,116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942,255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411,169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427,755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996,285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revenues decreased 27.3%, or $373.7 million, to $996.3 million for the three months ended September 30, 2015, from $1,370.0 million for the same period in 2014. The decline is primarily due to a $345.3 million decrease in casino revenues from our Macau Operations.</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700,014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1,071,829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296,271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298,181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996,285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Casino revenues were 70.3% of total net revenues for the three months ended September 30, 2015, compared to 78.2% for the same period of 2014, while non-casino revenues were 29.7% of total net revenues, compared to 21.8% for the same period of 2014.</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Casino revenues decreased 34.7%, or $371.8 million, to $700.0 million for the three months ended September 30, 2015, from $1,071.8 million in the same period of 2014. The decline is primarily due to our Macau Operations, which experienced a year-over-year decrease in casino revenues of 38.7% from $893.2 million to $547.9 million. Our VIP gaming operations drove the Macau Operations casino revenue reduction, with $12.2 billion in VIP turnover for the three months ended September 30, 2015, compared to $25.1 billion for the same period of 2014. In addition, our mass market gaming operations contributed to the decline in casino revenues from our Macau Operations with a 13.7% decrease in table drop combined with a reduction in table games win percentage of 4.0 percentage points.</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547,865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893,206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(345,341)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12,218,445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25,064,646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(12,846,201)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697,761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1,196,940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1,386,905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(189,965)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327,217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824,646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1,436,074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(611,428)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491,616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640,941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116,655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164,932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(48,277)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764,263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788,131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54,614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47,446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decreased 0.6%, or $1.9 million, to $296.3 million for the three months ended September 30, 2015, from $298.2 million for the same period of 2014.</w:t>
      </w:r>
    </w:p>
    <w:p>
      <w:pPr>
        <w:spacing w:after="0" w:line="17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Room revenues decreased 1.7%, or $2.3 million, to $133.5 million for the three months ended September 30, 2015, from $135.7 million for the same period of 2014 mainly due to our Macau Operations, which experienced a 3.1% decrease in ADR and an occupancy decrease of 2.6 percentage points from 98.5% to 95.9%.</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30,674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33,190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102,786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102,544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Food and beverage revenues were relatively flat at $160.3 million for the three months ended September 30, 2015, compared to $160.5 million, for the same period of 2014. We experienced a decline of $6.3 million in food and beverage revenues from our Macau Operations, mainly from restaurants, offset by an increase of $6.1 million in food and beverage revenues from our Las Vegas Operations, which was driven by an increase in revenues at nightclubs and an increase in revenues from catering and banquets.</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Entertainment, retail and other decreased 13.8%, or $13.9 million, to $87.0 million for the three months ended September 30, 2015, from $100.9 million for the same period of 2014. The decrease is primarily due to a decline in revenue from retail shops at our Macau Operations.</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Promotional allowances decreased 14.7%, or $14.5 million, to $84.5 million for the three months ended September 30, 2015, from $99.0 million for the same period of 2014. As a percentage of total casino revenues, promotional allowances were 12.1% for the three months ended September 30, 2015, compared to 9.2% for the same period of 2014, as the decline in total complimentaries was less than the decline in total casino revenues.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Operating costs and expenses decreased 18.7%, or $193.9 million, to $843.5 million for the three months ended September 30, 2015, from $1,037.4 million for the same period of 2014, mainly from a decrease in casino expenses.</w:t>
      </w:r>
    </w:p>
    <w:p>
      <w:pPr>
        <w:spacing w:after="0" w:line="170"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Casino expenses decreased 31.2%, or $202.3 million, to $445.2 million for the three months ended September 30, 2015, from $647.5 million for the same period of 2014, primarily due to lower gaming taxes with a 39.0% gross win tax incurred at our Macau Operations. The decline in gaming taxes was commensurate with the 38.7% decrease in casino revenues at our Macau Operations.</w:t>
      </w:r>
    </w:p>
    <w:p>
      <w:pPr>
        <w:spacing w:after="0" w:line="18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Room expenses decreased 4.9%, or $1.9 million, to $37.3 million for the three months ended September 30, 2015, from $39.2 million for the same period of 2014. The decrease was primarily due to a reduction in linen and other room related expenses from our Las Vegas Operations.</w:t>
      </w:r>
    </w:p>
    <w:p>
      <w:pPr>
        <w:spacing w:after="0" w:line="14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Food and beverage expenses increased 10.9%, or $9.9 million, to $101.2 million for the three months ended September 30, 2015, from $91.2 million for the same period of 2014 due to an increase of $8.0 million from our Las Vegas Operations and $1.9 million from our Macau Operations. The increase from our Las Vegas Operations is primarily a result of higher costs in the current period for entertainment at our nightclubs.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and administrative expenses decreased 8.0%, or $10.2 million, to $116.6 million for the three months ended September 30, 2015, from $126.8 million in the same period of 2014, primarily attributable to a reduction in corporate related expenses and a reduction in bonus expense associated with annual performance awards.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Provision for doubtful accounts decreased $1.8 million to $2.9 million for the three months ended September 30, 2015, compared to $4.7 million for the same period of 2014.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Pre-opening costs were $19.5 million for the three months ended September 30, 2015, compared to $6.7 million for the same period of 2014 and were associated with the design and planning for our development projects. During the three months ended September 30, 2015, we incurred $13.7 million in development of Wynn Palace and $5.8 million in development of the Wynn resort in Massachusetts. Pre-opening costs in the three months ended September 30, 2014 related to Wynn Palace.</w:t>
      </w:r>
    </w:p>
    <w:p>
      <w:pPr>
        <w:spacing w:after="0" w:line="18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Depreciation and amortization increased 2.1%, or $1.6 million, to $80.6 million for the three months ended September 30, 2015, from $79.0 million for the same period of 2014. The increase is primarily due to additional depreciation associated with building improvements at our Macau Operations, including our new VIP gaming rooms. The increase was partially offset by a $1.8 million reduction in depreciation due to a change in the estimated useful lives of certain assets in Macau. Effective September 1, 2015, we changed our estimate of remaining useful lives of buildings and improvements for Wynn Macau to more accurately reflect the estimated periods during which these assets are expected to remain in service. For further information on the change in estimate, see Item 1—"Notes to Condensed Consolidated Financial Statements", Note 7 "Property and Equipment, net."</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8"/>
              </w:rPr>
              <w:t>Interest cost, including amortization of deferred financing costs and original issue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86,705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88,900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74,079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79,048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Capitalized interest increased $2.8 million to $12.6 million for the three months ended September 30, 2015, due to the ongoing borrowings and construction costs related to our development projects. Our interest cost decreased $2.2 million to $86.7 million for the three months ended September 30, 2015 due to financing activities in 2015 which lowered our weighted average interest rate. In February 2015, we issued $1.8 billion of 5 1/2% senior notes due 2025 and used the proceeds for the purchase of $305.8 million of 7 7/8% first mortgage notes due 2020 and $1,146.5 million of 7 3/4% first mortgage notes due 2020 pursuant to a cash tender offer. In May 2015, we redeemed the remaining $71.1 million principal amount of the untendered 7 7/8% first mortgage notes due 2020 and in August 2015 redeemed the remaining $80.1 million principal amount of the untendered 7 3/4% first mortgage notes due 2020.</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the three months ended September 30, 2015, we recognized a gain of $13.7 million from the change in fair value of the Redemption Note. No change was recognized in the same period of 2014. For further information on the fair value of the Redemption Note, see Item 1—"Notes to Condensed Consolidated Financial Statements", Note 2 "Summary of Significant Accounting Policies."</w:t>
      </w:r>
    </w:p>
    <w:p>
      <w:pPr>
        <w:spacing w:after="0" w:line="14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During the three months ended September 30, 2015, we recognized $6.0 million in loss on extinguishment of debt, compared to $3.6 million for the same period of 2014. In connection with the August 2015 redemption of the untendered 7 3/4% first mortgage notes due 2020, we incurred a loss of $3.9 million associated with the premium paid and write off of unamortized deferred financing costs. In addition, we incurred a loss of $2.1 million related to the write-off of unamortized deferred financing costs associated with the amendment of our Wynn Macau credit facilities. During the three months ended</w:t>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September 30, 2014, the loss was for the premium paid on first mortgage notes due 2020 through open market transactions and the write-off of related unamortized deferred financing costs and original issue discount.</w:t>
      </w:r>
    </w:p>
    <w:p>
      <w:pPr>
        <w:spacing w:after="0" w:line="13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incurred a loss of $1.3 million and a gain of $2.4 million for the three months ended September 30, 2015 and 2014, respectively, from the change in the fair value of our interest rate swaps. For further information on our interest rate swaps, see Item 3 — "Quantitative and Qualitative Disclosures about Market Risk."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was $1.5 million for the three months ended September 30, 2015, compared to $5.8 million for the three months ended September 30,</w:t>
      </w:r>
    </w:p>
    <w:p>
      <w:pPr>
        <w:spacing w:after="0" w:line="46"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2014. During 2015 and 2014,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three months ended September 30, 2015 and 2014, we recorded a tax benefit of $3.9 million and a tax expense of $4.9 million, respectively. Our income tax benefit in the current quarter is primarily related to a decrease in the domestic valuation allowance for U.S. foreign tax credits ("FTCs") that are expected to provide a U.S. tax benefit in future years. Our income tax expense in the prior year quarter is primarily related to an increase in the domestic valuation allowance for FTCs that are not expected to provide a U.S. tax benefit in future years.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Since June 30, 2010, we have no longer considered our portion of the tax earnings and profits of Wynn Macau, Limited to be permanently invested. We recorded deferred U.S. income taxes of $1.7 million with respect to amounts not considered permanently invested. We have not provided deferred U.S. income taxes or foreign withholding taxes on temporary differences as these amounts are permanently reinvested. For the three months ended September 30, 2015 and 2014, we recognized income tax benefits related to excess tax deductions associated with stock compensation costs of $0.3 million and $0.1 million, respectively.</w:t>
      </w:r>
    </w:p>
    <w:p>
      <w:pPr>
        <w:spacing w:after="0" w:line="13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Wynn Resorts (Macau) S.A. ("Wynn Macau SA") has received a 5-year exemption from Macau's Complementary Tax on casino gaming profits through December 31, 2015. In October 2015, Wynn Macau SA received an additional 5-year exemption, effective January 1, 2016, from Macau's Complementary Tax on casino gaming profits through December 31, 2020. During the three months ended September 30, 2015 and 2014, we were exempt from the payment of $8.7 million and $25.8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04"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December 2014, we received notification that for the 2015 tax year we had been accepted for the Compliance Maintenance phase of the Internal Revenue Service ("IRS") Compliance Assurance Program ("CAP"). The CAP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Net income attributable to noncontrolling interest was $17.2 million for the three months ended September 30, 2015, compared to $61.6 million for the three months ended September 30, 2014. These amounts represent the noncontrolling interest's share of net income from Wynn Macau, Limited.</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2015 compared to the nine months ended September 30,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1,907,425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3,035,588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1,221,556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1,260,098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3,128,981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4,295,686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Net revenues decreased 27.2%, or $1,166.7 million, to $3,129.0 million for the nine months ended September 30, 2015, from $4,295.7 million for the same period in 2014. The decline is primarily due to a $1,081.4 million decrease in casino revenues from our Macau Operations.</w:t>
      </w:r>
    </w:p>
    <w:p>
      <w:pPr>
        <w:spacing w:after="0" w:line="14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2,240,321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3,389,557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888,660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906,129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3,128,981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4,295,686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Casino revenues were 71.6% of total net revenues for the nine months ended September 30, 2015, compared to 78.9% for the same period of 2014, while non-casino revenues were 28.4% of total net revenues, compared to 21.1% for the same period of 2014.</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Casino revenues decreased 33.9%, or $1,149.2 million, to $2,240.3 million for the nine months ended September 30, 2015, from $3,389.6 million in the same period of 2014. The decline is primarily due to our Macau Operations, which experienced a year-over-year decrease in casino revenues of 37.6% from $2,873.1 million to $1,791.7 million. Our VIP gaming operations drove the Macau Operations casino revenue reduction, with $44.9 billion in VIP turnover for the nine months ended September 30, 2015, compared to $87.4 billion for the same period of 2014. In addition, our mass market gaming operations contributed to the decline in casino revenues from our Macau Operations with a 12.3% decrease in table drop combined with a reduction in table games win percentage of 2.7 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1,791,704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2,873,121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(1,081,417)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44,883,114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87,424,152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(42,541,038)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1,320,650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2,472,149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3,672,269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4,186,688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(514,419)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722,877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938,976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2,891,818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4,292,617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(1,400,799)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448,617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516,436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1,574,537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1,917,424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351,647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470,720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(119,073)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2,238,594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2,238,798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154,041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139,078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14,963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Non-casino revenues decreased 1.9%, or $17.5 million, to $888.7 million for the nine months ended September 30, 2015, from $906.1 million for the same period of 2014, driven by a reduction from our Macau Operations primarily offset by an increase from our Las Vegas Operations.</w:t>
      </w:r>
    </w:p>
    <w:p>
      <w:pPr>
        <w:spacing w:after="0" w:line="147"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Room revenues decreased 2.0%, or $8.1 million, to $405.4 million for the nine months ended September 30, 2015, from $413.6 million in the same period of 2014. Our Macau Operations accounted for $5.9 million of the decrease, while our Las Vegas Operations accounted for $2.3 million of the decrease.</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360" w:type="dxa"/>
            <w:vAlign w:val="bottom"/>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Percent Change (a)</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94,167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100,038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311,260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313,527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6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jc w:val="center"/>
        <w:spacing w:after="0"/>
        <w:tabs>
          <w:tab w:leader="none" w:pos="1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Except occupancy, which is presented as a percentage point change.</w:t>
      </w:r>
    </w:p>
    <w:p>
      <w:pPr>
        <w:spacing w:after="0" w:line="2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Food and beverage revenues were relatively flat with $477.3 million for the nine months ended September 30, 2015, compared to $476.7 million for the same period of 2014. We experienced an increase in revenues from our Las Vegas Operations of $18.5 million, primarily from our nightclubs, offset by a decrease in revenues from our Macau Operations of $17.9 million, mainly from our restaurants.</w:t>
      </w:r>
    </w:p>
    <w:p>
      <w:pPr>
        <w:spacing w:after="0" w:line="181"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Entertainment, retail and other decreased 13.6%, or $41.6 million, to $264.8 million for the nine months ended September 30, 2015, from $306.4 million for the same period of 2014. The decrease is primarily due to a decline in revenue from retail shops at our Macau Operations.</w:t>
      </w:r>
    </w:p>
    <w:p>
      <w:pPr>
        <w:spacing w:after="0" w:line="14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Promotional allowances decreased 10.9%, or $31.6 million, to $258.9 million for the nine months ended September 30, 2015, from $290.5 million for the same period of 2014. As a percentage of total casino revenues, promotional allowances were 11.6% for the nine months ended September 30, 2015, compared to 8.6% for the same period of 2014, as the decline in total complimentaries was less than the decline in total casino revenues.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Operating costs and expenses decreased 19.2%, or $622.9 million, to $2,622.0 million for the nine months ended September 30, 2015, from $3,244.9 million for the same period of 2014, mainly from a decrease in casino expenses.</w:t>
      </w:r>
    </w:p>
    <w:p>
      <w:pPr>
        <w:spacing w:after="0" w:line="17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Casino expenses decreased 32.0%, or $676.7 million, to $1,435.8 million for the nine months ended September 30, 2015, from $2,112.4 million for the same period of 2014, primarily due to lower gaming taxes with a 39.0% gross win tax incurred at our Macau Operations. The decline in gaming taxes was commensurate with the 37.6% decrease in casino revenues at our Macau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Room expenses were relatively flat for the nine months ended September 30, 2015 compared to the same period of 2014.</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Food and beverage expenses increased 8.1%, or $21.7 million, to $288.5 million for the nine months ended September 30, 2015, from $266.9 million for the same period of 2014, due to an increase of $19.6 million from our Las Vegas Operations and $2.1 million from our Macau Operations. The increase from our Las Vegas Operations is primarily a result of higher costs in the current period for entertainment at our nightclubs.</w:t>
      </w:r>
    </w:p>
    <w:p>
      <w:pPr>
        <w:spacing w:after="0" w:line="16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Entertainment, retail and other expenses decreased 5.2%, or $6.5 million to $118.6 million for the nine months ended September 30, 2015, from $125.0 million in the same period of 2014. The decrease is primarily attributable to the reduction in merchandise cost at our Macau Operations associated with the decline in retail shop revenues, partially offset by an increase from our Las Vegas Operations due to costs associated with Steve Wynn's ShowStoppers, which opened in December 2014.</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General and administrative expenses decreased 3.8%, or $14.1 million, to $352.5 million for the nine months ended September 30, 2015, from $366.6 million in the same period of 2014, primarily attributable to decrease in corporate related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Provision for doubtful accounts increased $14.0 million from a benefit of $0.7 million for nine months ended September 30, 2014 to a provision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$13.3 million for the same period of 2015. The change in the provision was primarily due to the impact of historical collection patterns and current collection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trends, as well as specific review of customer accounts, on our estimated allowance for the respective periods.</w:t>
      </w:r>
    </w:p>
    <w:p>
      <w:pPr>
        <w:spacing w:after="0" w:line="21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Pre-opening costs were $52.4 million for the nine months ended September 30, 2015, compared to $14.8 million for the same period of 2014 and were associated with the design and planning for our development projects. During the nine months ended September 30, 2015, we incurred $34.2 million in development of Wynn Palace and $18.2 million in development of the Wynn resort in Massachusetts. Pre-opening costs in the nine months ended September 30, 2014 related to Wynn Palace.</w:t>
      </w:r>
    </w:p>
    <w:p>
      <w:pPr>
        <w:spacing w:after="0" w:line="18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Depreciation and amortization increased 4.9%, or $11.4 million, to $245.4 million for the nine months ended September 30, 2015, from $234.0 million for the same period of 2014. The increase is primarily due to additional depreciation associated with building improvements at our Macau Operations, including our new VIP gaming rooms. The increase was partially offset by a $1.8 million reduction in depreciation due to a change in the estimated useful lives of certain assets in Macau. As discussed above, we changed our estimate of remaining useful lives of buildings and improvements for Wynn Macau effective September 1, 2015.</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8"/>
              </w:rPr>
              <w:t>Interest cost, including amortization of deferred financing costs and original issue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262,536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259,228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227,298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236,069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Capitalized interest increased $12.1 million to $35.2 million for the nine months ended September 30, 2015, due to the ongoing borrowings and construction costs related to our development projects. Our interest cost increased $3.3 million to $262.5 million for the nine months ended September 30, 2015 due to an increase in our long term debt. In February 2015, we issued $1.8 billion of 5 1/2% senior notes due 2025 and used the proceeds for the purchase of $305.8 million of 7 7/8% first mortgage notes due 2020 and $1,146.5 million of 7 3/4% first mortgage notes due 2020 pursuant to a cash tender offer. In May 2015, we redeemed $71.1 million of the untendered 7 7/8% first mortgage notes due 2020 and in August 2015 redeemed $80.1 million of the untendered 7 3/4% first mortgage notes due 2020. In March 2014, we issued $750 million of 5 1/4% senior notes due 2021. As a result of these financing activities, our weighted average interest rate was lower for the nine months ended September 30, 2015 compared to the same period of 2014.</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During the nine months ended September 30, 2015, we recognized a gain of $13.7 million from the change in fair value of the Redemption Note. No change was recognized in the same period of 2014. For further information on the fair value of the Redemption Note, see Item 1—"Notes to Condensed Consolidated Financial Statements", Note 2 "Summary of Significant Accounting Policies."</w:t>
      </w:r>
    </w:p>
    <w:p>
      <w:pPr>
        <w:spacing w:after="0" w:line="141"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During the nine months ended September 30, 2015, we recognized $126.0 million in loss on extinguishment of debt, compared to $7.4 million for the same period of 2014. During 2015, in connection with the cash tender offer and subsequent redemption of untendered 7 7/8% first mortgage notes due 2020 and 7 3/4% first mortgage notes due 2020, we incurred a loss of $124.0 million associated with the premium paid and the write-off of unamortized deferred financing costs and original issue discount. In addition, we incurred a loss of $2.1 million related to the write-off of unamortized deferred financing costs associated with the amendment of our Wynn Macau credit facilities. During the nine months ended September 30, 2014, the</w:t>
      </w: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loss was for the premium paid on first mortgage notes due 2020 through open market transactions and the write-off of related unamortized deferred financing costs and original issue discount.</w:t>
      </w:r>
    </w:p>
    <w:p>
      <w:pPr>
        <w:spacing w:after="0" w:line="13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incurred a loss of $7.0 million and $1.5 million for the nine months ended September 30, 2015 and 2014, respectively, from the change in the fair value of our interest rate swaps. For further information on our interest rate swaps, see Item 3 — "Quantitative and Qualitative Disclosures about Market Risk."</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Interest income was $4.7 million for the nine months ended September 30, 2015, compared to $16.1 million for the same period in 2014. During 2015 and 2014, our short-term investment strategy has been to preserve capital while retaining sufficient liquidity. The majority of our investment securities were in time deposits,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For the nine months ended September 30, 2015 and 2014, we recorded a tax expense of $12.6 million and $8.3 million, respectively. Our income tax expense is primarily related to an increase in the domestic valuation allowance for U.S. FTCs that are not expected to provide a U.S. tax benefit in future years.</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Since June 30, 2010, we have no longer considered our portion of the tax earnings and profits of Wynn Macau, Limited to be permanently invested. We recorded deferred U.S. income taxes of $1.7 million with respect to amounts not considered permanently invested. We have not provided deferred U.S. income taxes or foreign withholding taxes on temporary differences as these amounts are permanently reinvested. For the nine months ended September 30, 2015 and 2014, we recognized income tax benefits related to excess tax deductions associated with stock compensation costs of $0.7 million and $6.6 million, respectively.</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Wynn Macau SA has received a 5-year exemption from Macau's Complementary Tax on casino gaming profits through December 31, 2015. In October 2015, Wynn Macau SA received an additional 5-year exemption, effective January 1, 2016, from Macau's Complementary Tax on casino gaming profits through December 31, 2020. During the nine months ended September 30, 2015 and 2014, we were exempt from the payment of $32.6 million and $80.4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19"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MOP 15.5 million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through December 31, 2020.</w:t>
      </w:r>
    </w:p>
    <w:p>
      <w:pPr>
        <w:spacing w:after="0" w:line="13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December 2014, we received notification that for the 2015 tax year we had been accepted for the Compliance Maintenance phase of the IRS CAP. The CAP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3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June 2015, the Financial Services Bureau commenced an examination of the 2012 Macau income tax return of Wynn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Net income attributable to noncontrolling interest was $68.7 million for the nine months ended September 30, 2015, compared to $192.2 million for the nine months ended September 30, 2014. These amounts represent the noncontrolling interest's share of net income from Wynn Macau, Limited.</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16 "Segment Information." That footnote also presents a reconciliation of Adjusted Property EBITDA to net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548,555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1,016,858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2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117,069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133,250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349,783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403,962</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279,891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458,779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898,338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1,420,820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Adjusted Property EBITDA at our Macau Operations decreased year-over-year by 50.0% and 46.1% for the three and nine months ended September 30, 2015, respectively, primarily due to the decline in casino revenues.</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Adjusted Property EBITDA at our Las Vegas Operations decreased year-over-year by 12.1% and 13.4% for the three and nine months ended September 30, 2015, respectively, primarily due to the decline in casino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Net cash provided by operations for the nine months ended September 30, 2015 was $345.5 million, compared to $974.1 million for the nine months ended September 30, 2014. The reduction was primarily due to lower operating income that was driven by stronger operating results in the prior year and from the change in ordinary working capital accounts.</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Net cash used in investing activities for the nine months ended September 30, 2015 was $1,425.9 million, compared to $565.5 million for the same period in 2014. Capital expenditures, net of construction payables and retention, were $1,331.7 million and $707.1 million for the nine months ended September 30, 2015 and 2014, respectively, primarily associated with Wynn Palace construction. Net cash used in investing activities for the nine months ended September 30, 2014 was partially offset by proceeds of $199.9 million provided from restricted cash that we applied to repayment of certain Wynn Palace related construction and development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Net cash provided by financing activities for the nine months ended September 30, 2015 was $798.1 million, compared to $48.9 million for the nine months ended September 30, 2014. During the nine months ended September 30, 2015, we amended our Wynn Macau credit facilities and received proceeds of $2.3 billion from our fully funded senior secured term loan facility. These proceeds were used to repay $953.3 million in outstanding borrowings under the senior secured term loan facility dated July 30, 2012 and $815.8 million in outstanding borrowings under the senior secured revolving credit facility dated July 30, 2012. We also issued $1.8 billion of 5 1/2% senior notes due 2025 and used the proceeds for the purchase of $1.6 billion of our first mortgage notes due in 2020. Net cash provided by financing activities for the nine months September 30, 2014 were primarily attributable to proceeds of $825.5 million from the issuance of senior notes, partially offset by the payment of dividends of $690.4 million and open market purchases of $68.4 million in principal of first mortgage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of September 30, 2015, we had approximately $1,900.2 million of cash and cash equivalents and $247.9 million of available-for-sale investments in domestic debt securities and commercial paper. Cash and cash equivalents include cash on hand,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(of which we own 72%) and its subsidiaries held $765.4 million in cash. If our portion of this cash was repatriated to the U.S. on September 30, 2015, it would not be subject to U.S. tax in the year of repatriation. Wynn Resorts, Limited (including its subsidiaries other than Wynn Las Vegas and Wynn Macau), which is not a guarantor of the debt of its subsidiaries, held $1,084.0 million and $247.9 million of cash and available-for-sale investments, respectively. Wynn Las Vegas, LLC held cash balances of $50.8 million.</w:t>
      </w:r>
    </w:p>
    <w:p>
      <w:pPr>
        <w:spacing w:after="0" w:line="17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expect that our future cash needs will relate primarily to the funding of our development projects, debt service and retirement, general corporate purposes and enhancements to our operating resorts. We intend to primarily fund our development projects with operating cash flow and the available borrowing capacity under our bank credit facilities.</w:t>
      </w:r>
    </w:p>
    <w:p>
      <w:pPr>
        <w:spacing w:after="0" w:line="18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On September 30, 2015, we amended our Wynn Macau credit facilities (“Amended Wynn Macau Credit Facilities”) to, among other things, increase borrowing capacity and extend maturity dates. Borrowings under the Amended Wynn Macau Credit Facilities consist of both United States dollar and Hong Kong dollar tranches and will be used to refinance Wynn Macau SA's existing indebtedness, to fund the construction and development of Wynn Palace and for general corporate purposes. The Amended Wynn Macau Credit Facilities include an approximately $2.3 billion equivalent fully funded senior secured term loan facility and an approximately $750 million equivalent senior secured revolving credit facility. As of September 30, 2015, the Company had $750 million of available borrowing capacity under the senior secured revolving credit facility.</w:t>
      </w:r>
    </w:p>
    <w:p>
      <w:pPr>
        <w:spacing w:after="0" w:line="17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Company's Wynn America credit facilities include a $375 million senior secured revolving credit facility and an $875 million delay draw senior secured term loan facility entered into by Wynn America, LLC in November 2014 (together, the "Wynn America Credit Facilities"). Borrowings under the Wynn America Credit Facilities will be used to fund the design, development, construction and pre-opening expenses of the Wynn resort in Massachusetts and for other general corporate purposes. As of September 30, 2015, there were no amounts drawn under the Wynn America Credit Facilities; however, there were outstanding letters of credit totaling $10.0 million reducing the available borrowing capacity to $1.24 billion.</w:t>
      </w:r>
    </w:p>
    <w:p>
      <w:pPr>
        <w:spacing w:after="0" w:line="173"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We expect to meet our current debt maturities and planned capital expenditure requirements with future anticipated cash flow from operations, availability under our bank credit facilities and our existing cash balances.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2" w:right="27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September 30, 2015, we had outstanding letters of credit totaling $10.0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nine months ended September 30, 2015 to our contractual obligations or off balance sheet arrangements as disclosed in our Annual Report on Form 10-K for the year ended December 31, 2014,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4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Wynn Macau, Limited's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6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2014. There have been no significant changes in our critical policies and estimates since year end, except as discussed below.</w:t>
      </w:r>
    </w:p>
    <w:p>
      <w:pPr>
        <w:spacing w:after="0" w:line="1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review remaining estimated useful lives of our property and equipment on an ongoing basis. In our review of estimated useful lives of buildings and improvements for Wynn Macau, we consider factors such as liberalization of the gaming industry in Macau, market expansion and actions taken by the Macau government regarding concession renewals. This review indicated that our estimated useful lives of buildings and improvements extend beyond the current expiration of the gaming concession in June 2022 and land concession in August 2029. As a result effective September 1, 2015, we have changed our estimate of remaining useful lives of Wynn Macau assets to better reflect the estimated periods during which these assets are expected to remain in service.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2014 and other factors we describe from time to time in our periodic filings with the Securities and Exchange Commission ("SEC"), such as:</w:t>
      </w:r>
    </w:p>
    <w:p>
      <w:pPr>
        <w:spacing w:after="0" w:line="187"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960" w:right="22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political and economic conditions, particularly in China, which may impact levels of travel, leisure and consumer spending;</w:t>
      </w:r>
    </w:p>
    <w:p>
      <w:pPr>
        <w:ind w:left="1960" w:right="2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and gaming policies, unexpected cost increases, environmental regulation and our ability to secure federal, state and local permits and approvals necessary for our construction projects);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960" w:right="64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960" w:right="54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gaming laws or regulations (including stricter smoking regulations in Macau);</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960" w:right="10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Income, as the swaps do not qualify for hedge accounting.</w:t>
      </w:r>
    </w:p>
    <w:p>
      <w:pPr>
        <w:spacing w:after="0" w:line="18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Facility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0.68% on notional amounts corresponding to borrowings of $243.8 million incurred under the Wynn Macau Senior Term Loan Facility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September 30, 2015 and December 31, 2014, the interest rate swaps were recorded as a liability of $1.1 million in other long term liabilities and as an asset of $5.9 million in deposits and other assets,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As of September 30, 2015, approximately 82% of our long-term debt was based on fixed rates, including the notional amounts related to interest rate swaps. Based on our borrowings as of September 30, 2015, an assumed 100 basis point change in the variable rates would cause our annual interest cost to change by $15.5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The amount of our cash balances that are denominated in foreign currencies, primarily the Hong Kong dollar, can change significantly, representing approximately 24% of our September 30, 2015 cash balances. Based on our balances at September 30, 2015, an assumed 1% change in the dollar/Hong Kong dollar exchange rate would cause a foreign currency transaction gain/loss of approximately $22.7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81"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Macau Commission Against Corruption of Macau ("CCAC") requesting certain information related to its land in the Cotai area of Macau. Wynn Macau SA is cooperating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2014. There were no material changes to those risk factors during the nine months ended September 30, 2015.</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2015,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122" w:right="37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Wynn America Credit Facilities</w:t>
      </w:r>
    </w:p>
    <w:p>
      <w:pPr>
        <w:spacing w:after="0" w:line="225" w:lineRule="exact"/>
        <w:rPr>
          <w:sz w:val="20"/>
          <w:szCs w:val="20"/>
          <w:color w:val="auto"/>
        </w:rPr>
      </w:pPr>
    </w:p>
    <w:p>
      <w:pPr>
        <w:ind w:firstLine="720"/>
        <w:spacing w:after="0" w:line="273" w:lineRule="auto"/>
        <w:rPr>
          <w:sz w:val="20"/>
          <w:szCs w:val="20"/>
          <w:color w:val="auto"/>
        </w:rPr>
      </w:pPr>
      <w:r>
        <w:rPr>
          <w:rFonts w:ascii="Arial" w:cs="Arial" w:eastAsia="Arial" w:hAnsi="Arial"/>
          <w:sz w:val="17"/>
          <w:szCs w:val="17"/>
          <w:color w:val="auto"/>
        </w:rPr>
        <w:t>On November 5, 2015, Wynn America, certain subsidiaries of Wynn America, Deutsche Bank AG New York Branch, as administrative agent and collateral agent, and certain “Consenting Lenders” (as defined in the amendment) amended the Wynn America Credit Facilities to extend the available borrowing period from November 20, 2015 to March 30, 2016 and June 30, 2016 for up to $100.3 million and $704.7 million, respectively, of the delay draw senior secured term facility. The available borrowing period for $70.0 million of the delay draw senior secured term facility was not extended. Wynn America paid customary fees and expenses in connection with the amendment. The foregoing description of the amendment is qualified in its entirety by the full text of the amendment filed as Exhibit 10.4 hereto and incorporated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Company’s Bylaws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November 2, 2015, the Company amended and restated its bylaws (“Bylaws”) to provide that the chairman of any meeting of stockholders may adjourn or recess such meeting for any or no reason and to address other procedural aspects regarding the conduct of business at meetings of stockholders. In addition, the Bylaws were amended to provide that the lead independent director has the authority to call a special meeting of the Board of Directors. The foregoing description of the Bylaws is qualified in its entirety by the full text of the Bylaws filed as Exhibit 3.2 hereto and incorporated by reference.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2" w:right="27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100" w:hanging="400"/>
        <w:spacing w:after="0" w:line="277" w:lineRule="auto"/>
        <w:tabs>
          <w:tab w:leader="none" w:pos="1060" w:val="left"/>
        </w:tabs>
        <w:rPr>
          <w:sz w:val="20"/>
          <w:szCs w:val="20"/>
          <w:color w:val="auto"/>
        </w:rPr>
      </w:pPr>
      <w:r>
        <w:rPr>
          <w:rFonts w:ascii="Arial" w:cs="Arial" w:eastAsia="Arial" w:hAnsi="Arial"/>
          <w:sz w:val="18"/>
          <w:szCs w:val="18"/>
          <w:color w:val="auto"/>
        </w:rPr>
        <w:t>3.1</w:t>
        <w:tab/>
        <w:t>Third Amended and Restated Articles of Incorporation of the Registrant. (Incorporated by reference from the Quarterly Report on Form 10-Q filed by the Registrant on May 8, 2015.)</w:t>
      </w:r>
    </w:p>
    <w:p>
      <w:pPr>
        <w:spacing w:after="0" w:line="8" w:lineRule="exact"/>
        <w:rPr>
          <w:sz w:val="20"/>
          <w:szCs w:val="20"/>
          <w:color w:val="auto"/>
        </w:rPr>
      </w:pPr>
    </w:p>
    <w:p>
      <w:pPr>
        <w:ind w:left="58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Eighth Amended and Restated Bylaws of the Registrant.</w:t>
      </w:r>
    </w:p>
    <w:p>
      <w:pPr>
        <w:spacing w:after="0" w:line="63" w:lineRule="exact"/>
        <w:rPr>
          <w:sz w:val="20"/>
          <w:szCs w:val="20"/>
          <w:color w:val="auto"/>
        </w:rPr>
      </w:pPr>
    </w:p>
    <w:p>
      <w:pPr>
        <w:ind w:left="1080" w:hanging="580"/>
        <w:spacing w:after="0" w:line="257" w:lineRule="auto"/>
        <w:tabs>
          <w:tab w:leader="none" w:pos="1060" w:val="left"/>
        </w:tabs>
        <w:rPr>
          <w:sz w:val="20"/>
          <w:szCs w:val="20"/>
          <w:color w:val="auto"/>
        </w:rPr>
      </w:pPr>
      <w:r>
        <w:rPr>
          <w:rFonts w:ascii="Arial" w:cs="Arial" w:eastAsia="Arial" w:hAnsi="Arial"/>
          <w:sz w:val="18"/>
          <w:szCs w:val="18"/>
          <w:color w:val="auto"/>
        </w:rPr>
        <w:t>*10.1</w:t>
        <w:tab/>
        <w:t>Common Terms Agreement Fifth Amendment Agreement, dated September 30, 2015, between, among others, Wynn Resorts (Macau) S.A. as the Company, Certain Financial Institutions as Term Facility Lenders, Revolving Credit Facility Lenders, Additional Lenders and Hedging Counterparties, Standard Chartered Bank (Hong Kong) Limited and the Royal Bank of Scotland Plc, Singapore Branch, as Outgoing Global Coordinating Lead Arrangers and Bank of China Limited, Macau Branch, as Term Facility Agent, Revolving Credit Facility Agent, Additional Facility Agent, Intercreditor Agent and Security Agent.</w:t>
      </w:r>
    </w:p>
    <w:p>
      <w:pPr>
        <w:spacing w:after="0" w:line="26" w:lineRule="exact"/>
        <w:rPr>
          <w:sz w:val="20"/>
          <w:szCs w:val="20"/>
          <w:color w:val="auto"/>
        </w:rPr>
      </w:pPr>
    </w:p>
    <w:p>
      <w:pPr>
        <w:ind w:left="1080" w:right="120" w:hanging="580"/>
        <w:spacing w:after="0" w:line="277" w:lineRule="auto"/>
        <w:tabs>
          <w:tab w:leader="none" w:pos="1060" w:val="left"/>
        </w:tabs>
        <w:rPr>
          <w:sz w:val="20"/>
          <w:szCs w:val="20"/>
          <w:color w:val="auto"/>
        </w:rPr>
      </w:pPr>
      <w:r>
        <w:rPr>
          <w:rFonts w:ascii="Arial" w:cs="Arial" w:eastAsia="Arial" w:hAnsi="Arial"/>
          <w:sz w:val="18"/>
          <w:szCs w:val="18"/>
          <w:color w:val="auto"/>
        </w:rPr>
        <w:t>*10.2</w:t>
        <w:tab/>
        <w:t>Term Facility Agreement Fourth Amendment Agreement, dated September 30, 2015, among Wynn Resorts (Macau), S.A. and Bank of China Limited Macau Branch as Term Facility Agent and Term Facility Lender.</w:t>
      </w:r>
    </w:p>
    <w:p>
      <w:pPr>
        <w:spacing w:after="0" w:line="8" w:lineRule="exact"/>
        <w:rPr>
          <w:sz w:val="20"/>
          <w:szCs w:val="20"/>
          <w:color w:val="auto"/>
        </w:rPr>
      </w:pPr>
    </w:p>
    <w:p>
      <w:pPr>
        <w:ind w:left="1080" w:right="240" w:hanging="580"/>
        <w:spacing w:after="0" w:line="277" w:lineRule="auto"/>
        <w:tabs>
          <w:tab w:leader="none" w:pos="1060" w:val="left"/>
        </w:tabs>
        <w:rPr>
          <w:sz w:val="20"/>
          <w:szCs w:val="20"/>
          <w:color w:val="auto"/>
        </w:rPr>
      </w:pPr>
      <w:r>
        <w:rPr>
          <w:rFonts w:ascii="Arial" w:cs="Arial" w:eastAsia="Arial" w:hAnsi="Arial"/>
          <w:sz w:val="18"/>
          <w:szCs w:val="18"/>
          <w:color w:val="auto"/>
        </w:rPr>
        <w:t>*10.3</w:t>
        <w:tab/>
        <w:t>Revolving Credit Facility Agreement Amendment Agreement, dated September 30, 2015, among Wynn Resorts (Macau), S.A. and Bank of China Limited Macau Branch as Revolving Credit Facility Agent and Revolving Credit Facility Lender.</w:t>
      </w:r>
    </w:p>
    <w:p>
      <w:pPr>
        <w:spacing w:after="0" w:line="8" w:lineRule="exact"/>
        <w:rPr>
          <w:sz w:val="20"/>
          <w:szCs w:val="20"/>
          <w:color w:val="auto"/>
        </w:rPr>
      </w:pPr>
    </w:p>
    <w:p>
      <w:pPr>
        <w:jc w:val="both"/>
        <w:ind w:left="1080" w:right="20" w:hanging="580"/>
        <w:spacing w:after="0" w:line="286"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First Amendment to Credit Agreement, dated as of November 5, 2015, by and among Wynn America, LLC, as borrower, the Guarantors listed therein, Deutsche Bank AG New York Branch, as administrative agent on behalf of the several banks and other financial institutions or entities from time to time party to Wynn America, LLC's Credit Agreement, dated as of November 20, 2014.</w:t>
      </w:r>
    </w:p>
    <w:p>
      <w:pPr>
        <w:spacing w:after="0" w:line="3" w:lineRule="exact"/>
        <w:rPr>
          <w:sz w:val="20"/>
          <w:szCs w:val="20"/>
          <w:color w:val="auto"/>
        </w:rPr>
      </w:pPr>
    </w:p>
    <w:p>
      <w:pPr>
        <w:ind w:left="1080" w:right="3640" w:hanging="580"/>
        <w:spacing w:after="0" w:line="277" w:lineRule="auto"/>
        <w:tabs>
          <w:tab w:leader="none" w:pos="1060" w:val="left"/>
        </w:tabs>
        <w:rPr>
          <w:sz w:val="20"/>
          <w:szCs w:val="20"/>
          <w:color w:val="auto"/>
        </w:rPr>
      </w:pPr>
      <w:r>
        <w:rPr>
          <w:rFonts w:ascii="Arial" w:cs="Arial" w:eastAsia="Arial" w:hAnsi="Arial"/>
          <w:sz w:val="18"/>
          <w:szCs w:val="18"/>
          <w:color w:val="auto"/>
        </w:rPr>
        <w:t>*31.1</w:t>
        <w:tab/>
        <w:t>Certification of Chief Executive Officer of Periodic Report Pursuant to Rule 13a – 14(a) and Rule 15d – 14(a).</w:t>
      </w:r>
    </w:p>
    <w:p>
      <w:pPr>
        <w:spacing w:after="0" w:line="8" w:lineRule="exact"/>
        <w:rPr>
          <w:sz w:val="20"/>
          <w:szCs w:val="20"/>
          <w:color w:val="auto"/>
        </w:rPr>
      </w:pPr>
    </w:p>
    <w:p>
      <w:pPr>
        <w:ind w:left="1080" w:right="370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quarter ended September 30, 2015, filed with the SEC on November 6, 2015 formatted in Extensible Business Reporting Language (XBRL): (i) the Condensed Consolidated Balance Sheets at September 30, 2015 and December 31, 2014, (ii) the Condensed Consolidated Statements of Income for the three and nine months ended September 30, 2015 and 2014, (iii) the Condensed Consolidated Statements of Comprehensive Income for the three and nine months ended September 30, 2015 and 2014, (iv) the Condensed Consolidated Statements of Cash Flows for the nine months ended September 30, 2015 and 2014, (v) the Condensed Consolidated Statement of Stockholders' Equity (Deficit) at September 30, 2015 and (vi) Notes to Condensed Consolidated Financial Statements.</w:t>
      </w:r>
    </w:p>
    <w:p>
      <w:pPr>
        <w:spacing w:after="0" w:line="2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2" w:right="27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80"/>
          </w:cols>
          <w:pgMar w:left="240" w:top="122" w:right="87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20" w:right="219" w:firstLine="1043"/>
        <w:spacing w:after="0" w:line="362" w:lineRule="auto"/>
        <w:rPr>
          <w:sz w:val="20"/>
          <w:szCs w:val="20"/>
          <w:color w:val="auto"/>
        </w:rPr>
      </w:pPr>
      <w:r>
        <w:rPr>
          <w:rFonts w:ascii="Arial" w:cs="Arial" w:eastAsia="Arial" w:hAnsi="Arial"/>
          <w:sz w:val="21"/>
          <w:szCs w:val="21"/>
          <w:b w:val="1"/>
          <w:bCs w:val="1"/>
          <w:color w:val="auto"/>
        </w:rPr>
        <w:t>WYNN RESORTS, LIMITED A NEVADA CORPORATION EIGHTH AMENDED AND RESTATED BYLAWS EFFECTIVE AS OF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NOVEMBER 2, 2015</w:t>
      </w:r>
    </w:p>
    <w:p>
      <w:pPr>
        <w:sectPr>
          <w:pgSz w:w="11900" w:h="16838" w:orient="portrait"/>
          <w:cols w:equalWidth="0" w:num="1">
            <w:col w:w="9019"/>
          </w:cols>
          <w:pgMar w:left="1440" w:top="144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8080" w:type="dxa"/>
            <w:vAlign w:val="bottom"/>
          </w:tcPr>
          <w:p>
            <w:pPr>
              <w:ind w:left="3160"/>
              <w:spacing w:after="0"/>
              <w:rPr>
                <w:sz w:val="20"/>
                <w:szCs w:val="20"/>
                <w:color w:val="auto"/>
              </w:rPr>
            </w:pPr>
            <w:r>
              <w:rPr>
                <w:rFonts w:ascii="Arial" w:cs="Arial" w:eastAsia="Arial" w:hAnsi="Arial"/>
                <w:sz w:val="20"/>
                <w:szCs w:val="20"/>
                <w:color w:val="auto"/>
              </w:rPr>
              <w:t>TABLE OF CONTENTS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14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608"/>
        </w:trPr>
        <w:tc>
          <w:tcPr>
            <w:tcW w:w="1420" w:type="dxa"/>
            <w:vAlign w:val="bottom"/>
          </w:tcPr>
          <w:p>
            <w:pPr>
              <w:spacing w:after="0"/>
              <w:rPr>
                <w:sz w:val="20"/>
                <w:szCs w:val="20"/>
                <w:color w:val="auto"/>
              </w:rPr>
            </w:pPr>
            <w:r>
              <w:rPr>
                <w:rFonts w:ascii="Arial" w:cs="Arial" w:eastAsia="Arial" w:hAnsi="Arial"/>
                <w:sz w:val="20"/>
                <w:szCs w:val="20"/>
                <w:color w:val="auto"/>
              </w:rPr>
              <w:t>ARTICLE I</w:t>
            </w:r>
          </w:p>
        </w:tc>
        <w:tc>
          <w:tcPr>
            <w:tcW w:w="8080" w:type="dxa"/>
            <w:vAlign w:val="bottom"/>
          </w:tcPr>
          <w:p>
            <w:pPr>
              <w:ind w:left="160"/>
              <w:spacing w:after="0"/>
              <w:rPr>
                <w:sz w:val="20"/>
                <w:szCs w:val="20"/>
                <w:color w:val="auto"/>
              </w:rPr>
            </w:pPr>
            <w:r>
              <w:rPr>
                <w:rFonts w:ascii="Arial" w:cs="Arial" w:eastAsia="Arial" w:hAnsi="Arial"/>
                <w:sz w:val="20"/>
                <w:szCs w:val="20"/>
                <w:color w:val="auto"/>
              </w:rPr>
              <w:t>OFFICES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1420" w:type="dxa"/>
            <w:vAlign w:val="bottom"/>
          </w:tcPr>
          <w:p>
            <w:pPr>
              <w:jc w:val="center"/>
              <w:spacing w:after="0"/>
              <w:rPr>
                <w:sz w:val="20"/>
                <w:szCs w:val="20"/>
                <w:color w:val="auto"/>
              </w:rPr>
            </w:pPr>
            <w:r>
              <w:rPr>
                <w:rFonts w:ascii="Arial" w:cs="Arial" w:eastAsia="Arial" w:hAnsi="Arial"/>
                <w:sz w:val="20"/>
                <w:szCs w:val="20"/>
                <w:color w:val="auto"/>
                <w:w w:val="93"/>
              </w:rPr>
              <w:t>1.1</w:t>
            </w:r>
          </w:p>
        </w:tc>
        <w:tc>
          <w:tcPr>
            <w:tcW w:w="8080" w:type="dxa"/>
            <w:vAlign w:val="bottom"/>
          </w:tcPr>
          <w:p>
            <w:pPr>
              <w:ind w:left="160"/>
              <w:spacing w:after="0"/>
              <w:rPr>
                <w:sz w:val="20"/>
                <w:szCs w:val="20"/>
                <w:color w:val="auto"/>
              </w:rPr>
            </w:pPr>
            <w:r>
              <w:rPr>
                <w:rFonts w:ascii="Arial" w:cs="Arial" w:eastAsia="Arial" w:hAnsi="Arial"/>
                <w:sz w:val="20"/>
                <w:szCs w:val="20"/>
                <w:color w:val="auto"/>
              </w:rPr>
              <w:t>Principal Office</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1.2</w:t>
            </w:r>
          </w:p>
        </w:tc>
        <w:tc>
          <w:tcPr>
            <w:tcW w:w="8080" w:type="dxa"/>
            <w:vAlign w:val="bottom"/>
          </w:tcPr>
          <w:p>
            <w:pPr>
              <w:ind w:left="160"/>
              <w:spacing w:after="0"/>
              <w:rPr>
                <w:sz w:val="20"/>
                <w:szCs w:val="20"/>
                <w:color w:val="auto"/>
              </w:rPr>
            </w:pPr>
            <w:r>
              <w:rPr>
                <w:rFonts w:ascii="Arial" w:cs="Arial" w:eastAsia="Arial" w:hAnsi="Arial"/>
                <w:sz w:val="20"/>
                <w:szCs w:val="20"/>
                <w:color w:val="auto"/>
              </w:rPr>
              <w:t>Other Offices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716"/>
        </w:trPr>
        <w:tc>
          <w:tcPr>
            <w:tcW w:w="1420" w:type="dxa"/>
            <w:vAlign w:val="bottom"/>
          </w:tcPr>
          <w:p>
            <w:pPr>
              <w:ind w:left="80"/>
              <w:spacing w:after="0"/>
              <w:rPr>
                <w:sz w:val="20"/>
                <w:szCs w:val="20"/>
                <w:color w:val="auto"/>
              </w:rPr>
            </w:pPr>
            <w:r>
              <w:rPr>
                <w:rFonts w:ascii="Arial" w:cs="Arial" w:eastAsia="Arial" w:hAnsi="Arial"/>
                <w:sz w:val="20"/>
                <w:szCs w:val="20"/>
                <w:color w:val="auto"/>
              </w:rPr>
              <w:t>ARTICLE II</w:t>
            </w:r>
          </w:p>
        </w:tc>
        <w:tc>
          <w:tcPr>
            <w:tcW w:w="8080" w:type="dxa"/>
            <w:vAlign w:val="bottom"/>
          </w:tcPr>
          <w:p>
            <w:pPr>
              <w:ind w:left="160"/>
              <w:spacing w:after="0"/>
              <w:rPr>
                <w:sz w:val="20"/>
                <w:szCs w:val="20"/>
                <w:color w:val="auto"/>
              </w:rPr>
            </w:pPr>
            <w:r>
              <w:rPr>
                <w:rFonts w:ascii="Arial" w:cs="Arial" w:eastAsia="Arial" w:hAnsi="Arial"/>
                <w:sz w:val="20"/>
                <w:szCs w:val="20"/>
                <w:color w:val="auto"/>
              </w:rPr>
              <w:t>STOCKHOLDERS</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4"/>
        </w:trPr>
        <w:tc>
          <w:tcPr>
            <w:tcW w:w="14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080" w:type="dxa"/>
            <w:vAlign w:val="bottom"/>
          </w:tcPr>
          <w:p>
            <w:pPr>
              <w:ind w:left="160"/>
              <w:spacing w:after="0"/>
              <w:rPr>
                <w:sz w:val="20"/>
                <w:szCs w:val="20"/>
                <w:color w:val="auto"/>
              </w:rPr>
            </w:pPr>
            <w:r>
              <w:rPr>
                <w:rFonts w:ascii="Arial" w:cs="Arial" w:eastAsia="Arial" w:hAnsi="Arial"/>
                <w:sz w:val="18"/>
                <w:szCs w:val="18"/>
                <w:color w:val="auto"/>
              </w:rPr>
              <w:t>Annual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808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8"/>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2.3</w:t>
            </w:r>
          </w:p>
        </w:tc>
        <w:tc>
          <w:tcPr>
            <w:tcW w:w="8080" w:type="dxa"/>
            <w:vAlign w:val="bottom"/>
          </w:tcPr>
          <w:p>
            <w:pPr>
              <w:ind w:left="160"/>
              <w:spacing w:after="0"/>
              <w:rPr>
                <w:sz w:val="20"/>
                <w:szCs w:val="20"/>
                <w:color w:val="auto"/>
              </w:rPr>
            </w:pPr>
            <w:r>
              <w:rPr>
                <w:rFonts w:ascii="Arial" w:cs="Arial" w:eastAsia="Arial" w:hAnsi="Arial"/>
                <w:sz w:val="20"/>
                <w:szCs w:val="20"/>
                <w:color w:val="auto"/>
              </w:rPr>
              <w:t>Place of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2.4</w:t>
            </w:r>
          </w:p>
        </w:tc>
        <w:tc>
          <w:tcPr>
            <w:tcW w:w="8080" w:type="dxa"/>
            <w:vAlign w:val="bottom"/>
          </w:tcPr>
          <w:p>
            <w:pPr>
              <w:ind w:left="160"/>
              <w:spacing w:after="0"/>
              <w:rPr>
                <w:sz w:val="20"/>
                <w:szCs w:val="20"/>
                <w:color w:val="auto"/>
              </w:rPr>
            </w:pPr>
            <w:r>
              <w:rPr>
                <w:rFonts w:ascii="Arial" w:cs="Arial" w:eastAsia="Arial" w:hAnsi="Arial"/>
                <w:sz w:val="20"/>
                <w:szCs w:val="20"/>
                <w:color w:val="auto"/>
              </w:rPr>
              <w:t>Notice of Meetings; Waiver of Notice</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2.5</w:t>
            </w:r>
          </w:p>
        </w:tc>
        <w:tc>
          <w:tcPr>
            <w:tcW w:w="8080" w:type="dxa"/>
            <w:vAlign w:val="bottom"/>
          </w:tcPr>
          <w:p>
            <w:pPr>
              <w:ind w:left="160"/>
              <w:spacing w:after="0"/>
              <w:rPr>
                <w:sz w:val="20"/>
                <w:szCs w:val="20"/>
                <w:color w:val="auto"/>
              </w:rPr>
            </w:pPr>
            <w:r>
              <w:rPr>
                <w:rFonts w:ascii="Arial" w:cs="Arial" w:eastAsia="Arial" w:hAnsi="Arial"/>
                <w:sz w:val="20"/>
                <w:szCs w:val="20"/>
                <w:color w:val="auto"/>
              </w:rPr>
              <w:t>Determination of Stockholders of Record</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2.6</w:t>
            </w:r>
          </w:p>
        </w:tc>
        <w:tc>
          <w:tcPr>
            <w:tcW w:w="8080" w:type="dxa"/>
            <w:vAlign w:val="bottom"/>
          </w:tcPr>
          <w:p>
            <w:pPr>
              <w:ind w:left="160"/>
              <w:spacing w:after="0"/>
              <w:rPr>
                <w:sz w:val="20"/>
                <w:szCs w:val="20"/>
                <w:color w:val="auto"/>
              </w:rPr>
            </w:pPr>
            <w:r>
              <w:rPr>
                <w:rFonts w:ascii="Arial" w:cs="Arial" w:eastAsia="Arial" w:hAnsi="Arial"/>
                <w:sz w:val="20"/>
                <w:szCs w:val="20"/>
                <w:color w:val="auto"/>
              </w:rPr>
              <w:t>Quorum; Adjourned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2.7</w:t>
            </w:r>
          </w:p>
        </w:tc>
        <w:tc>
          <w:tcPr>
            <w:tcW w:w="8080" w:type="dxa"/>
            <w:vAlign w:val="bottom"/>
          </w:tcPr>
          <w:p>
            <w:pPr>
              <w:ind w:left="160"/>
              <w:spacing w:after="0"/>
              <w:rPr>
                <w:sz w:val="20"/>
                <w:szCs w:val="20"/>
                <w:color w:val="auto"/>
              </w:rPr>
            </w:pPr>
            <w:r>
              <w:rPr>
                <w:rFonts w:ascii="Arial" w:cs="Arial" w:eastAsia="Arial" w:hAnsi="Arial"/>
                <w:sz w:val="20"/>
                <w:szCs w:val="20"/>
                <w:color w:val="auto"/>
              </w:rPr>
              <w:t>Voting</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2.8</w:t>
            </w:r>
          </w:p>
        </w:tc>
        <w:tc>
          <w:tcPr>
            <w:tcW w:w="8080" w:type="dxa"/>
            <w:vAlign w:val="bottom"/>
          </w:tcPr>
          <w:p>
            <w:pPr>
              <w:ind w:left="160"/>
              <w:spacing w:after="0"/>
              <w:rPr>
                <w:sz w:val="20"/>
                <w:szCs w:val="20"/>
                <w:color w:val="auto"/>
              </w:rPr>
            </w:pPr>
            <w:r>
              <w:rPr>
                <w:rFonts w:ascii="Arial" w:cs="Arial" w:eastAsia="Arial" w:hAnsi="Arial"/>
                <w:sz w:val="20"/>
                <w:szCs w:val="20"/>
                <w:color w:val="auto"/>
              </w:rPr>
              <w:t>Proxies</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2.9</w:t>
            </w:r>
          </w:p>
        </w:tc>
        <w:tc>
          <w:tcPr>
            <w:tcW w:w="8080" w:type="dxa"/>
            <w:vAlign w:val="bottom"/>
          </w:tcPr>
          <w:p>
            <w:pPr>
              <w:ind w:left="160"/>
              <w:spacing w:after="0"/>
              <w:rPr>
                <w:sz w:val="20"/>
                <w:szCs w:val="20"/>
                <w:color w:val="auto"/>
              </w:rPr>
            </w:pPr>
            <w:r>
              <w:rPr>
                <w:rFonts w:ascii="Arial" w:cs="Arial" w:eastAsia="Arial" w:hAnsi="Arial"/>
                <w:sz w:val="20"/>
                <w:szCs w:val="20"/>
                <w:color w:val="auto"/>
              </w:rPr>
              <w:t>No Action Without A Meeting</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2.10</w:t>
            </w:r>
          </w:p>
        </w:tc>
        <w:tc>
          <w:tcPr>
            <w:tcW w:w="8080" w:type="dxa"/>
            <w:vAlign w:val="bottom"/>
          </w:tcPr>
          <w:p>
            <w:pPr>
              <w:ind w:left="160"/>
              <w:spacing w:after="0"/>
              <w:rPr>
                <w:sz w:val="20"/>
                <w:szCs w:val="20"/>
                <w:color w:val="auto"/>
              </w:rPr>
            </w:pPr>
            <w:r>
              <w:rPr>
                <w:rFonts w:ascii="Arial" w:cs="Arial" w:eastAsia="Arial" w:hAnsi="Arial"/>
                <w:sz w:val="20"/>
                <w:szCs w:val="20"/>
                <w:color w:val="auto"/>
              </w:rPr>
              <w:t>Organization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8080" w:type="dxa"/>
            <w:vAlign w:val="bottom"/>
          </w:tcPr>
          <w:p>
            <w:pPr>
              <w:ind w:left="160"/>
              <w:spacing w:after="0"/>
              <w:rPr>
                <w:sz w:val="20"/>
                <w:szCs w:val="20"/>
                <w:color w:val="auto"/>
              </w:rPr>
            </w:pPr>
            <w:r>
              <w:rPr>
                <w:rFonts w:ascii="Arial" w:cs="Arial" w:eastAsia="Arial" w:hAnsi="Arial"/>
                <w:sz w:val="20"/>
                <w:szCs w:val="20"/>
                <w:color w:val="auto"/>
              </w:rPr>
              <w:t>Consent to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2.12</w:t>
            </w:r>
          </w:p>
        </w:tc>
        <w:tc>
          <w:tcPr>
            <w:tcW w:w="8080" w:type="dxa"/>
            <w:vAlign w:val="bottom"/>
          </w:tcPr>
          <w:p>
            <w:pPr>
              <w:ind w:left="160"/>
              <w:spacing w:after="0"/>
              <w:rPr>
                <w:sz w:val="20"/>
                <w:szCs w:val="20"/>
                <w:color w:val="auto"/>
              </w:rPr>
            </w:pPr>
            <w:r>
              <w:rPr>
                <w:rFonts w:ascii="Arial" w:cs="Arial" w:eastAsia="Arial" w:hAnsi="Arial"/>
                <w:sz w:val="20"/>
                <w:szCs w:val="20"/>
                <w:color w:val="auto"/>
              </w:rPr>
              <w:t>Director Nominations and Business Conducted at Meetings of Stockholders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2.13</w:t>
            </w:r>
          </w:p>
        </w:tc>
        <w:tc>
          <w:tcPr>
            <w:tcW w:w="8080" w:type="dxa"/>
            <w:vAlign w:val="bottom"/>
          </w:tcPr>
          <w:p>
            <w:pPr>
              <w:ind w:left="160"/>
              <w:spacing w:after="0"/>
              <w:rPr>
                <w:sz w:val="20"/>
                <w:szCs w:val="20"/>
                <w:color w:val="auto"/>
              </w:rPr>
            </w:pPr>
            <w:r>
              <w:rPr>
                <w:rFonts w:ascii="Arial" w:cs="Arial" w:eastAsia="Arial" w:hAnsi="Arial"/>
                <w:sz w:val="20"/>
                <w:szCs w:val="20"/>
                <w:color w:val="auto"/>
              </w:rPr>
              <w:t>Advance Notice of Director Nominations and Stockholder Proposals by Stockholders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2.14</w:t>
            </w:r>
          </w:p>
        </w:tc>
        <w:tc>
          <w:tcPr>
            <w:tcW w:w="8080" w:type="dxa"/>
            <w:vAlign w:val="bottom"/>
          </w:tcPr>
          <w:p>
            <w:pPr>
              <w:ind w:left="160"/>
              <w:spacing w:after="0"/>
              <w:rPr>
                <w:sz w:val="20"/>
                <w:szCs w:val="20"/>
                <w:color w:val="auto"/>
              </w:rPr>
            </w:pPr>
            <w:r>
              <w:rPr>
                <w:rFonts w:ascii="Arial" w:cs="Arial" w:eastAsia="Arial" w:hAnsi="Arial"/>
                <w:sz w:val="20"/>
                <w:szCs w:val="20"/>
                <w:color w:val="auto"/>
              </w:rPr>
              <w:t>Meetings Through Electronic Communications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08"/>
        </w:trPr>
        <w:tc>
          <w:tcPr>
            <w:tcW w:w="1420" w:type="dxa"/>
            <w:vAlign w:val="bottom"/>
          </w:tcPr>
          <w:p>
            <w:pPr>
              <w:ind w:left="220"/>
              <w:spacing w:after="0"/>
              <w:rPr>
                <w:sz w:val="20"/>
                <w:szCs w:val="20"/>
                <w:color w:val="auto"/>
              </w:rPr>
            </w:pPr>
            <w:r>
              <w:rPr>
                <w:rFonts w:ascii="Arial" w:cs="Arial" w:eastAsia="Arial" w:hAnsi="Arial"/>
                <w:sz w:val="20"/>
                <w:szCs w:val="20"/>
                <w:color w:val="auto"/>
              </w:rPr>
              <w:t>ARTICLE III</w:t>
            </w:r>
          </w:p>
        </w:tc>
        <w:tc>
          <w:tcPr>
            <w:tcW w:w="8080" w:type="dxa"/>
            <w:vAlign w:val="bottom"/>
          </w:tcPr>
          <w:p>
            <w:pPr>
              <w:ind w:left="160"/>
              <w:spacing w:after="0"/>
              <w:rPr>
                <w:sz w:val="20"/>
                <w:szCs w:val="20"/>
                <w:color w:val="auto"/>
              </w:rPr>
            </w:pPr>
            <w:r>
              <w:rPr>
                <w:rFonts w:ascii="Arial" w:cs="Arial" w:eastAsia="Arial" w:hAnsi="Arial"/>
                <w:sz w:val="20"/>
                <w:szCs w:val="20"/>
                <w:color w:val="auto"/>
              </w:rPr>
              <w:t>DIRECTORS</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92"/>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8080" w:type="dxa"/>
            <w:vAlign w:val="bottom"/>
          </w:tcPr>
          <w:p>
            <w:pPr>
              <w:ind w:left="160"/>
              <w:spacing w:after="0"/>
              <w:rPr>
                <w:sz w:val="20"/>
                <w:szCs w:val="20"/>
                <w:color w:val="auto"/>
              </w:rPr>
            </w:pPr>
            <w:r>
              <w:rPr>
                <w:rFonts w:ascii="Arial" w:cs="Arial" w:eastAsia="Arial" w:hAnsi="Arial"/>
                <w:sz w:val="20"/>
                <w:szCs w:val="20"/>
                <w:color w:val="auto"/>
              </w:rPr>
              <w:t>General Powers; Performance of Duties</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3.2</w:t>
            </w:r>
          </w:p>
        </w:tc>
        <w:tc>
          <w:tcPr>
            <w:tcW w:w="8080" w:type="dxa"/>
            <w:vAlign w:val="bottom"/>
          </w:tcPr>
          <w:p>
            <w:pPr>
              <w:ind w:left="160"/>
              <w:spacing w:after="0"/>
              <w:rPr>
                <w:sz w:val="20"/>
                <w:szCs w:val="20"/>
                <w:color w:val="auto"/>
              </w:rPr>
            </w:pPr>
            <w:r>
              <w:rPr>
                <w:rFonts w:ascii="Arial" w:cs="Arial" w:eastAsia="Arial" w:hAnsi="Arial"/>
                <w:sz w:val="20"/>
                <w:szCs w:val="20"/>
                <w:color w:val="auto"/>
              </w:rPr>
              <w:t>Number, Tenure, and Qualifications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3.3</w:t>
            </w:r>
          </w:p>
        </w:tc>
        <w:tc>
          <w:tcPr>
            <w:tcW w:w="8080" w:type="dxa"/>
            <w:vAlign w:val="bottom"/>
          </w:tcPr>
          <w:p>
            <w:pPr>
              <w:ind w:left="160"/>
              <w:spacing w:after="0"/>
              <w:rPr>
                <w:sz w:val="20"/>
                <w:szCs w:val="20"/>
                <w:color w:val="auto"/>
              </w:rPr>
            </w:pPr>
            <w:r>
              <w:rPr>
                <w:rFonts w:ascii="Arial" w:cs="Arial" w:eastAsia="Arial" w:hAnsi="Arial"/>
                <w:sz w:val="20"/>
                <w:szCs w:val="20"/>
                <w:color w:val="auto"/>
              </w:rPr>
              <w:t>Chairman of the Board</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3.4</w:t>
            </w:r>
          </w:p>
        </w:tc>
        <w:tc>
          <w:tcPr>
            <w:tcW w:w="8080" w:type="dxa"/>
            <w:vAlign w:val="bottom"/>
          </w:tcPr>
          <w:p>
            <w:pPr>
              <w:ind w:left="160"/>
              <w:spacing w:after="0"/>
              <w:rPr>
                <w:sz w:val="20"/>
                <w:szCs w:val="20"/>
                <w:color w:val="auto"/>
              </w:rPr>
            </w:pPr>
            <w:r>
              <w:rPr>
                <w:rFonts w:ascii="Arial" w:cs="Arial" w:eastAsia="Arial" w:hAnsi="Arial"/>
                <w:sz w:val="20"/>
                <w:szCs w:val="20"/>
                <w:color w:val="auto"/>
              </w:rPr>
              <w:t>Vice Chairman of the Board</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3.5</w:t>
            </w:r>
          </w:p>
        </w:tc>
        <w:tc>
          <w:tcPr>
            <w:tcW w:w="8080" w:type="dxa"/>
            <w:vAlign w:val="bottom"/>
          </w:tcPr>
          <w:p>
            <w:pPr>
              <w:ind w:left="160"/>
              <w:spacing w:after="0"/>
              <w:rPr>
                <w:sz w:val="20"/>
                <w:szCs w:val="20"/>
                <w:color w:val="auto"/>
              </w:rPr>
            </w:pPr>
            <w:r>
              <w:rPr>
                <w:rFonts w:ascii="Arial" w:cs="Arial" w:eastAsia="Arial" w:hAnsi="Arial"/>
                <w:sz w:val="20"/>
                <w:szCs w:val="20"/>
                <w:color w:val="auto"/>
              </w:rPr>
              <w:t>Classification and Elections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3.6</w:t>
            </w:r>
          </w:p>
        </w:tc>
        <w:tc>
          <w:tcPr>
            <w:tcW w:w="8080" w:type="dxa"/>
            <w:vAlign w:val="bottom"/>
          </w:tcPr>
          <w:p>
            <w:pPr>
              <w:ind w:left="160"/>
              <w:spacing w:after="0"/>
              <w:rPr>
                <w:sz w:val="20"/>
                <w:szCs w:val="20"/>
                <w:color w:val="auto"/>
              </w:rPr>
            </w:pPr>
            <w:r>
              <w:rPr>
                <w:rFonts w:ascii="Arial" w:cs="Arial" w:eastAsia="Arial" w:hAnsi="Arial"/>
                <w:sz w:val="20"/>
                <w:szCs w:val="20"/>
                <w:color w:val="auto"/>
              </w:rPr>
              <w:t>Removal and Resignation of Directors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3.7</w:t>
            </w:r>
          </w:p>
        </w:tc>
        <w:tc>
          <w:tcPr>
            <w:tcW w:w="8080" w:type="dxa"/>
            <w:vAlign w:val="bottom"/>
          </w:tcPr>
          <w:p>
            <w:pPr>
              <w:ind w:left="160"/>
              <w:spacing w:after="0"/>
              <w:rPr>
                <w:sz w:val="20"/>
                <w:szCs w:val="20"/>
                <w:color w:val="auto"/>
              </w:rPr>
            </w:pPr>
            <w:r>
              <w:rPr>
                <w:rFonts w:ascii="Arial" w:cs="Arial" w:eastAsia="Arial" w:hAnsi="Arial"/>
                <w:sz w:val="20"/>
                <w:szCs w:val="20"/>
                <w:color w:val="auto"/>
              </w:rPr>
              <w:t>Vacancies; Newly Created Directorships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3.8</w:t>
            </w:r>
          </w:p>
        </w:tc>
        <w:tc>
          <w:tcPr>
            <w:tcW w:w="8080" w:type="dxa"/>
            <w:vAlign w:val="bottom"/>
          </w:tcPr>
          <w:p>
            <w:pPr>
              <w:ind w:left="160"/>
              <w:spacing w:after="0"/>
              <w:rPr>
                <w:sz w:val="20"/>
                <w:szCs w:val="20"/>
                <w:color w:val="auto"/>
              </w:rPr>
            </w:pPr>
            <w:r>
              <w:rPr>
                <w:rFonts w:ascii="Arial" w:cs="Arial" w:eastAsia="Arial" w:hAnsi="Arial"/>
                <w:sz w:val="20"/>
                <w:szCs w:val="20"/>
                <w:color w:val="auto"/>
              </w:rPr>
              <w:t>Annual and Regular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93"/>
              </w:rPr>
              <w:t>3.9</w:t>
            </w:r>
          </w:p>
        </w:tc>
        <w:tc>
          <w:tcPr>
            <w:tcW w:w="8080" w:type="dxa"/>
            <w:vAlign w:val="bottom"/>
          </w:tcPr>
          <w:p>
            <w:pPr>
              <w:ind w:left="160"/>
              <w:spacing w:after="0"/>
              <w:rPr>
                <w:sz w:val="20"/>
                <w:szCs w:val="20"/>
                <w:color w:val="auto"/>
              </w:rPr>
            </w:pPr>
            <w:r>
              <w:rPr>
                <w:rFonts w:ascii="Arial" w:cs="Arial" w:eastAsia="Arial" w:hAnsi="Arial"/>
                <w:sz w:val="20"/>
                <w:szCs w:val="20"/>
                <w:color w:val="auto"/>
              </w:rPr>
              <w:t>Special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3.10</w:t>
            </w:r>
          </w:p>
        </w:tc>
        <w:tc>
          <w:tcPr>
            <w:tcW w:w="8080" w:type="dxa"/>
            <w:vAlign w:val="bottom"/>
          </w:tcPr>
          <w:p>
            <w:pPr>
              <w:ind w:left="160"/>
              <w:spacing w:after="0"/>
              <w:rPr>
                <w:sz w:val="20"/>
                <w:szCs w:val="20"/>
                <w:color w:val="auto"/>
              </w:rPr>
            </w:pPr>
            <w:r>
              <w:rPr>
                <w:rFonts w:ascii="Arial" w:cs="Arial" w:eastAsia="Arial" w:hAnsi="Arial"/>
                <w:sz w:val="20"/>
                <w:szCs w:val="20"/>
                <w:color w:val="auto"/>
              </w:rPr>
              <w:t>Place of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8080" w:type="dxa"/>
            <w:vAlign w:val="bottom"/>
          </w:tcPr>
          <w:p>
            <w:pPr>
              <w:ind w:left="160"/>
              <w:spacing w:after="0"/>
              <w:rPr>
                <w:sz w:val="20"/>
                <w:szCs w:val="20"/>
                <w:color w:val="auto"/>
              </w:rPr>
            </w:pPr>
            <w:r>
              <w:rPr>
                <w:rFonts w:ascii="Arial" w:cs="Arial" w:eastAsia="Arial" w:hAnsi="Arial"/>
                <w:sz w:val="20"/>
                <w:szCs w:val="20"/>
                <w:color w:val="auto"/>
              </w:rPr>
              <w:t>Notice of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8080" w:type="dxa"/>
            <w:vAlign w:val="bottom"/>
          </w:tcPr>
          <w:p>
            <w:pPr>
              <w:ind w:left="160"/>
              <w:spacing w:after="0"/>
              <w:rPr>
                <w:sz w:val="20"/>
                <w:szCs w:val="20"/>
                <w:color w:val="auto"/>
              </w:rPr>
            </w:pPr>
            <w:r>
              <w:rPr>
                <w:rFonts w:ascii="Arial" w:cs="Arial" w:eastAsia="Arial" w:hAnsi="Arial"/>
                <w:sz w:val="20"/>
                <w:szCs w:val="20"/>
                <w:color w:val="auto"/>
              </w:rPr>
              <w:t>Quorum; Adjourned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3.13</w:t>
            </w:r>
          </w:p>
        </w:tc>
        <w:tc>
          <w:tcPr>
            <w:tcW w:w="8080" w:type="dxa"/>
            <w:vAlign w:val="bottom"/>
          </w:tcPr>
          <w:p>
            <w:pPr>
              <w:ind w:left="160"/>
              <w:spacing w:after="0"/>
              <w:rPr>
                <w:sz w:val="20"/>
                <w:szCs w:val="20"/>
                <w:color w:val="auto"/>
              </w:rPr>
            </w:pPr>
            <w:r>
              <w:rPr>
                <w:rFonts w:ascii="Arial" w:cs="Arial" w:eastAsia="Arial" w:hAnsi="Arial"/>
                <w:sz w:val="20"/>
                <w:szCs w:val="20"/>
                <w:color w:val="auto"/>
              </w:rPr>
              <w:t>Manner of Acting</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3.14</w:t>
            </w:r>
          </w:p>
        </w:tc>
        <w:tc>
          <w:tcPr>
            <w:tcW w:w="8080" w:type="dxa"/>
            <w:vAlign w:val="bottom"/>
          </w:tcPr>
          <w:p>
            <w:pPr>
              <w:ind w:left="160"/>
              <w:spacing w:after="0"/>
              <w:rPr>
                <w:sz w:val="20"/>
                <w:szCs w:val="20"/>
                <w:color w:val="auto"/>
              </w:rPr>
            </w:pPr>
            <w:r>
              <w:rPr>
                <w:rFonts w:ascii="Arial" w:cs="Arial" w:eastAsia="Arial" w:hAnsi="Arial"/>
                <w:sz w:val="20"/>
                <w:szCs w:val="20"/>
                <w:color w:val="auto"/>
              </w:rPr>
              <w:t>Super-majority Approval</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3.15</w:t>
            </w:r>
          </w:p>
        </w:tc>
        <w:tc>
          <w:tcPr>
            <w:tcW w:w="8080" w:type="dxa"/>
            <w:vAlign w:val="bottom"/>
          </w:tcPr>
          <w:p>
            <w:pPr>
              <w:ind w:left="160"/>
              <w:spacing w:after="0"/>
              <w:rPr>
                <w:sz w:val="20"/>
                <w:szCs w:val="20"/>
                <w:color w:val="auto"/>
              </w:rPr>
            </w:pPr>
            <w:r>
              <w:rPr>
                <w:rFonts w:ascii="Arial" w:cs="Arial" w:eastAsia="Arial" w:hAnsi="Arial"/>
                <w:sz w:val="20"/>
                <w:szCs w:val="20"/>
                <w:color w:val="auto"/>
              </w:rPr>
              <w:t>Meetings Through Electronic Communications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3.16</w:t>
            </w:r>
          </w:p>
        </w:tc>
        <w:tc>
          <w:tcPr>
            <w:tcW w:w="8080" w:type="dxa"/>
            <w:vAlign w:val="bottom"/>
          </w:tcPr>
          <w:p>
            <w:pPr>
              <w:ind w:left="160"/>
              <w:spacing w:after="0"/>
              <w:rPr>
                <w:sz w:val="20"/>
                <w:szCs w:val="20"/>
                <w:color w:val="auto"/>
              </w:rPr>
            </w:pPr>
            <w:r>
              <w:rPr>
                <w:rFonts w:ascii="Arial" w:cs="Arial" w:eastAsia="Arial" w:hAnsi="Arial"/>
                <w:sz w:val="20"/>
                <w:szCs w:val="20"/>
                <w:color w:val="auto"/>
              </w:rPr>
              <w:t>Action Without Meeting</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3.17</w:t>
            </w:r>
          </w:p>
        </w:tc>
        <w:tc>
          <w:tcPr>
            <w:tcW w:w="8080" w:type="dxa"/>
            <w:vAlign w:val="bottom"/>
          </w:tcPr>
          <w:p>
            <w:pPr>
              <w:ind w:left="160"/>
              <w:spacing w:after="0"/>
              <w:rPr>
                <w:sz w:val="20"/>
                <w:szCs w:val="20"/>
                <w:color w:val="auto"/>
              </w:rPr>
            </w:pPr>
            <w:r>
              <w:rPr>
                <w:rFonts w:ascii="Arial" w:cs="Arial" w:eastAsia="Arial" w:hAnsi="Arial"/>
                <w:sz w:val="20"/>
                <w:szCs w:val="20"/>
                <w:color w:val="auto"/>
              </w:rPr>
              <w:t>Powers and Duties</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3.18</w:t>
            </w:r>
          </w:p>
        </w:tc>
        <w:tc>
          <w:tcPr>
            <w:tcW w:w="8080" w:type="dxa"/>
            <w:vAlign w:val="bottom"/>
          </w:tcPr>
          <w:p>
            <w:pPr>
              <w:ind w:left="160"/>
              <w:spacing w:after="0"/>
              <w:rPr>
                <w:sz w:val="20"/>
                <w:szCs w:val="20"/>
                <w:color w:val="auto"/>
              </w:rPr>
            </w:pPr>
            <w:r>
              <w:rPr>
                <w:rFonts w:ascii="Arial" w:cs="Arial" w:eastAsia="Arial" w:hAnsi="Arial"/>
                <w:sz w:val="20"/>
                <w:szCs w:val="20"/>
                <w:color w:val="auto"/>
              </w:rPr>
              <w:t>Compensation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1420" w:type="dxa"/>
            <w:vAlign w:val="bottom"/>
          </w:tcPr>
          <w:p>
            <w:pPr>
              <w:jc w:val="center"/>
              <w:spacing w:after="0"/>
              <w:rPr>
                <w:sz w:val="20"/>
                <w:szCs w:val="20"/>
                <w:color w:val="auto"/>
              </w:rPr>
            </w:pPr>
            <w:r>
              <w:rPr>
                <w:rFonts w:ascii="Arial" w:cs="Arial" w:eastAsia="Arial" w:hAnsi="Arial"/>
                <w:sz w:val="20"/>
                <w:szCs w:val="20"/>
                <w:color w:val="auto"/>
                <w:w w:val="87"/>
              </w:rPr>
              <w:t>3.19</w:t>
            </w:r>
          </w:p>
        </w:tc>
        <w:tc>
          <w:tcPr>
            <w:tcW w:w="8080" w:type="dxa"/>
            <w:vAlign w:val="bottom"/>
          </w:tcPr>
          <w:p>
            <w:pPr>
              <w:ind w:left="160"/>
              <w:spacing w:after="0"/>
              <w:rPr>
                <w:sz w:val="20"/>
                <w:szCs w:val="20"/>
                <w:color w:val="auto"/>
              </w:rPr>
            </w:pPr>
            <w:r>
              <w:rPr>
                <w:rFonts w:ascii="Arial" w:cs="Arial" w:eastAsia="Arial" w:hAnsi="Arial"/>
                <w:sz w:val="20"/>
                <w:szCs w:val="20"/>
                <w:color w:val="auto"/>
              </w:rPr>
              <w:t>Organization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811"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080"/>
          </w:cols>
          <w:pgMar w:left="420" w:top="811" w:right="39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43"/>
        </w:trPr>
        <w:tc>
          <w:tcPr>
            <w:tcW w:w="1320" w:type="dxa"/>
            <w:vAlign w:val="bottom"/>
          </w:tcPr>
          <w:p>
            <w:pPr>
              <w:spacing w:after="0"/>
              <w:rPr>
                <w:sz w:val="21"/>
                <w:szCs w:val="21"/>
                <w:color w:val="auto"/>
              </w:rPr>
            </w:pPr>
          </w:p>
        </w:tc>
        <w:tc>
          <w:tcPr>
            <w:tcW w:w="7680" w:type="dxa"/>
            <w:vAlign w:val="bottom"/>
          </w:tcPr>
          <w:p>
            <w:pPr>
              <w:ind w:left="3140"/>
              <w:spacing w:after="0"/>
              <w:rPr>
                <w:sz w:val="20"/>
                <w:szCs w:val="20"/>
                <w:color w:val="auto"/>
              </w:rPr>
            </w:pPr>
            <w:r>
              <w:rPr>
                <w:rFonts w:ascii="Arial" w:cs="Arial" w:eastAsia="Arial" w:hAnsi="Arial"/>
                <w:sz w:val="20"/>
                <w:szCs w:val="20"/>
                <w:color w:val="auto"/>
              </w:rPr>
              <w:t>TABLE OF CONTENTS</w:t>
            </w:r>
          </w:p>
        </w:tc>
        <w:tc>
          <w:tcPr>
            <w:tcW w:w="2000" w:type="dxa"/>
            <w:vAlign w:val="bottom"/>
          </w:tcPr>
          <w:p>
            <w:pPr>
              <w:spacing w:after="0"/>
              <w:rPr>
                <w:sz w:val="21"/>
                <w:szCs w:val="21"/>
                <w:color w:val="auto"/>
              </w:rPr>
            </w:pPr>
          </w:p>
        </w:tc>
      </w:tr>
      <w:tr>
        <w:trPr>
          <w:trHeight w:val="250"/>
        </w:trPr>
        <w:tc>
          <w:tcPr>
            <w:tcW w:w="1320" w:type="dxa"/>
            <w:vAlign w:val="bottom"/>
          </w:tcPr>
          <w:p>
            <w:pPr>
              <w:spacing w:after="0"/>
              <w:rPr>
                <w:sz w:val="21"/>
                <w:szCs w:val="21"/>
                <w:color w:val="auto"/>
              </w:rPr>
            </w:pPr>
          </w:p>
        </w:tc>
        <w:tc>
          <w:tcPr>
            <w:tcW w:w="7680" w:type="dxa"/>
            <w:vAlign w:val="bottom"/>
          </w:tcPr>
          <w:p>
            <w:pPr>
              <w:ind w:left="3680"/>
              <w:spacing w:after="0"/>
              <w:rPr>
                <w:sz w:val="20"/>
                <w:szCs w:val="20"/>
                <w:color w:val="auto"/>
              </w:rPr>
            </w:pPr>
            <w:r>
              <w:rPr>
                <w:rFonts w:ascii="Arial" w:cs="Arial" w:eastAsia="Arial" w:hAnsi="Arial"/>
                <w:sz w:val="20"/>
                <w:szCs w:val="20"/>
                <w:color w:val="auto"/>
              </w:rPr>
              <w:t>(continued)</w:t>
            </w:r>
          </w:p>
        </w:tc>
        <w:tc>
          <w:tcPr>
            <w:tcW w:w="2000" w:type="dxa"/>
            <w:vAlign w:val="bottom"/>
          </w:tcPr>
          <w:p>
            <w:pPr>
              <w:spacing w:after="0"/>
              <w:rPr>
                <w:sz w:val="21"/>
                <w:szCs w:val="21"/>
                <w:color w:val="auto"/>
              </w:rPr>
            </w:pPr>
          </w:p>
        </w:tc>
      </w:tr>
      <w:tr>
        <w:trPr>
          <w:trHeight w:val="959"/>
        </w:trPr>
        <w:tc>
          <w:tcPr>
            <w:tcW w:w="13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9"/>
              </w:rPr>
              <w:t>ARTICLE IV</w:t>
            </w:r>
          </w:p>
        </w:tc>
        <w:tc>
          <w:tcPr>
            <w:tcW w:w="7680" w:type="dxa"/>
            <w:vAlign w:val="bottom"/>
          </w:tcPr>
          <w:p>
            <w:pPr>
              <w:ind w:left="100"/>
              <w:spacing w:after="0"/>
              <w:rPr>
                <w:sz w:val="20"/>
                <w:szCs w:val="20"/>
                <w:color w:val="auto"/>
              </w:rPr>
            </w:pPr>
            <w:r>
              <w:rPr>
                <w:rFonts w:ascii="Arial" w:cs="Arial" w:eastAsia="Arial" w:hAnsi="Arial"/>
                <w:sz w:val="20"/>
                <w:szCs w:val="20"/>
                <w:color w:val="auto"/>
              </w:rPr>
              <w:t>OFFICERS</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4.1</w:t>
            </w:r>
          </w:p>
        </w:tc>
        <w:tc>
          <w:tcPr>
            <w:tcW w:w="7680" w:type="dxa"/>
            <w:vAlign w:val="bottom"/>
          </w:tcPr>
          <w:p>
            <w:pPr>
              <w:ind w:left="100"/>
              <w:spacing w:after="0"/>
              <w:rPr>
                <w:sz w:val="20"/>
                <w:szCs w:val="20"/>
                <w:color w:val="auto"/>
              </w:rPr>
            </w:pPr>
            <w:r>
              <w:rPr>
                <w:rFonts w:ascii="Arial" w:cs="Arial" w:eastAsia="Arial" w:hAnsi="Arial"/>
                <w:sz w:val="20"/>
                <w:szCs w:val="20"/>
                <w:color w:val="auto"/>
              </w:rPr>
              <w:t>Election</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4.2</w:t>
            </w:r>
          </w:p>
        </w:tc>
        <w:tc>
          <w:tcPr>
            <w:tcW w:w="7680" w:type="dxa"/>
            <w:vAlign w:val="bottom"/>
          </w:tcPr>
          <w:p>
            <w:pPr>
              <w:ind w:left="100"/>
              <w:spacing w:after="0"/>
              <w:rPr>
                <w:sz w:val="20"/>
                <w:szCs w:val="20"/>
                <w:color w:val="auto"/>
              </w:rPr>
            </w:pPr>
            <w:r>
              <w:rPr>
                <w:rFonts w:ascii="Arial" w:cs="Arial" w:eastAsia="Arial" w:hAnsi="Arial"/>
                <w:sz w:val="20"/>
                <w:szCs w:val="20"/>
                <w:color w:val="auto"/>
              </w:rPr>
              <w:t>Removal; Resignation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4.3</w:t>
            </w:r>
          </w:p>
        </w:tc>
        <w:tc>
          <w:tcPr>
            <w:tcW w:w="7680" w:type="dxa"/>
            <w:vAlign w:val="bottom"/>
          </w:tcPr>
          <w:p>
            <w:pPr>
              <w:ind w:left="100"/>
              <w:spacing w:after="0"/>
              <w:rPr>
                <w:sz w:val="20"/>
                <w:szCs w:val="20"/>
                <w:color w:val="auto"/>
              </w:rPr>
            </w:pPr>
            <w:r>
              <w:rPr>
                <w:rFonts w:ascii="Arial" w:cs="Arial" w:eastAsia="Arial" w:hAnsi="Arial"/>
                <w:sz w:val="20"/>
                <w:szCs w:val="20"/>
                <w:color w:val="auto"/>
              </w:rPr>
              <w:t>Vacancies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4.4</w:t>
            </w:r>
          </w:p>
        </w:tc>
        <w:tc>
          <w:tcPr>
            <w:tcW w:w="7680" w:type="dxa"/>
            <w:vAlign w:val="bottom"/>
          </w:tcPr>
          <w:p>
            <w:pPr>
              <w:ind w:left="100"/>
              <w:spacing w:after="0"/>
              <w:rPr>
                <w:sz w:val="20"/>
                <w:szCs w:val="20"/>
                <w:color w:val="auto"/>
              </w:rPr>
            </w:pPr>
            <w:r>
              <w:rPr>
                <w:rFonts w:ascii="Arial" w:cs="Arial" w:eastAsia="Arial" w:hAnsi="Arial"/>
                <w:sz w:val="20"/>
                <w:szCs w:val="20"/>
                <w:color w:val="auto"/>
              </w:rPr>
              <w:t>Chief Executive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4.5</w:t>
            </w:r>
          </w:p>
        </w:tc>
        <w:tc>
          <w:tcPr>
            <w:tcW w:w="7680" w:type="dxa"/>
            <w:vAlign w:val="bottom"/>
          </w:tcPr>
          <w:p>
            <w:pPr>
              <w:ind w:left="100"/>
              <w:spacing w:after="0"/>
              <w:rPr>
                <w:sz w:val="20"/>
                <w:szCs w:val="20"/>
                <w:color w:val="auto"/>
              </w:rPr>
            </w:pPr>
            <w:r>
              <w:rPr>
                <w:rFonts w:ascii="Arial" w:cs="Arial" w:eastAsia="Arial" w:hAnsi="Arial"/>
                <w:sz w:val="20"/>
                <w:szCs w:val="20"/>
                <w:color w:val="auto"/>
              </w:rPr>
              <w:t>President</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4.6</w:t>
            </w:r>
          </w:p>
        </w:tc>
        <w:tc>
          <w:tcPr>
            <w:tcW w:w="7680" w:type="dxa"/>
            <w:vAlign w:val="bottom"/>
          </w:tcPr>
          <w:p>
            <w:pPr>
              <w:ind w:left="100"/>
              <w:spacing w:after="0"/>
              <w:rPr>
                <w:sz w:val="20"/>
                <w:szCs w:val="20"/>
                <w:color w:val="auto"/>
              </w:rPr>
            </w:pPr>
            <w:r>
              <w:rPr>
                <w:rFonts w:ascii="Arial" w:cs="Arial" w:eastAsia="Arial" w:hAnsi="Arial"/>
                <w:sz w:val="20"/>
                <w:szCs w:val="20"/>
                <w:color w:val="auto"/>
              </w:rPr>
              <w:t>Vice Presidents</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4.7</w:t>
            </w:r>
          </w:p>
        </w:tc>
        <w:tc>
          <w:tcPr>
            <w:tcW w:w="7680" w:type="dxa"/>
            <w:vAlign w:val="bottom"/>
          </w:tcPr>
          <w:p>
            <w:pPr>
              <w:ind w:left="100"/>
              <w:spacing w:after="0"/>
              <w:rPr>
                <w:sz w:val="20"/>
                <w:szCs w:val="20"/>
                <w:color w:val="auto"/>
              </w:rPr>
            </w:pPr>
            <w:r>
              <w:rPr>
                <w:rFonts w:ascii="Arial" w:cs="Arial" w:eastAsia="Arial" w:hAnsi="Arial"/>
                <w:sz w:val="20"/>
                <w:szCs w:val="20"/>
                <w:color w:val="auto"/>
              </w:rPr>
              <w:t>Secretary</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4.8</w:t>
            </w:r>
          </w:p>
        </w:tc>
        <w:tc>
          <w:tcPr>
            <w:tcW w:w="7680" w:type="dxa"/>
            <w:vAlign w:val="bottom"/>
          </w:tcPr>
          <w:p>
            <w:pPr>
              <w:ind w:left="100"/>
              <w:spacing w:after="0"/>
              <w:rPr>
                <w:sz w:val="20"/>
                <w:szCs w:val="20"/>
                <w:color w:val="auto"/>
              </w:rPr>
            </w:pPr>
            <w:r>
              <w:rPr>
                <w:rFonts w:ascii="Arial" w:cs="Arial" w:eastAsia="Arial" w:hAnsi="Arial"/>
                <w:sz w:val="20"/>
                <w:szCs w:val="20"/>
                <w:color w:val="auto"/>
              </w:rPr>
              <w:t>Assistant Secretaries</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4.9</w:t>
            </w:r>
          </w:p>
        </w:tc>
        <w:tc>
          <w:tcPr>
            <w:tcW w:w="7680" w:type="dxa"/>
            <w:vAlign w:val="bottom"/>
          </w:tcPr>
          <w:p>
            <w:pPr>
              <w:ind w:left="100"/>
              <w:spacing w:after="0"/>
              <w:rPr>
                <w:sz w:val="20"/>
                <w:szCs w:val="20"/>
                <w:color w:val="auto"/>
              </w:rPr>
            </w:pPr>
            <w:r>
              <w:rPr>
                <w:rFonts w:ascii="Arial" w:cs="Arial" w:eastAsia="Arial" w:hAnsi="Arial"/>
                <w:sz w:val="20"/>
                <w:szCs w:val="20"/>
                <w:color w:val="auto"/>
              </w:rPr>
              <w:t>Treasurer</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2"/>
              </w:rPr>
              <w:t>4.10</w:t>
            </w:r>
          </w:p>
        </w:tc>
        <w:tc>
          <w:tcPr>
            <w:tcW w:w="7680" w:type="dxa"/>
            <w:vAlign w:val="bottom"/>
          </w:tcPr>
          <w:p>
            <w:pPr>
              <w:ind w:left="100"/>
              <w:spacing w:after="0"/>
              <w:rPr>
                <w:sz w:val="20"/>
                <w:szCs w:val="20"/>
                <w:color w:val="auto"/>
              </w:rPr>
            </w:pPr>
            <w:r>
              <w:rPr>
                <w:rFonts w:ascii="Arial" w:cs="Arial" w:eastAsia="Arial" w:hAnsi="Arial"/>
                <w:sz w:val="20"/>
                <w:szCs w:val="20"/>
                <w:color w:val="auto"/>
              </w:rPr>
              <w:t>Assistant Treasurers</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1320" w:type="dxa"/>
            <w:vAlign w:val="bottom"/>
          </w:tcPr>
          <w:p>
            <w:pPr>
              <w:jc w:val="center"/>
              <w:ind w:right="41"/>
              <w:spacing w:after="0"/>
              <w:rPr>
                <w:sz w:val="20"/>
                <w:szCs w:val="20"/>
                <w:color w:val="auto"/>
              </w:rPr>
            </w:pPr>
            <w:r>
              <w:rPr>
                <w:rFonts w:ascii="Arial" w:cs="Arial" w:eastAsia="Arial" w:hAnsi="Arial"/>
                <w:sz w:val="20"/>
                <w:szCs w:val="20"/>
                <w:color w:val="auto"/>
                <w:w w:val="87"/>
              </w:rPr>
              <w:t>4.11</w:t>
            </w:r>
          </w:p>
        </w:tc>
        <w:tc>
          <w:tcPr>
            <w:tcW w:w="7680" w:type="dxa"/>
            <w:vAlign w:val="bottom"/>
          </w:tcPr>
          <w:p>
            <w:pPr>
              <w:ind w:left="100"/>
              <w:spacing w:after="0"/>
              <w:rPr>
                <w:sz w:val="20"/>
                <w:szCs w:val="20"/>
                <w:color w:val="auto"/>
              </w:rPr>
            </w:pPr>
            <w:r>
              <w:rPr>
                <w:rFonts w:ascii="Arial" w:cs="Arial" w:eastAsia="Arial" w:hAnsi="Arial"/>
                <w:sz w:val="20"/>
                <w:szCs w:val="20"/>
                <w:color w:val="auto"/>
              </w:rPr>
              <w:t>Execution of Negotiable Instruments, Deeds and Contracts</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6"/>
              </w:rPr>
              <w:t>ARTICLE V</w:t>
            </w:r>
          </w:p>
        </w:tc>
        <w:tc>
          <w:tcPr>
            <w:tcW w:w="7680" w:type="dxa"/>
            <w:vAlign w:val="bottom"/>
          </w:tcPr>
          <w:p>
            <w:pPr>
              <w:ind w:left="100"/>
              <w:spacing w:after="0"/>
              <w:rPr>
                <w:sz w:val="20"/>
                <w:szCs w:val="20"/>
                <w:color w:val="auto"/>
              </w:rPr>
            </w:pPr>
            <w:r>
              <w:rPr>
                <w:rFonts w:ascii="Arial" w:cs="Arial" w:eastAsia="Arial" w:hAnsi="Arial"/>
                <w:sz w:val="20"/>
                <w:szCs w:val="20"/>
                <w:color w:val="auto"/>
              </w:rPr>
              <w:t>CAPITAL STOCK</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5.1</w:t>
            </w:r>
          </w:p>
        </w:tc>
        <w:tc>
          <w:tcPr>
            <w:tcW w:w="7680" w:type="dxa"/>
            <w:vAlign w:val="bottom"/>
          </w:tcPr>
          <w:p>
            <w:pPr>
              <w:ind w:left="100"/>
              <w:spacing w:after="0"/>
              <w:rPr>
                <w:sz w:val="20"/>
                <w:szCs w:val="20"/>
                <w:color w:val="auto"/>
              </w:rPr>
            </w:pPr>
            <w:r>
              <w:rPr>
                <w:rFonts w:ascii="Arial" w:cs="Arial" w:eastAsia="Arial" w:hAnsi="Arial"/>
                <w:sz w:val="20"/>
                <w:szCs w:val="20"/>
                <w:color w:val="auto"/>
              </w:rPr>
              <w:t>Issuance</w:t>
            </w:r>
          </w:p>
        </w:tc>
        <w:tc>
          <w:tcPr>
            <w:tcW w:w="2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5.2</w:t>
            </w:r>
          </w:p>
        </w:tc>
        <w:tc>
          <w:tcPr>
            <w:tcW w:w="7680" w:type="dxa"/>
            <w:vAlign w:val="bottom"/>
          </w:tcPr>
          <w:p>
            <w:pPr>
              <w:ind w:left="100"/>
              <w:spacing w:after="0"/>
              <w:rPr>
                <w:sz w:val="20"/>
                <w:szCs w:val="20"/>
                <w:color w:val="auto"/>
              </w:rPr>
            </w:pPr>
            <w:r>
              <w:rPr>
                <w:rFonts w:ascii="Arial" w:cs="Arial" w:eastAsia="Arial" w:hAnsi="Arial"/>
                <w:sz w:val="20"/>
                <w:szCs w:val="20"/>
                <w:color w:val="auto"/>
              </w:rPr>
              <w:t>Stock Certificates and Uncertificated Shares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5.3</w:t>
            </w:r>
          </w:p>
        </w:tc>
        <w:tc>
          <w:tcPr>
            <w:tcW w:w="7680" w:type="dxa"/>
            <w:vAlign w:val="bottom"/>
          </w:tcPr>
          <w:p>
            <w:pPr>
              <w:ind w:left="100"/>
              <w:spacing w:after="0"/>
              <w:rPr>
                <w:sz w:val="20"/>
                <w:szCs w:val="20"/>
                <w:color w:val="auto"/>
              </w:rPr>
            </w:pPr>
            <w:r>
              <w:rPr>
                <w:rFonts w:ascii="Arial" w:cs="Arial" w:eastAsia="Arial" w:hAnsi="Arial"/>
                <w:sz w:val="20"/>
                <w:szCs w:val="20"/>
                <w:color w:val="auto"/>
              </w:rPr>
              <w:t>Surrendered; Lost or Destroyed Certificates</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5.4</w:t>
            </w:r>
          </w:p>
        </w:tc>
        <w:tc>
          <w:tcPr>
            <w:tcW w:w="7680" w:type="dxa"/>
            <w:vAlign w:val="bottom"/>
          </w:tcPr>
          <w:p>
            <w:pPr>
              <w:ind w:left="100"/>
              <w:spacing w:after="0"/>
              <w:rPr>
                <w:sz w:val="20"/>
                <w:szCs w:val="20"/>
                <w:color w:val="auto"/>
              </w:rPr>
            </w:pPr>
            <w:r>
              <w:rPr>
                <w:rFonts w:ascii="Arial" w:cs="Arial" w:eastAsia="Arial" w:hAnsi="Arial"/>
                <w:sz w:val="20"/>
                <w:szCs w:val="20"/>
                <w:color w:val="auto"/>
              </w:rPr>
              <w:t>Replacement Certificate</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5.5</w:t>
            </w:r>
          </w:p>
        </w:tc>
        <w:tc>
          <w:tcPr>
            <w:tcW w:w="7680" w:type="dxa"/>
            <w:vAlign w:val="bottom"/>
          </w:tcPr>
          <w:p>
            <w:pPr>
              <w:ind w:left="100"/>
              <w:spacing w:after="0"/>
              <w:rPr>
                <w:sz w:val="20"/>
                <w:szCs w:val="20"/>
                <w:color w:val="auto"/>
              </w:rPr>
            </w:pPr>
            <w:r>
              <w:rPr>
                <w:rFonts w:ascii="Arial" w:cs="Arial" w:eastAsia="Arial" w:hAnsi="Arial"/>
                <w:sz w:val="20"/>
                <w:szCs w:val="20"/>
                <w:color w:val="auto"/>
              </w:rPr>
              <w:t>Transfer of Shares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5.6</w:t>
            </w:r>
          </w:p>
        </w:tc>
        <w:tc>
          <w:tcPr>
            <w:tcW w:w="7680" w:type="dxa"/>
            <w:vAlign w:val="bottom"/>
          </w:tcPr>
          <w:p>
            <w:pPr>
              <w:ind w:left="100"/>
              <w:spacing w:after="0"/>
              <w:rPr>
                <w:sz w:val="20"/>
                <w:szCs w:val="20"/>
                <w:color w:val="auto"/>
              </w:rPr>
            </w:pPr>
            <w:r>
              <w:rPr>
                <w:rFonts w:ascii="Arial" w:cs="Arial" w:eastAsia="Arial" w:hAnsi="Arial"/>
                <w:sz w:val="20"/>
                <w:szCs w:val="20"/>
                <w:color w:val="auto"/>
              </w:rPr>
              <w:t>Transfer Agent; Registrars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5.7</w:t>
            </w:r>
          </w:p>
        </w:tc>
        <w:tc>
          <w:tcPr>
            <w:tcW w:w="7680" w:type="dxa"/>
            <w:vAlign w:val="bottom"/>
          </w:tcPr>
          <w:p>
            <w:pPr>
              <w:ind w:left="100"/>
              <w:spacing w:after="0"/>
              <w:rPr>
                <w:sz w:val="20"/>
                <w:szCs w:val="20"/>
                <w:color w:val="auto"/>
              </w:rPr>
            </w:pPr>
            <w:r>
              <w:rPr>
                <w:rFonts w:ascii="Arial" w:cs="Arial" w:eastAsia="Arial" w:hAnsi="Arial"/>
                <w:sz w:val="20"/>
                <w:szCs w:val="20"/>
                <w:color w:val="auto"/>
              </w:rPr>
              <w:t>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5.8</w:t>
            </w:r>
          </w:p>
        </w:tc>
        <w:tc>
          <w:tcPr>
            <w:tcW w:w="7680" w:type="dxa"/>
            <w:vAlign w:val="bottom"/>
          </w:tcPr>
          <w:p>
            <w:pPr>
              <w:ind w:left="100"/>
              <w:spacing w:after="0"/>
              <w:rPr>
                <w:sz w:val="20"/>
                <w:szCs w:val="20"/>
                <w:color w:val="auto"/>
              </w:rPr>
            </w:pPr>
            <w:r>
              <w:rPr>
                <w:rFonts w:ascii="Arial" w:cs="Arial" w:eastAsia="Arial" w:hAnsi="Arial"/>
                <w:sz w:val="20"/>
                <w:szCs w:val="20"/>
                <w:color w:val="auto"/>
              </w:rPr>
              <w:t>Inapplicability of Controlling Interest Statutes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9"/>
              </w:rPr>
              <w:t>ARTICLE VI</w:t>
            </w:r>
          </w:p>
        </w:tc>
        <w:tc>
          <w:tcPr>
            <w:tcW w:w="7680" w:type="dxa"/>
            <w:vAlign w:val="bottom"/>
          </w:tcPr>
          <w:p>
            <w:pPr>
              <w:ind w:left="100"/>
              <w:spacing w:after="0"/>
              <w:rPr>
                <w:sz w:val="20"/>
                <w:szCs w:val="20"/>
                <w:color w:val="auto"/>
              </w:rPr>
            </w:pPr>
            <w:r>
              <w:rPr>
                <w:rFonts w:ascii="Arial" w:cs="Arial" w:eastAsia="Arial" w:hAnsi="Arial"/>
                <w:sz w:val="20"/>
                <w:szCs w:val="20"/>
                <w:color w:val="auto"/>
              </w:rPr>
              <w:t>DISTRIBUTIONS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rPr>
              <w:t>ARTICLE VII</w:t>
            </w:r>
          </w:p>
        </w:tc>
        <w:tc>
          <w:tcPr>
            <w:tcW w:w="7680" w:type="dxa"/>
            <w:vAlign w:val="bottom"/>
          </w:tcPr>
          <w:p>
            <w:pPr>
              <w:ind w:left="100"/>
              <w:spacing w:after="0"/>
              <w:rPr>
                <w:sz w:val="20"/>
                <w:szCs w:val="20"/>
                <w:color w:val="auto"/>
              </w:rPr>
            </w:pPr>
            <w:r>
              <w:rPr>
                <w:rFonts w:ascii="Arial" w:cs="Arial" w:eastAsia="Arial" w:hAnsi="Arial"/>
                <w:sz w:val="20"/>
                <w:szCs w:val="20"/>
                <w:color w:val="auto"/>
              </w:rPr>
              <w:t>RECORDS AND REPORTS; CORPORATE SEAL; AND FISCAL YEAR</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7.1</w:t>
            </w:r>
          </w:p>
        </w:tc>
        <w:tc>
          <w:tcPr>
            <w:tcW w:w="7680" w:type="dxa"/>
            <w:vAlign w:val="bottom"/>
          </w:tcPr>
          <w:p>
            <w:pPr>
              <w:ind w:left="100"/>
              <w:spacing w:after="0"/>
              <w:rPr>
                <w:sz w:val="20"/>
                <w:szCs w:val="20"/>
                <w:color w:val="auto"/>
              </w:rPr>
            </w:pPr>
            <w:r>
              <w:rPr>
                <w:rFonts w:ascii="Arial" w:cs="Arial" w:eastAsia="Arial" w:hAnsi="Arial"/>
                <w:sz w:val="20"/>
                <w:szCs w:val="20"/>
                <w:color w:val="auto"/>
              </w:rPr>
              <w:t>Records</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7.2</w:t>
            </w:r>
          </w:p>
        </w:tc>
        <w:tc>
          <w:tcPr>
            <w:tcW w:w="7680" w:type="dxa"/>
            <w:vAlign w:val="bottom"/>
          </w:tcPr>
          <w:p>
            <w:pPr>
              <w:ind w:left="100"/>
              <w:spacing w:after="0"/>
              <w:rPr>
                <w:sz w:val="20"/>
                <w:szCs w:val="20"/>
                <w:color w:val="auto"/>
              </w:rPr>
            </w:pPr>
            <w:r>
              <w:rPr>
                <w:rFonts w:ascii="Arial" w:cs="Arial" w:eastAsia="Arial" w:hAnsi="Arial"/>
                <w:sz w:val="20"/>
                <w:szCs w:val="20"/>
                <w:color w:val="auto"/>
              </w:rPr>
              <w:t>Corporate Seal</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7.3</w:t>
            </w:r>
          </w:p>
        </w:tc>
        <w:tc>
          <w:tcPr>
            <w:tcW w:w="7680" w:type="dxa"/>
            <w:vAlign w:val="bottom"/>
          </w:tcPr>
          <w:p>
            <w:pPr>
              <w:ind w:left="100"/>
              <w:spacing w:after="0"/>
              <w:rPr>
                <w:sz w:val="20"/>
                <w:szCs w:val="20"/>
                <w:color w:val="auto"/>
              </w:rPr>
            </w:pPr>
            <w:r>
              <w:rPr>
                <w:rFonts w:ascii="Arial" w:cs="Arial" w:eastAsia="Arial" w:hAnsi="Arial"/>
                <w:sz w:val="20"/>
                <w:szCs w:val="20"/>
                <w:color w:val="auto"/>
              </w:rPr>
              <w:t>Fiscal Year-End</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9"/>
              </w:rPr>
              <w:t>ARTICLE VIII</w:t>
            </w:r>
          </w:p>
        </w:tc>
        <w:tc>
          <w:tcPr>
            <w:tcW w:w="7680" w:type="dxa"/>
            <w:vAlign w:val="bottom"/>
          </w:tcPr>
          <w:p>
            <w:pPr>
              <w:ind w:left="100"/>
              <w:spacing w:after="0"/>
              <w:rPr>
                <w:sz w:val="20"/>
                <w:szCs w:val="20"/>
                <w:color w:val="auto"/>
              </w:rPr>
            </w:pPr>
            <w:r>
              <w:rPr>
                <w:rFonts w:ascii="Arial" w:cs="Arial" w:eastAsia="Arial" w:hAnsi="Arial"/>
                <w:sz w:val="20"/>
                <w:szCs w:val="20"/>
                <w:color w:val="auto"/>
              </w:rPr>
              <w:t>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8.1</w:t>
            </w:r>
          </w:p>
        </w:tc>
        <w:tc>
          <w:tcPr>
            <w:tcW w:w="7680" w:type="dxa"/>
            <w:vAlign w:val="bottom"/>
          </w:tcPr>
          <w:p>
            <w:pPr>
              <w:ind w:left="100"/>
              <w:spacing w:after="0"/>
              <w:rPr>
                <w:sz w:val="20"/>
                <w:szCs w:val="20"/>
                <w:color w:val="auto"/>
              </w:rPr>
            </w:pPr>
            <w:r>
              <w:rPr>
                <w:rFonts w:ascii="Arial" w:cs="Arial" w:eastAsia="Arial" w:hAnsi="Arial"/>
                <w:sz w:val="20"/>
                <w:szCs w:val="20"/>
                <w:color w:val="auto"/>
              </w:rPr>
              <w:t>Indemnification and Insurance</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86"/>
              </w:rPr>
              <w:t>8.2</w:t>
            </w:r>
          </w:p>
        </w:tc>
        <w:tc>
          <w:tcPr>
            <w:tcW w:w="7680" w:type="dxa"/>
            <w:vAlign w:val="bottom"/>
          </w:tcPr>
          <w:p>
            <w:pPr>
              <w:ind w:left="100"/>
              <w:spacing w:after="0"/>
              <w:rPr>
                <w:sz w:val="20"/>
                <w:szCs w:val="20"/>
                <w:color w:val="auto"/>
              </w:rPr>
            </w:pPr>
            <w:r>
              <w:rPr>
                <w:rFonts w:ascii="Arial" w:cs="Arial" w:eastAsia="Arial" w:hAnsi="Arial"/>
                <w:sz w:val="20"/>
                <w:szCs w:val="20"/>
                <w:color w:val="auto"/>
              </w:rPr>
              <w:t>Amendment</w:t>
            </w:r>
          </w:p>
        </w:tc>
        <w:tc>
          <w:tcPr>
            <w:tcW w:w="2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9"/>
              </w:rPr>
              <w:t>ARTICLE IX</w:t>
            </w:r>
          </w:p>
        </w:tc>
        <w:tc>
          <w:tcPr>
            <w:tcW w:w="7680" w:type="dxa"/>
            <w:vAlign w:val="bottom"/>
          </w:tcPr>
          <w:p>
            <w:pPr>
              <w:ind w:left="100"/>
              <w:spacing w:after="0"/>
              <w:rPr>
                <w:sz w:val="20"/>
                <w:szCs w:val="20"/>
                <w:color w:val="auto"/>
              </w:rPr>
            </w:pPr>
            <w:r>
              <w:rPr>
                <w:rFonts w:ascii="Arial" w:cs="Arial" w:eastAsia="Arial" w:hAnsi="Arial"/>
                <w:sz w:val="20"/>
                <w:szCs w:val="20"/>
                <w:color w:val="auto"/>
              </w:rPr>
              <w:t>CHANGES IN NEVADA LAW</w:t>
            </w:r>
          </w:p>
        </w:tc>
        <w:tc>
          <w:tcPr>
            <w:tcW w:w="2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6"/>
              </w:rPr>
              <w:t>ARTICLE X</w:t>
            </w:r>
          </w:p>
        </w:tc>
        <w:tc>
          <w:tcPr>
            <w:tcW w:w="7680" w:type="dxa"/>
            <w:vAlign w:val="bottom"/>
          </w:tcPr>
          <w:p>
            <w:pPr>
              <w:ind w:left="100"/>
              <w:spacing w:after="0"/>
              <w:rPr>
                <w:sz w:val="20"/>
                <w:szCs w:val="20"/>
                <w:color w:val="auto"/>
              </w:rPr>
            </w:pPr>
            <w:r>
              <w:rPr>
                <w:rFonts w:ascii="Arial" w:cs="Arial" w:eastAsia="Arial" w:hAnsi="Arial"/>
                <w:sz w:val="20"/>
                <w:szCs w:val="20"/>
                <w:color w:val="auto"/>
              </w:rPr>
              <w:t>AMENDMENT OR REPEAL</w:t>
            </w: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2"/>
              </w:rPr>
              <w:t>10.1</w:t>
            </w:r>
          </w:p>
        </w:tc>
        <w:tc>
          <w:tcPr>
            <w:tcW w:w="7680" w:type="dxa"/>
            <w:vAlign w:val="bottom"/>
          </w:tcPr>
          <w:p>
            <w:pPr>
              <w:ind w:left="100"/>
              <w:spacing w:after="0"/>
              <w:rPr>
                <w:sz w:val="20"/>
                <w:szCs w:val="20"/>
                <w:color w:val="auto"/>
              </w:rPr>
            </w:pPr>
            <w:r>
              <w:rPr>
                <w:rFonts w:ascii="Arial" w:cs="Arial" w:eastAsia="Arial" w:hAnsi="Arial"/>
                <w:sz w:val="20"/>
                <w:szCs w:val="20"/>
                <w:color w:val="auto"/>
              </w:rPr>
              <w:t>Amendment of Bylaws</w:t>
            </w: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08"/>
        </w:trPr>
        <w:tc>
          <w:tcPr>
            <w:tcW w:w="1320" w:type="dxa"/>
            <w:vAlign w:val="bottom"/>
          </w:tcPr>
          <w:p>
            <w:pPr>
              <w:jc w:val="center"/>
              <w:ind w:right="21"/>
              <w:spacing w:after="0"/>
              <w:rPr>
                <w:sz w:val="20"/>
                <w:szCs w:val="20"/>
                <w:color w:val="auto"/>
              </w:rPr>
            </w:pPr>
            <w:r>
              <w:rPr>
                <w:rFonts w:ascii="Arial" w:cs="Arial" w:eastAsia="Arial" w:hAnsi="Arial"/>
                <w:sz w:val="20"/>
                <w:szCs w:val="20"/>
                <w:color w:val="auto"/>
                <w:w w:val="99"/>
              </w:rPr>
              <w:t>ARTICLE XI</w:t>
            </w:r>
          </w:p>
        </w:tc>
        <w:tc>
          <w:tcPr>
            <w:tcW w:w="7680" w:type="dxa"/>
            <w:vAlign w:val="bottom"/>
          </w:tcPr>
          <w:p>
            <w:pPr>
              <w:ind w:left="100"/>
              <w:spacing w:after="0"/>
              <w:rPr>
                <w:sz w:val="20"/>
                <w:szCs w:val="20"/>
                <w:color w:val="auto"/>
              </w:rPr>
            </w:pPr>
            <w:r>
              <w:rPr>
                <w:rFonts w:ascii="Arial" w:cs="Arial" w:eastAsia="Arial" w:hAnsi="Arial"/>
                <w:sz w:val="20"/>
                <w:szCs w:val="20"/>
                <w:color w:val="auto"/>
              </w:rPr>
              <w:t>FORUM FOR ADJUDICATION OF DISPUTES</w:t>
            </w: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ectPr>
          <w:pgSz w:w="11900" w:h="16838" w:orient="portrait"/>
          <w:cols w:equalWidth="0" w:num="1">
            <w:col w:w="11000"/>
          </w:cols>
          <w:pgMar w:left="500" w:top="811" w:right="399" w:bottom="1440" w:gutter="0" w:footer="0" w:header="0"/>
        </w:sect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000"/>
          </w:cols>
          <w:pgMar w:left="500" w:top="811" w:right="399" w:bottom="1440" w:gutter="0" w:footer="0" w:header="0"/>
          <w:type w:val="continuous"/>
        </w:sectPr>
      </w:pPr>
    </w:p>
    <w:bookmarkStart w:id="57" w:name="page58"/>
    <w:bookmarkEnd w:id="57"/>
    <w:p>
      <w:pPr>
        <w:jc w:val="center"/>
        <w:ind w:right="40"/>
        <w:spacing w:after="0"/>
        <w:rPr>
          <w:sz w:val="20"/>
          <w:szCs w:val="20"/>
          <w:color w:val="auto"/>
        </w:rPr>
      </w:pPr>
      <w:r>
        <w:rPr>
          <w:rFonts w:ascii="Arial" w:cs="Arial" w:eastAsia="Arial" w:hAnsi="Arial"/>
          <w:sz w:val="20"/>
          <w:szCs w:val="20"/>
          <w:color w:val="auto"/>
        </w:rPr>
        <w:t>EIGHTH AMENDED AND RESTATED</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BYLAWS WYNN RESORTS, LIMITED</w:t>
      </w:r>
    </w:p>
    <w:p>
      <w:pPr>
        <w:jc w:val="center"/>
        <w:spacing w:after="0"/>
        <w:rPr>
          <w:sz w:val="20"/>
          <w:szCs w:val="20"/>
          <w:color w:val="auto"/>
        </w:rPr>
      </w:pPr>
      <w:r>
        <w:rPr>
          <w:rFonts w:ascii="Arial" w:cs="Arial" w:eastAsia="Arial" w:hAnsi="Arial"/>
          <w:sz w:val="20"/>
          <w:szCs w:val="20"/>
          <w:color w:val="auto"/>
        </w:rPr>
        <w:t>a Nevada corporation</w:t>
      </w:r>
    </w:p>
    <w:p>
      <w:pPr>
        <w:spacing w:after="0" w:line="200" w:lineRule="exact"/>
        <w:rPr>
          <w:sz w:val="20"/>
          <w:szCs w:val="20"/>
          <w:color w:val="auto"/>
        </w:rPr>
      </w:pPr>
    </w:p>
    <w:p>
      <w:pPr>
        <w:jc w:val="right"/>
        <w:ind w:right="5260"/>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right"/>
        <w:ind w:right="5300"/>
        <w:spacing w:after="0"/>
        <w:rPr>
          <w:sz w:val="20"/>
          <w:szCs w:val="20"/>
          <w:color w:val="auto"/>
        </w:rPr>
      </w:pPr>
      <w:r>
        <w:rPr>
          <w:rFonts w:ascii="Arial" w:cs="Arial" w:eastAsia="Arial" w:hAnsi="Arial"/>
          <w:sz w:val="20"/>
          <w:szCs w:val="20"/>
          <w:u w:val="single" w:color="auto"/>
          <w:color w:val="auto"/>
        </w:rPr>
        <w:t>OFFICES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Office</w:t>
      </w:r>
      <w:r>
        <w:rPr>
          <w:rFonts w:ascii="Arial" w:cs="Arial" w:eastAsia="Arial" w:hAnsi="Arial"/>
          <w:sz w:val="20"/>
          <w:szCs w:val="20"/>
          <w:color w:val="auto"/>
        </w:rPr>
        <w:t>. The principal office and place of business of Wynn Resorts, Limited (the “</w:t>
      </w:r>
      <w:r>
        <w:rPr>
          <w:rFonts w:ascii="Arial" w:cs="Arial" w:eastAsia="Arial" w:hAnsi="Arial"/>
          <w:sz w:val="20"/>
          <w:szCs w:val="20"/>
          <w:b w:val="1"/>
          <w:bCs w:val="1"/>
          <w:color w:val="auto"/>
        </w:rPr>
        <w:t>Corporation</w:t>
      </w:r>
      <w:r>
        <w:rPr>
          <w:rFonts w:ascii="Arial" w:cs="Arial" w:eastAsia="Arial" w:hAnsi="Arial"/>
          <w:sz w:val="20"/>
          <w:szCs w:val="20"/>
          <w:color w:val="auto"/>
        </w:rPr>
        <w:t>”) shall be at 3131 Las Vegas Boulevard South, Las Vegas, Nevada 89109 or at such other location as established from time to time by resolution of the board of directors of the Corporation (the “</w:t>
      </w:r>
      <w:r>
        <w:rPr>
          <w:rFonts w:ascii="Arial" w:cs="Arial" w:eastAsia="Arial" w:hAnsi="Arial"/>
          <w:sz w:val="20"/>
          <w:szCs w:val="20"/>
          <w:b w:val="1"/>
          <w:bCs w:val="1"/>
          <w:color w:val="auto"/>
        </w:rPr>
        <w:t>Board of Directors</w:t>
      </w:r>
      <w:r>
        <w:rPr>
          <w:rFonts w:ascii="Arial" w:cs="Arial" w:eastAsia="Arial" w:hAnsi="Arial"/>
          <w:sz w:val="20"/>
          <w:szCs w:val="20"/>
          <w:color w:val="auto"/>
        </w:rPr>
        <w: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Other Offices</w:t>
      </w:r>
      <w:r>
        <w:rPr>
          <w:rFonts w:ascii="Arial" w:cs="Arial" w:eastAsia="Arial" w:hAnsi="Arial"/>
          <w:sz w:val="20"/>
          <w:szCs w:val="20"/>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18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STOCKHOLDERS</w:t>
      </w:r>
    </w:p>
    <w:p>
      <w:pPr>
        <w:spacing w:after="0" w:line="20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 pursuant to these Seventh Amended and Restated Bylaws (as amended from time to time, these “</w:t>
      </w:r>
      <w:r>
        <w:rPr>
          <w:rFonts w:ascii="Arial" w:cs="Arial" w:eastAsia="Arial" w:hAnsi="Arial"/>
          <w:sz w:val="16"/>
          <w:szCs w:val="16"/>
          <w:b w:val="1"/>
          <w:bCs w:val="1"/>
          <w:color w:val="auto"/>
        </w:rPr>
        <w:t>Bylaws</w:t>
      </w:r>
      <w:r>
        <w:rPr>
          <w:rFonts w:ascii="Arial" w:cs="Arial" w:eastAsia="Arial" w:hAnsi="Arial"/>
          <w:sz w:val="16"/>
          <w:szCs w:val="16"/>
          <w:color w:val="auto"/>
        </w:rPr>
        <w:t>”). Except as otherwise restricted by the articles of incorporation of the Corporation (as amended from time to time, the “</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or applicable law, the Board of Directors may postpone, reschedule or cancel any annual meeting of stockholders.</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753"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Subject to any rights of stockholders set forth in the Articles of Incorporation, special meetings of the stockholders may be called only by the chairman of the board or the chief executive officer or, if there be no chairman of the board and no chief executive officer, by the president, and shall be called by the secretary upon the written request of at least a majority of the Board of Directors. Such request shall state the purpose or purposes of the meeting. Stockholders shall have no right to request or call a special meeting. Except as otherwise restricted by the Articles of Incorporation or applicable law, the Board of Directors may postpone, reschedule or cancel any special meeting of stockholders.</w:t>
      </w:r>
    </w:p>
    <w:p>
      <w:pPr>
        <w:spacing w:after="0" w:line="196" w:lineRule="exact"/>
        <w:rPr>
          <w:rFonts w:ascii="Arial" w:cs="Arial" w:eastAsia="Arial" w:hAnsi="Arial"/>
          <w:sz w:val="20"/>
          <w:szCs w:val="20"/>
          <w:color w:val="auto"/>
        </w:rPr>
      </w:pPr>
    </w:p>
    <w:p>
      <w:pPr>
        <w:ind w:left="1740" w:hanging="435"/>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Place of Meetings</w:t>
      </w:r>
      <w:r>
        <w:rPr>
          <w:rFonts w:ascii="Arial" w:cs="Arial" w:eastAsia="Arial" w:hAnsi="Arial"/>
          <w:sz w:val="20"/>
          <w:szCs w:val="20"/>
          <w:color w:val="auto"/>
        </w:rPr>
        <w:t>. Any meeting of the stockholders of the Corporation may be held at the Corporation’s registered office in the State of Nevada or at such other place in or out of the State of Nevada and the United States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electronic communications or other available technology in accordance with Section 2.14.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2" w:right="239" w:bottom="1440" w:gutter="0" w:footer="0" w:header="0"/>
        </w:sectPr>
      </w:pPr>
    </w:p>
    <w:bookmarkStart w:id="58" w:name="page59"/>
    <w:bookmarkEnd w:id="58"/>
    <w:p>
      <w:pPr>
        <w:ind w:left="660"/>
        <w:spacing w:after="0"/>
        <w:tabs>
          <w:tab w:leader="none" w:pos="172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4" w:lineRule="auto"/>
        <w:tabs>
          <w:tab w:leader="none" w:pos="18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chief executive officer, if any, the president, any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the means of electronic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Nevada Revised Statutes (as amended from time to time, the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740" w:val="left"/>
        </w:tabs>
        <w:numPr>
          <w:ilvl w:val="1"/>
          <w:numId w:val="16"/>
        </w:numPr>
        <w:rPr>
          <w:rFonts w:ascii="Arial" w:cs="Arial" w:eastAsia="Arial" w:hAnsi="Arial"/>
          <w:sz w:val="20"/>
          <w:szCs w:val="20"/>
          <w:color w:val="auto"/>
        </w:rPr>
      </w:pPr>
      <w:r>
        <w:rPr>
          <w:rFonts w:ascii="Arial" w:cs="Arial" w:eastAsia="Arial" w:hAnsi="Arial"/>
          <w:sz w:val="20"/>
          <w:szCs w:val="20"/>
          <w:color w:val="auto"/>
        </w:rPr>
        <w:t>In the case of an annual meeting, subject to Section 2.13,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96" w:lineRule="exact"/>
        <w:rPr>
          <w:rFonts w:ascii="Arial" w:cs="Arial" w:eastAsia="Arial" w:hAnsi="Arial"/>
          <w:sz w:val="20"/>
          <w:szCs w:val="20"/>
          <w:color w:val="auto"/>
        </w:rPr>
      </w:pPr>
    </w:p>
    <w:p>
      <w:pPr>
        <w:jc w:val="both"/>
        <w:ind w:firstLine="1305"/>
        <w:spacing w:after="0" w:line="268" w:lineRule="auto"/>
        <w:tabs>
          <w:tab w:leader="none" w:pos="17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the notice shall be personally delivered or mailed postage prepaid to each stockholder of record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w:t>
      </w:r>
    </w:p>
    <w:p>
      <w:pPr>
        <w:spacing w:after="0" w:line="3" w:lineRule="exact"/>
        <w:rPr>
          <w:rFonts w:ascii="Arial" w:cs="Arial" w:eastAsia="Arial" w:hAnsi="Arial"/>
          <w:sz w:val="18"/>
          <w:szCs w:val="18"/>
          <w:color w:val="auto"/>
        </w:rPr>
      </w:pPr>
    </w:p>
    <w:p>
      <w:pPr>
        <w:jc w:val="both"/>
        <w:ind w:firstLine="8"/>
        <w:spacing w:after="0"/>
        <w:tabs>
          <w:tab w:leader="none" w:pos="307" w:val="left"/>
        </w:tabs>
        <w:numPr>
          <w:ilvl w:val="0"/>
          <w:numId w:val="17"/>
        </w:numPr>
        <w:rPr>
          <w:rFonts w:ascii="Arial" w:cs="Arial" w:eastAsia="Arial" w:hAnsi="Arial"/>
          <w:sz w:val="20"/>
          <w:szCs w:val="20"/>
          <w:color w:val="auto"/>
        </w:rPr>
      </w:pPr>
      <w:r>
        <w:rPr>
          <w:rFonts w:ascii="Arial" w:cs="Arial" w:eastAsia="Arial" w:hAnsi="Arial"/>
          <w:sz w:val="20"/>
          <w:szCs w:val="20"/>
          <w:color w:val="auto"/>
        </w:rPr>
        <w:t>by e-mail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197" w:lineRule="exact"/>
        <w:rPr>
          <w:rFonts w:ascii="Arial" w:cs="Arial" w:eastAsia="Arial" w:hAnsi="Arial"/>
          <w:sz w:val="20"/>
          <w:szCs w:val="20"/>
          <w:color w:val="auto"/>
        </w:rPr>
      </w:pPr>
    </w:p>
    <w:p>
      <w:pPr>
        <w:jc w:val="both"/>
        <w:ind w:firstLine="1305"/>
        <w:spacing w:after="0" w:line="244" w:lineRule="auto"/>
        <w:tabs>
          <w:tab w:leader="none" w:pos="1767"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59" w:name="page60"/>
    <w:bookmarkEnd w:id="59"/>
    <w:p>
      <w:pPr>
        <w:ind w:firstLine="1305"/>
        <w:spacing w:after="0" w:line="260" w:lineRule="auto"/>
        <w:tabs>
          <w:tab w:leader="none" w:pos="1746"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stockholder may waive notice of any meeting by a signed writing or by transmission of an electronic record, either before or after the meeting. Such waiver of notice shall be deemed the equivalent of the giving of such notice.</w:t>
      </w:r>
    </w:p>
    <w:p>
      <w:pPr>
        <w:spacing w:after="0" w:line="17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3" w:lineRule="auto"/>
        <w:tabs>
          <w:tab w:leader="none" w:pos="1729"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76" w:lineRule="exact"/>
        <w:rPr>
          <w:rFonts w:ascii="Arial" w:cs="Arial" w:eastAsia="Arial" w:hAnsi="Arial"/>
          <w:sz w:val="19"/>
          <w:szCs w:val="19"/>
          <w:color w:val="auto"/>
        </w:rPr>
      </w:pPr>
    </w:p>
    <w:p>
      <w:pPr>
        <w:jc w:val="both"/>
        <w:ind w:firstLine="1305"/>
        <w:spacing w:after="0" w:line="274" w:lineRule="auto"/>
        <w:tabs>
          <w:tab w:leader="none" w:pos="1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60 days later than the date set for the original meeting.</w:t>
      </w:r>
    </w:p>
    <w:p>
      <w:pPr>
        <w:spacing w:after="0" w:line="16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7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96" w:lineRule="exact"/>
        <w:rPr>
          <w:rFonts w:ascii="Arial" w:cs="Arial" w:eastAsia="Arial" w:hAnsi="Arial"/>
          <w:sz w:val="20"/>
          <w:szCs w:val="20"/>
          <w:color w:val="auto"/>
        </w:rPr>
      </w:pPr>
    </w:p>
    <w:p>
      <w:pPr>
        <w:jc w:val="both"/>
        <w:ind w:firstLine="1305"/>
        <w:spacing w:after="0" w:line="256" w:lineRule="auto"/>
        <w:tabs>
          <w:tab w:leader="none" w:pos="1797"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a quorum is not represented, a majority of the voting power represented or the individual acting as chairman of the meeting may adjourn the meeting from time to time until a quorum shall be represented. The individual acting as chairman of the meeting may, for any or no reason, from time to time, adjourn or recess any meeting of stockholders.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11" w:right="239" w:bottom="1440" w:gutter="0" w:footer="0" w:header="0"/>
        </w:sectPr>
      </w:pPr>
    </w:p>
    <w:bookmarkStart w:id="60" w:name="page61"/>
    <w:bookmarkEnd w:id="60"/>
    <w:p>
      <w:pPr>
        <w:ind w:left="660"/>
        <w:spacing w:after="0"/>
        <w:tabs>
          <w:tab w:leader="none" w:pos="172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6" w:lineRule="auto"/>
        <w:tabs>
          <w:tab w:leader="none" w:pos="1814"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Unless otherwise provided in the NRS, the Articles of Incorporation, or any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91" w:lineRule="exact"/>
        <w:rPr>
          <w:rFonts w:ascii="Arial" w:cs="Arial" w:eastAsia="Arial" w:hAnsi="Arial"/>
          <w:sz w:val="20"/>
          <w:szCs w:val="20"/>
          <w:color w:val="auto"/>
        </w:rPr>
      </w:pPr>
    </w:p>
    <w:p>
      <w:pPr>
        <w:jc w:val="both"/>
        <w:ind w:firstLine="1305"/>
        <w:spacing w:after="0" w:line="273" w:lineRule="auto"/>
        <w:tabs>
          <w:tab w:leader="none" w:pos="17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otherwise provided in these Bylaws, all votes with respect to shares (including pledged shares) standing in the name of an individual at the close of business on the record date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7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the chief executive officer, if any,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93" w:lineRule="exact"/>
        <w:rPr>
          <w:rFonts w:ascii="Arial" w:cs="Arial" w:eastAsia="Arial" w:hAnsi="Arial"/>
          <w:sz w:val="20"/>
          <w:szCs w:val="20"/>
          <w:color w:val="auto"/>
        </w:rPr>
      </w:pPr>
    </w:p>
    <w:p>
      <w:pPr>
        <w:jc w:val="both"/>
        <w:ind w:firstLine="1305"/>
        <w:spacing w:after="0" w:line="250" w:lineRule="auto"/>
        <w:tabs>
          <w:tab w:leader="none" w:pos="1806"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703"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832" w:val="left"/>
        </w:tabs>
        <w:numPr>
          <w:ilvl w:val="0"/>
          <w:numId w:val="21"/>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91" w:lineRule="exact"/>
        <w:rPr>
          <w:rFonts w:ascii="Arial" w:cs="Arial" w:eastAsia="Arial" w:hAnsi="Arial"/>
          <w:sz w:val="20"/>
          <w:szCs w:val="20"/>
          <w:color w:val="auto"/>
        </w:rPr>
      </w:pPr>
    </w:p>
    <w:p>
      <w:pPr>
        <w:ind w:left="2340" w:hanging="387"/>
        <w:spacing w:after="0"/>
        <w:tabs>
          <w:tab w:leader="none" w:pos="23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only one person votes, the vote of such person binds all.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11" w:right="239" w:bottom="1440" w:gutter="0" w:footer="0" w:header="0"/>
        </w:sectPr>
      </w:pPr>
    </w:p>
    <w:bookmarkStart w:id="61" w:name="page62"/>
    <w:bookmarkEnd w:id="61"/>
    <w:p>
      <w:pPr>
        <w:ind w:left="2400" w:hanging="447"/>
        <w:spacing w:after="0"/>
        <w:tabs>
          <w:tab w:leader="none" w:pos="24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If more than one person casts votes, the act of the majority so voting binds all.</w:t>
      </w:r>
    </w:p>
    <w:p>
      <w:pPr>
        <w:spacing w:after="0" w:line="215" w:lineRule="exact"/>
        <w:rPr>
          <w:rFonts w:ascii="Arial" w:cs="Arial" w:eastAsia="Arial" w:hAnsi="Arial"/>
          <w:sz w:val="20"/>
          <w:szCs w:val="20"/>
          <w:color w:val="auto"/>
        </w:rPr>
      </w:pPr>
    </w:p>
    <w:p>
      <w:pPr>
        <w:ind w:left="2460" w:hanging="507"/>
        <w:spacing w:after="0"/>
        <w:tabs>
          <w:tab w:leader="none" w:pos="2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cast proportionately, as split.</w:t>
      </w:r>
    </w:p>
    <w:p>
      <w:pPr>
        <w:spacing w:after="0" w:line="199" w:lineRule="exact"/>
        <w:rPr>
          <w:rFonts w:ascii="Arial" w:cs="Arial" w:eastAsia="Arial" w:hAnsi="Arial"/>
          <w:sz w:val="16"/>
          <w:szCs w:val="16"/>
          <w:color w:val="auto"/>
        </w:rPr>
      </w:pPr>
    </w:p>
    <w:p>
      <w:pPr>
        <w:jc w:val="both"/>
        <w:ind w:firstLine="1305"/>
        <w:spacing w:after="0" w:line="259" w:lineRule="auto"/>
        <w:tabs>
          <w:tab w:leader="none" w:pos="1746"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78" w:lineRule="exact"/>
        <w:rPr>
          <w:rFonts w:ascii="Arial" w:cs="Arial" w:eastAsia="Arial" w:hAnsi="Arial"/>
          <w:sz w:val="19"/>
          <w:szCs w:val="19"/>
          <w:color w:val="auto"/>
        </w:rPr>
      </w:pPr>
    </w:p>
    <w:p>
      <w:pPr>
        <w:ind w:left="1740" w:hanging="435"/>
        <w:spacing w:after="0"/>
        <w:tabs>
          <w:tab w:leader="none" w:pos="1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a quorum is present, directors shall be elected by a plurality of the votes cast.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Proxies</w:t>
      </w:r>
      <w:r>
        <w:rPr>
          <w:rFonts w:ascii="Arial" w:cs="Arial" w:eastAsia="Arial" w:hAnsi="Arial"/>
          <w:sz w:val="20"/>
          <w:szCs w:val="20"/>
          <w:color w:val="auto"/>
        </w:rPr>
        <w:t>. At any meeting of stockholders, any holder of shares entitled to vote may designate, in a manner permitted by the laws of the State of Nevada, another person or persons to act as a proxy or proxies. If a stockholder designates two or more persons to act as proxies, then a majority of those persons present at a meeting has and may exercise all of the powers conferred by the stockholder or, if only one is present, then that one has and may exercise all of the powers conferred by the stockholder, unless the stockholder’s designation of proxy provides otherwise. Every proxy shall continue in full force and effect until its expiration or revocation in a manner permitted by the laws of the State of Nevada.</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No Action Without A Meeting</w:t>
      </w:r>
      <w:r>
        <w:rPr>
          <w:rFonts w:ascii="Arial" w:cs="Arial" w:eastAsia="Arial" w:hAnsi="Arial"/>
          <w:sz w:val="20"/>
          <w:szCs w:val="20"/>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or, in the absence of the chairman, by the vice chairman of the board, if any, or if there be no vice chairman or in the absence of the vice chairman, by the chief executive officer, if any, or if there be no chief executive officer or in the absence of the chief executive officer, by the president, or, in the absence of the president, or, in the absence of any of the foregoing persons, by a chairman designated by the Board of Directors, or by a chairman chosen at the meeting by the stockholders entitled to cast a majority of the votes which all stockholders present in person or by proxy are entitled to cast. The individual acting as chairman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chairman of the meeting shall permit, (iii) limitation on the time allotted for consideration of each agenda item and for questions or comments by meeting participants, (iv) restrictions on entry to such meeting after the time prescribed for the commencement thereof and (v) the opening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12" w:right="239" w:bottom="1440" w:gutter="0" w:footer="0" w:header="0"/>
        </w:sectPr>
      </w:pPr>
    </w:p>
    <w:bookmarkStart w:id="62" w:name="page63"/>
    <w:bookmarkEnd w:id="62"/>
    <w:p>
      <w:pPr>
        <w:spacing w:after="0" w:line="260" w:lineRule="auto"/>
        <w:rPr>
          <w:sz w:val="20"/>
          <w:szCs w:val="20"/>
          <w:color w:val="auto"/>
        </w:rPr>
      </w:pPr>
      <w:r>
        <w:rPr>
          <w:rFonts w:ascii="Arial" w:cs="Arial" w:eastAsia="Arial" w:hAnsi="Arial"/>
          <w:sz w:val="20"/>
          <w:szCs w:val="20"/>
          <w:color w:val="auto"/>
        </w:rPr>
        <w:t>closing of the voting polls. The Board of Directors, in its discretion, or the chairman of the meeting, in his or her discretion, may require that any votes cast at such meeting shall be cast by written ballot.</w:t>
      </w:r>
    </w:p>
    <w:p>
      <w:pPr>
        <w:spacing w:after="0" w:line="177" w:lineRule="exact"/>
        <w:rPr>
          <w:sz w:val="20"/>
          <w:szCs w:val="20"/>
          <w:color w:val="auto"/>
        </w:rPr>
      </w:pPr>
    </w:p>
    <w:p>
      <w:pPr>
        <w:jc w:val="both"/>
        <w:ind w:firstLine="1305"/>
        <w:spacing w:after="0" w:line="282" w:lineRule="auto"/>
        <w:tabs>
          <w:tab w:leader="none" w:pos="18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61" w:lineRule="exact"/>
        <w:rPr>
          <w:rFonts w:ascii="Arial" w:cs="Arial" w:eastAsia="Arial" w:hAnsi="Arial"/>
          <w:sz w:val="18"/>
          <w:szCs w:val="18"/>
          <w:color w:val="auto"/>
        </w:rPr>
      </w:pPr>
    </w:p>
    <w:p>
      <w:pPr>
        <w:jc w:val="both"/>
        <w:ind w:firstLine="1305"/>
        <w:spacing w:after="0" w:line="270" w:lineRule="auto"/>
        <w:tabs>
          <w:tab w:leader="none" w:pos="17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Section 2.12 shall be eligible to be elected at any meeting of stockholders of the Corporation to serve as directors and only such business shall be conducted at a meeting of stockholders as shall have been brought before the meeting in accordance with the procedures set forth in Section 2.12. If any proposed nomination or business was not made or proposed in compliance with Section 2.12 (including proper notice under Section 2.13 and including whether the stockholder or beneficial owner, if any, on whose behalf the nomination or proposal is made solicited (or is part of a group which solicited) or did not so solicit, as the case may be, proxies in compliance with such stockholder’s representation pursuant to clause (a)(iv)(D) of Section 2.13), then the Board of Directors or the chairman of the meeting shall have the power to declare that such nomination shall be disregarded or that such proposed business shall not be transacted.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Consent to Meetings</w:t>
      </w:r>
      <w:r>
        <w:rPr>
          <w:rFonts w:ascii="Arial" w:cs="Arial" w:eastAsia="Arial" w:hAnsi="Arial"/>
          <w:sz w:val="19"/>
          <w:szCs w:val="19"/>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Director Nominations and Business Conducted at Meetings of Stockholders</w:t>
      </w:r>
      <w:r>
        <w:rPr>
          <w:rFonts w:ascii="Arial" w:cs="Arial" w:eastAsia="Arial" w:hAnsi="Arial"/>
          <w:sz w:val="19"/>
          <w:szCs w:val="19"/>
          <w:color w:val="auto"/>
        </w:rPr>
        <w:t>. Nominations of persons for election to the Board of Directors of the Corporation and the proposal of business to be considered by the stockholders may be made at an annual meeting of stockholders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 Nominations of persons for election to the Board of Directors may be made at a special meeting of stockholders at which directors are to be elected pursuant to the Corporation's notice of meeting (i) by or at the direction of the Board of Directors or the chairman of the board or (ii) by any stockholder of the Corporation who is entitled to vote on such matter at the meeting, who complied with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11" w:right="239" w:bottom="1440" w:gutter="0" w:footer="0" w:header="0"/>
        </w:sectPr>
      </w:pPr>
    </w:p>
    <w:bookmarkStart w:id="63" w:name="page64"/>
    <w:bookmarkEnd w:id="63"/>
    <w:p>
      <w:pPr>
        <w:spacing w:after="0" w:line="260" w:lineRule="auto"/>
        <w:rPr>
          <w:sz w:val="20"/>
          <w:szCs w:val="20"/>
          <w:color w:val="auto"/>
        </w:rPr>
      </w:pPr>
      <w:r>
        <w:rPr>
          <w:rFonts w:ascii="Arial" w:cs="Arial" w:eastAsia="Arial" w:hAnsi="Arial"/>
          <w:sz w:val="20"/>
          <w:szCs w:val="20"/>
          <w:color w:val="auto"/>
        </w:rPr>
        <w:t>notice procedures set forth in Section 2.13 of these Bylaws and who was a stockholder of record at the time such notice is delivered to the secretary of the Corporation.</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u w:val="single" w:color="auto"/>
          <w:color w:val="auto"/>
        </w:rPr>
        <w:t>Advance Notice of Director Nominations and Stockholder Proposals by Stockholders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0" w:lineRule="auto"/>
        <w:tabs>
          <w:tab w:leader="none" w:pos="1736"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and for nominations to be properly brought before a special meeting by a stockholder in each case pursuant to Section 2.12, the stockholder of record must have given timely notice thereof in writing to the secretary of the Corporation, and, in the case of business other than nominations, such other business must be a proper matter for stockholder action. To be timely, a stockholder’s notice shall be delivered to the secretary at the principal executive offices of the Corporation not later than the close of business on the 90</w:t>
      </w:r>
      <w:r>
        <w:rPr>
          <w:rFonts w:ascii="Arial" w:cs="Arial" w:eastAsia="Arial" w:hAnsi="Arial"/>
          <w:sz w:val="11"/>
          <w:szCs w:val="11"/>
          <w:color w:val="auto"/>
        </w:rPr>
        <w:t>th</w:t>
      </w:r>
      <w:r>
        <w:rPr>
          <w:rFonts w:ascii="Arial" w:cs="Arial" w:eastAsia="Arial" w:hAnsi="Arial"/>
          <w:sz w:val="19"/>
          <w:szCs w:val="19"/>
          <w:color w:val="auto"/>
        </w:rPr>
        <w:t xml:space="preserve"> day nor earlier than the close of business on the 120</w:t>
      </w:r>
      <w:r>
        <w:rPr>
          <w:rFonts w:ascii="Arial" w:cs="Arial" w:eastAsia="Arial" w:hAnsi="Arial"/>
          <w:sz w:val="11"/>
          <w:szCs w:val="11"/>
          <w:color w:val="auto"/>
        </w:rPr>
        <w:t>th</w:t>
      </w:r>
      <w:r>
        <w:rPr>
          <w:rFonts w:ascii="Arial" w:cs="Arial" w:eastAsia="Arial" w:hAnsi="Arial"/>
          <w:sz w:val="19"/>
          <w:szCs w:val="19"/>
          <w:color w:val="auto"/>
        </w:rPr>
        <w:t xml:space="preserve"> day prior to the first anniversary of the preceding year’s annual meeting; provided that in the event that the date of the annual meeting is more than 30 days before or more than 70 days after such anniversary date, notice by the stockholder to be timely must be so delivered not earlier than the close of business on the 120</w:t>
      </w:r>
      <w:r>
        <w:rPr>
          <w:rFonts w:ascii="Arial" w:cs="Arial" w:eastAsia="Arial" w:hAnsi="Arial"/>
          <w:sz w:val="11"/>
          <w:szCs w:val="11"/>
          <w:color w:val="auto"/>
        </w:rPr>
        <w:t>th</w:t>
      </w:r>
      <w:r>
        <w:rPr>
          <w:rFonts w:ascii="Arial" w:cs="Arial" w:eastAsia="Arial" w:hAnsi="Arial"/>
          <w:sz w:val="19"/>
          <w:szCs w:val="19"/>
          <w:color w:val="auto"/>
        </w:rPr>
        <w:t xml:space="preserve"> day prior to such annual meeting and not later than the close of business on the later of the 90</w:t>
      </w:r>
      <w:r>
        <w:rPr>
          <w:rFonts w:ascii="Arial" w:cs="Arial" w:eastAsia="Arial" w:hAnsi="Arial"/>
          <w:sz w:val="11"/>
          <w:szCs w:val="11"/>
          <w:color w:val="auto"/>
        </w:rPr>
        <w:t>th</w:t>
      </w:r>
      <w:r>
        <w:rPr>
          <w:rFonts w:ascii="Arial" w:cs="Arial" w:eastAsia="Arial" w:hAnsi="Arial"/>
          <w:sz w:val="19"/>
          <w:szCs w:val="19"/>
          <w:color w:val="auto"/>
        </w:rPr>
        <w:t xml:space="preserve"> day prior to such annual meeting or the 10th day following the day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The notice must be provided by a stockholder of record and must set forth:</w:t>
      </w:r>
    </w:p>
    <w:p>
      <w:pPr>
        <w:spacing w:after="0" w:line="184" w:lineRule="exact"/>
        <w:rPr>
          <w:rFonts w:ascii="Arial" w:cs="Arial" w:eastAsia="Arial" w:hAnsi="Arial"/>
          <w:sz w:val="19"/>
          <w:szCs w:val="19"/>
          <w:color w:val="auto"/>
        </w:rPr>
      </w:pPr>
    </w:p>
    <w:p>
      <w:pPr>
        <w:jc w:val="both"/>
        <w:ind w:firstLine="1953"/>
        <w:spacing w:after="0" w:line="263" w:lineRule="auto"/>
        <w:tabs>
          <w:tab w:leader="none" w:pos="2489" w:val="left"/>
        </w:tabs>
        <w:numPr>
          <w:ilvl w:val="1"/>
          <w:numId w:val="26"/>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176" w:lineRule="exact"/>
        <w:rPr>
          <w:rFonts w:ascii="Arial" w:cs="Arial" w:eastAsia="Arial" w:hAnsi="Arial"/>
          <w:sz w:val="19"/>
          <w:szCs w:val="19"/>
          <w:color w:val="auto"/>
        </w:rPr>
      </w:pPr>
    </w:p>
    <w:p>
      <w:pPr>
        <w:jc w:val="both"/>
        <w:ind w:firstLine="1953"/>
        <w:spacing w:after="0" w:line="278" w:lineRule="auto"/>
        <w:tabs>
          <w:tab w:leader="none" w:pos="2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if any, on whose behalf the proposal is made;</w:t>
      </w:r>
    </w:p>
    <w:p>
      <w:pPr>
        <w:spacing w:after="0" w:line="165" w:lineRule="exact"/>
        <w:rPr>
          <w:rFonts w:ascii="Arial" w:cs="Arial" w:eastAsia="Arial" w:hAnsi="Arial"/>
          <w:sz w:val="18"/>
          <w:szCs w:val="18"/>
          <w:color w:val="auto"/>
        </w:rPr>
      </w:pPr>
    </w:p>
    <w:p>
      <w:pPr>
        <w:jc w:val="both"/>
        <w:ind w:firstLine="1953"/>
        <w:spacing w:after="0" w:line="258" w:lineRule="auto"/>
        <w:tabs>
          <w:tab w:leader="none" w:pos="2461" w:val="left"/>
        </w:tabs>
        <w:numPr>
          <w:ilvl w:val="1"/>
          <w:numId w:val="26"/>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is made or the business is proposed: (A) the name and address of such stockholder, as they appear on the Corporation's books, and the name and address of such beneficial owner, (B) the class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stock of the Corporation owned of record by the stockholder and such beneficial owner as of the record date for the meeting, and (C) a representation that the stockholder intends to appear in person or by proxy at the meeting to propose such nomination or business;</w:t>
      </w:r>
    </w:p>
    <w:p>
      <w:pPr>
        <w:spacing w:after="0" w:line="179" w:lineRule="exact"/>
        <w:rPr>
          <w:rFonts w:ascii="Arial" w:cs="Arial" w:eastAsia="Arial" w:hAnsi="Arial"/>
          <w:sz w:val="19"/>
          <w:szCs w:val="19"/>
          <w:color w:val="auto"/>
        </w:rPr>
      </w:pPr>
    </w:p>
    <w:p>
      <w:pPr>
        <w:jc w:val="both"/>
        <w:ind w:firstLine="1953"/>
        <w:spacing w:after="0" w:line="250" w:lineRule="auto"/>
        <w:tabs>
          <w:tab w:leader="none" w:pos="2457" w:val="left"/>
        </w:tabs>
        <w:numPr>
          <w:ilvl w:val="1"/>
          <w:numId w:val="26"/>
        </w:numPr>
        <w:rPr>
          <w:rFonts w:ascii="Arial" w:cs="Arial" w:eastAsia="Arial" w:hAnsi="Arial"/>
          <w:sz w:val="20"/>
          <w:szCs w:val="20"/>
          <w:color w:val="auto"/>
        </w:rPr>
      </w:pPr>
      <w:r>
        <w:rPr>
          <w:rFonts w:ascii="Arial" w:cs="Arial" w:eastAsia="Arial" w:hAnsi="Arial"/>
          <w:sz w:val="20"/>
          <w:szCs w:val="20"/>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director, executive, managing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12" w:right="239" w:bottom="1440" w:gutter="0" w:footer="0" w:header="0"/>
        </w:sectPr>
      </w:pPr>
    </w:p>
    <w:bookmarkStart w:id="64" w:name="page65"/>
    <w:bookmarkEnd w:id="64"/>
    <w:p>
      <w:pPr>
        <w:jc w:val="both"/>
        <w:spacing w:after="0" w:line="268" w:lineRule="auto"/>
        <w:rPr>
          <w:sz w:val="20"/>
          <w:szCs w:val="20"/>
          <w:color w:val="auto"/>
        </w:rPr>
      </w:pPr>
      <w:r>
        <w:rPr>
          <w:rFonts w:ascii="Arial" w:cs="Arial" w:eastAsia="Arial" w:hAnsi="Arial"/>
          <w:sz w:val="18"/>
          <w:szCs w:val="18"/>
          <w:color w:val="auto"/>
        </w:rPr>
        <w:t>member or control person of such entity (any such person, a “control person”): (A) the class and number of shares of stock of the Corporation which are beneficially owned (as defined below) by such stockholder or beneficial owner and by any control person as of the date of the notice, and a representation that the stockholder will notify the Corporation in writing within five business days after the record date for such meeting of the class and number of shares of stock of the Corporation beneficially owned by such stockholder or beneficial owner and by any control person as of the record date for the meeting, (B) a description of any agreement, arrangement or understanding with respect to the nomination or other business between or among such stockholder or beneficial owner or control person and any other person, including without limitation any agreements that would be required to be disclosed pursuant to Item 5 or Item 6 of Exchange Act Schedule 13D (regardless of whether the requirement to file a Schedule 13D is applicable to the stockholder, beneficial owner or control person) and a representation that the stockholder will notify the Corporation in writing within five business days after the record date for such meeting of any such agreement, arrangement or understanding in effect as of the record date for the meeting, (C)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(D) a representation whether the stockholder or the beneficial owner, if any, and any control person will engage in a solicitation with respect to the nomination or business and, if so, the name of each participant (as defined in Item 4 of Schedule 14A under the Exchange Act)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w:t>
      </w:r>
    </w:p>
    <w:p>
      <w:pPr>
        <w:spacing w:after="0" w:line="184" w:lineRule="exact"/>
        <w:rPr>
          <w:sz w:val="20"/>
          <w:szCs w:val="20"/>
          <w:color w:val="auto"/>
        </w:rPr>
      </w:pPr>
    </w:p>
    <w:p>
      <w:pPr>
        <w:jc w:val="both"/>
        <w:ind w:firstLine="1953"/>
        <w:spacing w:after="0" w:line="244" w:lineRule="auto"/>
        <w:tabs>
          <w:tab w:leader="none" w:pos="2471" w:val="left"/>
        </w:tabs>
        <w:numPr>
          <w:ilvl w:val="1"/>
          <w:numId w:val="27"/>
        </w:numPr>
        <w:rPr>
          <w:rFonts w:ascii="Arial" w:cs="Arial" w:eastAsia="Arial" w:hAnsi="Arial"/>
          <w:sz w:val="20"/>
          <w:szCs w:val="20"/>
          <w:color w:val="auto"/>
        </w:rPr>
      </w:pPr>
      <w:r>
        <w:rPr>
          <w:rFonts w:ascii="Arial" w:cs="Arial" w:eastAsia="Arial" w:hAnsi="Arial"/>
          <w:sz w:val="20"/>
          <w:szCs w:val="20"/>
          <w:color w:val="auto"/>
        </w:rPr>
        <w:t>a certification that the stockholder giving the notice and the beneficial owner(s), if any, on whose behalf the nomination is made or the business is proposed, has or have complied with all applicable federal, state and other legal requirements in connection with such stockholder’s and/or each such beneficial owner’s acquisition of shares of capital stock or other securities of the Corporation and/or such stockholder’s and/or each such beneficial owner’s acts or omissions as a stockholder of the Corporation, including, without limitation, in connection with such nomination or proposal.</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75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w:t>
      </w:r>
    </w:p>
    <w:p>
      <w:pPr>
        <w:spacing w:after="0" w:line="186" w:lineRule="exact"/>
        <w:rPr>
          <w:rFonts w:ascii="Arial" w:cs="Arial" w:eastAsia="Arial" w:hAnsi="Arial"/>
          <w:sz w:val="20"/>
          <w:szCs w:val="20"/>
          <w:color w:val="auto"/>
        </w:rPr>
      </w:pPr>
    </w:p>
    <w:p>
      <w:pPr>
        <w:jc w:val="both"/>
        <w:ind w:firstLine="1305"/>
        <w:spacing w:after="0" w:line="274" w:lineRule="auto"/>
        <w:tabs>
          <w:tab w:leader="none" w:pos="17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Section 2.13(a), a “public announcement”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(a)(iv)(A) of this Section 2.13,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11" w:right="239" w:bottom="1440" w:gutter="0" w:footer="0" w:header="0"/>
        </w:sectPr>
      </w:pPr>
    </w:p>
    <w:bookmarkStart w:id="65" w:name="page66"/>
    <w:bookmarkEnd w:id="65"/>
    <w:p>
      <w:pPr>
        <w:jc w:val="both"/>
        <w:spacing w:after="0" w:line="244" w:lineRule="auto"/>
        <w:rPr>
          <w:sz w:val="20"/>
          <w:szCs w:val="20"/>
          <w:color w:val="auto"/>
        </w:rPr>
      </w:pPr>
      <w:r>
        <w:rPr>
          <w:rFonts w:ascii="Arial" w:cs="Arial" w:eastAsia="Arial" w:hAnsi="Arial"/>
          <w:sz w:val="20"/>
          <w:szCs w:val="20"/>
          <w:color w:val="auto"/>
        </w:rPr>
        <w:t>with others and/or (iii) investment power with respect to such shares, including the power to dispose of, or to direct the disposition of, such shares. This Section 2.13 shall not apply to notice of a proposal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95" w:lineRule="exact"/>
        <w:rPr>
          <w:sz w:val="20"/>
          <w:szCs w:val="20"/>
          <w:color w:val="auto"/>
        </w:rPr>
      </w:pPr>
    </w:p>
    <w:p>
      <w:pPr>
        <w:jc w:val="both"/>
        <w:ind w:firstLine="1305"/>
        <w:spacing w:after="0" w:line="257" w:lineRule="auto"/>
        <w:tabs>
          <w:tab w:leader="none" w:pos="180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stockholder does not provide the information required under clause (a)(iii)(B) and clauses (a)(iv)(A)-(C) of this Section 2.13 to the Corporation within the time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The Board of Directors or the chairman of the meeting shall have the power to determine whether notice of a nomination or of any business proposed to be brought before the meeting was properly made in accordance with the procedures set forth in this Section 2.13. Notwithstanding the foregoing provisions hereof, a stockholder shall also comply with all applicable requirements of the Act, and the rules and regulations thereunder with respect to the matters set forth herein.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Meetings Through Electronic Communications</w:t>
      </w:r>
      <w:r>
        <w:rPr>
          <w:rFonts w:ascii="Arial" w:cs="Arial" w:eastAsia="Arial" w:hAnsi="Arial"/>
          <w:sz w:val="18"/>
          <w:szCs w:val="18"/>
          <w:color w:val="auto"/>
        </w:rPr>
        <w:t>. Stockholders may participate in a meeting of the stockholders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Section 2.14 constitutes presence in person at the meeting.</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DIRECTORS</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General Powers; Performance of Duties</w:t>
      </w:r>
      <w:r>
        <w:rPr>
          <w:rFonts w:ascii="Arial" w:cs="Arial" w:eastAsia="Arial" w:hAnsi="Arial"/>
          <w:sz w:val="19"/>
          <w:szCs w:val="19"/>
          <w:color w:val="auto"/>
        </w:rPr>
        <w:t>. The business and affairs of the Corporation shall be managed by or under the direction of the Board of Directors, except as otherwise provided in Chapter 78 of the NRS or the Articles of Incorporation.</w:t>
      </w:r>
    </w:p>
    <w:p>
      <w:pPr>
        <w:spacing w:after="0" w:line="15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769"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Board of Directors shall consist of at least one (1) individual and not more than thirteen (13) individuals, with the number of directors within the foregoing fixed minimum and maximum established and changed from time to time solely by resolution adopted by the Board of Directors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3.2 shall restrict the right of the Board of Directors to fill vacancies or the right of the stockholders to remove directors, each as provided in these 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11" w:right="239" w:bottom="1440" w:gutter="0" w:footer="0" w:header="0"/>
        </w:sectPr>
      </w:pPr>
    </w:p>
    <w:bookmarkStart w:id="66" w:name="page67"/>
    <w:bookmarkEnd w:id="66"/>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Intentionally deleted.</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Vice Chairman of the Board</w:t>
      </w:r>
      <w:r>
        <w:rPr>
          <w:rFonts w:ascii="Arial" w:cs="Arial" w:eastAsia="Arial" w:hAnsi="Arial"/>
          <w:sz w:val="20"/>
          <w:szCs w:val="20"/>
          <w:color w:val="auto"/>
        </w:rPr>
        <w:t>. The Board of Directors may elect a vice 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provided by law.</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Classification and Elections</w:t>
      </w:r>
      <w:r>
        <w:rPr>
          <w:rFonts w:ascii="Arial" w:cs="Arial" w:eastAsia="Arial" w:hAnsi="Arial"/>
          <w:sz w:val="19"/>
          <w:szCs w:val="19"/>
          <w:color w:val="auto"/>
        </w:rPr>
        <w:t>. The directors shall be classified, with respect to the time for which they shall hold their respective offices, by dividing them into three classes, to be known as “Class I,” “Class II” and “Class III.” Each director shall hold office for a three-year term or until the next annual meeting of stockholders at which his or her successor is elected and qualified. At each annual meeting of stockholders,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Removal and Resignation of Directors</w:t>
      </w:r>
      <w:r>
        <w:rPr>
          <w:rFonts w:ascii="Arial" w:cs="Arial" w:eastAsia="Arial" w:hAnsi="Arial"/>
          <w:sz w:val="20"/>
          <w:szCs w:val="20"/>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or (c)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 of the Corporation.</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Vacancies; Newly Created Directorships</w:t>
      </w:r>
      <w:r>
        <w:rPr>
          <w:rFonts w:ascii="Arial" w:cs="Arial" w:eastAsia="Arial" w:hAnsi="Arial"/>
          <w:sz w:val="19"/>
          <w:szCs w:val="19"/>
          <w:color w:val="auto"/>
        </w:rPr>
        <w:t>. Subject to any rights of the holders of preferred stock, if any,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and when their successors are elected or appointed,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11" w:right="239" w:bottom="1440" w:gutter="0" w:footer="0" w:header="0"/>
        </w:sectPr>
      </w:pPr>
    </w:p>
    <w:bookmarkStart w:id="67" w:name="page68"/>
    <w:bookmarkEnd w:id="67"/>
    <w:p>
      <w:pPr>
        <w:jc w:val="both"/>
        <w:ind w:firstLine="648"/>
        <w:spacing w:after="0" w:line="276"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Within two (2) business days before or after the annual meeting of the stockholders or any special meeting of the stockholders at which directors are elected (and within two (2) business days after such meeting if any individual first becomes a director by way of such election), the Board of Directors, including directors newly elected, if any, shall hold its annual meeting without call or notice other than this Section 3.8, to transact such business as the Board of Directors deems necessary or appropriate. The Board of Directors may provide by resolution the place, date, and hour for holding regular meetings between annual meetings, and if the Board of Directors so provides with respect to a regular meeting, notice of such regular meeting shall not be required.</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Special Meetings</w:t>
      </w:r>
      <w:r>
        <w:rPr>
          <w:rFonts w:ascii="Arial" w:cs="Arial" w:eastAsia="Arial" w:hAnsi="Arial"/>
          <w:sz w:val="19"/>
          <w:szCs w:val="19"/>
          <w:color w:val="auto"/>
        </w:rPr>
        <w:t>. Subject to any rights of the holders of preferred stock, if any, and except as otherwise required by law, special meetings of the Board of Directors may be called only by the chairman of the board, if any, or if there be no chairman of the board, by the chief executive officer, if any, or by the president or the secretary, and shall be called by the chairman of the board, if any, the chief executive officer, if any, the president, or the secretary upon the request of the lead independent director, if any, or at least a majority of the Board of Directors. If the chairman of the board, or if there be no chairman of the board, each of the chief executive officer, the president, and the secretary, fails for any reason to call such special meeting, a special meeting may be called by a notice signed by the lead independent director (if any) or at least a majority of the Board of Directors.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Place of Meetings</w:t>
      </w:r>
      <w:r>
        <w:rPr>
          <w:rFonts w:ascii="Arial" w:cs="Arial" w:eastAsia="Arial" w:hAnsi="Arial"/>
          <w:sz w:val="20"/>
          <w:szCs w:val="20"/>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in Section 3.8, there shall be delivered to each director at the address appearing for him or her on the records of the Corporation, at least twenty-four (24) hours before the time of such meeting, a copy of a written notice of any meeting (i) by delivery of such notice personally, (ii) by mailing such notice postage prepaid, (iii) by facsimile, (iv) by overnight courier, or (v) by electronic transmission or electronic writing, including, without limitation, e-mail.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11" w:right="239" w:bottom="1440" w:gutter="0" w:footer="0" w:header="0"/>
        </w:sectPr>
      </w:pPr>
    </w:p>
    <w:bookmarkStart w:id="68" w:name="page69"/>
    <w:bookmarkEnd w:id="68"/>
    <w:p>
      <w:pPr>
        <w:ind w:left="660"/>
        <w:spacing w:after="0"/>
        <w:tabs>
          <w:tab w:leader="none" w:pos="18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16" w:lineRule="exact"/>
        <w:rPr>
          <w:sz w:val="20"/>
          <w:szCs w:val="20"/>
          <w:color w:val="auto"/>
        </w:rPr>
      </w:pPr>
    </w:p>
    <w:p>
      <w:pPr>
        <w:ind w:left="1740" w:hanging="435"/>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the directors in office, at a meeting duly assembled, is necessary to constitute a quorum for the transaction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business.</w:t>
      </w:r>
    </w:p>
    <w:p>
      <w:pPr>
        <w:spacing w:after="0" w:line="200" w:lineRule="exact"/>
        <w:rPr>
          <w:sz w:val="20"/>
          <w:szCs w:val="20"/>
          <w:color w:val="auto"/>
        </w:rPr>
      </w:pPr>
    </w:p>
    <w:p>
      <w:pPr>
        <w:jc w:val="both"/>
        <w:ind w:firstLine="1305"/>
        <w:spacing w:after="0" w:line="269" w:lineRule="auto"/>
        <w:tabs>
          <w:tab w:leader="none" w:pos="175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Manner of Acting</w:t>
      </w:r>
      <w:r>
        <w:rPr>
          <w:rFonts w:ascii="Arial" w:cs="Arial" w:eastAsia="Arial" w:hAnsi="Arial"/>
          <w:sz w:val="20"/>
          <w:szCs w:val="20"/>
          <w:color w:val="auto"/>
        </w:rPr>
        <w:t>. Except as provided in Section 3.14, the affirmative vote of a majority of the directors present at a meeting at which a quorum is present is the act of the Board of Directors.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Super-majority Approval</w:t>
      </w:r>
      <w:r>
        <w:rPr>
          <w:rFonts w:ascii="Arial" w:cs="Arial" w:eastAsia="Arial" w:hAnsi="Arial"/>
          <w:sz w:val="20"/>
          <w:szCs w:val="20"/>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w:t>
      </w:r>
    </w:p>
    <w:p>
      <w:pPr>
        <w:spacing w:after="0" w:line="186" w:lineRule="exact"/>
        <w:rPr>
          <w:sz w:val="20"/>
          <w:szCs w:val="20"/>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voluntary dissolution or liquidation of the Corporation.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sale of all or substantially all of the assets of the Corporation.</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filing of a voluntary petition of bankruptcy by the Corporation.</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Meetings Through Electronic Communications</w:t>
      </w:r>
      <w:r>
        <w:rPr>
          <w:rFonts w:ascii="Arial" w:cs="Arial" w:eastAsia="Arial" w:hAnsi="Arial"/>
          <w:sz w:val="19"/>
          <w:szCs w:val="19"/>
          <w:color w:val="auto"/>
        </w:rPr>
        <w:t>. Members of the Board of Directors or of any committee designated by the Board of Directors may participate in a meeting of the Board of Directors or such committee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Section 3.15 constitutes presence in person at the meeting.</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Action Without Meeting</w:t>
      </w:r>
      <w:r>
        <w:rPr>
          <w:rFonts w:ascii="Arial" w:cs="Arial" w:eastAsia="Arial" w:hAnsi="Arial"/>
          <w:sz w:val="20"/>
          <w:szCs w:val="20"/>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spacing w:after="0" w:line="195" w:lineRule="exact"/>
        <w:rPr>
          <w:sz w:val="20"/>
          <w:szCs w:val="20"/>
          <w:color w:val="auto"/>
        </w:rPr>
      </w:pPr>
    </w:p>
    <w:p>
      <w:pPr>
        <w:ind w:left="660"/>
        <w:spacing w:after="0"/>
        <w:tabs>
          <w:tab w:leader="none" w:pos="1480" w:val="left"/>
          <w:tab w:leader="none" w:pos="2020" w:val="left"/>
        </w:tabs>
        <w:rPr>
          <w:sz w:val="20"/>
          <w:szCs w:val="20"/>
          <w:color w:val="auto"/>
        </w:rPr>
      </w:pPr>
      <w:r>
        <w:rPr>
          <w:rFonts w:ascii="Arial" w:cs="Arial" w:eastAsia="Arial" w:hAnsi="Arial"/>
          <w:sz w:val="20"/>
          <w:szCs w:val="20"/>
          <w:color w:val="auto"/>
        </w:rPr>
        <w:t>Section</w:t>
        <w:tab/>
        <w:t>3.17</w:t>
      </w:r>
      <w:r>
        <w:rPr>
          <w:sz w:val="20"/>
          <w:szCs w:val="20"/>
          <w:color w:val="auto"/>
        </w:rPr>
        <w:tab/>
      </w:r>
      <w:r>
        <w:rPr>
          <w:rFonts w:ascii="Arial" w:cs="Arial" w:eastAsia="Arial" w:hAnsi="Arial"/>
          <w:sz w:val="16"/>
          <w:szCs w:val="16"/>
          <w:u w:val="single" w:color="auto"/>
          <w:color w:val="auto"/>
        </w:rPr>
        <w:t>Powers and Duties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91" w:lineRule="auto"/>
        <w:tabs>
          <w:tab w:leader="none" w:pos="17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otherwise restricted by Chapter 78 of the NRS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12" w:right="2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be agents of the Corporation with such powers, including the power to subdelegate, and upon such terms as it deems fit.</w:t>
      </w:r>
    </w:p>
    <w:p>
      <w:pPr>
        <w:spacing w:after="0" w:line="216" w:lineRule="exact"/>
        <w:rPr>
          <w:sz w:val="20"/>
          <w:szCs w:val="20"/>
          <w:color w:val="auto"/>
        </w:rPr>
      </w:pPr>
    </w:p>
    <w:p>
      <w:pPr>
        <w:jc w:val="both"/>
        <w:ind w:firstLine="1305"/>
        <w:spacing w:after="0" w:line="250" w:lineRule="auto"/>
        <w:tabs>
          <w:tab w:leader="none" w:pos="1753"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Board of Directors, in its discretion, or the chairman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86" w:lineRule="exact"/>
        <w:rPr>
          <w:rFonts w:ascii="Arial" w:cs="Arial" w:eastAsia="Arial" w:hAnsi="Arial"/>
          <w:sz w:val="20"/>
          <w:szCs w:val="20"/>
          <w:color w:val="auto"/>
        </w:rPr>
      </w:pPr>
    </w:p>
    <w:p>
      <w:pPr>
        <w:jc w:val="both"/>
        <w:ind w:firstLine="1305"/>
        <w:spacing w:after="0" w:line="256" w:lineRule="auto"/>
        <w:tabs>
          <w:tab w:leader="none" w:pos="18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Compensation</w:t>
      </w:r>
      <w:r>
        <w:rPr>
          <w:rFonts w:ascii="Arial" w:cs="Arial" w:eastAsia="Arial" w:hAnsi="Arial"/>
          <w:sz w:val="19"/>
          <w:szCs w:val="19"/>
          <w:color w:val="auto"/>
        </w:rPr>
        <w:t>. The Board of Directors, without regard to personal interest, may establish the compensation of directors for services in any capacity. If the Board of Directors establishes the compensation of directors pursuant to this Section 3.18, such compensation is presumed to be fair to the Corporation unless proven unfair by a preponderance of the evidence.</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Organization</w:t>
      </w:r>
      <w:r>
        <w:rPr>
          <w:rFonts w:ascii="Arial" w:cs="Arial" w:eastAsia="Arial" w:hAnsi="Arial"/>
          <w:sz w:val="20"/>
          <w:szCs w:val="20"/>
          <w:color w:val="auto"/>
        </w:rPr>
        <w:t>. Meetings of the Board of Directors shall be presided over by the chairman of the board, or in the absence of the chairman of the board by the vice chairman, if any,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95" w:lineRule="exact"/>
        <w:rPr>
          <w:sz w:val="20"/>
          <w:szCs w:val="20"/>
          <w:color w:val="auto"/>
        </w:rPr>
      </w:pPr>
    </w:p>
    <w:p>
      <w:pPr>
        <w:jc w:val="right"/>
        <w:ind w:right="5180"/>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right"/>
        <w:ind w:right="5240"/>
        <w:spacing w:after="0"/>
        <w:rPr>
          <w:sz w:val="20"/>
          <w:szCs w:val="20"/>
          <w:color w:val="auto"/>
        </w:rPr>
      </w:pPr>
      <w:r>
        <w:rPr>
          <w:rFonts w:ascii="Arial" w:cs="Arial" w:eastAsia="Arial" w:hAnsi="Arial"/>
          <w:sz w:val="20"/>
          <w:szCs w:val="20"/>
          <w:u w:val="single" w:color="auto"/>
          <w:color w:val="auto"/>
        </w:rPr>
        <w:t>OFFICERS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Election</w:t>
      </w:r>
      <w:r>
        <w:rPr>
          <w:rFonts w:ascii="Arial" w:cs="Arial" w:eastAsia="Arial" w:hAnsi="Arial"/>
          <w:sz w:val="19"/>
          <w:szCs w:val="19"/>
          <w:color w:val="auto"/>
        </w:rPr>
        <w:t>. The Board of Directors shall elect or appoint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of Directors, and shall have such powers and duties and be paid such compensation as may be directed by the Board of Directors. Any individual may hold two or more offices.</w:t>
      </w:r>
    </w:p>
    <w:p>
      <w:pPr>
        <w:spacing w:after="0" w:line="18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11" w:right="239" w:bottom="1440" w:gutter="0" w:footer="0" w:header="0"/>
        </w:sectPr>
      </w:pPr>
    </w:p>
    <w:bookmarkStart w:id="70" w:name="page71"/>
    <w:bookmarkEnd w:id="70"/>
    <w:p>
      <w:pPr>
        <w:jc w:val="both"/>
        <w:ind w:firstLine="648"/>
        <w:spacing w:after="0" w:line="26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Vacancies</w:t>
      </w:r>
      <w:r>
        <w:rPr>
          <w:rFonts w:ascii="Arial" w:cs="Arial" w:eastAsia="Arial" w:hAnsi="Arial"/>
          <w:sz w:val="20"/>
          <w:szCs w:val="20"/>
          <w:color w:val="auto"/>
        </w:rPr>
        <w:t>. Any vacancy in any office because of death, resignation, removal or otherwise may be filled by the Board of Directors for the unexpired portion of the term of such office.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 The Board of Directors may elect a chief executive officer who, subject to the supervision and control of the Board of Directors, shall have the ultimate responsibility for the management and control of the business and affairs of the Corporation, and perform such other duties and have such other powers which are delegated to him or her by the Board of Directors, these Bylaws or as provided by law.</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the chief executive officer, if any, these Bylaws or as provided by law. The president shall be the chief executive officer of the Corporation unless the Board of Directors shall elect or appoint different individuals to hold such positions.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Vice Presidents</w:t>
      </w:r>
      <w:r>
        <w:rPr>
          <w:rFonts w:ascii="Arial" w:cs="Arial" w:eastAsia="Arial" w:hAnsi="Arial"/>
          <w:sz w:val="19"/>
          <w:szCs w:val="19"/>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provided by law.</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Assistant Secretaries</w:t>
      </w:r>
      <w:r>
        <w:rPr>
          <w:rFonts w:ascii="Arial" w:cs="Arial" w:eastAsia="Arial" w:hAnsi="Arial"/>
          <w:sz w:val="20"/>
          <w:szCs w:val="20"/>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provided by law.</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11" w:right="239" w:bottom="1440" w:gutter="0" w:footer="0" w:header="0"/>
        </w:sectPr>
      </w:pPr>
    </w:p>
    <w:bookmarkStart w:id="71" w:name="page72"/>
    <w:bookmarkEnd w:id="71"/>
    <w:p>
      <w:pPr>
        <w:jc w:val="both"/>
        <w:spacing w:after="0" w:line="273" w:lineRule="auto"/>
        <w:rPr>
          <w:sz w:val="20"/>
          <w:szCs w:val="20"/>
          <w:color w:val="auto"/>
        </w:rPr>
      </w:pPr>
      <w:r>
        <w:rPr>
          <w:rFonts w:ascii="Arial" w:cs="Arial" w:eastAsia="Arial" w:hAnsi="Arial"/>
          <w:sz w:val="18"/>
          <w:szCs w:val="18"/>
          <w:color w:val="auto"/>
        </w:rPr>
        <w:t>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if any,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Execution of Negotiable Instruments, Deeds and Contracts</w:t>
      </w:r>
      <w:r>
        <w:rPr>
          <w:rFonts w:ascii="Arial" w:cs="Arial" w:eastAsia="Arial" w:hAnsi="Arial"/>
          <w:sz w:val="18"/>
          <w:szCs w:val="18"/>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CAPITAL STOCK</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Issuance</w:t>
      </w:r>
      <w:r>
        <w:rPr>
          <w:rFonts w:ascii="Arial" w:cs="Arial" w:eastAsia="Arial" w:hAnsi="Arial"/>
          <w:sz w:val="19"/>
          <w:szCs w:val="19"/>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6"/>
          <w:szCs w:val="16"/>
          <w:u w:val="single" w:color="auto"/>
          <w:color w:val="auto"/>
        </w:rPr>
        <w:t>Stock Certificates and Uncertificated Shares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6" w:lineRule="auto"/>
        <w:tabs>
          <w:tab w:leader="none" w:pos="17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Every holder of stock in the Corporation shall be entitled to have a certificate signed by or in the name of the Corporation by (i) the chief executive officer, if any, the president, or a vice president, and (ii) the secretary, an assistant secretary, the treasurer or the chief financial officer, if any, of the Corporation (or any other two officers or agents so authorized by the Board of Directors), certifying the number of shares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11" w:right="239" w:bottom="1440" w:gutter="0" w:footer="0" w:header="0"/>
        </w:sectPr>
      </w:pPr>
    </w:p>
    <w:bookmarkStart w:id="72" w:name="page73"/>
    <w:bookmarkEnd w:id="72"/>
    <w:p>
      <w:pPr>
        <w:jc w:val="both"/>
        <w:spacing w:after="0" w:line="255" w:lineRule="auto"/>
        <w:rPr>
          <w:sz w:val="20"/>
          <w:szCs w:val="20"/>
          <w:color w:val="auto"/>
        </w:rPr>
      </w:pPr>
      <w:r>
        <w:rPr>
          <w:rFonts w:ascii="Arial" w:cs="Arial" w:eastAsia="Arial" w:hAnsi="Arial"/>
          <w:sz w:val="19"/>
          <w:szCs w:val="19"/>
          <w:color w:val="auto"/>
        </w:rPr>
        <w:t>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88" w:lineRule="exact"/>
        <w:rPr>
          <w:sz w:val="20"/>
          <w:szCs w:val="20"/>
          <w:color w:val="auto"/>
        </w:rPr>
      </w:pPr>
    </w:p>
    <w:p>
      <w:pPr>
        <w:jc w:val="both"/>
        <w:ind w:firstLine="1305"/>
        <w:spacing w:after="0" w:line="274" w:lineRule="auto"/>
        <w:tabs>
          <w:tab w:leader="none" w:pos="17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69" w:lineRule="exact"/>
        <w:rPr>
          <w:rFonts w:ascii="Arial" w:cs="Arial" w:eastAsia="Arial" w:hAnsi="Arial"/>
          <w:sz w:val="18"/>
          <w:szCs w:val="18"/>
          <w:color w:val="auto"/>
        </w:rPr>
      </w:pPr>
    </w:p>
    <w:p>
      <w:pPr>
        <w:jc w:val="both"/>
        <w:ind w:firstLine="1305"/>
        <w:spacing w:after="0" w:line="274" w:lineRule="auto"/>
        <w:tabs>
          <w:tab w:leader="none" w:pos="18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Surrendered; Lost or Destroyed Certificates</w:t>
      </w:r>
      <w:r>
        <w:rPr>
          <w:rFonts w:ascii="Arial" w:cs="Arial" w:eastAsia="Arial" w:hAnsi="Arial"/>
          <w:sz w:val="18"/>
          <w:szCs w:val="18"/>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11" w:right="239" w:bottom="1440" w:gutter="0" w:footer="0" w:header="0"/>
        </w:sectPr>
      </w:pPr>
    </w:p>
    <w:bookmarkStart w:id="73" w:name="page74"/>
    <w:bookmarkEnd w:id="73"/>
    <w:p>
      <w:pPr>
        <w:jc w:val="both"/>
        <w:ind w:firstLine="648"/>
        <w:spacing w:after="0" w:line="27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Transfer of Shares</w:t>
      </w:r>
      <w:r>
        <w:rPr>
          <w:rFonts w:ascii="Arial" w:cs="Arial" w:eastAsia="Arial" w:hAnsi="Arial"/>
          <w:sz w:val="20"/>
          <w:szCs w:val="20"/>
          <w:color w:val="auto"/>
        </w:rPr>
        <w:t>. No transfer of stock shall be valid as against the Corporation except on surrender and cancellation of any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Transfer Agent; Registrars</w:t>
      </w:r>
      <w:r>
        <w:rPr>
          <w:rFonts w:ascii="Arial" w:cs="Arial" w:eastAsia="Arial" w:hAnsi="Arial"/>
          <w:sz w:val="20"/>
          <w:szCs w:val="20"/>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Miscellaneous</w:t>
      </w:r>
      <w:r>
        <w:rPr>
          <w:rFonts w:ascii="Arial" w:cs="Arial" w:eastAsia="Arial" w:hAnsi="Arial"/>
          <w:sz w:val="20"/>
          <w:szCs w:val="20"/>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Inapplicability of Controlling Interest Statutes</w:t>
      </w:r>
      <w:r>
        <w:rPr>
          <w:rFonts w:ascii="Arial" w:cs="Arial" w:eastAsia="Arial" w:hAnsi="Arial"/>
          <w:sz w:val="19"/>
          <w:szCs w:val="19"/>
          <w:color w:val="auto"/>
        </w:rPr>
        <w:t>. 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any and all acquisitions of shares of the Corporation’s common stock, par value $.01 per share, effected by Stephen A. Wynn or any of his affiliates.</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DISTRIBUTIONS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Distributions may be declared, subject to the provisions of the laws of the State of Nevada and the Articles of Incorporation, by the Board of Directors and may be paid in money, shares of corporate stock, property or any other medium not prohibited under applicable law. The Board of Directors may fix in advance a record date, in accordance with and as provided in Section 2.5, prior to the distribution for the purpose of determining stockholders entitled to receive any distribution.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RECORDS AND REPORTS; CORPORATE SEAL; FISCAL YEAR</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Records</w:t>
      </w:r>
      <w:r>
        <w:rPr>
          <w:rFonts w:ascii="Arial" w:cs="Arial" w:eastAsia="Arial" w:hAnsi="Arial"/>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Corporate Seal</w:t>
      </w:r>
      <w:r>
        <w:rPr>
          <w:rFonts w:ascii="Arial" w:cs="Arial" w:eastAsia="Arial" w:hAnsi="Arial"/>
          <w:sz w:val="20"/>
          <w:szCs w:val="20"/>
          <w:color w:val="auto"/>
        </w:rPr>
        <w:t>. The Board of Directors may, by resolution, authorize a seal, and the seal may be used by causing it, or a facsimile, to be impressed or affixed or reproduced or otherwise.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811" w:right="239" w:bottom="1440" w:gutter="0" w:footer="0" w:header="0"/>
        </w:sectPr>
      </w:pPr>
    </w:p>
    <w:bookmarkStart w:id="74" w:name="page75"/>
    <w:bookmarkEnd w:id="74"/>
    <w:p>
      <w:pPr>
        <w:ind w:right="20"/>
        <w:spacing w:after="0" w:line="260" w:lineRule="auto"/>
        <w:rPr>
          <w:sz w:val="20"/>
          <w:szCs w:val="20"/>
          <w:color w:val="auto"/>
        </w:rPr>
      </w:pPr>
      <w:r>
        <w:rPr>
          <w:rFonts w:ascii="Arial" w:cs="Arial" w:eastAsia="Arial" w:hAnsi="Arial"/>
          <w:sz w:val="20"/>
          <w:szCs w:val="20"/>
          <w:color w:val="auto"/>
        </w:rPr>
        <w:t>Except when otherwise specifically provided herein, any officer of the Corporation shall have the authority to affix the seal to any document requiring it.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Fiscal Year-End</w:t>
      </w:r>
      <w:r>
        <w:rPr>
          <w:rFonts w:ascii="Arial" w:cs="Arial" w:eastAsia="Arial" w:hAnsi="Arial"/>
          <w:sz w:val="20"/>
          <w:szCs w:val="20"/>
          <w:color w:val="auto"/>
        </w:rPr>
        <w:t>. The fiscal year-end of the Corporation shall be such date as may be fixed from time to time by resolution of the Board of Directors.</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INDEMNIFICATION</w:t>
      </w:r>
    </w:p>
    <w:p>
      <w:pPr>
        <w:spacing w:after="0" w:line="2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16"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Indemnification of Directors and Officers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953"/>
        <w:spacing w:after="0" w:line="257" w:lineRule="auto"/>
        <w:tabs>
          <w:tab w:leader="none" w:pos="2357" w:val="left"/>
        </w:tabs>
        <w:numPr>
          <w:ilvl w:val="1"/>
          <w:numId w:val="38"/>
        </w:numPr>
        <w:rPr>
          <w:rFonts w:ascii="Arial" w:cs="Arial" w:eastAsia="Arial" w:hAnsi="Arial"/>
          <w:sz w:val="19"/>
          <w:szCs w:val="19"/>
          <w:color w:val="auto"/>
        </w:rPr>
      </w:pPr>
      <w:r>
        <w:rPr>
          <w:rFonts w:ascii="Arial" w:cs="Arial" w:eastAsia="Arial" w:hAnsi="Arial"/>
          <w:sz w:val="19"/>
          <w:szCs w:val="19"/>
          <w:color w:val="auto"/>
        </w:rPr>
        <w:t>For purposes of this Article, (A) “</w:t>
      </w:r>
      <w:r>
        <w:rPr>
          <w:rFonts w:ascii="Arial" w:cs="Arial" w:eastAsia="Arial" w:hAnsi="Arial"/>
          <w:sz w:val="19"/>
          <w:szCs w:val="19"/>
          <w:b w:val="1"/>
          <w:bCs w:val="1"/>
          <w:color w:val="auto"/>
        </w:rPr>
        <w:t>Indemnitee</w:t>
      </w:r>
      <w:r>
        <w:rPr>
          <w:rFonts w:ascii="Arial" w:cs="Arial" w:eastAsia="Arial" w:hAnsi="Arial"/>
          <w:sz w:val="19"/>
          <w:szCs w:val="19"/>
          <w:color w:val="auto"/>
        </w:rPr>
        <w:t>” shall mean each director or officer who was or is a party to, or is threatened to be made a party to, or is otherwise involved in, any Proceeding (as hereinafter defined), by reason of the fact that he or she is or was a director, officer, employee or agent (including, without limitation, as a trustee, fiduciary, administrator or manager) of the Corporation or member, manager or managing member of a predecessor limited liability company or affiliate of such limited liability company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Arial" w:cs="Arial" w:eastAsia="Arial" w:hAnsi="Arial"/>
          <w:sz w:val="19"/>
          <w:szCs w:val="19"/>
          <w:b w:val="1"/>
          <w:bCs w:val="1"/>
          <w:color w:val="auto"/>
        </w:rPr>
        <w:t>Proceeding</w:t>
      </w:r>
      <w:r>
        <w:rPr>
          <w:rFonts w:ascii="Arial" w:cs="Arial" w:eastAsia="Arial" w:hAnsi="Arial"/>
          <w:sz w:val="19"/>
          <w:szCs w:val="19"/>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82" w:lineRule="exact"/>
        <w:rPr>
          <w:rFonts w:ascii="Arial" w:cs="Arial" w:eastAsia="Arial" w:hAnsi="Arial"/>
          <w:sz w:val="19"/>
          <w:szCs w:val="19"/>
          <w:color w:val="auto"/>
        </w:rPr>
      </w:pPr>
    </w:p>
    <w:p>
      <w:pPr>
        <w:jc w:val="both"/>
        <w:ind w:firstLine="1953"/>
        <w:spacing w:after="0" w:line="269" w:lineRule="auto"/>
        <w:tabs>
          <w:tab w:leader="none" w:pos="2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12" w:right="239" w:bottom="1440" w:gutter="0" w:footer="0" w:header="0"/>
        </w:sectPr>
      </w:pPr>
    </w:p>
    <w:bookmarkStart w:id="75" w:name="page76"/>
    <w:bookmarkEnd w:id="75"/>
    <w:p>
      <w:pPr>
        <w:spacing w:after="0" w:line="260" w:lineRule="auto"/>
        <w:rPr>
          <w:sz w:val="20"/>
          <w:szCs w:val="20"/>
          <w:color w:val="auto"/>
        </w:rPr>
      </w:pPr>
      <w:r>
        <w:rPr>
          <w:rFonts w:ascii="Arial" w:cs="Arial" w:eastAsia="Arial" w:hAnsi="Arial"/>
          <w:sz w:val="20"/>
          <w:szCs w:val="20"/>
          <w:color w:val="auto"/>
        </w:rPr>
        <w:t>director or officer incurred in his or her capacity as a stockholder, including, but not limited to, in connection with such person being deemed an Unsuitable Person (as defined in Article VII of the Articles of Incorporation).</w:t>
      </w:r>
    </w:p>
    <w:p>
      <w:pPr>
        <w:spacing w:after="0" w:line="177" w:lineRule="exact"/>
        <w:rPr>
          <w:sz w:val="20"/>
          <w:szCs w:val="20"/>
          <w:color w:val="auto"/>
        </w:rPr>
      </w:pPr>
    </w:p>
    <w:p>
      <w:pPr>
        <w:jc w:val="both"/>
        <w:ind w:firstLine="1953"/>
        <w:spacing w:after="0" w:line="244" w:lineRule="auto"/>
        <w:tabs>
          <w:tab w:leader="none" w:pos="2494" w:val="left"/>
        </w:tabs>
        <w:numPr>
          <w:ilvl w:val="1"/>
          <w:numId w:val="39"/>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94" w:lineRule="exact"/>
        <w:rPr>
          <w:rFonts w:ascii="Arial" w:cs="Arial" w:eastAsia="Arial" w:hAnsi="Arial"/>
          <w:sz w:val="20"/>
          <w:szCs w:val="20"/>
          <w:color w:val="auto"/>
        </w:rPr>
      </w:pPr>
    </w:p>
    <w:p>
      <w:pPr>
        <w:jc w:val="both"/>
        <w:ind w:firstLine="1953"/>
        <w:spacing w:after="0" w:line="243" w:lineRule="auto"/>
        <w:tabs>
          <w:tab w:leader="none" w:pos="243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93" w:lineRule="exact"/>
        <w:rPr>
          <w:rFonts w:ascii="Arial" w:cs="Arial" w:eastAsia="Arial" w:hAnsi="Arial"/>
          <w:sz w:val="20"/>
          <w:szCs w:val="20"/>
          <w:color w:val="auto"/>
        </w:rPr>
      </w:pPr>
    </w:p>
    <w:p>
      <w:pPr>
        <w:ind w:firstLine="1305"/>
        <w:spacing w:after="0" w:line="260" w:lineRule="auto"/>
        <w:tabs>
          <w:tab w:leader="none" w:pos="1779"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Indemnification of Employees and Other Persons</w:t>
      </w:r>
      <w:r>
        <w:rPr>
          <w:rFonts w:ascii="Arial" w:cs="Arial" w:eastAsia="Arial" w:hAnsi="Arial"/>
          <w:sz w:val="20"/>
          <w:szCs w:val="20"/>
          <w:color w:val="auto"/>
        </w:rPr>
        <w:t>. The Corporation may, by action of its Board of Directors and to the extent provided in such action, indemnify employees and other persons as though they were Indemnitees.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14"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739"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91" w:lineRule="exact"/>
        <w:rPr>
          <w:rFonts w:ascii="Arial" w:cs="Arial" w:eastAsia="Arial" w:hAnsi="Arial"/>
          <w:sz w:val="20"/>
          <w:szCs w:val="20"/>
          <w:color w:val="auto"/>
        </w:rPr>
      </w:pPr>
    </w:p>
    <w:p>
      <w:pPr>
        <w:jc w:val="both"/>
        <w:ind w:firstLine="1305"/>
        <w:spacing w:after="0" w:line="259" w:lineRule="auto"/>
        <w:tabs>
          <w:tab w:leader="none" w:pos="172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Other Financial Arrangements</w:t>
      </w:r>
      <w:r>
        <w:rPr>
          <w:rFonts w:ascii="Arial" w:cs="Arial" w:eastAsia="Arial" w:hAnsi="Arial"/>
          <w:sz w:val="19"/>
          <w:szCs w:val="19"/>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78" w:lineRule="exact"/>
        <w:rPr>
          <w:rFonts w:ascii="Arial" w:cs="Arial" w:eastAsia="Arial" w:hAnsi="Arial"/>
          <w:sz w:val="19"/>
          <w:szCs w:val="19"/>
          <w:color w:val="auto"/>
        </w:rPr>
      </w:pPr>
    </w:p>
    <w:p>
      <w:pPr>
        <w:jc w:val="both"/>
        <w:ind w:firstLine="1305"/>
        <w:spacing w:after="0" w:line="263" w:lineRule="auto"/>
        <w:tabs>
          <w:tab w:leader="none" w:pos="174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Other Matters Relating to Insurance or Financial Arrangements</w:t>
      </w:r>
      <w:r>
        <w:rPr>
          <w:rFonts w:ascii="Arial" w:cs="Arial" w:eastAsia="Arial" w:hAnsi="Arial"/>
          <w:sz w:val="19"/>
          <w:szCs w:val="19"/>
          <w:color w:val="auto"/>
        </w:rPr>
        <w:t>.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11" w:right="239" w:bottom="1440" w:gutter="0" w:footer="0" w:header="0"/>
        </w:sectPr>
      </w:pPr>
    </w:p>
    <w:bookmarkStart w:id="76" w:name="page77"/>
    <w:bookmarkEnd w:id="76"/>
    <w:p>
      <w:pPr>
        <w:jc w:val="both"/>
        <w:spacing w:after="0" w:line="291" w:lineRule="auto"/>
        <w:rPr>
          <w:sz w:val="20"/>
          <w:szCs w:val="20"/>
          <w:color w:val="auto"/>
        </w:rPr>
      </w:pPr>
      <w:r>
        <w:rPr>
          <w:rFonts w:ascii="Arial" w:cs="Arial" w:eastAsia="Arial" w:hAnsi="Arial"/>
          <w:sz w:val="18"/>
          <w:szCs w:val="18"/>
          <w:color w:val="auto"/>
        </w:rPr>
        <w:t>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Amendment</w:t>
      </w:r>
      <w:r>
        <w:rPr>
          <w:rFonts w:ascii="Arial" w:cs="Arial" w:eastAsia="Arial" w:hAnsi="Arial"/>
          <w:sz w:val="19"/>
          <w:szCs w:val="19"/>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8.2. Notwithstanding any other provision of these Bylaws relating to their amendment generally, any repeal or amendment of this Article VIII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no repeal or amendment of these Bylaws shall affect any or all of this Article VIII so as to limit or reduce the indemnification in any manner unless adopted by (i) the unanimous vote of the directors of the Corporation then serving, or (ii) by the stockholders as set forth in Article X; provided that no such amendment shall have a retroactive effect inconsistent with the preceding sentence.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CHANGES IN NEVADA LAW</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VIII,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OR REPEAL</w:t>
      </w:r>
    </w:p>
    <w:p>
      <w:pPr>
        <w:spacing w:after="0" w:line="20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16" w:lineRule="exact"/>
        <w:rPr>
          <w:sz w:val="20"/>
          <w:szCs w:val="20"/>
          <w:color w:val="auto"/>
        </w:rPr>
      </w:pPr>
    </w:p>
    <w:p>
      <w:pPr>
        <w:ind w:firstLine="1305"/>
        <w:spacing w:after="0" w:line="260" w:lineRule="auto"/>
        <w:tabs>
          <w:tab w:leader="none" w:pos="179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Board of Directors</w:t>
      </w:r>
      <w:r>
        <w:rPr>
          <w:rFonts w:ascii="Arial" w:cs="Arial" w:eastAsia="Arial" w:hAnsi="Arial"/>
          <w:sz w:val="20"/>
          <w:szCs w:val="20"/>
          <w:color w:val="auto"/>
        </w:rPr>
        <w:t>. In furtherance and not in limitation of the powers conferred by statute, the Board of Directors is expressly authorized to amend or repeal these Bylaws or to adopt new bylaws.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47"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Stockholders</w:t>
      </w:r>
      <w:r>
        <w:rPr>
          <w:rFonts w:ascii="Arial" w:cs="Arial" w:eastAsia="Arial" w:hAnsi="Arial"/>
          <w:sz w:val="20"/>
          <w:szCs w:val="20"/>
          <w:color w:val="auto"/>
        </w:rPr>
        <w:t>. Notwithstanding Section 10.1(a), these Bylaws may be amended or repealed in any respect, and new bylaws may be adopted, in each case by the affirmative vote of the holders of at least sixty-six and two-thirds percent (66-2/3%) of the outstanding voting power of the Corporation, voting together as a single class.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FORUM FOR ADJUDICATION OF DISPUTES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11" w:right="239" w:bottom="1440" w:gutter="0" w:footer="0" w:header="0"/>
        </w:sectPr>
      </w:pPr>
    </w:p>
    <w:bookmarkStart w:id="77" w:name="page78"/>
    <w:bookmarkEnd w:id="77"/>
    <w:p>
      <w:pPr>
        <w:jc w:val="both"/>
        <w:ind w:firstLine="648"/>
        <w:spacing w:after="0" w:line="273" w:lineRule="auto"/>
        <w:rPr>
          <w:sz w:val="20"/>
          <w:szCs w:val="20"/>
          <w:color w:val="auto"/>
        </w:rPr>
      </w:pPr>
      <w:r>
        <w:rPr>
          <w:rFonts w:ascii="Arial" w:cs="Arial" w:eastAsia="Arial" w:hAnsi="Arial"/>
          <w:sz w:val="18"/>
          <w:szCs w:val="18"/>
          <w:color w:val="auto"/>
        </w:rPr>
        <w:t>To the fullest extent permitted by law, and unless the Corporation consents in writing to the selection of an alternative forum, the Eighth Judicial District Court of Clark County, Nevada, shall be the sole and 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NRS Chapters 78 or 92A or any provision of the Articles of Incorporation or these Bylaws or (d) any action asserting a claim governed by the internal affairs doctrine, including, without limitation, any action to interpret, apply, enforce or determine the validity of the Articles of Incorporation or these Bylaws. Any person or entity purchasing or otherwise acquiring any interest in shares of capital stock of the corporation shall be deemed to have notice of and consented to the provisions of this Article XI.</w:t>
      </w:r>
    </w:p>
    <w:p>
      <w:pPr>
        <w:spacing w:after="0" w:line="169" w:lineRule="exact"/>
        <w:rPr>
          <w:sz w:val="20"/>
          <w:szCs w:val="20"/>
          <w:color w:val="auto"/>
        </w:rPr>
      </w:pPr>
    </w:p>
    <w:p>
      <w:pPr>
        <w:jc w:val="center"/>
        <w:spacing w:after="0"/>
        <w:tabs>
          <w:tab w:leader="none" w:pos="180" w:val="left"/>
          <w:tab w:leader="none" w:pos="180" w:val="left"/>
          <w:tab w:leader="none" w:pos="160" w:val="left"/>
        </w:tabs>
        <w:rPr>
          <w:sz w:val="20"/>
          <w:szCs w:val="20"/>
          <w:color w:val="auto"/>
        </w:rPr>
      </w:pPr>
      <w:r>
        <w:rPr>
          <w:rFonts w:ascii="Arial" w:cs="Arial" w:eastAsia="Arial" w:hAnsi="Arial"/>
          <w:sz w:val="20"/>
          <w:szCs w:val="20"/>
          <w:color w:val="auto"/>
        </w:rPr>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811"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0"/>
          <w:szCs w:val="20"/>
          <w:color w:val="auto"/>
        </w:rPr>
        <w:t>CERTIFICATION</w:t>
      </w:r>
    </w:p>
    <w:p>
      <w:pPr>
        <w:spacing w:after="0" w:line="210"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Eighth Amended and Restated Bylaws as of November 2, 2015.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31750</wp:posOffset>
            </wp:positionV>
            <wp:extent cx="2546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Kim Sinatra, Secretary</w:t>
      </w:r>
    </w:p>
    <w:p>
      <w:pPr>
        <w:sectPr>
          <w:pgSz w:w="11900" w:h="16838" w:orient="portrait"/>
          <w:cols w:equalWidth="0" w:num="1">
            <w:col w:w="11420"/>
          </w:cols>
          <w:pgMar w:left="240" w:top="81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10.1</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EXECUTION VERSION</w:t>
      </w:r>
    </w:p>
    <w:p>
      <w:pPr>
        <w:spacing w:after="0" w:line="308"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DATED September 30, 2015</w:t>
      </w:r>
    </w:p>
    <w:p>
      <w:pPr>
        <w:spacing w:after="0" w:line="200" w:lineRule="exact"/>
        <w:rPr>
          <w:sz w:val="20"/>
          <w:szCs w:val="20"/>
          <w:color w:val="auto"/>
        </w:rPr>
      </w:pPr>
    </w:p>
    <w:p>
      <w:pPr>
        <w:spacing w:after="0" w:line="303"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WYNN RESORTS (MACAU) S.A.</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the Company</w:t>
      </w:r>
    </w:p>
    <w:p>
      <w:pPr>
        <w:spacing w:after="0" w:line="182"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CERTAIN FINANCIAL INSTITUTIONS</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19"/>
          <w:szCs w:val="19"/>
          <w:color w:val="auto"/>
        </w:rPr>
        <w:t>as Term Facility Lenders, Revolving Credit Facility Lenders, Additional Lenders and Hedging Counterparties</w:t>
      </w:r>
    </w:p>
    <w:p>
      <w:pPr>
        <w:spacing w:after="0" w:line="21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THE FINANCIAL INSTITUTIONS NAMED HEREIN</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Outgoing Global Coordinating Lead Arrangers</w:t>
      </w:r>
    </w:p>
    <w:p>
      <w:pPr>
        <w:spacing w:after="0" w:line="182"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THE FINANCIAL INSTITUTIONS NAMED HEREIN</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19"/>
          <w:szCs w:val="19"/>
          <w:color w:val="auto"/>
        </w:rPr>
        <w:t>as Mandated Lead Arrangers and Bookrunners, Mandated Lead Arrangers, Lead Arrangers and Arrangers</w:t>
      </w:r>
    </w:p>
    <w:p>
      <w:pPr>
        <w:spacing w:after="0" w:line="217"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Term Facility Agent</w:t>
      </w:r>
    </w:p>
    <w:p>
      <w:pPr>
        <w:spacing w:after="0" w:line="182"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Revolving Credit Facility Agent</w:t>
      </w:r>
    </w:p>
    <w:p>
      <w:pPr>
        <w:spacing w:after="0" w:line="182"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Additional Facility Agent</w:t>
      </w:r>
    </w:p>
    <w:p>
      <w:pPr>
        <w:spacing w:after="0" w:line="182"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Intercreditor Agent</w:t>
      </w:r>
    </w:p>
    <w:p>
      <w:pPr>
        <w:spacing w:after="0" w:line="182" w:lineRule="exact"/>
        <w:rPr>
          <w:sz w:val="20"/>
          <w:szCs w:val="20"/>
          <w:color w:val="auto"/>
        </w:rPr>
      </w:pPr>
    </w:p>
    <w:p>
      <w:pPr>
        <w:jc w:val="center"/>
        <w:ind w:right="960"/>
        <w:spacing w:after="0"/>
        <w:rPr>
          <w:sz w:val="20"/>
          <w:szCs w:val="20"/>
          <w:color w:val="auto"/>
        </w:rPr>
      </w:pPr>
      <w:r>
        <w:rPr>
          <w:rFonts w:ascii="Arial" w:cs="Arial" w:eastAsia="Arial" w:hAnsi="Arial"/>
          <w:sz w:val="22"/>
          <w:szCs w:val="22"/>
          <w:b w:val="1"/>
          <w:bCs w:val="1"/>
          <w:color w:val="auto"/>
        </w:rPr>
        <w:t>BANK OF CHINA LIMITED, MACAU BRANCH</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Security Agent and POA Agent</w:t>
      </w:r>
    </w:p>
    <w:p>
      <w:pPr>
        <w:spacing w:after="0" w:line="182"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BANCO NACIONAL ULTRAMARINO, S.A.</w:t>
      </w:r>
    </w:p>
    <w:p>
      <w:pPr>
        <w:spacing w:after="0" w:line="14"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as Second Ranking Finance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441960</wp:posOffset>
            </wp:positionV>
            <wp:extent cx="4707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COMMON TERMS AGREEMENT</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FIFTH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13335</wp:posOffset>
            </wp:positionV>
            <wp:extent cx="4707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0460"/>
          </w:cols>
          <w:pgMar w:left="1200" w:top="747" w:right="239" w:bottom="1440" w:gutter="0" w:footer="0" w:header="0"/>
        </w:sectPr>
      </w:pPr>
    </w:p>
    <w:bookmarkStart w:id="80" w:name="page81"/>
    <w:bookmarkEnd w:id="80"/>
    <w:p>
      <w:pPr>
        <w:jc w:val="right"/>
        <w:ind w:right="4179"/>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Clause</w:t>
      </w:r>
    </w:p>
    <w:p>
      <w:pPr>
        <w:spacing w:after="0" w:line="200" w:lineRule="exact"/>
        <w:rPr>
          <w:sz w:val="20"/>
          <w:szCs w:val="20"/>
          <w:color w:val="auto"/>
        </w:rPr>
      </w:pPr>
    </w:p>
    <w:p>
      <w:pPr>
        <w:spacing w:after="0" w:line="255" w:lineRule="exact"/>
        <w:rPr>
          <w:sz w:val="20"/>
          <w:szCs w:val="20"/>
          <w:color w:val="auto"/>
        </w:rPr>
      </w:pPr>
    </w:p>
    <w:p>
      <w:pPr>
        <w:ind w:left="660"/>
        <w:spacing w:after="0"/>
        <w:rPr>
          <w:rFonts w:ascii="Arial" w:cs="Arial" w:eastAsia="Arial" w:hAnsi="Arial"/>
          <w:sz w:val="22"/>
          <w:szCs w:val="22"/>
          <w:u w:val="single" w:color="auto"/>
          <w:color w:val="0000EE"/>
        </w:rPr>
      </w:pPr>
      <w:hyperlink w:anchor="page83">
        <w:r>
          <w:rPr>
            <w:rFonts w:ascii="Arial" w:cs="Arial" w:eastAsia="Arial" w:hAnsi="Arial"/>
            <w:sz w:val="22"/>
            <w:szCs w:val="22"/>
            <w:u w:val="single" w:color="auto"/>
            <w:color w:val="0000EE"/>
          </w:rPr>
          <w:t>1.</w:t>
        </w:r>
      </w:hyperlink>
      <w:r>
        <w:rPr>
          <w:rFonts w:ascii="Arial" w:cs="Arial" w:eastAsia="Arial" w:hAnsi="Arial"/>
          <w:sz w:val="22"/>
          <w:szCs w:val="22"/>
          <w:u w:val="single" w:color="auto"/>
          <w:color w:val="0000FF"/>
        </w:rPr>
        <w:t>Definitions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Interpretation</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2.</w:t>
        </w:r>
      </w:hyperlink>
      <w:r>
        <w:rPr>
          <w:rFonts w:ascii="Arial" w:cs="Arial" w:eastAsia="Arial" w:hAnsi="Arial"/>
          <w:sz w:val="22"/>
          <w:szCs w:val="22"/>
          <w:u w:val="single" w:color="auto"/>
          <w:color w:val="0000FF"/>
        </w:rPr>
        <w:t>Resignation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Additional Facility Agent</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3.</w:t>
        </w:r>
      </w:hyperlink>
      <w:r>
        <w:rPr>
          <w:rFonts w:ascii="Arial" w:cs="Arial" w:eastAsia="Arial" w:hAnsi="Arial"/>
          <w:sz w:val="22"/>
          <w:szCs w:val="22"/>
          <w:u w:val="single" w:color="auto"/>
          <w:color w:val="0000FF"/>
        </w:rPr>
        <w:t>Global</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Coordinating Lead Arrangers</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4.</w:t>
        </w:r>
      </w:hyperlink>
      <w:r>
        <w:rPr>
          <w:rFonts w:ascii="Arial" w:cs="Arial" w:eastAsia="Arial" w:hAnsi="Arial"/>
          <w:sz w:val="22"/>
          <w:szCs w:val="22"/>
          <w:u w:val="single" w:color="auto"/>
          <w:color w:val="0000FF"/>
        </w:rPr>
        <w:t>Amendment</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90">
        <w:r>
          <w:rPr>
            <w:rFonts w:ascii="Arial" w:cs="Arial" w:eastAsia="Arial" w:hAnsi="Arial"/>
            <w:sz w:val="22"/>
            <w:szCs w:val="22"/>
            <w:u w:val="single" w:color="auto"/>
            <w:color w:val="0000EE"/>
          </w:rPr>
          <w:t>5.</w:t>
        </w:r>
      </w:hyperlink>
      <w:r>
        <w:rPr>
          <w:rFonts w:ascii="Arial" w:cs="Arial" w:eastAsia="Arial" w:hAnsi="Arial"/>
          <w:sz w:val="22"/>
          <w:szCs w:val="22"/>
          <w:u w:val="single" w:color="auto"/>
          <w:color w:val="0000FF"/>
        </w:rPr>
        <w:t>Facility</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Advances</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1"/>
          <w:szCs w:val="21"/>
          <w:u w:val="single" w:color="auto"/>
          <w:color w:val="0000EE"/>
        </w:rPr>
      </w:pPr>
      <w:hyperlink w:anchor="page91">
        <w:r>
          <w:rPr>
            <w:rFonts w:ascii="Arial" w:cs="Arial" w:eastAsia="Arial" w:hAnsi="Arial"/>
            <w:sz w:val="21"/>
            <w:szCs w:val="21"/>
            <w:u w:val="single" w:color="auto"/>
            <w:color w:val="0000EE"/>
          </w:rPr>
          <w:t>6.</w:t>
        </w:r>
      </w:hyperlink>
      <w:r>
        <w:rPr>
          <w:rFonts w:ascii="Arial" w:cs="Arial" w:eastAsia="Arial" w:hAnsi="Arial"/>
          <w:sz w:val="21"/>
          <w:szCs w:val="21"/>
          <w:u w:val="single" w:color="auto"/>
          <w:color w:val="0000FF"/>
        </w:rPr>
        <w:t>Order</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of Events on the Fifth Amendment Effective Date</w:t>
      </w:r>
    </w:p>
    <w:p>
      <w:pPr>
        <w:spacing w:after="0" w:line="200" w:lineRule="exact"/>
        <w:rPr>
          <w:sz w:val="20"/>
          <w:szCs w:val="20"/>
          <w:color w:val="auto"/>
        </w:rPr>
      </w:pPr>
    </w:p>
    <w:p>
      <w:pPr>
        <w:spacing w:after="0" w:line="261" w:lineRule="exact"/>
        <w:rPr>
          <w:sz w:val="20"/>
          <w:szCs w:val="20"/>
          <w:color w:val="auto"/>
        </w:rPr>
      </w:pPr>
    </w:p>
    <w:p>
      <w:pPr>
        <w:ind w:left="660"/>
        <w:spacing w:after="0"/>
        <w:rPr>
          <w:rFonts w:ascii="Arial" w:cs="Arial" w:eastAsia="Arial" w:hAnsi="Arial"/>
          <w:sz w:val="22"/>
          <w:szCs w:val="22"/>
          <w:u w:val="single" w:color="auto"/>
          <w:color w:val="0000EE"/>
        </w:rPr>
      </w:pPr>
      <w:hyperlink w:anchor="page92">
        <w:r>
          <w:rPr>
            <w:rFonts w:ascii="Arial" w:cs="Arial" w:eastAsia="Arial" w:hAnsi="Arial"/>
            <w:sz w:val="22"/>
            <w:szCs w:val="22"/>
            <w:u w:val="single" w:color="auto"/>
            <w:color w:val="0000EE"/>
          </w:rPr>
          <w:t>7.</w:t>
        </w:r>
      </w:hyperlink>
      <w:r>
        <w:rPr>
          <w:rFonts w:ascii="Arial" w:cs="Arial" w:eastAsia="Arial" w:hAnsi="Arial"/>
          <w:sz w:val="22"/>
          <w:szCs w:val="22"/>
          <w:u w:val="single" w:color="auto"/>
          <w:color w:val="0000FF"/>
        </w:rPr>
        <w:t>Representations</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92">
        <w:r>
          <w:rPr>
            <w:rFonts w:ascii="Arial" w:cs="Arial" w:eastAsia="Arial" w:hAnsi="Arial"/>
            <w:sz w:val="22"/>
            <w:szCs w:val="22"/>
            <w:u w:val="single" w:color="auto"/>
            <w:color w:val="0000EE"/>
          </w:rPr>
          <w:t>8.</w:t>
        </w:r>
      </w:hyperlink>
      <w:r>
        <w:rPr>
          <w:rFonts w:ascii="Arial" w:cs="Arial" w:eastAsia="Arial" w:hAnsi="Arial"/>
          <w:sz w:val="22"/>
          <w:szCs w:val="22"/>
          <w:u w:val="single" w:color="auto"/>
          <w:color w:val="0000FF"/>
        </w:rPr>
        <w:t>Release</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Security</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92">
        <w:r>
          <w:rPr>
            <w:rFonts w:ascii="Arial" w:cs="Arial" w:eastAsia="Arial" w:hAnsi="Arial"/>
            <w:sz w:val="22"/>
            <w:szCs w:val="22"/>
            <w:u w:val="single" w:color="auto"/>
            <w:color w:val="0000EE"/>
          </w:rPr>
          <w:t>9.</w:t>
        </w:r>
      </w:hyperlink>
      <w:r>
        <w:rPr>
          <w:rFonts w:ascii="Arial" w:cs="Arial" w:eastAsia="Arial" w:hAnsi="Arial"/>
          <w:sz w:val="22"/>
          <w:szCs w:val="22"/>
          <w:u w:val="single" w:color="auto"/>
          <w:color w:val="0000FF"/>
        </w:rPr>
        <w:t>Continuity</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Further Assurance</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10.</w:t>
        </w:r>
      </w:hyperlink>
      <w:r>
        <w:rPr>
          <w:rFonts w:ascii="Arial" w:cs="Arial" w:eastAsia="Arial" w:hAnsi="Arial"/>
          <w:sz w:val="22"/>
          <w:szCs w:val="22"/>
          <w:u w:val="single" w:color="auto"/>
          <w:color w:val="0000FF"/>
        </w:rPr>
        <w:t>Miscellaneous</w:t>
      </w:r>
    </w:p>
    <w:p>
      <w:pPr>
        <w:spacing w:after="0" w:line="200" w:lineRule="exact"/>
        <w:rPr>
          <w:sz w:val="20"/>
          <w:szCs w:val="20"/>
          <w:color w:val="auto"/>
        </w:rPr>
      </w:pPr>
    </w:p>
    <w:p>
      <w:pPr>
        <w:spacing w:after="0" w:line="249" w:lineRule="exact"/>
        <w:rPr>
          <w:sz w:val="20"/>
          <w:szCs w:val="20"/>
          <w:color w:val="auto"/>
        </w:rPr>
      </w:pPr>
    </w:p>
    <w:p>
      <w:pPr>
        <w:ind w:left="660"/>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11.</w:t>
        </w:r>
      </w:hyperlink>
      <w:r>
        <w:rPr>
          <w:rFonts w:ascii="Arial" w:cs="Arial" w:eastAsia="Arial" w:hAnsi="Arial"/>
          <w:sz w:val="22"/>
          <w:szCs w:val="22"/>
          <w:u w:val="single" w:color="auto"/>
          <w:color w:val="0000FF"/>
        </w:rPr>
        <w:t>Wong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Share Substitution</w:t>
      </w:r>
    </w:p>
    <w:p>
      <w:pPr>
        <w:spacing w:after="0" w:line="200" w:lineRule="exact"/>
        <w:rPr>
          <w:sz w:val="20"/>
          <w:szCs w:val="20"/>
          <w:color w:val="auto"/>
        </w:rPr>
      </w:pPr>
    </w:p>
    <w:p>
      <w:pPr>
        <w:spacing w:after="0" w:line="330" w:lineRule="exact"/>
        <w:rPr>
          <w:sz w:val="20"/>
          <w:szCs w:val="20"/>
          <w:color w:val="auto"/>
        </w:rPr>
      </w:pPr>
    </w:p>
    <w:p>
      <w:pPr>
        <w:ind w:left="320" w:hanging="318"/>
        <w:spacing w:after="0"/>
        <w:tabs>
          <w:tab w:leader="none" w:pos="320" w:val="left"/>
        </w:tabs>
        <w:numPr>
          <w:ilvl w:val="0"/>
          <w:numId w:val="42"/>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Governing Law</w:t>
      </w:r>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94">
        <w:r>
          <w:rPr>
            <w:rFonts w:ascii="Arial" w:cs="Arial" w:eastAsia="Arial" w:hAnsi="Arial"/>
            <w:sz w:val="22"/>
            <w:szCs w:val="22"/>
            <w:u w:val="single" w:color="auto"/>
            <w:color w:val="0000EE"/>
          </w:rPr>
          <w:t>Schedule 1 Conditions Precedent</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98">
        <w:r>
          <w:rPr>
            <w:rFonts w:ascii="Arial" w:cs="Arial" w:eastAsia="Arial" w:hAnsi="Arial"/>
            <w:sz w:val="22"/>
            <w:szCs w:val="22"/>
            <w:u w:val="single" w:color="auto"/>
            <w:color w:val="0000EE"/>
          </w:rPr>
          <w:t>Schedule 2 Amended Common Terms Agreement</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52">
        <w:r>
          <w:rPr>
            <w:rFonts w:ascii="Arial" w:cs="Arial" w:eastAsia="Arial" w:hAnsi="Arial"/>
            <w:sz w:val="22"/>
            <w:szCs w:val="22"/>
            <w:u w:val="single" w:color="auto"/>
            <w:color w:val="0000EE"/>
          </w:rPr>
          <w:t>SIGNATURES</w:t>
        </w:r>
      </w:hyperlink>
    </w:p>
    <w:p>
      <w:pPr>
        <w:sectPr>
          <w:pgSz w:w="11900" w:h="16838" w:orient="portrait"/>
          <w:cols w:equalWidth="0" w:num="1">
            <w:col w:w="10199"/>
          </w:cols>
          <w:pgMar w:left="260" w:top="774" w:right="1440"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dated September 30, 2015 and made between:</w:t>
      </w:r>
    </w:p>
    <w:p>
      <w:pPr>
        <w:spacing w:after="0" w:line="22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WYNN RESORTS (MACAU) S.A.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 </w:t>
      </w:r>
      <w:r>
        <w:rPr>
          <w:rFonts w:ascii="Arial" w:cs="Arial" w:eastAsia="Arial" w:hAnsi="Arial"/>
          <w:sz w:val="22"/>
          <w:szCs w:val="22"/>
          <w:color w:val="auto"/>
        </w:rPr>
        <w:t>named on the signing pages as the Term Facility 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 </w:t>
      </w:r>
      <w:r>
        <w:rPr>
          <w:rFonts w:ascii="Arial" w:cs="Arial" w:eastAsia="Arial" w:hAnsi="Arial"/>
          <w:sz w:val="22"/>
          <w:szCs w:val="22"/>
          <w:color w:val="auto"/>
        </w:rPr>
        <w:t>named on the signing pages as the Revolving Credit Facility 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 </w:t>
      </w:r>
      <w:r>
        <w:rPr>
          <w:rFonts w:ascii="Arial" w:cs="Arial" w:eastAsia="Arial" w:hAnsi="Arial"/>
          <w:sz w:val="22"/>
          <w:szCs w:val="22"/>
          <w:color w:val="auto"/>
        </w:rPr>
        <w:t>named on the signing pages as the Additional 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the Hedging Counterparties;</w:t>
      </w:r>
    </w:p>
    <w:p>
      <w:pPr>
        <w:spacing w:after="0" w:line="219"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outgoing Global</w:t>
      </w:r>
      <w:r>
        <w:rPr>
          <w:rFonts w:ascii="Arial" w:cs="Arial" w:eastAsia="Arial" w:hAnsi="Arial"/>
          <w:sz w:val="22"/>
          <w:szCs w:val="22"/>
          <w:b w:val="1"/>
          <w:bCs w:val="1"/>
          <w:color w:val="auto"/>
        </w:rPr>
        <w:t xml:space="preserve"> </w:t>
      </w:r>
      <w:r>
        <w:rPr>
          <w:rFonts w:ascii="Arial" w:cs="Arial" w:eastAsia="Arial" w:hAnsi="Arial"/>
          <w:sz w:val="22"/>
          <w:szCs w:val="22"/>
          <w:color w:val="auto"/>
        </w:rPr>
        <w:t>Coordinating Lead Arrangers (the "</w:t>
      </w:r>
      <w:r>
        <w:rPr>
          <w:rFonts w:ascii="Arial" w:cs="Arial" w:eastAsia="Arial" w:hAnsi="Arial"/>
          <w:sz w:val="22"/>
          <w:szCs w:val="22"/>
          <w:b w:val="1"/>
          <w:bCs w:val="1"/>
          <w:color w:val="auto"/>
        </w:rPr>
        <w:t>Outgoing Global Coordinating 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Mandated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and Bookrunners (the "</w:t>
      </w:r>
      <w:r>
        <w:rPr>
          <w:rFonts w:ascii="Arial" w:cs="Arial" w:eastAsia="Arial" w:hAnsi="Arial"/>
          <w:sz w:val="22"/>
          <w:szCs w:val="22"/>
          <w:b w:val="1"/>
          <w:bCs w:val="1"/>
          <w:color w:val="auto"/>
        </w:rPr>
        <w:t>Mandated Lead Arrangers and Bookrunners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Mandated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(the "</w:t>
      </w:r>
      <w:r>
        <w:rPr>
          <w:rFonts w:ascii="Arial" w:cs="Arial" w:eastAsia="Arial" w:hAnsi="Arial"/>
          <w:sz w:val="22"/>
          <w:szCs w:val="22"/>
          <w:b w:val="1"/>
          <w:bCs w:val="1"/>
          <w:color w:val="auto"/>
        </w:rPr>
        <w:t>Mandated 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Lead Arrangers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Lead 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as, and in their capacities as, the Arrangers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Arrangers</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Term Facility Agent (the "</w:t>
      </w:r>
      <w:r>
        <w:rPr>
          <w:rFonts w:ascii="Arial" w:cs="Arial" w:eastAsia="Arial" w:hAnsi="Arial"/>
          <w:sz w:val="22"/>
          <w:szCs w:val="22"/>
          <w:b w:val="1"/>
          <w:bCs w:val="1"/>
          <w:color w:val="auto"/>
        </w:rPr>
        <w:t>Term Facility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Revolving Credit Facility Agent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Revolving Credit Facility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Additional Facility Agent (the "</w:t>
      </w:r>
      <w:r>
        <w:rPr>
          <w:rFonts w:ascii="Arial" w:cs="Arial" w:eastAsia="Arial" w:hAnsi="Arial"/>
          <w:sz w:val="22"/>
          <w:szCs w:val="22"/>
          <w:b w:val="1"/>
          <w:bCs w:val="1"/>
          <w:color w:val="auto"/>
        </w:rPr>
        <w:t>Additional Facility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Intercreditor Agent (the "</w:t>
      </w:r>
      <w:r>
        <w:rPr>
          <w:rFonts w:ascii="Arial" w:cs="Arial" w:eastAsia="Arial" w:hAnsi="Arial"/>
          <w:sz w:val="22"/>
          <w:szCs w:val="22"/>
          <w:b w:val="1"/>
          <w:bCs w:val="1"/>
          <w:color w:val="auto"/>
        </w:rPr>
        <w:t>Intercreditor Agent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Security Agent (the "</w:t>
      </w:r>
      <w:r>
        <w:rPr>
          <w:rFonts w:ascii="Arial" w:cs="Arial" w:eastAsia="Arial" w:hAnsi="Arial"/>
          <w:sz w:val="22"/>
          <w:szCs w:val="22"/>
          <w:b w:val="1"/>
          <w:bCs w:val="1"/>
          <w:color w:val="auto"/>
        </w:rPr>
        <w:t>Security Agent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BANCO NACIONAL ULTRAMARINO, S.A. </w:t>
      </w:r>
      <w:r>
        <w:rPr>
          <w:rFonts w:ascii="Arial" w:cs="Arial" w:eastAsia="Arial" w:hAnsi="Arial"/>
          <w:sz w:val="22"/>
          <w:szCs w:val="22"/>
          <w:color w:val="auto"/>
        </w:rPr>
        <w:t>as Second Ranking Finance Party (the "</w:t>
      </w:r>
      <w:r>
        <w:rPr>
          <w:rFonts w:ascii="Arial" w:cs="Arial" w:eastAsia="Arial" w:hAnsi="Arial"/>
          <w:sz w:val="22"/>
          <w:szCs w:val="22"/>
          <w:b w:val="1"/>
          <w:bCs w:val="1"/>
          <w:color w:val="auto"/>
        </w:rPr>
        <w:t>Second Ranking Finance Party</w:t>
      </w:r>
      <w:r>
        <w:rPr>
          <w:rFonts w:ascii="Arial" w:cs="Arial" w:eastAsia="Arial" w:hAnsi="Arial"/>
          <w:sz w:val="22"/>
          <w:szCs w:val="22"/>
          <w:color w:val="auto"/>
        </w:rPr>
        <w:t>"); and</w:t>
      </w:r>
    </w:p>
    <w:p>
      <w:pPr>
        <w:sectPr>
          <w:pgSz w:w="11900" w:h="16838" w:orient="portrait"/>
          <w:cols w:equalWidth="0" w:num="1">
            <w:col w:w="11420"/>
          </w:cols>
          <w:pgMar w:left="240" w:top="625" w:right="239" w:bottom="1440" w:gutter="0" w:footer="0" w:header="0"/>
        </w:sectPr>
      </w:pPr>
    </w:p>
    <w:bookmarkStart w:id="82" w:name="page83"/>
    <w:bookmarkEnd w:id="82"/>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the POA Agent (the "</w:t>
      </w:r>
      <w:r>
        <w:rPr>
          <w:rFonts w:ascii="Arial" w:cs="Arial" w:eastAsia="Arial" w:hAnsi="Arial"/>
          <w:sz w:val="22"/>
          <w:szCs w:val="22"/>
          <w:b w:val="1"/>
          <w:bCs w:val="1"/>
          <w:color w:val="auto"/>
        </w:rPr>
        <w:t>POA Agent</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660" w:hanging="652"/>
        <w:spacing w:after="0" w:line="263"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parties hereto have agreed to amend certain Senior Finance Documents and enter into additional Senior Finance Documents.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It has been agreed to further amend the Common Terms Agreement as set out below.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ectPr>
          <w:pgSz w:w="11900" w:h="16838" w:orient="portrait"/>
          <w:cols w:equalWidth="0" w:num="1">
            <w:col w:w="11420"/>
          </w:cols>
          <w:pgMar w:left="240" w:top="625" w:right="239" w:bottom="1440" w:gutter="0" w:footer="0" w:header="0"/>
        </w:sectPr>
      </w:pPr>
    </w:p>
    <w:bookmarkStart w:id="83" w:name="page84"/>
    <w:bookmarkEnd w:id="83"/>
    <w:p>
      <w:pPr>
        <w:ind w:left="660" w:hanging="652"/>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Definitions and incorporation of defined terms</w:t>
      </w:r>
    </w:p>
    <w:p>
      <w:pPr>
        <w:spacing w:after="0" w:line="22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this Agreement:</w:t>
      </w:r>
    </w:p>
    <w:p>
      <w:pPr>
        <w:spacing w:after="0" w:line="213" w:lineRule="exact"/>
        <w:rPr>
          <w:rFonts w:ascii="Arial" w:cs="Arial" w:eastAsia="Arial" w:hAnsi="Arial"/>
          <w:sz w:val="22"/>
          <w:szCs w:val="22"/>
          <w:color w:val="auto"/>
        </w:rPr>
      </w:pPr>
    </w:p>
    <w:p>
      <w:pPr>
        <w:ind w:left="1300"/>
        <w:spacing w:after="0" w:line="293"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Amended Common Terms Agreement</w:t>
      </w:r>
      <w:r>
        <w:rPr>
          <w:rFonts w:ascii="Arial" w:cs="Arial" w:eastAsia="Arial" w:hAnsi="Arial"/>
          <w:sz w:val="21"/>
          <w:szCs w:val="21"/>
          <w:color w:val="auto"/>
        </w:rPr>
        <w:t>" means the Original Common Terms Agreement, as amended by this Agreement, the terms of which are set out in Schedule 2 (</w:t>
      </w:r>
      <w:r>
        <w:rPr>
          <w:rFonts w:ascii="Arial" w:cs="Arial" w:eastAsia="Arial" w:hAnsi="Arial"/>
          <w:sz w:val="21"/>
          <w:szCs w:val="21"/>
          <w:i w:val="1"/>
          <w:iCs w:val="1"/>
          <w:color w:val="auto"/>
        </w:rPr>
        <w:t>Amended Common Terms Agreement</w:t>
      </w:r>
      <w:r>
        <w:rPr>
          <w:rFonts w:ascii="Arial" w:cs="Arial" w:eastAsia="Arial" w:hAnsi="Arial"/>
          <w:sz w:val="21"/>
          <w:szCs w:val="21"/>
          <w:color w:val="auto"/>
        </w:rPr>
        <w:t>);</w:t>
      </w:r>
    </w:p>
    <w:p>
      <w:pPr>
        <w:spacing w:after="0" w:line="139"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Company Floating Charge</w:t>
      </w:r>
      <w:r>
        <w:rPr>
          <w:rFonts w:ascii="Arial" w:cs="Arial" w:eastAsia="Arial" w:hAnsi="Arial"/>
          <w:sz w:val="22"/>
          <w:szCs w:val="22"/>
          <w:color w:val="auto"/>
        </w:rPr>
        <w:t>" means the Amendment to Floating Charge dated on or about the date hereof between the Company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Company Mortgage</w:t>
      </w:r>
      <w:r>
        <w:rPr>
          <w:rFonts w:ascii="Arial" w:cs="Arial" w:eastAsia="Arial" w:hAnsi="Arial"/>
          <w:sz w:val="22"/>
          <w:szCs w:val="22"/>
          <w:color w:val="auto"/>
        </w:rPr>
        <w:t>" means the Amendment to Mortgage dated on or about the date hereof between the Company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Palo Floating Charge</w:t>
      </w:r>
      <w:r>
        <w:rPr>
          <w:rFonts w:ascii="Arial" w:cs="Arial" w:eastAsia="Arial" w:hAnsi="Arial"/>
          <w:sz w:val="22"/>
          <w:szCs w:val="22"/>
          <w:color w:val="auto"/>
        </w:rPr>
        <w:t>" means the Amendment to Floating Charge dated on or about the date hereof between Palo and the Security Agent;</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to Palo Mortgage</w:t>
      </w:r>
      <w:r>
        <w:rPr>
          <w:rFonts w:ascii="Arial" w:cs="Arial" w:eastAsia="Arial" w:hAnsi="Arial"/>
          <w:sz w:val="22"/>
          <w:szCs w:val="22"/>
          <w:color w:val="auto"/>
        </w:rPr>
        <w:t>" means the Amendment to Palo Mortgage dated on or about the date hereof between Palo and the Security Agent;</w:t>
      </w:r>
    </w:p>
    <w:p>
      <w:pPr>
        <w:spacing w:after="0" w:line="162" w:lineRule="exact"/>
        <w:rPr>
          <w:rFonts w:ascii="Arial" w:cs="Arial" w:eastAsia="Arial" w:hAnsi="Arial"/>
          <w:sz w:val="22"/>
          <w:szCs w:val="22"/>
          <w:color w:val="auto"/>
        </w:rPr>
      </w:pPr>
    </w:p>
    <w:p>
      <w:pPr>
        <w:ind w:left="1300"/>
        <w:spacing w:after="0" w:line="350"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to Pledge over Gaming Equipment and Utensils</w:t>
      </w:r>
      <w:r>
        <w:rPr>
          <w:rFonts w:ascii="Arial" w:cs="Arial" w:eastAsia="Arial" w:hAnsi="Arial"/>
          <w:sz w:val="19"/>
          <w:szCs w:val="19"/>
          <w:color w:val="auto"/>
        </w:rPr>
        <w:t>" means the Amendment to Pledge over Gaming Equipment and Utensils dated on or about the date hereof between the Company and the Security Agent;</w:t>
      </w:r>
    </w:p>
    <w:p>
      <w:pPr>
        <w:spacing w:after="0" w:line="9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Completion Memorandum</w:t>
      </w:r>
      <w:r>
        <w:rPr>
          <w:rFonts w:ascii="Arial" w:cs="Arial" w:eastAsia="Arial" w:hAnsi="Arial"/>
          <w:sz w:val="22"/>
          <w:szCs w:val="22"/>
          <w:color w:val="auto"/>
        </w:rPr>
        <w:t>" means the completion memorandum relating to the matters contemplated in this Agreement, in the Agreed Form;</w:t>
      </w:r>
    </w:p>
    <w:p>
      <w:pPr>
        <w:spacing w:after="0" w:line="162" w:lineRule="exact"/>
        <w:rPr>
          <w:rFonts w:ascii="Arial" w:cs="Arial" w:eastAsia="Arial" w:hAnsi="Arial"/>
          <w:sz w:val="22"/>
          <w:szCs w:val="22"/>
          <w:color w:val="auto"/>
        </w:rPr>
      </w:pPr>
    </w:p>
    <w:p>
      <w:pPr>
        <w:ind w:left="130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Completion Request</w:t>
      </w:r>
      <w:r>
        <w:rPr>
          <w:rFonts w:ascii="Arial" w:cs="Arial" w:eastAsia="Arial" w:hAnsi="Arial"/>
          <w:sz w:val="22"/>
          <w:szCs w:val="22"/>
          <w:color w:val="auto"/>
        </w:rPr>
        <w:t>" means a request in the Agreed Form for Advances denominated in HKD and USD under the Term Facility to be made on the Fifth Amendment Effective Date;</w:t>
      </w:r>
    </w:p>
    <w:p>
      <w:pPr>
        <w:spacing w:after="0" w:line="162" w:lineRule="exact"/>
        <w:rPr>
          <w:rFonts w:ascii="Arial" w:cs="Arial" w:eastAsia="Arial" w:hAnsi="Arial"/>
          <w:sz w:val="22"/>
          <w:szCs w:val="22"/>
          <w:color w:val="auto"/>
        </w:rPr>
      </w:pPr>
    </w:p>
    <w:p>
      <w:pPr>
        <w:ind w:left="1300" w:right="20"/>
        <w:spacing w:after="0" w:line="293"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Confirmation of Company Share Pledge</w:t>
      </w:r>
      <w:r>
        <w:rPr>
          <w:rFonts w:ascii="Arial" w:cs="Arial" w:eastAsia="Arial" w:hAnsi="Arial"/>
          <w:sz w:val="21"/>
          <w:szCs w:val="21"/>
          <w:color w:val="auto"/>
        </w:rPr>
        <w:t>" means the Confirmation of Company Share Pledge dated on or about the date hereof between Wynn HK, Wynn International, the Company and the Security Agent;</w:t>
      </w:r>
    </w:p>
    <w:p>
      <w:pPr>
        <w:spacing w:after="0" w:line="139" w:lineRule="exact"/>
        <w:rPr>
          <w:rFonts w:ascii="Arial" w:cs="Arial" w:eastAsia="Arial" w:hAnsi="Arial"/>
          <w:sz w:val="22"/>
          <w:szCs w:val="22"/>
          <w:color w:val="auto"/>
        </w:rPr>
      </w:pPr>
    </w:p>
    <w:p>
      <w:pPr>
        <w:ind w:left="1300" w:right="2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Confirmation of Palo Share Pledge</w:t>
      </w:r>
      <w:r>
        <w:rPr>
          <w:rFonts w:ascii="Arial" w:cs="Arial" w:eastAsia="Arial" w:hAnsi="Arial"/>
          <w:sz w:val="22"/>
          <w:szCs w:val="22"/>
          <w:color w:val="auto"/>
        </w:rPr>
        <w:t>" means the Confirmation of Palo Share Pledge dated on or about the date hereof between Wynn HK, Wynn International, the Company, Palo and the Security Agent;</w:t>
      </w:r>
    </w:p>
    <w:p>
      <w:pPr>
        <w:spacing w:after="0" w:line="162" w:lineRule="exact"/>
        <w:rPr>
          <w:rFonts w:ascii="Arial" w:cs="Arial" w:eastAsia="Arial" w:hAnsi="Arial"/>
          <w:sz w:val="22"/>
          <w:szCs w:val="22"/>
          <w:color w:val="auto"/>
        </w:rPr>
      </w:pPr>
    </w:p>
    <w:p>
      <w:pPr>
        <w:jc w:val="both"/>
        <w:ind w:left="130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Confirmation of Executive Director Share Pledge</w:t>
      </w:r>
      <w:r>
        <w:rPr>
          <w:rFonts w:ascii="Arial" w:cs="Arial" w:eastAsia="Arial" w:hAnsi="Arial"/>
          <w:sz w:val="21"/>
          <w:szCs w:val="21"/>
          <w:color w:val="auto"/>
        </w:rPr>
        <w:t>" means, if the Relevant Executive Director is Ms Linda Chen prior to the Fifth Amendment Effective Date, the Confirmation of Executive Director Share Pledge dated on or about the date hereof between Ms Linda Chen, the Company and the Security Agent;</w:t>
      </w:r>
    </w:p>
    <w:p>
      <w:pPr>
        <w:spacing w:after="0" w:line="158" w:lineRule="exact"/>
        <w:rPr>
          <w:rFonts w:ascii="Arial" w:cs="Arial" w:eastAsia="Arial" w:hAnsi="Arial"/>
          <w:sz w:val="22"/>
          <w:szCs w:val="22"/>
          <w:color w:val="auto"/>
        </w:rPr>
      </w:pPr>
    </w:p>
    <w:p>
      <w:pPr>
        <w:jc w:val="both"/>
        <w:ind w:left="130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Deed of Appointment and Priority Fourth Deed of Amendment</w:t>
      </w:r>
      <w:r>
        <w:rPr>
          <w:rFonts w:ascii="Arial" w:cs="Arial" w:eastAsia="Arial" w:hAnsi="Arial"/>
          <w:sz w:val="22"/>
          <w:szCs w:val="22"/>
          <w:color w:val="auto"/>
        </w:rPr>
        <w:t>" means the Deed of Appointment and Priority Fourth Deed of Amendment dated on or about the date hereof between, among others, the Original First Ranking Lenders, the</w:t>
      </w:r>
    </w:p>
    <w:p>
      <w:pPr>
        <w:sectPr>
          <w:pgSz w:w="11900" w:h="16838" w:orient="portrait"/>
          <w:cols w:equalWidth="0" w:num="1">
            <w:col w:w="11420"/>
          </w:cols>
          <w:pgMar w:left="240" w:top="625" w:right="239" w:bottom="1440" w:gutter="0" w:footer="0" w:header="0"/>
        </w:sectPr>
      </w:pPr>
    </w:p>
    <w:bookmarkStart w:id="84" w:name="page85"/>
    <w:bookmarkEnd w:id="84"/>
    <w:p>
      <w:pPr>
        <w:jc w:val="both"/>
        <w:ind w:left="100"/>
        <w:spacing w:after="0" w:line="263" w:lineRule="auto"/>
        <w:rPr>
          <w:sz w:val="20"/>
          <w:szCs w:val="20"/>
          <w:color w:val="auto"/>
        </w:rPr>
      </w:pPr>
      <w:r>
        <w:rPr>
          <w:rFonts w:ascii="Arial" w:cs="Arial" w:eastAsia="Arial" w:hAnsi="Arial"/>
          <w:sz w:val="22"/>
          <w:szCs w:val="22"/>
          <w:color w:val="auto"/>
        </w:rPr>
        <w:t>Hedging Counterparties, the Second Ranking Finance Party, the Company, the Security Agent, the Intercreditor Agent and the POA Agent;</w:t>
      </w:r>
    </w:p>
    <w:p>
      <w:pPr>
        <w:spacing w:after="0" w:line="169"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English Security Confirmation</w:t>
      </w:r>
      <w:r>
        <w:rPr>
          <w:rFonts w:ascii="Arial" w:cs="Arial" w:eastAsia="Arial" w:hAnsi="Arial"/>
          <w:sz w:val="22"/>
          <w:szCs w:val="22"/>
          <w:color w:val="auto"/>
        </w:rPr>
        <w:t>" means the document so entitled dated on or about the Fifth Amendment Effective Date between the Company and the Security Agent;</w:t>
      </w:r>
    </w:p>
    <w:p>
      <w:pPr>
        <w:spacing w:after="0" w:line="162" w:lineRule="exact"/>
        <w:rPr>
          <w:sz w:val="20"/>
          <w:szCs w:val="20"/>
          <w:color w:val="auto"/>
        </w:rPr>
      </w:pPr>
    </w:p>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 Director Shares</w:t>
      </w:r>
      <w:r>
        <w:rPr>
          <w:rFonts w:ascii="Arial" w:cs="Arial" w:eastAsia="Arial" w:hAnsi="Arial"/>
          <w:sz w:val="19"/>
          <w:szCs w:val="19"/>
          <w:color w:val="auto"/>
        </w:rPr>
        <w:t>" means the 20,010 ordinary class A shares in the Company (of MOP1,000 par value per share) which are represented by shares certificates numbers 5 through 24 and share certificate number 205;</w:t>
      </w:r>
    </w:p>
    <w:p>
      <w:pPr>
        <w:spacing w:after="0" w:line="9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 Pledge</w:t>
      </w:r>
      <w:r>
        <w:rPr>
          <w:rFonts w:ascii="Arial" w:cs="Arial" w:eastAsia="Arial" w:hAnsi="Arial"/>
          <w:sz w:val="22"/>
          <w:szCs w:val="22"/>
          <w:color w:val="auto"/>
        </w:rPr>
        <w:t>" means the document entitled "Wong Share Pledge" dated on or about 14 September 2004 between the Relevant Executive Director and the Security Agent;</w:t>
      </w:r>
    </w:p>
    <w:p>
      <w:pPr>
        <w:spacing w:after="0" w:line="16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Macau Security Confirmation</w:t>
      </w:r>
      <w:r>
        <w:rPr>
          <w:rFonts w:ascii="Arial" w:cs="Arial" w:eastAsia="Arial" w:hAnsi="Arial"/>
          <w:sz w:val="22"/>
          <w:szCs w:val="22"/>
          <w:color w:val="auto"/>
        </w:rPr>
        <w:t>" means the document so entitled dated on or about the Fifth Amendment Effective Date between the Company and the Security Agent;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Fifth Amendment Effective Date</w:t>
      </w:r>
      <w:r>
        <w:rPr>
          <w:rFonts w:ascii="Arial" w:cs="Arial" w:eastAsia="Arial" w:hAnsi="Arial"/>
          <w:sz w:val="22"/>
          <w:szCs w:val="22"/>
          <w:color w:val="auto"/>
        </w:rPr>
        <w:t>" has the meaning given to such term in Clause 4 (</w:t>
      </w:r>
      <w:r>
        <w:rPr>
          <w:rFonts w:ascii="Arial" w:cs="Arial" w:eastAsia="Arial" w:hAnsi="Arial"/>
          <w:sz w:val="22"/>
          <w:szCs w:val="22"/>
          <w:i w:val="1"/>
          <w:iCs w:val="1"/>
          <w:color w:val="auto"/>
        </w:rPr>
        <w:t>Amendment</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 Fourth Deed of Amendment and Acknowledgement</w:t>
      </w:r>
      <w:r>
        <w:rPr>
          <w:rFonts w:ascii="Arial" w:cs="Arial" w:eastAsia="Arial" w:hAnsi="Arial"/>
          <w:sz w:val="22"/>
          <w:szCs w:val="22"/>
          <w:color w:val="auto"/>
        </w:rPr>
        <w:t>" means the Guarantee Fourth Deed of Amendment and Acknowledgement dated on or about the date hereof between Wynn Asia 2, Wynn International, Wynn Holdings, Wynn HK, Palo and the Security Agent;</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 in relation to a Person, means an entity of which that Person is a Subsidiary;</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Security Confirmation</w:t>
      </w:r>
      <w:r>
        <w:rPr>
          <w:rFonts w:ascii="Arial" w:cs="Arial" w:eastAsia="Arial" w:hAnsi="Arial"/>
          <w:sz w:val="22"/>
          <w:szCs w:val="22"/>
          <w:color w:val="auto"/>
        </w:rPr>
        <w:t>" means the document so entitled dated on or about the Fifth Amendment Effective Date between the Company, Wynn Holdings and the Security Agent;</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 Covering Letter</w:t>
      </w:r>
      <w:r>
        <w:rPr>
          <w:rFonts w:ascii="Arial" w:cs="Arial" w:eastAsia="Arial" w:hAnsi="Arial"/>
          <w:sz w:val="22"/>
          <w:szCs w:val="22"/>
          <w:color w:val="auto"/>
        </w:rPr>
        <w:t>" means the letter from the Company to the Security Agent dated on or about the Fifth Amendment Effective Date in relation to the Livranças, duly acknowledged by Palo;</w:t>
      </w:r>
    </w:p>
    <w:p>
      <w:pPr>
        <w:spacing w:after="0" w:line="162"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Security Confirmations</w:t>
      </w:r>
      <w:r>
        <w:rPr>
          <w:rFonts w:ascii="Arial" w:cs="Arial" w:eastAsia="Arial" w:hAnsi="Arial"/>
          <w:sz w:val="22"/>
          <w:szCs w:val="22"/>
          <w:color w:val="auto"/>
        </w:rPr>
        <w:t>" means the First Macau Security Confirmation, the Second Macau Security Confirmation, the Confirmation of Company Share Pledge, the Confirmation of Palo Share Pledge and (if applicable) the Confirmation of Executive Director Share Pledge;</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Nevada Security Release Agreement</w:t>
      </w:r>
      <w:r>
        <w:rPr>
          <w:rFonts w:ascii="Arial" w:cs="Arial" w:eastAsia="Arial" w:hAnsi="Arial"/>
          <w:sz w:val="22"/>
          <w:szCs w:val="22"/>
          <w:color w:val="auto"/>
        </w:rPr>
        <w:t>" means the release and termination agreement between the Company and the Security Agent dated on or about the Fifth Amendment Effective Date in relation to the US Operating Account Control Agreement;</w:t>
      </w:r>
    </w:p>
    <w:p>
      <w:pPr>
        <w:sectPr>
          <w:pgSz w:w="11900" w:h="16838" w:orient="portrait"/>
          <w:cols w:equalWidth="0" w:num="1">
            <w:col w:w="10220"/>
          </w:cols>
          <w:pgMar w:left="1440" w:top="631" w:right="239" w:bottom="1440" w:gutter="0" w:footer="0" w:header="0"/>
        </w:sectPr>
      </w:pPr>
    </w:p>
    <w:bookmarkStart w:id="85" w:name="page86"/>
    <w:bookmarkEnd w:id="85"/>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Company Power of Attorney</w:t>
      </w:r>
      <w:r>
        <w:rPr>
          <w:rFonts w:ascii="Arial" w:cs="Arial" w:eastAsia="Arial" w:hAnsi="Arial"/>
          <w:sz w:val="22"/>
          <w:szCs w:val="22"/>
          <w:color w:val="auto"/>
        </w:rPr>
        <w:t>" means the irrevocable power of attorney dated on or about the date hereof granted by the Company in favour of the Security Agent;</w:t>
      </w:r>
    </w:p>
    <w:p>
      <w:pPr>
        <w:spacing w:after="0" w:line="162"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Palo Power of Attorney</w:t>
      </w:r>
      <w:r>
        <w:rPr>
          <w:rFonts w:ascii="Arial" w:cs="Arial" w:eastAsia="Arial" w:hAnsi="Arial"/>
          <w:sz w:val="22"/>
          <w:szCs w:val="22"/>
          <w:color w:val="auto"/>
        </w:rPr>
        <w:t>" means the irrevocable power of attorney dated on or about the date hereof granted by Palo in favour of the Security Agent;</w:t>
      </w:r>
    </w:p>
    <w:p>
      <w:pPr>
        <w:spacing w:after="0" w:line="162"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Common Terms Agreement</w:t>
      </w:r>
      <w:r>
        <w:rPr>
          <w:rFonts w:ascii="Arial" w:cs="Arial" w:eastAsia="Arial" w:hAnsi="Arial"/>
          <w:sz w:val="22"/>
          <w:szCs w:val="22"/>
          <w:color w:val="auto"/>
        </w:rPr>
        <w:t>" means the Common Terms Agreement as amended from time to time prior to the date of this Agreement;</w:t>
      </w:r>
    </w:p>
    <w:p>
      <w:pPr>
        <w:spacing w:after="0" w:line="162"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w:t>
      </w:r>
      <w:r>
        <w:rPr>
          <w:rFonts w:ascii="Arial" w:cs="Arial" w:eastAsia="Arial" w:hAnsi="Arial"/>
          <w:sz w:val="22"/>
          <w:szCs w:val="22"/>
          <w:color w:val="auto"/>
        </w:rPr>
        <w:t>" means Palo Real Estate Company Limited a company with limited liability incorporated in the Macau SAR with registration number 27319 SO;</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POA Agent</w:t>
      </w:r>
      <w:r>
        <w:rPr>
          <w:rFonts w:ascii="Arial" w:cs="Arial" w:eastAsia="Arial" w:hAnsi="Arial"/>
          <w:sz w:val="22"/>
          <w:szCs w:val="22"/>
          <w:color w:val="auto"/>
        </w:rPr>
        <w:t>" has the meaning given to such term in the Deed of Appointment and Priority;</w:t>
      </w:r>
    </w:p>
    <w:p>
      <w:pPr>
        <w:spacing w:after="0" w:line="220"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Post-Amendment Global Transfer Agreement</w:t>
      </w:r>
      <w:r>
        <w:rPr>
          <w:rFonts w:ascii="Arial" w:cs="Arial" w:eastAsia="Arial" w:hAnsi="Arial"/>
          <w:sz w:val="22"/>
          <w:szCs w:val="22"/>
          <w:color w:val="auto"/>
        </w:rPr>
        <w:t>" means the agreement so entitled dated on or about the date of this Agreement between, among others, the Company and the Intercreditor Agent;</w:t>
      </w:r>
    </w:p>
    <w:p>
      <w:pPr>
        <w:spacing w:after="0" w:line="162" w:lineRule="exact"/>
        <w:rPr>
          <w:sz w:val="20"/>
          <w:szCs w:val="20"/>
          <w:color w:val="auto"/>
        </w:rPr>
      </w:pPr>
    </w:p>
    <w:p>
      <w:pPr>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Pre-Amendment Global Transfer Agreement</w:t>
      </w:r>
      <w:r>
        <w:rPr>
          <w:rFonts w:ascii="Arial" w:cs="Arial" w:eastAsia="Arial" w:hAnsi="Arial"/>
          <w:sz w:val="22"/>
          <w:szCs w:val="22"/>
          <w:color w:val="auto"/>
        </w:rPr>
        <w:t>" means the agreement so entitled dated on or about the date of this Agreement between, among others, the Company and the Intercreditor Agent;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Executive Director</w:t>
      </w:r>
      <w:r>
        <w:rPr>
          <w:rFonts w:ascii="Arial" w:cs="Arial" w:eastAsia="Arial" w:hAnsi="Arial"/>
          <w:sz w:val="22"/>
          <w:szCs w:val="22"/>
          <w:color w:val="auto"/>
        </w:rPr>
        <w:t>" means:</w:t>
      </w:r>
    </w:p>
    <w:p>
      <w:pPr>
        <w:spacing w:after="0" w:line="226" w:lineRule="exact"/>
        <w:rPr>
          <w:sz w:val="20"/>
          <w:szCs w:val="20"/>
          <w:color w:val="auto"/>
        </w:rPr>
      </w:pPr>
    </w:p>
    <w:p>
      <w:pPr>
        <w:ind w:left="760" w:hanging="655"/>
        <w:spacing w:after="0" w:line="263" w:lineRule="auto"/>
        <w:tabs>
          <w:tab w:leader="none" w:pos="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Wong Share Substitution has not been completed in accordance with this Agreement on or before the Fifth Amendment Effective Date, Mr. Wong Chi Seng; and</w:t>
      </w:r>
    </w:p>
    <w:p>
      <w:pPr>
        <w:spacing w:after="0" w:line="175" w:lineRule="exact"/>
        <w:rPr>
          <w:sz w:val="20"/>
          <w:szCs w:val="20"/>
          <w:color w:val="auto"/>
        </w:rPr>
      </w:pPr>
    </w:p>
    <w:p>
      <w:pPr>
        <w:ind w:left="760" w:hanging="655"/>
        <w:spacing w:after="0" w:line="263" w:lineRule="auto"/>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Wong Share Substitution has been completed in accordance with this Agreement on or before the Fifth Amendment Effective Date, Ms. Linda Chen;</w:t>
      </w:r>
    </w:p>
    <w:p>
      <w:pPr>
        <w:spacing w:after="0" w:line="169"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Filings</w:t>
      </w:r>
      <w:r>
        <w:rPr>
          <w:rFonts w:ascii="Arial" w:cs="Arial" w:eastAsia="Arial" w:hAnsi="Arial"/>
          <w:sz w:val="22"/>
          <w:szCs w:val="22"/>
          <w:color w:val="auto"/>
        </w:rPr>
        <w:t>" means any filing, notification, recording, stamping and registration required in respect of any of the Senior Finance Documents referred to in paragraph 2 of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at Companies House in England and Wales, the Companies Registry in Hong Kong, the Companies Registration Office in Ireland, the Financial Supervision Commission in the Isle of Man, the Gaming Inspection and Coordination Bureau in Macau and in the register of charges of Wynn Asia 2;</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Revocation Powers of Attorney</w:t>
      </w:r>
      <w:r>
        <w:rPr>
          <w:rFonts w:ascii="Arial" w:cs="Arial" w:eastAsia="Arial" w:hAnsi="Arial"/>
          <w:sz w:val="22"/>
          <w:szCs w:val="22"/>
          <w:color w:val="auto"/>
        </w:rPr>
        <w:t>" means:</w:t>
      </w:r>
    </w:p>
    <w:p>
      <w:pPr>
        <w:spacing w:after="0" w:line="226" w:lineRule="exact"/>
        <w:rPr>
          <w:sz w:val="20"/>
          <w:szCs w:val="20"/>
          <w:color w:val="auto"/>
        </w:rPr>
      </w:pPr>
    </w:p>
    <w:p>
      <w:pPr>
        <w:ind w:left="760" w:hanging="655"/>
        <w:spacing w:after="0" w:line="263" w:lineRule="auto"/>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revocation of the irrevocable power of attorney dated on or about the Fourth Amendment Effective Date granted by Palo in favour of the Security Agent; and</w:t>
      </w:r>
    </w:p>
    <w:p>
      <w:pPr>
        <w:sectPr>
          <w:pgSz w:w="11900" w:h="16838" w:orient="portrait"/>
          <w:cols w:equalWidth="0" w:num="1">
            <w:col w:w="10220"/>
          </w:cols>
          <w:pgMar w:left="1440" w:top="625" w:right="239" w:bottom="1440" w:gutter="0" w:footer="0" w:header="0"/>
        </w:sectPr>
      </w:pPr>
    </w:p>
    <w:bookmarkStart w:id="86" w:name="page87"/>
    <w:bookmarkEnd w:id="86"/>
    <w:p>
      <w:pPr>
        <w:ind w:left="760" w:hanging="655"/>
        <w:spacing w:after="0" w:line="263" w:lineRule="auto"/>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revocation of the irrevocable power of attorney dated on or about the Fourth Amendment Effective Date granted by the Company in favour of the Security Agent;</w:t>
      </w:r>
    </w:p>
    <w:p>
      <w:pPr>
        <w:spacing w:after="0" w:line="169"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Agreement Amendment Agreement</w:t>
      </w:r>
      <w:r>
        <w:rPr>
          <w:rFonts w:ascii="Arial" w:cs="Arial" w:eastAsia="Arial" w:hAnsi="Arial"/>
          <w:sz w:val="22"/>
          <w:szCs w:val="22"/>
          <w:color w:val="auto"/>
        </w:rPr>
        <w:t>" means the agreement so entitled dated on or about the date of this Agreement between the Company, the Revolving Credit Facility Agent and the Revolving Credit Facility Lenders;</w:t>
      </w:r>
    </w:p>
    <w:p>
      <w:pPr>
        <w:spacing w:after="0" w:line="17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Macau Security Confirmation</w:t>
      </w:r>
      <w:r>
        <w:rPr>
          <w:rFonts w:ascii="Arial" w:cs="Arial" w:eastAsia="Arial" w:hAnsi="Arial"/>
          <w:sz w:val="22"/>
          <w:szCs w:val="22"/>
          <w:color w:val="auto"/>
        </w:rPr>
        <w:t>" means the document so entitled dated on or about the Fifth Amendment Effective Date between Palo and the Security Agent;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Amendment Documents</w:t>
      </w:r>
      <w:r>
        <w:rPr>
          <w:rFonts w:ascii="Arial" w:cs="Arial" w:eastAsia="Arial" w:hAnsi="Arial"/>
          <w:sz w:val="22"/>
          <w:szCs w:val="22"/>
          <w:color w:val="auto"/>
        </w:rPr>
        <w:t>" means:</w:t>
      </w:r>
    </w:p>
    <w:p>
      <w:pPr>
        <w:spacing w:after="0" w:line="226" w:lineRule="exact"/>
        <w:rPr>
          <w:sz w:val="20"/>
          <w:szCs w:val="20"/>
          <w:color w:val="auto"/>
        </w:rPr>
      </w:pPr>
    </w:p>
    <w:p>
      <w:pPr>
        <w:ind w:left="760" w:hanging="655"/>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Amendment to Company Floating Charge;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Amendment to Company Mortgage;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Amendment to Palo Floating Charge;</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Amendment to Palo Mortgage; and</w:t>
      </w:r>
    </w:p>
    <w:p>
      <w:pPr>
        <w:spacing w:after="0" w:line="219" w:lineRule="exact"/>
        <w:rPr>
          <w:rFonts w:ascii="Arial" w:cs="Arial" w:eastAsia="Arial" w:hAnsi="Arial"/>
          <w:sz w:val="22"/>
          <w:szCs w:val="22"/>
          <w:color w:val="auto"/>
        </w:rPr>
      </w:pPr>
    </w:p>
    <w:p>
      <w:pPr>
        <w:ind w:left="100" w:right="3840" w:firstLine="5"/>
        <w:spacing w:after="0" w:line="448" w:lineRule="auto"/>
        <w:tabs>
          <w:tab w:leader="none" w:pos="74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Amendment to Pledge over Gaming Equipment and Utensils; "</w:t>
      </w:r>
      <w:r>
        <w:rPr>
          <w:rFonts w:ascii="Arial" w:cs="Arial" w:eastAsia="Arial" w:hAnsi="Arial"/>
          <w:sz w:val="22"/>
          <w:szCs w:val="22"/>
          <w:b w:val="1"/>
          <w:bCs w:val="1"/>
          <w:color w:val="auto"/>
        </w:rPr>
        <w:t>Security Confirmation Documents</w:t>
      </w:r>
      <w:r>
        <w:rPr>
          <w:rFonts w:ascii="Arial" w:cs="Arial" w:eastAsia="Arial" w:hAnsi="Arial"/>
          <w:sz w:val="22"/>
          <w:szCs w:val="22"/>
          <w:color w:val="auto"/>
        </w:rPr>
        <w:t>" means:</w:t>
      </w:r>
    </w:p>
    <w:p>
      <w:pPr>
        <w:spacing w:after="0" w:line="1" w:lineRule="exact"/>
        <w:rPr>
          <w:sz w:val="20"/>
          <w:szCs w:val="20"/>
          <w:color w:val="auto"/>
        </w:rPr>
      </w:pPr>
    </w:p>
    <w:p>
      <w:pPr>
        <w:ind w:left="760" w:hanging="655"/>
        <w:spacing w:after="0"/>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Macau Security Confirmation;</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Hong Kong Security Confirmation; and</w:t>
      </w:r>
    </w:p>
    <w:p>
      <w:pPr>
        <w:spacing w:after="0" w:line="219" w:lineRule="exact"/>
        <w:rPr>
          <w:rFonts w:ascii="Arial" w:cs="Arial" w:eastAsia="Arial" w:hAnsi="Arial"/>
          <w:sz w:val="22"/>
          <w:szCs w:val="22"/>
          <w:color w:val="auto"/>
        </w:rPr>
      </w:pPr>
    </w:p>
    <w:p>
      <w:pPr>
        <w:ind w:left="760" w:hanging="655"/>
        <w:spacing w:after="0"/>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English Security Confirmation;</w:t>
      </w:r>
    </w:p>
    <w:p>
      <w:pPr>
        <w:spacing w:after="0" w:line="214" w:lineRule="exact"/>
        <w:rPr>
          <w:sz w:val="20"/>
          <w:szCs w:val="20"/>
          <w:color w:val="auto"/>
        </w:rPr>
      </w:pPr>
    </w:p>
    <w:p>
      <w:pPr>
        <w:jc w:val="both"/>
        <w:ind w:left="1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Subordination Deed Fourth Deed of Amendment and Acknowledgement of Security</w:t>
      </w:r>
      <w:r>
        <w:rPr>
          <w:rFonts w:ascii="Arial" w:cs="Arial" w:eastAsia="Arial" w:hAnsi="Arial"/>
          <w:sz w:val="21"/>
          <w:szCs w:val="21"/>
          <w:color w:val="auto"/>
        </w:rPr>
        <w:t>" means the Subordination Deed Fourth Deed of Amendment and Acknowledgement of Security dated on or about the date hereof between, among others, the Company, Wynn Resorts, Wynn Resorts Holdings, LLC, Wynn Asia 2, Wynn International, Wynn Holdings, Wynn HK, Worldwide Wynn, LLC, Wynn Design &amp; Development, LLC, Wynn International Marketing, Ltd., WML Finance I Limited, Palo and the Security Agent;</w:t>
      </w:r>
    </w:p>
    <w:p>
      <w:pPr>
        <w:spacing w:after="0" w:line="171" w:lineRule="exact"/>
        <w:rPr>
          <w:sz w:val="20"/>
          <w:szCs w:val="20"/>
          <w:color w:val="auto"/>
        </w:rPr>
      </w:pPr>
    </w:p>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Facility Agreement Fourth Amendment Agreement</w:t>
      </w:r>
      <w:r>
        <w:rPr>
          <w:rFonts w:ascii="Arial" w:cs="Arial" w:eastAsia="Arial" w:hAnsi="Arial"/>
          <w:sz w:val="19"/>
          <w:szCs w:val="19"/>
          <w:color w:val="auto"/>
        </w:rPr>
        <w:t>" means the agreement so entitled dated on or about the date of this Agreement between the Company, the Term Facility Agent and the Term Facility Lenders;</w:t>
      </w:r>
    </w:p>
    <w:p>
      <w:pPr>
        <w:spacing w:after="0" w:line="9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A Facility</w:t>
      </w:r>
      <w:r>
        <w:rPr>
          <w:rFonts w:ascii="Arial" w:cs="Arial" w:eastAsia="Arial" w:hAnsi="Arial"/>
          <w:sz w:val="22"/>
          <w:szCs w:val="22"/>
          <w:color w:val="auto"/>
        </w:rPr>
        <w:t>" has the meaning given to it in the Term Facility Agreement (as amended by the Term Facility Agreement Fourth Amendment Agreement, and as further amended from time to time);</w:t>
      </w:r>
    </w:p>
    <w:p>
      <w:pPr>
        <w:sectPr>
          <w:pgSz w:w="11900" w:h="16838" w:orient="portrait"/>
          <w:cols w:equalWidth="0" w:num="1">
            <w:col w:w="10220"/>
          </w:cols>
          <w:pgMar w:left="1440" w:top="631" w:right="239" w:bottom="1440" w:gutter="0" w:footer="0" w:header="0"/>
        </w:sectPr>
      </w:pPr>
    </w:p>
    <w:bookmarkStart w:id="87" w:name="page88"/>
    <w:bookmarkEnd w:id="87"/>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B Facility</w:t>
      </w:r>
      <w:r>
        <w:rPr>
          <w:rFonts w:ascii="Arial" w:cs="Arial" w:eastAsia="Arial" w:hAnsi="Arial"/>
          <w:sz w:val="22"/>
          <w:szCs w:val="22"/>
          <w:color w:val="auto"/>
        </w:rPr>
        <w:t>" has the meaning given to it in the Term Facility Agreement (as amended by the Term Facility Agreement Fourth Amendment Agreement, and as further amended from time to time);</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C Facility</w:t>
      </w:r>
      <w:r>
        <w:rPr>
          <w:rFonts w:ascii="Arial" w:cs="Arial" w:eastAsia="Arial" w:hAnsi="Arial"/>
          <w:sz w:val="22"/>
          <w:szCs w:val="22"/>
          <w:color w:val="auto"/>
        </w:rPr>
        <w:t>" has the meaning given to it in the Term Facility Agreement (as amended by the Term Facility Agreement Fourth Amendment Agreement, and as further amended from time to time);</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Operating Account</w:t>
      </w:r>
      <w:r>
        <w:rPr>
          <w:rFonts w:ascii="Arial" w:cs="Arial" w:eastAsia="Arial" w:hAnsi="Arial"/>
          <w:sz w:val="22"/>
          <w:szCs w:val="22"/>
          <w:color w:val="auto"/>
        </w:rPr>
        <w:t>" means an account denominated in US dollars opened in Nevada and designated "USD Operating Account" prior to the date of this Agreement;</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Operating Account Control Agreement</w:t>
      </w:r>
      <w:r>
        <w:rPr>
          <w:rFonts w:ascii="Arial" w:cs="Arial" w:eastAsia="Arial" w:hAnsi="Arial"/>
          <w:sz w:val="22"/>
          <w:szCs w:val="22"/>
          <w:color w:val="auto"/>
        </w:rPr>
        <w:t>" means the bank account control agreement so entitled dated 14 September 2005 between the Company, the Security Agent and Bank of America, N.A.;</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Wong Share Substitution</w:t>
      </w:r>
      <w:r>
        <w:rPr>
          <w:rFonts w:ascii="Arial" w:cs="Arial" w:eastAsia="Arial" w:hAnsi="Arial"/>
          <w:sz w:val="22"/>
          <w:szCs w:val="22"/>
          <w:color w:val="auto"/>
        </w:rPr>
        <w:t>" means the substitution of Ms. Linda Chen for Mr. Wong Chi Seng as the holder and pledgor of the Executive Director Shares.</w:t>
      </w:r>
    </w:p>
    <w:p>
      <w:pPr>
        <w:spacing w:after="0" w:line="168" w:lineRule="exact"/>
        <w:rPr>
          <w:sz w:val="20"/>
          <w:szCs w:val="20"/>
          <w:color w:val="auto"/>
        </w:rPr>
      </w:pPr>
    </w:p>
    <w:p>
      <w:pPr>
        <w:jc w:val="both"/>
        <w:ind w:left="1300" w:hanging="644"/>
        <w:spacing w:after="0" w:line="271" w:lineRule="auto"/>
        <w:tabs>
          <w:tab w:leader="none" w:pos="1300" w:val="left"/>
        </w:tabs>
        <w:numPr>
          <w:ilvl w:val="0"/>
          <w:numId w:val="55"/>
        </w:numPr>
        <w:rPr>
          <w:rFonts w:ascii="Arial" w:cs="Arial" w:eastAsia="Arial" w:hAnsi="Arial"/>
          <w:sz w:val="21"/>
          <w:szCs w:val="21"/>
          <w:color w:val="auto"/>
        </w:rPr>
      </w:pPr>
      <w:r>
        <w:rPr>
          <w:rFonts w:ascii="Arial" w:cs="Arial" w:eastAsia="Arial" w:hAnsi="Arial"/>
          <w:sz w:val="21"/>
          <w:szCs w:val="21"/>
          <w:color w:val="auto"/>
        </w:rPr>
        <w:t>Unless a contrary indication appears, a term defined in or by reference in Schedule 2 (</w:t>
      </w:r>
      <w:r>
        <w:rPr>
          <w:rFonts w:ascii="Arial" w:cs="Arial" w:eastAsia="Arial" w:hAnsi="Arial"/>
          <w:sz w:val="21"/>
          <w:szCs w:val="21"/>
          <w:i w:val="1"/>
          <w:iCs w:val="1"/>
          <w:color w:val="auto"/>
        </w:rPr>
        <w:t>Amended Common Terms</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 or, if not defined in or by reference in such Schedule, the Deed of Appointment and Priority, has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meaning in this Agreement and in the Amended Common Terms Agreement.</w:t>
      </w:r>
    </w:p>
    <w:p>
      <w:pPr>
        <w:spacing w:after="0" w:line="167"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principles of construction and rules of interpretation set out in Schedule 2 (</w:t>
      </w:r>
      <w:r>
        <w:rPr>
          <w:rFonts w:ascii="Arial" w:cs="Arial" w:eastAsia="Arial" w:hAnsi="Arial"/>
          <w:sz w:val="22"/>
          <w:szCs w:val="22"/>
          <w:i w:val="1"/>
          <w:iCs w:val="1"/>
          <w:color w:val="auto"/>
        </w:rPr>
        <w:t>Amended Common Terms</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shall have effect as if set out in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b w:val="1"/>
          <w:bCs w:val="1"/>
          <w:color w:val="auto"/>
        </w:rPr>
        <w:t>Clauses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this Agreement any reference to a "Clause" or a "Schedule" is, unless the context otherwise requires, a reference to a Clause or a Schedule to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b w:val="1"/>
          <w:bCs w:val="1"/>
          <w:color w:val="auto"/>
        </w:rPr>
        <w:t>Designation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accordance with the Common Terms Agreement, each of the Company and the Intercreditor Agent designates:</w:t>
      </w:r>
    </w:p>
    <w:p>
      <w:pPr>
        <w:spacing w:after="0" w:line="231"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Term Facility Agreement Fourth Amendment Agreement as a Senior Finance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Revolving Credit Facility Agreement Amendment Agreement as a Senior Finance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Agreement as a Senior Finance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Subordination Deed Fourth Deed of Amendment and Acknowledgement of Security as a Security Document;</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Guarantee Fourth Deed of Amendment and Acknowledgement as a Security Document;</w:t>
      </w:r>
    </w:p>
    <w:p>
      <w:pPr>
        <w:sectPr>
          <w:pgSz w:w="11900" w:h="16838" w:orient="portrait"/>
          <w:cols w:equalWidth="0" w:num="1">
            <w:col w:w="11420"/>
          </w:cols>
          <w:pgMar w:left="240" w:top="625" w:right="239" w:bottom="1440" w:gutter="0" w:footer="0" w:header="0"/>
        </w:sectPr>
      </w:pPr>
    </w:p>
    <w:bookmarkStart w:id="88" w:name="page89"/>
    <w:bookmarkEnd w:id="88"/>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Deed of Appointment and Priority Fourth Deed of Amendment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New Company Power of Attorney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New Palo Power of Attorney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each of the Security Confirmation Documents as a Security Document;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each of the Security Amendment Documents as a Security Document;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Livrança Covering Letter as a Security Document.</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RESIGNATION OF ADDITIONAL FACILITY AGENT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b w:val="1"/>
          <w:bCs w:val="1"/>
          <w:color w:val="auto"/>
        </w:rPr>
        <w:t>Resignation</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Bank of China Limited, Macau Branch hereby resigns as Additional Facility Agent with effect on and from the Fifth Amendment Effective Date (but subject to Clause 6 (</w:t>
      </w:r>
      <w:r>
        <w:rPr>
          <w:rFonts w:ascii="Arial" w:cs="Arial" w:eastAsia="Arial" w:hAnsi="Arial"/>
          <w:sz w:val="21"/>
          <w:szCs w:val="21"/>
          <w:i w:val="1"/>
          <w:iCs w:val="1"/>
          <w:color w:val="auto"/>
        </w:rPr>
        <w:t>Order of Events on the Fifth Amendment Effective Date</w:t>
      </w:r>
      <w:r>
        <w:rPr>
          <w:rFonts w:ascii="Arial" w:cs="Arial" w:eastAsia="Arial" w:hAnsi="Arial"/>
          <w:sz w:val="21"/>
          <w:szCs w:val="21"/>
          <w:color w:val="auto"/>
        </w:rPr>
        <w: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Notice Period</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parties hereto agree that the resignation referred to in Clause 2.1 (</w:t>
      </w:r>
      <w:r>
        <w:rPr>
          <w:rFonts w:ascii="Arial" w:cs="Arial" w:eastAsia="Arial" w:hAnsi="Arial"/>
          <w:sz w:val="22"/>
          <w:szCs w:val="22"/>
          <w:i w:val="1"/>
          <w:iCs w:val="1"/>
          <w:color w:val="auto"/>
        </w:rPr>
        <w:t>Resignation</w:t>
      </w:r>
      <w:r>
        <w:rPr>
          <w:rFonts w:ascii="Arial" w:cs="Arial" w:eastAsia="Arial" w:hAnsi="Arial"/>
          <w:sz w:val="22"/>
          <w:szCs w:val="22"/>
          <w:color w:val="auto"/>
        </w:rPr>
        <w:t>) shall be effective notwithstanding the notice period specified in sub-clause 23.12.1 of clause 23.12 (</w:t>
      </w:r>
      <w:r>
        <w:rPr>
          <w:rFonts w:ascii="Arial" w:cs="Arial" w:eastAsia="Arial" w:hAnsi="Arial"/>
          <w:sz w:val="22"/>
          <w:szCs w:val="22"/>
          <w:i w:val="1"/>
          <w:iCs w:val="1"/>
          <w:color w:val="auto"/>
        </w:rPr>
        <w:t>Resignation</w:t>
      </w:r>
      <w:r>
        <w:rPr>
          <w:rFonts w:ascii="Arial" w:cs="Arial" w:eastAsia="Arial" w:hAnsi="Arial"/>
          <w:sz w:val="22"/>
          <w:szCs w:val="22"/>
          <w:color w:val="auto"/>
        </w:rPr>
        <w:t>) of the Original Common Terms Agreement or any other provision of the Senior Finance Documents.</w:t>
      </w:r>
    </w:p>
    <w:p>
      <w:pPr>
        <w:spacing w:after="0" w:line="18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GLOBAL COORDINATING LEAD ARRANGERS</w:t>
      </w:r>
    </w:p>
    <w:p>
      <w:pPr>
        <w:spacing w:after="0" w:line="225" w:lineRule="exact"/>
        <w:rPr>
          <w:rFonts w:ascii="Arial" w:cs="Arial" w:eastAsia="Arial" w:hAnsi="Arial"/>
          <w:sz w:val="22"/>
          <w:szCs w:val="22"/>
          <w:color w:val="auto"/>
        </w:rPr>
      </w:pPr>
    </w:p>
    <w:p>
      <w:pPr>
        <w:jc w:val="both"/>
        <w:ind w:left="660"/>
        <w:spacing w:after="0" w:line="259" w:lineRule="auto"/>
        <w:rPr>
          <w:rFonts w:ascii="Arial" w:cs="Arial" w:eastAsia="Arial" w:hAnsi="Arial"/>
          <w:sz w:val="22"/>
          <w:szCs w:val="22"/>
          <w:color w:val="auto"/>
        </w:rPr>
      </w:pPr>
      <w:r>
        <w:rPr>
          <w:rFonts w:ascii="Arial" w:cs="Arial" w:eastAsia="Arial" w:hAnsi="Arial"/>
          <w:sz w:val="21"/>
          <w:szCs w:val="21"/>
          <w:color w:val="auto"/>
        </w:rPr>
        <w:t>With effect on and from the Fifth Amendment Effective Date (subject to Clause 6 (</w:t>
      </w:r>
      <w:r>
        <w:rPr>
          <w:rFonts w:ascii="Arial" w:cs="Arial" w:eastAsia="Arial" w:hAnsi="Arial"/>
          <w:sz w:val="21"/>
          <w:szCs w:val="21"/>
          <w:i w:val="1"/>
          <w:iCs w:val="1"/>
          <w:color w:val="auto"/>
        </w:rPr>
        <w:t>Order of Events on the Fifth Amendment</w:t>
      </w:r>
      <w:r>
        <w:rPr>
          <w:rFonts w:ascii="Arial" w:cs="Arial" w:eastAsia="Arial" w:hAnsi="Arial"/>
          <w:sz w:val="21"/>
          <w:szCs w:val="21"/>
          <w:color w:val="auto"/>
        </w:rPr>
        <w:t xml:space="preserve"> </w:t>
      </w:r>
      <w:r>
        <w:rPr>
          <w:rFonts w:ascii="Arial" w:cs="Arial" w:eastAsia="Arial" w:hAnsi="Arial"/>
          <w:sz w:val="21"/>
          <w:szCs w:val="21"/>
          <w:i w:val="1"/>
          <w:iCs w:val="1"/>
          <w:color w:val="auto"/>
        </w:rPr>
        <w:t>Effective Date</w:t>
      </w:r>
      <w:r>
        <w:rPr>
          <w:rFonts w:ascii="Arial" w:cs="Arial" w:eastAsia="Arial" w:hAnsi="Arial"/>
          <w:sz w:val="21"/>
          <w:szCs w:val="21"/>
          <w:color w:val="auto"/>
        </w:rPr>
        <w:t>)), each Outgoing Global Coordinating Lead Arranger, in its capacity as an original Global Coordinating Lead</w:t>
      </w:r>
      <w:r>
        <w:rPr>
          <w:rFonts w:ascii="Arial" w:cs="Arial" w:eastAsia="Arial" w:hAnsi="Arial"/>
          <w:sz w:val="21"/>
          <w:szCs w:val="21"/>
          <w:i w:val="1"/>
          <w:iCs w:val="1"/>
          <w:color w:val="auto"/>
        </w:rPr>
        <w:t xml:space="preserve"> </w:t>
      </w:r>
      <w:r>
        <w:rPr>
          <w:rFonts w:ascii="Arial" w:cs="Arial" w:eastAsia="Arial" w:hAnsi="Arial"/>
          <w:sz w:val="21"/>
          <w:szCs w:val="21"/>
          <w:color w:val="auto"/>
        </w:rPr>
        <w:t>Arranger (under and as defined in the Original Common Terms Agreement), shall be discharged from any further obligations towards the other parties to the Original Common Terms Agreement and their respective rights against one another shall be cancelled (except in each case for those rights which arose prior to the Fifth Amendment Effective Date) and, as from that date, each Mandated Lead Arranger and Bookrunner, Mandated Lead Arranger, Lead Arranger and Arranger shall assume the same obligations, and become entitled to the same rights, as if it had been an original Global Coordinating Lead Arranger (under and as defined in the Original Common Terms Agreement) and party to the Original Common Terms Agreement.</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AMENDMENT</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With effect from the date upon which the Intercreditor Agent confirms to the Lenders and the Company that it has received (or the Intercreditor Agent has waived receipt of, as the case may be) each of the documents or evidence listed in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in a form and substance satisfactory to the Intercreditor Agent, (such date being the "</w:t>
      </w:r>
      <w:r>
        <w:rPr>
          <w:rFonts w:ascii="Arial" w:cs="Arial" w:eastAsia="Arial" w:hAnsi="Arial"/>
          <w:sz w:val="22"/>
          <w:szCs w:val="22"/>
          <w:b w:val="1"/>
          <w:bCs w:val="1"/>
          <w:color w:val="auto"/>
        </w:rPr>
        <w:t>Fifth</w:t>
      </w:r>
      <w:r>
        <w:rPr>
          <w:rFonts w:ascii="Arial" w:cs="Arial" w:eastAsia="Arial" w:hAnsi="Arial"/>
          <w:sz w:val="22"/>
          <w:szCs w:val="22"/>
          <w:color w:val="auto"/>
        </w:rPr>
        <w:t xml:space="preserv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the Original Common Terms Agreement</w:t>
      </w:r>
    </w:p>
    <w:p>
      <w:pPr>
        <w:sectPr>
          <w:pgSz w:w="11900" w:h="16838" w:orient="portrait"/>
          <w:cols w:equalWidth="0" w:num="1">
            <w:col w:w="11420"/>
          </w:cols>
          <w:pgMar w:left="240" w:top="631" w:right="239" w:bottom="1440" w:gutter="0" w:footer="0" w:header="0"/>
        </w:sectPr>
      </w:pPr>
    </w:p>
    <w:bookmarkStart w:id="89" w:name="page90"/>
    <w:bookmarkEnd w:id="89"/>
    <w:p>
      <w:pPr>
        <w:ind w:left="660"/>
        <w:spacing w:after="0" w:line="263" w:lineRule="auto"/>
        <w:rPr>
          <w:sz w:val="20"/>
          <w:szCs w:val="20"/>
          <w:color w:val="auto"/>
        </w:rPr>
      </w:pPr>
      <w:r>
        <w:rPr>
          <w:rFonts w:ascii="Arial" w:cs="Arial" w:eastAsia="Arial" w:hAnsi="Arial"/>
          <w:sz w:val="22"/>
          <w:szCs w:val="22"/>
          <w:color w:val="auto"/>
        </w:rPr>
        <w:t>shall be amended so that it shall be read and construed for all purposes as set out in Schedule 2 (</w:t>
      </w:r>
      <w:r>
        <w:rPr>
          <w:rFonts w:ascii="Arial" w:cs="Arial" w:eastAsia="Arial" w:hAnsi="Arial"/>
          <w:sz w:val="22"/>
          <w:szCs w:val="22"/>
          <w:i w:val="1"/>
          <w:iCs w:val="1"/>
          <w:color w:val="auto"/>
        </w:rPr>
        <w:t>Amended Common Terms</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16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FACILITY ADVANCES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Completion Request</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Subject to the occurrence of the Fifth Amendment Effective Date and receipt by the Intercreditor Agent and the Term Facility Agent of the Completion Request, the requirements specified in clause 3.1 (</w:t>
      </w:r>
      <w:r>
        <w:rPr>
          <w:rFonts w:ascii="Arial" w:cs="Arial" w:eastAsia="Arial" w:hAnsi="Arial"/>
          <w:sz w:val="21"/>
          <w:szCs w:val="21"/>
          <w:i w:val="1"/>
          <w:iCs w:val="1"/>
          <w:color w:val="auto"/>
        </w:rPr>
        <w:t>Drawdown conditions</w:t>
      </w:r>
      <w:r>
        <w:rPr>
          <w:rFonts w:ascii="Arial" w:cs="Arial" w:eastAsia="Arial" w:hAnsi="Arial"/>
          <w:sz w:val="21"/>
          <w:szCs w:val="21"/>
          <w:color w:val="auto"/>
        </w:rPr>
        <w:t>) of the Amended Common Terms Agreement (and clause 11.1 (</w:t>
      </w:r>
      <w:r>
        <w:rPr>
          <w:rFonts w:ascii="Arial" w:cs="Arial" w:eastAsia="Arial" w:hAnsi="Arial"/>
          <w:sz w:val="21"/>
          <w:szCs w:val="21"/>
          <w:i w:val="1"/>
          <w:iCs w:val="1"/>
          <w:color w:val="auto"/>
        </w:rPr>
        <w:t>Advances</w:t>
      </w:r>
      <w:r>
        <w:rPr>
          <w:rFonts w:ascii="Arial" w:cs="Arial" w:eastAsia="Arial" w:hAnsi="Arial"/>
          <w:sz w:val="21"/>
          <w:szCs w:val="21"/>
          <w:color w:val="auto"/>
        </w:rPr>
        <w:t>) of the Term Facility Agreement) shall, with effect from the Fifth Amendment Effective Date, be deemed to have been satisfied in respect of the Advances requested in the Completion Request as if such requests comprised Advance Requests and had been delivered (and notified) in accordance with the provisions thereof and each of the other provisions of clause 3 (</w:t>
      </w:r>
      <w:r>
        <w:rPr>
          <w:rFonts w:ascii="Arial" w:cs="Arial" w:eastAsia="Arial" w:hAnsi="Arial"/>
          <w:sz w:val="21"/>
          <w:szCs w:val="21"/>
          <w:i w:val="1"/>
          <w:iCs w:val="1"/>
          <w:color w:val="auto"/>
        </w:rPr>
        <w:t>Drawdown of Advances)</w:t>
      </w:r>
      <w:r>
        <w:rPr>
          <w:rFonts w:ascii="Arial" w:cs="Arial" w:eastAsia="Arial" w:hAnsi="Arial"/>
          <w:sz w:val="21"/>
          <w:szCs w:val="21"/>
          <w:color w:val="auto"/>
        </w:rPr>
        <w:t xml:space="preserve"> of the Amended Common Terms Agreement and the other Senior Finance Documents shall apply accordingly. Each Advance under the Term Facility, in each case which is outstanding on the Fifth Amendment Effective Date, shall have an initial Interest Period set out opposite that Advance in the Completion Memorandum.</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Repayment of Facilities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Term Facility Agent, the Revolving Credit Facility Agent and the Additional Facility Agent are each hereby directed by the Company (with the agreement and acknowledgement of the parties hereto) to pay:</w:t>
      </w:r>
    </w:p>
    <w:p>
      <w:pPr>
        <w:spacing w:after="0" w:line="175" w:lineRule="exact"/>
        <w:rPr>
          <w:sz w:val="20"/>
          <w:szCs w:val="20"/>
          <w:color w:val="auto"/>
        </w:rPr>
      </w:pPr>
    </w:p>
    <w:p>
      <w:pPr>
        <w:jc w:val="both"/>
        <w:ind w:left="1300" w:hanging="644"/>
        <w:spacing w:after="0" w:line="263" w:lineRule="auto"/>
        <w:tabs>
          <w:tab w:leader="none" w:pos="1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 amount of each Advance requested in the Completion Request equal to all amounts then outstanding and denominated in USD and HKD, as the case may be, under the Additional Lender Facility directly to the Additional Facility Lender, to be applied in repayment in full of the Additional Lender Facility, whereupon the Additional Lender Facility shall be permanently cancelled and the Available Facility (as defined in the Additional Lender Facility Agreement) in respect thereof shall be zero;</w:t>
      </w:r>
    </w:p>
    <w:p>
      <w:pPr>
        <w:spacing w:after="0" w:line="175" w:lineRule="exact"/>
        <w:rPr>
          <w:rFonts w:ascii="Arial" w:cs="Arial" w:eastAsia="Arial" w:hAnsi="Arial"/>
          <w:sz w:val="21"/>
          <w:szCs w:val="21"/>
          <w:color w:val="auto"/>
        </w:rPr>
      </w:pPr>
    </w:p>
    <w:p>
      <w:pPr>
        <w:jc w:val="both"/>
        <w:ind w:left="1300" w:hanging="644"/>
        <w:spacing w:after="0" w:line="271" w:lineRule="auto"/>
        <w:tabs>
          <w:tab w:leader="none" w:pos="1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 amount of each Advance requested in the Completion Request equal to all amounts then outstanding and denominated in USD and HKD, as the case may be, under the Revolving Credit Facility directly to the Revolving Credit Facility Lender, to be applied in repayment in full of the Revolving Credit Facility; and</w:t>
      </w:r>
    </w:p>
    <w:p>
      <w:pPr>
        <w:spacing w:after="0" w:line="167"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such amount of each such Advance remaining after the application referred to in paragraph (a) above, as the Company directs in the Completion Request.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color w:val="auto"/>
        </w:rPr>
        <w:t>Additional Lender</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Upon the repayment in full of the Additional Lender Facility in accordance with paragraph (a) of Clause 5.2 (</w:t>
      </w:r>
      <w:r>
        <w:rPr>
          <w:rFonts w:ascii="Arial" w:cs="Arial" w:eastAsia="Arial" w:hAnsi="Arial"/>
          <w:sz w:val="19"/>
          <w:szCs w:val="19"/>
          <w:i w:val="1"/>
          <w:iCs w:val="1"/>
          <w:color w:val="auto"/>
        </w:rPr>
        <w:t>Repayment of</w:t>
      </w:r>
      <w:r>
        <w:rPr>
          <w:rFonts w:ascii="Arial" w:cs="Arial" w:eastAsia="Arial" w:hAnsi="Arial"/>
          <w:sz w:val="19"/>
          <w:szCs w:val="19"/>
          <w:color w:val="auto"/>
        </w:rPr>
        <w:t xml:space="preserve"> </w:t>
      </w:r>
      <w:r>
        <w:rPr>
          <w:rFonts w:ascii="Arial" w:cs="Arial" w:eastAsia="Arial" w:hAnsi="Arial"/>
          <w:sz w:val="19"/>
          <w:szCs w:val="19"/>
          <w:i w:val="1"/>
          <w:iCs w:val="1"/>
          <w:color w:val="auto"/>
        </w:rPr>
        <w:t>Facilities</w:t>
      </w:r>
      <w:r>
        <w:rPr>
          <w:rFonts w:ascii="Arial" w:cs="Arial" w:eastAsia="Arial" w:hAnsi="Arial"/>
          <w:sz w:val="19"/>
          <w:szCs w:val="19"/>
          <w:color w:val="auto"/>
        </w:rPr>
        <w:t>) each of the Additional Lender and the Additional Facility Agent shall cease to be a Lender and Facility Agent</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for the purpose of the Amended Common Terms Agreement and the other Senior Finance</w:t>
      </w:r>
    </w:p>
    <w:p>
      <w:pPr>
        <w:sectPr>
          <w:pgSz w:w="11900" w:h="16838" w:orient="portrait"/>
          <w:cols w:equalWidth="0" w:num="1">
            <w:col w:w="11420"/>
          </w:cols>
          <w:pgMar w:left="240" w:top="631" w:right="239" w:bottom="1440" w:gutter="0" w:footer="0" w:header="0"/>
        </w:sectPr>
      </w:pPr>
    </w:p>
    <w:bookmarkStart w:id="90" w:name="page91"/>
    <w:bookmarkEnd w:id="90"/>
    <w:p>
      <w:pPr>
        <w:jc w:val="both"/>
        <w:ind w:left="660"/>
        <w:spacing w:after="0" w:line="312" w:lineRule="auto"/>
        <w:rPr>
          <w:sz w:val="20"/>
          <w:szCs w:val="20"/>
          <w:color w:val="auto"/>
        </w:rPr>
      </w:pPr>
      <w:r>
        <w:rPr>
          <w:rFonts w:ascii="Arial" w:cs="Arial" w:eastAsia="Arial" w:hAnsi="Arial"/>
          <w:sz w:val="19"/>
          <w:szCs w:val="19"/>
          <w:color w:val="auto"/>
        </w:rPr>
        <w:t>Documents and, in the case of the Additional Lender, shall be released from the indemnity set out in clause 15.3 (</w:t>
      </w:r>
      <w:r>
        <w:rPr>
          <w:rFonts w:ascii="Arial" w:cs="Arial" w:eastAsia="Arial" w:hAnsi="Arial"/>
          <w:sz w:val="19"/>
          <w:szCs w:val="19"/>
          <w:i w:val="1"/>
          <w:iCs w:val="1"/>
          <w:color w:val="auto"/>
        </w:rPr>
        <w:t>Indemnity</w:t>
      </w:r>
      <w:r>
        <w:rPr>
          <w:rFonts w:ascii="Arial" w:cs="Arial" w:eastAsia="Arial" w:hAnsi="Arial"/>
          <w:sz w:val="19"/>
          <w:szCs w:val="19"/>
          <w:color w:val="auto"/>
        </w:rPr>
        <w:t xml:space="preserve"> </w:t>
      </w:r>
      <w:r>
        <w:rPr>
          <w:rFonts w:ascii="Arial" w:cs="Arial" w:eastAsia="Arial" w:hAnsi="Arial"/>
          <w:sz w:val="19"/>
          <w:szCs w:val="19"/>
          <w:i w:val="1"/>
          <w:iCs w:val="1"/>
          <w:color w:val="auto"/>
        </w:rPr>
        <w:t>to the Additional Facility Agent</w:t>
      </w:r>
      <w:r>
        <w:rPr>
          <w:rFonts w:ascii="Arial" w:cs="Arial" w:eastAsia="Arial" w:hAnsi="Arial"/>
          <w:sz w:val="19"/>
          <w:szCs w:val="19"/>
          <w:color w:val="auto"/>
        </w:rPr>
        <w:t>) of the Additional Lender Facility Agreement (as defined in the Original Common Terms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(other than to the extent of any claims arising thereunder prior to the Fifth Amendment Effective Date).</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color w:val="auto"/>
        </w:rPr>
        <w:t>Waiver of notice and pro-rata payments requirements</w:t>
      </w:r>
    </w:p>
    <w:p>
      <w:pPr>
        <w:spacing w:after="0" w:line="226" w:lineRule="exact"/>
        <w:rPr>
          <w:sz w:val="20"/>
          <w:szCs w:val="20"/>
          <w:color w:val="auto"/>
        </w:rPr>
      </w:pPr>
    </w:p>
    <w:p>
      <w:pPr>
        <w:jc w:val="both"/>
        <w:ind w:left="1300" w:hanging="644"/>
        <w:spacing w:after="0" w:line="247"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parties hereto waive (a) the notice requirement specified in sub-clause 8.2.1 of clause 8.2 (</w:t>
      </w:r>
      <w:r>
        <w:rPr>
          <w:rFonts w:ascii="Arial" w:cs="Arial" w:eastAsia="Arial" w:hAnsi="Arial"/>
          <w:sz w:val="22"/>
          <w:szCs w:val="22"/>
          <w:i w:val="1"/>
          <w:iCs w:val="1"/>
          <w:color w:val="auto"/>
        </w:rPr>
        <w:t>Voluntary</w:t>
      </w:r>
      <w:r>
        <w:rPr>
          <w:rFonts w:ascii="Arial" w:cs="Arial" w:eastAsia="Arial" w:hAnsi="Arial"/>
          <w:sz w:val="22"/>
          <w:szCs w:val="22"/>
          <w:color w:val="auto"/>
        </w:rPr>
        <w:t xml:space="preserve"> </w:t>
      </w:r>
      <w:r>
        <w:rPr>
          <w:rFonts w:ascii="Arial" w:cs="Arial" w:eastAsia="Arial" w:hAnsi="Arial"/>
          <w:sz w:val="22"/>
          <w:szCs w:val="22"/>
          <w:i w:val="1"/>
          <w:iCs w:val="1"/>
          <w:color w:val="auto"/>
        </w:rPr>
        <w:t>Prepayment of the Term Loan Facilities</w:t>
      </w:r>
      <w:r>
        <w:rPr>
          <w:rFonts w:ascii="Arial" w:cs="Arial" w:eastAsia="Arial" w:hAnsi="Arial"/>
          <w:sz w:val="22"/>
          <w:szCs w:val="22"/>
          <w:color w:val="auto"/>
        </w:rPr>
        <w:t>) of the Original Common Terms Agreement and (b) the requirement in sub-clause 8.2.2 of clause 8.2 (</w:t>
      </w:r>
      <w:r>
        <w:rPr>
          <w:rFonts w:ascii="Arial" w:cs="Arial" w:eastAsia="Arial" w:hAnsi="Arial"/>
          <w:sz w:val="22"/>
          <w:szCs w:val="22"/>
          <w:i w:val="1"/>
          <w:iCs w:val="1"/>
          <w:color w:val="auto"/>
        </w:rPr>
        <w:t>Voluntary</w:t>
      </w:r>
      <w:r>
        <w:rPr>
          <w:rFonts w:ascii="Arial" w:cs="Arial" w:eastAsia="Arial" w:hAnsi="Arial"/>
          <w:sz w:val="22"/>
          <w:szCs w:val="22"/>
          <w:color w:val="auto"/>
        </w:rPr>
        <w:t xml:space="preserve"> Prepayment </w:t>
      </w:r>
      <w:r>
        <w:rPr>
          <w:rFonts w:ascii="Arial" w:cs="Arial" w:eastAsia="Arial" w:hAnsi="Arial"/>
          <w:sz w:val="22"/>
          <w:szCs w:val="22"/>
          <w:i w:val="1"/>
          <w:iCs w:val="1"/>
          <w:color w:val="auto"/>
        </w:rPr>
        <w:t>of the Term Loan Facilities</w:t>
      </w:r>
      <w:r>
        <w:rPr>
          <w:rFonts w:ascii="Arial" w:cs="Arial" w:eastAsia="Arial" w:hAnsi="Arial"/>
          <w:sz w:val="22"/>
          <w:szCs w:val="22"/>
          <w:color w:val="auto"/>
        </w:rPr>
        <w:t xml:space="preserve">) of the Original Common Terms Agreement for payments or prepayments to be made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as between the Advances outstanding under the Term Loan Facilities, in each case, in respect of the repayment in full of the Additional Lender Facility referred to in Clause 5.2 (</w:t>
      </w:r>
      <w:r>
        <w:rPr>
          <w:rFonts w:ascii="Arial" w:cs="Arial" w:eastAsia="Arial" w:hAnsi="Arial"/>
          <w:sz w:val="22"/>
          <w:szCs w:val="22"/>
          <w:i w:val="1"/>
          <w:iCs w:val="1"/>
          <w:color w:val="auto"/>
        </w:rPr>
        <w:t>Repayment of Additional Lender Facility</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parties hereto agree that, in connection with the actions, events and other steps that are set out in the Pre-Amendment Global Transfer Agreement, the Company may repay each Revolving Credit Facility Advance (as defined in the Revolving Credit Facility Agreement) on a date other than the last day of its Interest Period (in accordance with, and as contemplated by, the Completion Memorandum).</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Breakfunding and accrued interest</w:t>
      </w:r>
    </w:p>
    <w:p>
      <w:pPr>
        <w:spacing w:after="0" w:line="226" w:lineRule="exact"/>
        <w:rPr>
          <w:sz w:val="20"/>
          <w:szCs w:val="20"/>
          <w:color w:val="auto"/>
        </w:rPr>
      </w:pPr>
    </w:p>
    <w:p>
      <w:pPr>
        <w:jc w:val="both"/>
        <w:ind w:left="1300" w:hanging="644"/>
        <w:spacing w:after="0" w:line="302"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Company shall pay to Bank of China Limited, Macau Branch (for its own account) the amounts (at the times) contemplated by a letter dated on or prior to the date hereof and made between Company and Bank of China Limited, Macau Branch in connection with the roles of Bank of China Limited, Macau Branch under the Pre-Amendment Global Transfer Agreement and the Post-Amendment Global Transfer Agreement (the "</w:t>
      </w:r>
      <w:r>
        <w:rPr>
          <w:rFonts w:ascii="Arial" w:cs="Arial" w:eastAsia="Arial" w:hAnsi="Arial"/>
          <w:sz w:val="19"/>
          <w:szCs w:val="19"/>
          <w:b w:val="1"/>
          <w:bCs w:val="1"/>
          <w:color w:val="auto"/>
        </w:rPr>
        <w:t>Letter</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1"/>
          <w:numId w:val="63"/>
        </w:numPr>
        <w:rPr>
          <w:rFonts w:ascii="Arial" w:cs="Arial" w:eastAsia="Arial" w:hAnsi="Arial"/>
          <w:sz w:val="21"/>
          <w:szCs w:val="21"/>
          <w:color w:val="auto"/>
        </w:rPr>
      </w:pPr>
      <w:r>
        <w:rPr>
          <w:rFonts w:ascii="Arial" w:cs="Arial" w:eastAsia="Arial" w:hAnsi="Arial"/>
          <w:sz w:val="21"/>
          <w:szCs w:val="21"/>
          <w:color w:val="auto"/>
        </w:rPr>
        <w:t>Notwithstanding clause 26.1 (</w:t>
      </w:r>
      <w:r>
        <w:rPr>
          <w:rFonts w:ascii="Arial" w:cs="Arial" w:eastAsia="Arial" w:hAnsi="Arial"/>
          <w:sz w:val="21"/>
          <w:szCs w:val="21"/>
          <w:i w:val="1"/>
          <w:iCs w:val="1"/>
          <w:color w:val="auto"/>
        </w:rPr>
        <w:t>Payments under the Senior Finance Documents</w:t>
      </w:r>
      <w:r>
        <w:rPr>
          <w:rFonts w:ascii="Arial" w:cs="Arial" w:eastAsia="Arial" w:hAnsi="Arial"/>
          <w:sz w:val="21"/>
          <w:szCs w:val="21"/>
          <w:color w:val="auto"/>
        </w:rPr>
        <w:t>) of the Original Common Terms Agreement, payments of accrued interest as contemplated by the Letter shall be made to Bank of China Limited, Macau Branch by the time contemplated in the Completion Memorandum (in the applicable currency or currencies) and not to the Term Facility Agent for the account of the Term Facility Lender or the Revolving Credit Facility Agent for the account of the Revolving Credit Facility Lender, as the case may be.</w:t>
      </w:r>
    </w:p>
    <w:p>
      <w:pPr>
        <w:spacing w:after="0" w:line="169" w:lineRule="exact"/>
        <w:rPr>
          <w:rFonts w:ascii="Arial" w:cs="Arial" w:eastAsia="Arial" w:hAnsi="Arial"/>
          <w:sz w:val="21"/>
          <w:szCs w:val="21"/>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ORDER OF EVENTS ON THE FIFTH AMENDMENT EFFECTIVE DATE</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The parties hereto agree in respect of the actions, events and other steps that are set out in the Pre-Amendment Global Transfer Agreement, Clauses 2 (</w:t>
      </w:r>
      <w:r>
        <w:rPr>
          <w:rFonts w:ascii="Arial" w:cs="Arial" w:eastAsia="Arial" w:hAnsi="Arial"/>
          <w:sz w:val="22"/>
          <w:szCs w:val="22"/>
          <w:i w:val="1"/>
          <w:iCs w:val="1"/>
          <w:color w:val="auto"/>
        </w:rPr>
        <w:t>Resignation of Additional Facility Agent</w:t>
      </w:r>
      <w:r>
        <w:rPr>
          <w:rFonts w:ascii="Arial" w:cs="Arial" w:eastAsia="Arial" w:hAnsi="Arial"/>
          <w:sz w:val="22"/>
          <w:szCs w:val="22"/>
          <w:color w:val="auto"/>
        </w:rPr>
        <w:t>), 3 (</w:t>
      </w:r>
      <w:r>
        <w:rPr>
          <w:rFonts w:ascii="Arial" w:cs="Arial" w:eastAsia="Arial" w:hAnsi="Arial"/>
          <w:sz w:val="22"/>
          <w:szCs w:val="22"/>
          <w:i w:val="1"/>
          <w:iCs w:val="1"/>
          <w:color w:val="auto"/>
        </w:rPr>
        <w:t>Global Coordinating Lead Arrangers</w:t>
      </w:r>
      <w:r>
        <w:rPr>
          <w:rFonts w:ascii="Arial" w:cs="Arial" w:eastAsia="Arial" w:hAnsi="Arial"/>
          <w:sz w:val="22"/>
          <w:szCs w:val="22"/>
          <w:color w:val="auto"/>
        </w:rPr>
        <w:t>), 4 (</w:t>
      </w:r>
      <w:r>
        <w:rPr>
          <w:rFonts w:ascii="Arial" w:cs="Arial" w:eastAsia="Arial" w:hAnsi="Arial"/>
          <w:sz w:val="22"/>
          <w:szCs w:val="22"/>
          <w:i w:val="1"/>
          <w:iCs w:val="1"/>
          <w:color w:val="auto"/>
        </w:rPr>
        <w:t>Amendment</w:t>
      </w:r>
      <w:r>
        <w:rPr>
          <w:rFonts w:ascii="Arial" w:cs="Arial" w:eastAsia="Arial" w:hAnsi="Arial"/>
          <w:sz w:val="22"/>
          <w:szCs w:val="22"/>
          <w:color w:val="auto"/>
        </w:rPr>
        <w:t>) and 5 (</w:t>
      </w:r>
      <w:r>
        <w:rPr>
          <w:rFonts w:ascii="Arial" w:cs="Arial" w:eastAsia="Arial" w:hAnsi="Arial"/>
          <w:sz w:val="22"/>
          <w:szCs w:val="22"/>
          <w:i w:val="1"/>
          <w:iCs w:val="1"/>
          <w:color w:val="auto"/>
        </w:rPr>
        <w:t>Facility Advances</w:t>
      </w:r>
      <w:r>
        <w:rPr>
          <w:rFonts w:ascii="Arial" w:cs="Arial" w:eastAsia="Arial" w:hAnsi="Arial"/>
          <w:sz w:val="22"/>
          <w:szCs w:val="22"/>
          <w:color w:val="auto"/>
        </w:rPr>
        <w:t>) of this Agreement and in the Post-Amendment Global Transfer Agreement which are stated to occur on the Fifth Amendment Effective Date, that such actions, events and other steps shall (where those actions, events and other steps have been carried</w:t>
      </w:r>
    </w:p>
    <w:p>
      <w:pPr>
        <w:sectPr>
          <w:pgSz w:w="11900" w:h="16838" w:orient="portrait"/>
          <w:cols w:equalWidth="0" w:num="1">
            <w:col w:w="11420"/>
          </w:cols>
          <w:pgMar w:left="240" w:top="631" w:right="239" w:bottom="1440" w:gutter="0" w:footer="0" w:header="0"/>
        </w:sectPr>
      </w:pPr>
    </w:p>
    <w:bookmarkStart w:id="91" w:name="page92"/>
    <w:bookmarkEnd w:id="91"/>
    <w:p>
      <w:pPr>
        <w:ind w:left="660"/>
        <w:spacing w:after="0" w:line="263" w:lineRule="auto"/>
        <w:rPr>
          <w:sz w:val="20"/>
          <w:szCs w:val="20"/>
          <w:color w:val="auto"/>
        </w:rPr>
      </w:pPr>
      <w:r>
        <w:rPr>
          <w:rFonts w:ascii="Arial" w:cs="Arial" w:eastAsia="Arial" w:hAnsi="Arial"/>
          <w:sz w:val="22"/>
          <w:szCs w:val="22"/>
          <w:color w:val="auto"/>
        </w:rPr>
        <w:t>out in accordance with the Completion Memorandum) occur on the Fifth Amendment Effective Date in the order set out in the Completion Memorandum.</w:t>
      </w:r>
    </w:p>
    <w:p>
      <w:pPr>
        <w:spacing w:after="0" w:line="16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REPRESENTATIONS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Prior to the Fifth Amendment Effective Date</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representations and warranties set out in schedule 4 of the amended Common Terms Agreement set out as Schedule 2 (</w:t>
      </w:r>
      <w:r>
        <w:rPr>
          <w:rFonts w:ascii="Arial" w:cs="Arial" w:eastAsia="Arial" w:hAnsi="Arial"/>
          <w:sz w:val="22"/>
          <w:szCs w:val="22"/>
          <w:i w:val="1"/>
          <w:iCs w:val="1"/>
          <w:color w:val="auto"/>
        </w:rPr>
        <w:t>Amended Common Terms Agreement</w:t>
      </w:r>
      <w:r>
        <w:rPr>
          <w:rFonts w:ascii="Arial" w:cs="Arial" w:eastAsia="Arial" w:hAnsi="Arial"/>
          <w:sz w:val="22"/>
          <w:szCs w:val="22"/>
          <w:color w:val="auto"/>
        </w:rPr>
        <w:t>) are deemed to be made by the Company (by reference to the facts and circumstances then existing) on the date of this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On the Fifth Amendment Effective Date</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The representations and warranties set out in schedule 4 of the amended Common Terms Agreement set out as Schedule 2 (</w:t>
      </w:r>
      <w:r>
        <w:rPr>
          <w:rFonts w:ascii="Arial" w:cs="Arial" w:eastAsia="Arial" w:hAnsi="Arial"/>
          <w:sz w:val="21"/>
          <w:szCs w:val="21"/>
          <w:i w:val="1"/>
          <w:iCs w:val="1"/>
          <w:color w:val="auto"/>
        </w:rPr>
        <w:t>Amended Common Terms Agreement</w:t>
      </w:r>
      <w:r>
        <w:rPr>
          <w:rFonts w:ascii="Arial" w:cs="Arial" w:eastAsia="Arial" w:hAnsi="Arial"/>
          <w:sz w:val="21"/>
          <w:szCs w:val="21"/>
          <w:color w:val="auto"/>
        </w:rPr>
        <w:t>) are deemed to be made by the Company (by reference to the facts and circumstances then existing) on the Fifth Amendment Effective Date,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21"/>
          <w:szCs w:val="21"/>
          <w:i w:val="1"/>
          <w:iCs w:val="1"/>
          <w:color w:val="auto"/>
        </w:rPr>
        <w:t>Designation</w:t>
      </w:r>
      <w:r>
        <w:rPr>
          <w:rFonts w:ascii="Arial" w:cs="Arial" w:eastAsia="Arial" w:hAnsi="Arial"/>
          <w:sz w:val="21"/>
          <w:szCs w:val="21"/>
          <w:color w:val="auto"/>
        </w:rPr>
        <w:t>) included, to the extent relevant, such document and the Senior Finance Document as so amended, acknowledged, confirmed, consolidated, novated, restated, replaced or supplemented.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RELEASE OF SECURITY</w:t>
      </w:r>
    </w:p>
    <w:p>
      <w:pPr>
        <w:spacing w:after="0" w:line="225"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Intercreditor Agent (acting on the instructions of each of the Term Facility Lender and the Revolving Credit Facility Lender) and the Second Ranking Finance Party hereby instruct the Security Agent to release the Security created or purported to be created under the US Operating Account Control Agreement by executing and dating the Nevada Security Release Agreement, such release to be effective on and from the Fifth Amendment Effective Date.</w:t>
      </w:r>
    </w:p>
    <w:p>
      <w:pPr>
        <w:spacing w:after="0" w:line="142" w:lineRule="exact"/>
        <w:rPr>
          <w:rFonts w:ascii="Arial" w:cs="Arial" w:eastAsia="Arial" w:hAnsi="Arial"/>
          <w:sz w:val="19"/>
          <w:szCs w:val="19"/>
          <w:color w:val="auto"/>
        </w:rPr>
      </w:pPr>
    </w:p>
    <w:p>
      <w:pPr>
        <w:jc w:val="both"/>
        <w:ind w:left="1300" w:hanging="644"/>
        <w:spacing w:after="0" w:line="297" w:lineRule="auto"/>
        <w:tabs>
          <w:tab w:leader="none" w:pos="13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Company shall ensure that, at all times on and from the Fifth Amendment Effective Date, the amount standing to the credit of the US Operating Account is no greater than US$10,000 at any time and shall provide the Intercreditor Agent with evidence reasonably satisfactory to the Intercreditor Agent that the US Operating Account has been closed and all amounts standing to the credit thereof (if any) have been transferred to an Account on or prior to such closure by no later than the date falling 90 days from the Fifth Amendment Effective Date.</w:t>
      </w:r>
    </w:p>
    <w:p>
      <w:pPr>
        <w:spacing w:after="0" w:line="141" w:lineRule="exact"/>
        <w:rPr>
          <w:rFonts w:ascii="Arial" w:cs="Arial" w:eastAsia="Arial" w:hAnsi="Arial"/>
          <w:sz w:val="19"/>
          <w:szCs w:val="19"/>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CONTINUITY AND FURTHER ASSURANCE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Continuing obligations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provisions of the Common Terms Agreement shall, save as amended by this Agreement, continue in full force and effect. In particular, nothing in this Agreement</w:t>
      </w:r>
    </w:p>
    <w:p>
      <w:pPr>
        <w:sectPr>
          <w:pgSz w:w="11900" w:h="16838" w:orient="portrait"/>
          <w:cols w:equalWidth="0" w:num="1">
            <w:col w:w="11420"/>
          </w:cols>
          <w:pgMar w:left="240" w:top="631" w:right="239" w:bottom="1440" w:gutter="0" w:footer="0" w:header="0"/>
        </w:sectPr>
      </w:pPr>
    </w:p>
    <w:bookmarkStart w:id="92" w:name="page93"/>
    <w:bookmarkEnd w:id="92"/>
    <w:p>
      <w:pPr>
        <w:ind w:left="660"/>
        <w:spacing w:after="0" w:line="263" w:lineRule="auto"/>
        <w:rPr>
          <w:sz w:val="20"/>
          <w:szCs w:val="20"/>
          <w:color w:val="auto"/>
        </w:rPr>
      </w:pPr>
      <w:r>
        <w:rPr>
          <w:rFonts w:ascii="Arial" w:cs="Arial" w:eastAsia="Arial" w:hAnsi="Arial"/>
          <w:sz w:val="22"/>
          <w:szCs w:val="22"/>
          <w:color w:val="auto"/>
        </w:rPr>
        <w:t>shall affect the rights of the Senior Secured Creditors in respect of the occurrence of any Default which is continuing or which arises on or after the date of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Further assurance</w:t>
      </w:r>
    </w:p>
    <w:p>
      <w:pPr>
        <w:spacing w:after="0" w:line="226"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The Company shall, upon the written request of the Intercreditor Agent and the Company's expense, do all such acts and things reasonably necessary to give effect to the amendments effected or to be effected pursuant to this Agreement.</w:t>
      </w:r>
    </w:p>
    <w:p>
      <w:pPr>
        <w:spacing w:after="0" w:line="99"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color w:val="auto"/>
        </w:rPr>
        <w:t>Incorporation of terms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provisions of Clauses 1.5.1(e), 1.5.2 and 1.5.3 (</w:t>
      </w:r>
      <w:r>
        <w:rPr>
          <w:rFonts w:ascii="Arial" w:cs="Arial" w:eastAsia="Arial" w:hAnsi="Arial"/>
          <w:sz w:val="19"/>
          <w:szCs w:val="19"/>
          <w:i w:val="1"/>
          <w:iCs w:val="1"/>
          <w:color w:val="auto"/>
        </w:rPr>
        <w:t>Third Party Rights</w:t>
      </w:r>
      <w:r>
        <w:rPr>
          <w:rFonts w:ascii="Arial" w:cs="Arial" w:eastAsia="Arial" w:hAnsi="Arial"/>
          <w:sz w:val="19"/>
          <w:szCs w:val="19"/>
          <w:color w:val="auto"/>
        </w:rPr>
        <w:t>), Clause 16.2 (</w:t>
      </w:r>
      <w:r>
        <w:rPr>
          <w:rFonts w:ascii="Arial" w:cs="Arial" w:eastAsia="Arial" w:hAnsi="Arial"/>
          <w:sz w:val="19"/>
          <w:szCs w:val="19"/>
          <w:i w:val="1"/>
          <w:iCs w:val="1"/>
          <w:color w:val="auto"/>
        </w:rPr>
        <w:t>Transaction Expenses</w:t>
      </w:r>
      <w:r>
        <w:rPr>
          <w:rFonts w:ascii="Arial" w:cs="Arial" w:eastAsia="Arial" w:hAnsi="Arial"/>
          <w:sz w:val="19"/>
          <w:szCs w:val="19"/>
          <w:color w:val="auto"/>
        </w:rPr>
        <w:t>), Clause 16.4 (</w:t>
      </w:r>
      <w:r>
        <w:rPr>
          <w:rFonts w:ascii="Arial" w:cs="Arial" w:eastAsia="Arial" w:hAnsi="Arial"/>
          <w:sz w:val="19"/>
          <w:szCs w:val="19"/>
          <w:i w:val="1"/>
          <w:iCs w:val="1"/>
          <w:color w:val="auto"/>
        </w:rPr>
        <w:t>Enforcement costs</w:t>
      </w:r>
      <w:r>
        <w:rPr>
          <w:rFonts w:ascii="Arial" w:cs="Arial" w:eastAsia="Arial" w:hAnsi="Arial"/>
          <w:sz w:val="19"/>
          <w:szCs w:val="19"/>
          <w:color w:val="auto"/>
        </w:rPr>
        <w:t>), Clause 28 (</w:t>
      </w:r>
      <w:r>
        <w:rPr>
          <w:rFonts w:ascii="Arial" w:cs="Arial" w:eastAsia="Arial" w:hAnsi="Arial"/>
          <w:sz w:val="19"/>
          <w:szCs w:val="19"/>
          <w:i w:val="1"/>
          <w:iCs w:val="1"/>
          <w:color w:val="auto"/>
        </w:rPr>
        <w:t>Non-recourse Liability</w:t>
      </w:r>
      <w:r>
        <w:rPr>
          <w:rFonts w:ascii="Arial" w:cs="Arial" w:eastAsia="Arial" w:hAnsi="Arial"/>
          <w:sz w:val="19"/>
          <w:szCs w:val="19"/>
          <w:color w:val="auto"/>
        </w:rPr>
        <w:t>), Clause 29.1 (</w:t>
      </w:r>
      <w:r>
        <w:rPr>
          <w:rFonts w:ascii="Arial" w:cs="Arial" w:eastAsia="Arial" w:hAnsi="Arial"/>
          <w:sz w:val="19"/>
          <w:szCs w:val="19"/>
          <w:i w:val="1"/>
          <w:iCs w:val="1"/>
          <w:color w:val="auto"/>
        </w:rPr>
        <w:t>Communications in Writing</w:t>
      </w:r>
      <w:r>
        <w:rPr>
          <w:rFonts w:ascii="Arial" w:cs="Arial" w:eastAsia="Arial" w:hAnsi="Arial"/>
          <w:sz w:val="19"/>
          <w:szCs w:val="19"/>
          <w:color w:val="auto"/>
        </w:rPr>
        <w:t>) to 29.5 (</w:t>
      </w:r>
      <w:r>
        <w:rPr>
          <w:rFonts w:ascii="Arial" w:cs="Arial" w:eastAsia="Arial" w:hAnsi="Arial"/>
          <w:sz w:val="19"/>
          <w:szCs w:val="19"/>
          <w:i w:val="1"/>
          <w:iCs w:val="1"/>
          <w:color w:val="auto"/>
        </w:rPr>
        <w:t>Electronic</w:t>
      </w:r>
      <w:r>
        <w:rPr>
          <w:rFonts w:ascii="Arial" w:cs="Arial" w:eastAsia="Arial" w:hAnsi="Arial"/>
          <w:sz w:val="19"/>
          <w:szCs w:val="19"/>
          <w:color w:val="auto"/>
        </w:rPr>
        <w:t xml:space="preserve"> </w:t>
      </w:r>
      <w:r>
        <w:rPr>
          <w:rFonts w:ascii="Arial" w:cs="Arial" w:eastAsia="Arial" w:hAnsi="Arial"/>
          <w:sz w:val="19"/>
          <w:szCs w:val="19"/>
          <w:i w:val="1"/>
          <w:iCs w:val="1"/>
          <w:color w:val="auto"/>
        </w:rPr>
        <w:t>communication</w:t>
      </w:r>
      <w:r>
        <w:rPr>
          <w:rFonts w:ascii="Arial" w:cs="Arial" w:eastAsia="Arial" w:hAnsi="Arial"/>
          <w:sz w:val="19"/>
          <w:szCs w:val="19"/>
          <w:color w:val="auto"/>
        </w:rPr>
        <w:t>), Clause 31 (</w:t>
      </w:r>
      <w:r>
        <w:rPr>
          <w:rFonts w:ascii="Arial" w:cs="Arial" w:eastAsia="Arial" w:hAnsi="Arial"/>
          <w:sz w:val="19"/>
          <w:szCs w:val="19"/>
          <w:i w:val="1"/>
          <w:iCs w:val="1"/>
          <w:color w:val="auto"/>
        </w:rPr>
        <w:t>Partial Invalidity</w:t>
      </w:r>
      <w:r>
        <w:rPr>
          <w:rFonts w:ascii="Arial" w:cs="Arial" w:eastAsia="Arial" w:hAnsi="Arial"/>
          <w:sz w:val="19"/>
          <w:szCs w:val="19"/>
          <w:color w:val="auto"/>
        </w:rPr>
        <w:t>), Clause 32 (</w:t>
      </w:r>
      <w:r>
        <w:rPr>
          <w:rFonts w:ascii="Arial" w:cs="Arial" w:eastAsia="Arial" w:hAnsi="Arial"/>
          <w:sz w:val="19"/>
          <w:szCs w:val="19"/>
          <w:i w:val="1"/>
          <w:iCs w:val="1"/>
          <w:color w:val="auto"/>
        </w:rPr>
        <w:t>Remedies and Waivers</w:t>
      </w:r>
      <w:r>
        <w:rPr>
          <w:rFonts w:ascii="Arial" w:cs="Arial" w:eastAsia="Arial" w:hAnsi="Arial"/>
          <w:sz w:val="19"/>
          <w:szCs w:val="19"/>
          <w:color w:val="auto"/>
        </w:rPr>
        <w:t>) and Clause 38 (</w:t>
      </w:r>
      <w:r>
        <w:rPr>
          <w:rFonts w:ascii="Arial" w:cs="Arial" w:eastAsia="Arial" w:hAnsi="Arial"/>
          <w:sz w:val="19"/>
          <w:szCs w:val="19"/>
          <w:i w:val="1"/>
          <w:iCs w:val="1"/>
          <w:color w:val="auto"/>
        </w:rPr>
        <w:t>Jurisdiction</w:t>
      </w:r>
      <w:r>
        <w:rPr>
          <w:rFonts w:ascii="Arial" w:cs="Arial" w:eastAsia="Arial" w:hAnsi="Arial"/>
          <w:sz w:val="19"/>
          <w:szCs w:val="19"/>
          <w:color w:val="auto"/>
        </w:rPr>
        <w:t>) of</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2 (</w:t>
      </w:r>
      <w:r>
        <w:rPr>
          <w:rFonts w:ascii="Arial" w:cs="Arial" w:eastAsia="Arial" w:hAnsi="Arial"/>
          <w:sz w:val="19"/>
          <w:szCs w:val="19"/>
          <w:i w:val="1"/>
          <w:iCs w:val="1"/>
          <w:color w:val="auto"/>
        </w:rPr>
        <w:t>Amended Common Terms Agreement</w:t>
      </w:r>
      <w:r>
        <w:rPr>
          <w:rFonts w:ascii="Arial" w:cs="Arial" w:eastAsia="Arial" w:hAnsi="Arial"/>
          <w:sz w:val="19"/>
          <w:szCs w:val="19"/>
          <w:color w:val="auto"/>
        </w:rPr>
        <w:t>)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Counterparts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may be executed in any number of counterparts, and this has the same effect as if the signatures on the counterparts were on a single copy of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[Not used]</w:t>
      </w:r>
    </w:p>
    <w:p>
      <w:pPr>
        <w:spacing w:after="0" w:line="220"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WONG SHARE SUBSTITUTION</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By their execution of this Agreement, the Required Lenders grant their consent to the Wong Share Substitution with effect from the date upon which the Intercreditor Agent confirms to the Required Lenders and the Company that it has received (or the Intercreditor Agent has waived receipt of, as the case may be) each of the following documents or evidence in a form and substance satisfactory to the Intercreditor Agent:</w:t>
      </w:r>
    </w:p>
    <w:p>
      <w:pPr>
        <w:spacing w:after="0" w:line="188" w:lineRule="exact"/>
        <w:rPr>
          <w:rFonts w:ascii="Arial" w:cs="Arial" w:eastAsia="Arial" w:hAnsi="Arial"/>
          <w:sz w:val="22"/>
          <w:szCs w:val="22"/>
          <w:color w:val="auto"/>
        </w:rPr>
      </w:pPr>
    </w:p>
    <w:p>
      <w:pPr>
        <w:ind w:left="1300" w:right="20" w:hanging="644"/>
        <w:spacing w:after="0" w:line="287" w:lineRule="auto"/>
        <w:tabs>
          <w:tab w:leader="none" w:pos="13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approval of the Wong Share Substitution by the Government of the Macau SAR (in accordance with Clause 16(1) of the Concession Contract) in the letter from the DICJ to the Company dated 26 August 2015;</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due execution of the following agreements by the parties thereto:</w:t>
      </w:r>
    </w:p>
    <w:p>
      <w:pPr>
        <w:spacing w:after="0" w:line="219" w:lineRule="exact"/>
        <w:rPr>
          <w:rFonts w:ascii="Arial" w:cs="Arial" w:eastAsia="Arial" w:hAnsi="Arial"/>
          <w:sz w:val="22"/>
          <w:szCs w:val="22"/>
          <w:color w:val="auto"/>
        </w:rPr>
      </w:pPr>
    </w:p>
    <w:p>
      <w:pPr>
        <w:jc w:val="both"/>
        <w:ind w:left="1960" w:right="20" w:hanging="655"/>
        <w:spacing w:after="0" w:line="253" w:lineRule="auto"/>
        <w:tabs>
          <w:tab w:leader="none" w:pos="1960" w:val="left"/>
        </w:tabs>
        <w:numPr>
          <w:ilvl w:val="2"/>
          <w:numId w:val="68"/>
        </w:numPr>
        <w:rPr>
          <w:rFonts w:ascii="Arial" w:cs="Arial" w:eastAsia="Arial" w:hAnsi="Arial"/>
          <w:sz w:val="22"/>
          <w:szCs w:val="22"/>
          <w:color w:val="auto"/>
        </w:rPr>
      </w:pPr>
      <w:r>
        <w:rPr>
          <w:rFonts w:ascii="Arial" w:cs="Arial" w:eastAsia="Arial" w:hAnsi="Arial"/>
          <w:sz w:val="22"/>
          <w:szCs w:val="22"/>
          <w:color w:val="auto"/>
        </w:rPr>
        <w:t>a transfer of the Executive Director Shares between Mr. Wong Chi Seng (as transferor), Ms. Linda Chen (as transferee), the Company, the Intercreditor Agent and the Security Agent in substantially the form distributed to the Intercreditor Agent prior to the date of this Agreement;</w:t>
      </w:r>
    </w:p>
    <w:p>
      <w:pPr>
        <w:spacing w:after="0" w:line="185" w:lineRule="exact"/>
        <w:rPr>
          <w:rFonts w:ascii="Arial" w:cs="Arial" w:eastAsia="Arial" w:hAnsi="Arial"/>
          <w:sz w:val="22"/>
          <w:szCs w:val="22"/>
          <w:color w:val="auto"/>
        </w:rPr>
      </w:pPr>
    </w:p>
    <w:p>
      <w:pPr>
        <w:ind w:left="1960" w:hanging="655"/>
        <w:spacing w:after="0" w:line="343" w:lineRule="auto"/>
        <w:tabs>
          <w:tab w:leader="none" w:pos="1960" w:val="left"/>
        </w:tabs>
        <w:numPr>
          <w:ilvl w:val="2"/>
          <w:numId w:val="68"/>
        </w:numPr>
        <w:rPr>
          <w:rFonts w:ascii="Arial" w:cs="Arial" w:eastAsia="Arial" w:hAnsi="Arial"/>
          <w:sz w:val="19"/>
          <w:szCs w:val="19"/>
          <w:color w:val="auto"/>
        </w:rPr>
      </w:pPr>
      <w:r>
        <w:rPr>
          <w:rFonts w:ascii="Arial" w:cs="Arial" w:eastAsia="Arial" w:hAnsi="Arial"/>
          <w:sz w:val="19"/>
          <w:szCs w:val="19"/>
          <w:color w:val="auto"/>
        </w:rPr>
        <w:t>any other contracts and accessions to existing contracts by Ms. Linda Chen, the Company and any other relevant Obligor as are necessary or desirable in order for Ms. Linda Chen to step into Mr. Wong Chi Seng's</w:t>
      </w:r>
    </w:p>
    <w:p>
      <w:pPr>
        <w:sectPr>
          <w:pgSz w:w="11900" w:h="16838" w:orient="portrait"/>
          <w:cols w:equalWidth="0" w:num="1">
            <w:col w:w="11420"/>
          </w:cols>
          <w:pgMar w:left="240" w:top="631" w:right="239" w:bottom="1440" w:gutter="0" w:footer="0" w:header="0"/>
        </w:sectPr>
      </w:pPr>
    </w:p>
    <w:bookmarkStart w:id="93" w:name="page94"/>
    <w:bookmarkEnd w:id="93"/>
    <w:p>
      <w:pPr>
        <w:ind w:left="1960"/>
        <w:spacing w:after="0"/>
        <w:rPr>
          <w:sz w:val="20"/>
          <w:szCs w:val="20"/>
          <w:color w:val="auto"/>
        </w:rPr>
      </w:pPr>
      <w:r>
        <w:rPr>
          <w:rFonts w:ascii="Arial" w:cs="Arial" w:eastAsia="Arial" w:hAnsi="Arial"/>
          <w:sz w:val="19"/>
          <w:szCs w:val="19"/>
          <w:color w:val="auto"/>
        </w:rPr>
        <w:t>position and role as executive director of the Company and owner of the Executive Director Shares; and</w:t>
      </w:r>
    </w:p>
    <w:p>
      <w:pPr>
        <w:spacing w:after="0" w:line="254" w:lineRule="exact"/>
        <w:rPr>
          <w:sz w:val="20"/>
          <w:szCs w:val="20"/>
          <w:color w:val="auto"/>
        </w:rPr>
      </w:pPr>
    </w:p>
    <w:p>
      <w:pPr>
        <w:jc w:val="both"/>
        <w:ind w:left="1960" w:hanging="655"/>
        <w:spacing w:after="0" w:line="292" w:lineRule="auto"/>
        <w:tabs>
          <w:tab w:leader="none" w:pos="1960" w:val="left"/>
        </w:tabs>
        <w:numPr>
          <w:ilvl w:val="2"/>
          <w:numId w:val="69"/>
        </w:numPr>
        <w:rPr>
          <w:rFonts w:ascii="Arial" w:cs="Arial" w:eastAsia="Arial" w:hAnsi="Arial"/>
          <w:sz w:val="19"/>
          <w:szCs w:val="19"/>
          <w:color w:val="auto"/>
        </w:rPr>
      </w:pPr>
      <w:r>
        <w:rPr>
          <w:rFonts w:ascii="Arial" w:cs="Arial" w:eastAsia="Arial" w:hAnsi="Arial"/>
          <w:sz w:val="19"/>
          <w:szCs w:val="19"/>
          <w:color w:val="auto"/>
        </w:rPr>
        <w:t>Ms. Linda Chen duly executing and, (where applicable) the Company providing the Intercreditor Agent with, any acknowledgement, confirmation and/or such other documents as the Intercreditor Agent, acting on the advice of its legal counsel, shall deem appropriate in connection with the pledge of the Executive Director Shares to ensure such shares are pledged after the date of this Agreement in the same manner as such shares are pledged as at the date of this Agreement, such that Ms. Linda Chen will be the "Pledgor" under the Executive Director Share Pledge (as defined in the Amended Common Terms Agreement) and Mr. Wong Chi Seng will no longer be the Pledgor thereunder and be released from any obligations thereunder; and</w:t>
      </w:r>
    </w:p>
    <w:p>
      <w:pPr>
        <w:spacing w:after="0" w:line="151"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 legal opinion with respect to the above matters from Mr Henrique Saldanha, Macanese legal adviser to the Senior Secured Creditors.</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This Agreement and any non-contractual obligations arising out of or in connection with it are governed by English law.</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Agreement has been entered into on the date stated at the beginning of this Agreement.</w:t>
      </w:r>
    </w:p>
    <w:p>
      <w:pPr>
        <w:sectPr>
          <w:pgSz w:w="11900" w:h="16838" w:orient="portrait"/>
          <w:cols w:equalWidth="0" w:num="1">
            <w:col w:w="11420"/>
          </w:cols>
          <w:pgMar w:left="240" w:top="631" w:right="239" w:bottom="1440" w:gutter="0" w:footer="0" w:header="0"/>
        </w:sectPr>
      </w:pPr>
    </w:p>
    <w:bookmarkStart w:id="94" w:name="page95"/>
    <w:bookmarkEnd w:id="94"/>
    <w:p>
      <w:pPr>
        <w:ind w:left="4532"/>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ind w:left="4312"/>
        <w:spacing w:after="0"/>
        <w:rPr>
          <w:sz w:val="20"/>
          <w:szCs w:val="20"/>
          <w:color w:val="auto"/>
        </w:rPr>
      </w:pPr>
      <w:r>
        <w:rPr>
          <w:rFonts w:ascii="Arial" w:cs="Arial" w:eastAsia="Arial" w:hAnsi="Arial"/>
          <w:sz w:val="22"/>
          <w:szCs w:val="22"/>
          <w:b w:val="1"/>
          <w:bCs w:val="1"/>
          <w:color w:val="auto"/>
        </w:rPr>
        <w:t>CONDITIONS PRECEDENT</w:t>
      </w:r>
    </w:p>
    <w:p>
      <w:pPr>
        <w:spacing w:after="0" w:line="209"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Due establishment, authority and certification</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In relation to each Obligor, receipt by the Intercreditor Agent of a certificate signed by a duly authorised signatory of that Person and which:</w:t>
      </w:r>
    </w:p>
    <w:p>
      <w:pPr>
        <w:spacing w:after="0" w:line="174"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either (A) attaches a copy of that Person's Governing Documents or (B) certifies that the copy of that Person's Governing Documents (which was previously delivered to the Intercreditor Agent on or about 14 September 2004 or subsequently) remains correct, complete and in full force and effect as at a date no earlier than the Fifth Amendment Effective Date;</w:t>
      </w:r>
    </w:p>
    <w:p>
      <w:pPr>
        <w:spacing w:after="0" w:line="188" w:lineRule="exact"/>
        <w:rPr>
          <w:rFonts w:ascii="Arial" w:cs="Arial" w:eastAsia="Arial" w:hAnsi="Arial"/>
          <w:sz w:val="22"/>
          <w:szCs w:val="22"/>
          <w:color w:val="auto"/>
        </w:rPr>
      </w:pPr>
    </w:p>
    <w:p>
      <w:pPr>
        <w:jc w:val="both"/>
        <w:ind w:left="1292" w:hanging="644"/>
        <w:spacing w:after="0" w:line="247"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attaches a copy of a board resolution or such other equivalent corporate authorisation approving the execution, delivery and performance of the Senior Finance Documents referred to in paragraph 2 below to which it is a party, the terms and conditions thereof and the transactions contemplated thereby, authorising a named person or persons to sign such Senior Finance Documents and any document to be delivered by that Person pursuant to such Senior Finance Documents and authorising the signatory of the relevant certificate to sign certificates in connection therewith;</w:t>
      </w:r>
    </w:p>
    <w:p>
      <w:pPr>
        <w:spacing w:after="0" w:line="193"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 the case of the Company only) certifies that each document listed in this Schedule 1 and delivered by an Obligor is correct, complete and in full force and effect and has not been amended or superseded as at a date no earlier than the Fifth Amendment Effective Date;</w:t>
      </w:r>
    </w:p>
    <w:p>
      <w:pPr>
        <w:spacing w:after="0" w:line="185"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confirms that borrowing, guaranteeing or securing as appropriate, the total commitments of all Lenders in respect of the Term Facility and the Revolving Credit Facility would not cause any borrowing, guarantee, security or similar limit binding on any such Person to be exceeded; and</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72"/>
        </w:numPr>
        <w:rPr>
          <w:rFonts w:ascii="Arial" w:cs="Arial" w:eastAsia="Arial" w:hAnsi="Arial"/>
          <w:sz w:val="19"/>
          <w:szCs w:val="19"/>
          <w:color w:val="auto"/>
        </w:rPr>
      </w:pPr>
      <w:r>
        <w:rPr>
          <w:rFonts w:ascii="Arial" w:cs="Arial" w:eastAsia="Arial" w:hAnsi="Arial"/>
          <w:sz w:val="19"/>
          <w:szCs w:val="19"/>
          <w:color w:val="auto"/>
        </w:rPr>
        <w:t>certifies that no Material Adverse Effect has occurred and is continuing nor could reasonably be expected to occur.</w:t>
      </w:r>
    </w:p>
    <w:p>
      <w:pPr>
        <w:spacing w:after="0" w:line="248" w:lineRule="exact"/>
        <w:rPr>
          <w:rFonts w:ascii="Arial" w:cs="Arial" w:eastAsia="Arial" w:hAnsi="Arial"/>
          <w:sz w:val="19"/>
          <w:szCs w:val="19"/>
          <w:color w:val="auto"/>
        </w:rPr>
      </w:pPr>
    </w:p>
    <w:p>
      <w:pPr>
        <w:ind w:left="652" w:hanging="652"/>
        <w:spacing w:after="0"/>
        <w:tabs>
          <w:tab w:leader="none" w:pos="652"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Senior Finance Documents</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Receipt by the Intercreditor Agent of an original of each of the following Senior Finance Documents, in each case duly executed by the parties thereto:</w:t>
      </w:r>
    </w:p>
    <w:p>
      <w:pPr>
        <w:spacing w:after="0" w:line="174" w:lineRule="exact"/>
        <w:rPr>
          <w:rFonts w:ascii="Arial" w:cs="Arial" w:eastAsia="Arial" w:hAnsi="Arial"/>
          <w:sz w:val="22"/>
          <w:szCs w:val="22"/>
          <w:color w:val="auto"/>
        </w:rPr>
      </w:pPr>
    </w:p>
    <w:p>
      <w:pPr>
        <w:ind w:left="1952" w:hanging="655"/>
        <w:spacing w:after="0"/>
        <w:tabs>
          <w:tab w:leader="none" w:pos="1952"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Term Facility Agreement Fourth Amendment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Revolving Credit Facility Agreement Amendment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Subordination Deed Fourth Deed of Amendment and Acknowledgement of Security;</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2"/>
        </w:numPr>
        <w:rPr>
          <w:rFonts w:ascii="Arial" w:cs="Arial" w:eastAsia="Arial" w:hAnsi="Arial"/>
          <w:sz w:val="22"/>
          <w:szCs w:val="22"/>
          <w:color w:val="auto"/>
        </w:rPr>
      </w:pPr>
      <w:r>
        <w:rPr>
          <w:rFonts w:ascii="Arial" w:cs="Arial" w:eastAsia="Arial" w:hAnsi="Arial"/>
          <w:sz w:val="22"/>
          <w:szCs w:val="22"/>
          <w:color w:val="auto"/>
        </w:rPr>
        <w:t>the Guarantee Fourth Deed of Amendment and Acknowledgement;</w:t>
      </w:r>
    </w:p>
    <w:p>
      <w:pPr>
        <w:sectPr>
          <w:pgSz w:w="11900" w:h="16838" w:orient="portrait"/>
          <w:cols w:equalWidth="0" w:num="1">
            <w:col w:w="11412"/>
          </w:cols>
          <w:pgMar w:left="248" w:top="625" w:right="239" w:bottom="1440" w:gutter="0" w:footer="0" w:header="0"/>
        </w:sectPr>
      </w:pPr>
    </w:p>
    <w:bookmarkStart w:id="95" w:name="page96"/>
    <w:bookmarkEnd w:id="95"/>
    <w:p>
      <w:pPr>
        <w:ind w:left="1952" w:hanging="655"/>
        <w:spacing w:after="0"/>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Deed of Appointment and Priority Fourth Deed of Amendment;</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each of the Security Confirmation Documents;</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each of the Security Amendment Documents;</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New Company Power of Attorney;</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New Palo Power of Attorney;</w:t>
      </w:r>
    </w:p>
    <w:p>
      <w:pPr>
        <w:spacing w:after="0" w:line="219"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a Fee Letter between the Term Facility Agent, the Revolving Credit Facility Agent, the Intercreditor Agent, the Security Agent and the Company;</w:t>
      </w:r>
    </w:p>
    <w:p>
      <w:pPr>
        <w:spacing w:after="0" w:line="174" w:lineRule="exact"/>
        <w:rPr>
          <w:rFonts w:ascii="Arial" w:cs="Arial" w:eastAsia="Arial" w:hAnsi="Arial"/>
          <w:sz w:val="22"/>
          <w:szCs w:val="22"/>
          <w:color w:val="auto"/>
        </w:rPr>
      </w:pPr>
    </w:p>
    <w:p>
      <w:pPr>
        <w:jc w:val="both"/>
        <w:ind w:left="1952" w:hanging="655"/>
        <w:spacing w:after="0" w:line="253" w:lineRule="auto"/>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a Fee Letter between the Intercreditor Agent and the Company relating to the payment by the Company of an up-front fee to each Person that, immediately following the consummation of the transactions set out in the Post-Amendment Global Transfer Agreement, shall be a Lender;</w:t>
      </w:r>
    </w:p>
    <w:p>
      <w:pPr>
        <w:spacing w:after="0" w:line="185"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Livranças and the Livrança Covering Letter (in each case signed by the Company and duly endorsed by Palo); and</w:t>
      </w:r>
    </w:p>
    <w:p>
      <w:pPr>
        <w:spacing w:after="0" w:line="174"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73"/>
        </w:numPr>
        <w:rPr>
          <w:rFonts w:ascii="Arial" w:cs="Arial" w:eastAsia="Arial" w:hAnsi="Arial"/>
          <w:sz w:val="22"/>
          <w:szCs w:val="22"/>
          <w:color w:val="auto"/>
        </w:rPr>
      </w:pPr>
      <w:r>
        <w:rPr>
          <w:rFonts w:ascii="Arial" w:cs="Arial" w:eastAsia="Arial" w:hAnsi="Arial"/>
          <w:sz w:val="22"/>
          <w:szCs w:val="22"/>
          <w:color w:val="auto"/>
        </w:rPr>
        <w:t>any other document entered into which the Intercreditor Agent and the Company agree prior to the Fifth Amendment Signing Date to designate as a Senior Finance Document.</w:t>
      </w:r>
    </w:p>
    <w:p>
      <w:pPr>
        <w:spacing w:after="0" w:line="174" w:lineRule="exact"/>
        <w:rPr>
          <w:rFonts w:ascii="Arial" w:cs="Arial" w:eastAsia="Arial" w:hAnsi="Arial"/>
          <w:sz w:val="22"/>
          <w:szCs w:val="22"/>
          <w:color w:val="auto"/>
        </w:rPr>
      </w:pPr>
    </w:p>
    <w:p>
      <w:pPr>
        <w:jc w:val="both"/>
        <w:ind w:left="1292" w:hanging="644"/>
        <w:spacing w:after="0" w:line="290" w:lineRule="auto"/>
        <w:tabs>
          <w:tab w:leader="none" w:pos="1292" w:val="left"/>
        </w:tabs>
        <w:numPr>
          <w:ilvl w:val="1"/>
          <w:numId w:val="74"/>
        </w:numPr>
        <w:rPr>
          <w:rFonts w:ascii="Arial" w:cs="Arial" w:eastAsia="Arial" w:hAnsi="Arial"/>
          <w:sz w:val="19"/>
          <w:szCs w:val="19"/>
          <w:color w:val="auto"/>
        </w:rPr>
      </w:pPr>
      <w:r>
        <w:rPr>
          <w:rFonts w:ascii="Arial" w:cs="Arial" w:eastAsia="Arial" w:hAnsi="Arial"/>
          <w:sz w:val="19"/>
          <w:szCs w:val="19"/>
          <w:color w:val="auto"/>
        </w:rPr>
        <w:t>Each Senior Finance Document referred to in this paragraph 2 has been duly authorised, executed and delivered by such of the Obligors party thereto and (save in respect of any registration required in respect of the Subordination Deed Fourth Deed of Amendment and Acknowledgement of Security, each of the Security Confirmation Documents and each of the Security Amendment Documents at the Companies House in England and Wales, the Hong Kong Companies Registry, the Conservatória dos Registos Comercial e de Bens Móveis in Macau SAR, the Conservatória do Registo Predial in Macau SAR, the applicable Uniform Commercial Code filing office for local/county, state and federal Uniform Commercial Code filings and the Isle of Man Companies Registry, as applicable, based on the Senior Finance Document subject to the filing) duly filed, notified, recorded, stamped and registered as necessary.</w:t>
      </w:r>
    </w:p>
    <w:p>
      <w:pPr>
        <w:spacing w:after="0" w:line="156" w:lineRule="exact"/>
        <w:rPr>
          <w:rFonts w:ascii="Arial" w:cs="Arial" w:eastAsia="Arial" w:hAnsi="Arial"/>
          <w:sz w:val="19"/>
          <w:szCs w:val="19"/>
          <w:color w:val="auto"/>
        </w:rPr>
      </w:pPr>
    </w:p>
    <w:p>
      <w:pPr>
        <w:jc w:val="both"/>
        <w:ind w:left="1292" w:hanging="644"/>
        <w:spacing w:after="0" w:line="312" w:lineRule="auto"/>
        <w:tabs>
          <w:tab w:leader="none" w:pos="1292" w:val="left"/>
        </w:tabs>
        <w:numPr>
          <w:ilvl w:val="1"/>
          <w:numId w:val="74"/>
        </w:numPr>
        <w:rPr>
          <w:rFonts w:ascii="Arial" w:cs="Arial" w:eastAsia="Arial" w:hAnsi="Arial"/>
          <w:sz w:val="19"/>
          <w:szCs w:val="19"/>
          <w:color w:val="auto"/>
        </w:rPr>
      </w:pPr>
      <w:r>
        <w:rPr>
          <w:rFonts w:ascii="Arial" w:cs="Arial" w:eastAsia="Arial" w:hAnsi="Arial"/>
          <w:sz w:val="19"/>
          <w:szCs w:val="19"/>
          <w:color w:val="auto"/>
        </w:rPr>
        <w:t>All conditions precedent to the effectiveness thereof (other than any such conditions relating to the occurrence of the Fifth Amendment Effective Date) have been satisfied or waived in accordance with their respective terms and each such Senior Finance Document (save as provided in paragraph (b)) is in full force and effect accordingly.</w:t>
      </w:r>
    </w:p>
    <w:p>
      <w:pPr>
        <w:spacing w:after="0" w:line="127" w:lineRule="exact"/>
        <w:rPr>
          <w:rFonts w:ascii="Arial" w:cs="Arial" w:eastAsia="Arial" w:hAnsi="Arial"/>
          <w:sz w:val="19"/>
          <w:szCs w:val="19"/>
          <w:color w:val="auto"/>
        </w:rPr>
      </w:pPr>
    </w:p>
    <w:p>
      <w:pPr>
        <w:ind w:left="652" w:hanging="652"/>
        <w:spacing w:after="0"/>
        <w:tabs>
          <w:tab w:leader="none" w:pos="652"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Legal opinions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Receipt by the Intercreditor Agent of legal opinions (substantially in the form distributed to the Intercreditor Agent prior to the Fifth Amendment Signing Date) from:</w:t>
      </w:r>
    </w:p>
    <w:p>
      <w:pPr>
        <w:sectPr>
          <w:pgSz w:w="11900" w:h="16838" w:orient="portrait"/>
          <w:cols w:equalWidth="0" w:num="1">
            <w:col w:w="11412"/>
          </w:cols>
          <w:pgMar w:left="248" w:top="631" w:right="239" w:bottom="1440" w:gutter="0" w:footer="0" w:header="0"/>
        </w:sectPr>
      </w:pPr>
    </w:p>
    <w:bookmarkStart w:id="96" w:name="page97"/>
    <w:bookmarkEnd w:id="96"/>
    <w:p>
      <w:pPr>
        <w:ind w:left="1292" w:hanging="644"/>
        <w:spacing w:after="0"/>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Mr Henrique Saldanha, Macanese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M&amp;P Legal, Isle of Man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Walkers, Cayman legal adviser to the Senior Secured Creditors;</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Clifford Chance, Hong Kong SAR legal advisers to the Senior Secured Creditors;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76"/>
        </w:numPr>
        <w:rPr>
          <w:rFonts w:ascii="Arial" w:cs="Arial" w:eastAsia="Arial" w:hAnsi="Arial"/>
          <w:sz w:val="22"/>
          <w:szCs w:val="22"/>
          <w:color w:val="auto"/>
        </w:rPr>
      </w:pPr>
      <w:r>
        <w:rPr>
          <w:rFonts w:ascii="Arial" w:cs="Arial" w:eastAsia="Arial" w:hAnsi="Arial"/>
          <w:sz w:val="22"/>
          <w:szCs w:val="22"/>
          <w:color w:val="auto"/>
        </w:rPr>
        <w:t>Clifford Chance, English legal advisers to the Senior Secured Creditors.</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Fees and expenses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all taxes, fees and other costs payable in connection with the execution, delivery, filing, recording, stamping and registering of the documents referred to in this Schedule 1;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all fees, costs and expenses due to the Senior Secured Creditors and their advisers under the Senior Finance Documents on or before the Fifth Amendment Effective Date,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have been paid or shall be paid (to the extent that such amounts have been duly invoiced) by no later than the Fifth Amendment Effective Date.</w:t>
      </w:r>
    </w:p>
    <w:p>
      <w:pPr>
        <w:spacing w:after="0" w:line="175"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Security</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Receipt by the Intercreditor Agent of evidence that each Security Document has been (save as provided in paragraph 2(b) above) duly filed, notified, recorded, stamped and registered as necessary and all other actions necessary in the reasonable opinion of the Intercreditor Agent or the Security Agent to perfect the Security have been carried out.</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Process agents</w:t>
      </w:r>
    </w:p>
    <w:p>
      <w:pPr>
        <w:spacing w:after="0" w:line="225" w:lineRule="exact"/>
        <w:rPr>
          <w:rFonts w:ascii="Arial" w:cs="Arial" w:eastAsia="Arial" w:hAnsi="Arial"/>
          <w:sz w:val="22"/>
          <w:szCs w:val="22"/>
          <w:color w:val="auto"/>
        </w:rPr>
      </w:pPr>
    </w:p>
    <w:p>
      <w:pPr>
        <w:jc w:val="both"/>
        <w:ind w:left="652" w:right="20"/>
        <w:spacing w:after="0" w:line="253" w:lineRule="auto"/>
        <w:rPr>
          <w:rFonts w:ascii="Arial" w:cs="Arial" w:eastAsia="Arial" w:hAnsi="Arial"/>
          <w:sz w:val="22"/>
          <w:szCs w:val="22"/>
          <w:color w:val="auto"/>
        </w:rPr>
      </w:pPr>
      <w:r>
        <w:rPr>
          <w:rFonts w:ascii="Arial" w:cs="Arial" w:eastAsia="Arial" w:hAnsi="Arial"/>
          <w:sz w:val="22"/>
          <w:szCs w:val="22"/>
          <w:color w:val="auto"/>
        </w:rPr>
        <w:t>Confirmation from the process agent of each Obligor that, where such appointment is required under any Senior Finance Document referred to in paragraph 2 above, the process agent has accepted its appointment by such Obligor for the acceptance of legal proceedings.</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Other documents and evidence</w:t>
      </w:r>
    </w:p>
    <w:p>
      <w:pPr>
        <w:spacing w:after="0" w:line="225" w:lineRule="exact"/>
        <w:rPr>
          <w:rFonts w:ascii="Arial" w:cs="Arial" w:eastAsia="Arial" w:hAnsi="Arial"/>
          <w:sz w:val="22"/>
          <w:szCs w:val="22"/>
          <w:color w:val="auto"/>
        </w:rPr>
      </w:pPr>
    </w:p>
    <w:p>
      <w:pPr>
        <w:ind w:left="1292" w:hanging="644"/>
        <w:spacing w:after="0" w:line="343" w:lineRule="auto"/>
        <w:tabs>
          <w:tab w:leader="none" w:pos="1292" w:val="left"/>
        </w:tabs>
        <w:numPr>
          <w:ilvl w:val="1"/>
          <w:numId w:val="78"/>
        </w:numPr>
        <w:rPr>
          <w:rFonts w:ascii="Arial" w:cs="Arial" w:eastAsia="Arial" w:hAnsi="Arial"/>
          <w:sz w:val="19"/>
          <w:szCs w:val="19"/>
          <w:color w:val="auto"/>
        </w:rPr>
      </w:pPr>
      <w:r>
        <w:rPr>
          <w:rFonts w:ascii="Arial" w:cs="Arial" w:eastAsia="Arial" w:hAnsi="Arial"/>
          <w:sz w:val="19"/>
          <w:szCs w:val="19"/>
          <w:color w:val="auto"/>
        </w:rPr>
        <w:t>Evidence that all those things specified as being required to be done on or prior to the Fifth Amendment Effective Date in the Completion Memorandum have been done in accordance with the Completion Memorandum.</w:t>
      </w:r>
    </w:p>
    <w:p>
      <w:pPr>
        <w:spacing w:after="0" w:line="104" w:lineRule="exact"/>
        <w:rPr>
          <w:rFonts w:ascii="Arial" w:cs="Arial" w:eastAsia="Arial" w:hAnsi="Arial"/>
          <w:sz w:val="19"/>
          <w:szCs w:val="19"/>
          <w:color w:val="auto"/>
        </w:rPr>
      </w:pPr>
    </w:p>
    <w:p>
      <w:pPr>
        <w:ind w:left="1292" w:hanging="644"/>
        <w:spacing w:after="0"/>
        <w:tabs>
          <w:tab w:leader="none" w:pos="1292" w:val="left"/>
        </w:tabs>
        <w:numPr>
          <w:ilvl w:val="1"/>
          <w:numId w:val="78"/>
        </w:numPr>
        <w:rPr>
          <w:rFonts w:ascii="Arial" w:cs="Arial" w:eastAsia="Arial" w:hAnsi="Arial"/>
          <w:sz w:val="22"/>
          <w:szCs w:val="22"/>
          <w:color w:val="auto"/>
        </w:rPr>
      </w:pPr>
      <w:r>
        <w:rPr>
          <w:rFonts w:ascii="Arial" w:cs="Arial" w:eastAsia="Arial" w:hAnsi="Arial"/>
          <w:sz w:val="22"/>
          <w:szCs w:val="22"/>
          <w:color w:val="auto"/>
        </w:rPr>
        <w:t>Receipt by the Intercreditor Agent and the Term Facility Agent of the Completion Request.</w:t>
      </w:r>
    </w:p>
    <w:p>
      <w:pPr>
        <w:sectPr>
          <w:pgSz w:w="11900" w:h="16838" w:orient="portrait"/>
          <w:cols w:equalWidth="0" w:num="1">
            <w:col w:w="11412"/>
          </w:cols>
          <w:pgMar w:left="248" w:top="631" w:right="239" w:bottom="1440" w:gutter="0" w:footer="0" w:header="0"/>
        </w:sectPr>
      </w:pPr>
    </w:p>
    <w:bookmarkStart w:id="97" w:name="page98"/>
    <w:bookmarkEnd w:id="97"/>
    <w:p>
      <w:pPr>
        <w:ind w:left="644" w:hanging="644"/>
        <w:spacing w:after="0"/>
        <w:tabs>
          <w:tab w:leader="none" w:pos="6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Receipt by the Intercreditor Agent of a copy of:</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Pre-Amendment Global Transfer Agreement; and</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Post-Amendment Global Transfer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in each case, duly executed by the parties thereto.</w:t>
      </w:r>
    </w:p>
    <w:p>
      <w:pPr>
        <w:spacing w:after="0" w:line="220" w:lineRule="exact"/>
        <w:rPr>
          <w:sz w:val="20"/>
          <w:szCs w:val="20"/>
          <w:color w:val="auto"/>
        </w:rPr>
      </w:pPr>
    </w:p>
    <w:p>
      <w:pPr>
        <w:ind w:left="644" w:hanging="644"/>
        <w:spacing w:after="0"/>
        <w:tabs>
          <w:tab w:leader="none" w:pos="6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transfers and acquisitions referred to in the Pre-Amendment Global Transfer Agreement have been completed; and</w:t>
      </w:r>
    </w:p>
    <w:p>
      <w:pPr>
        <w:spacing w:after="0" w:line="174"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transfers and acquisitions referred to in the Post-Amendment Global Transfer Agreement will be completed on the Fifth Amendment Effective Date.</w:t>
      </w:r>
    </w:p>
    <w:p>
      <w:pPr>
        <w:spacing w:after="0" w:line="174"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copy of any other authorisation or other document, opinion or assurance which the Intercreditor Agent considers to be necessary or desirable (if it has notified the Company accordingly prior to the Fifth Amendment Effective Date) in connection with the entry into and performance of the transactions contemplated by any Senior Finance Document or for the validity and enforceability of any Senior Finance Document.</w:t>
      </w:r>
    </w:p>
    <w:p>
      <w:pPr>
        <w:spacing w:after="0" w:line="142"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valuation report by Jones Lang LaSalle Limited relating to the land and buildings comprised in the Site and the Cotai Site.</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Receipt by the Intercreditor Agent of a copy of the letter dated 8 September 2015 issued by the Macau SAR government in which the Macau SAR government has:</w:t>
      </w:r>
    </w:p>
    <w:p>
      <w:pPr>
        <w:spacing w:after="0" w:line="174" w:lineRule="exact"/>
        <w:rPr>
          <w:rFonts w:ascii="Arial" w:cs="Arial" w:eastAsia="Arial" w:hAnsi="Arial"/>
          <w:sz w:val="22"/>
          <w:szCs w:val="22"/>
          <w:color w:val="auto"/>
        </w:rPr>
      </w:pPr>
    </w:p>
    <w:p>
      <w:pPr>
        <w:jc w:val="both"/>
        <w:ind w:left="1304" w:hanging="655"/>
        <w:spacing w:after="0" w:line="312" w:lineRule="auto"/>
        <w:tabs>
          <w:tab w:leader="none" w:pos="1304" w:val="left"/>
        </w:tabs>
        <w:numPr>
          <w:ilvl w:val="1"/>
          <w:numId w:val="80"/>
        </w:numPr>
        <w:rPr>
          <w:rFonts w:ascii="Arial" w:cs="Arial" w:eastAsia="Arial" w:hAnsi="Arial"/>
          <w:sz w:val="19"/>
          <w:szCs w:val="19"/>
          <w:color w:val="auto"/>
        </w:rPr>
      </w:pPr>
      <w:r>
        <w:rPr>
          <w:rFonts w:ascii="Arial" w:cs="Arial" w:eastAsia="Arial" w:hAnsi="Arial"/>
          <w:sz w:val="19"/>
          <w:szCs w:val="19"/>
          <w:color w:val="auto"/>
        </w:rPr>
        <w:t>consented to the increase in the Company's financial indebtedness contemplated by the Senior Finance Documents (including, without limitation, as the same may be entered into, amended, consolidated, supplemented, novated or replaced on or about the Fifth Amendment Effective Date); and</w:t>
      </w:r>
    </w:p>
    <w:p>
      <w:pPr>
        <w:spacing w:after="0" w:line="133" w:lineRule="exact"/>
        <w:rPr>
          <w:rFonts w:ascii="Arial" w:cs="Arial" w:eastAsia="Arial" w:hAnsi="Arial"/>
          <w:sz w:val="19"/>
          <w:szCs w:val="19"/>
          <w:color w:val="auto"/>
        </w:rPr>
      </w:pPr>
    </w:p>
    <w:p>
      <w:pPr>
        <w:jc w:val="both"/>
        <w:ind w:left="1304" w:hanging="655"/>
        <w:spacing w:after="0" w:line="250" w:lineRule="auto"/>
        <w:tabs>
          <w:tab w:leader="none" w:pos="1304" w:val="left"/>
        </w:tabs>
        <w:numPr>
          <w:ilvl w:val="1"/>
          <w:numId w:val="80"/>
        </w:numPr>
        <w:rPr>
          <w:rFonts w:ascii="Arial" w:cs="Arial" w:eastAsia="Arial" w:hAnsi="Arial"/>
          <w:sz w:val="22"/>
          <w:szCs w:val="22"/>
          <w:color w:val="auto"/>
        </w:rPr>
      </w:pPr>
      <w:r>
        <w:rPr>
          <w:rFonts w:ascii="Arial" w:cs="Arial" w:eastAsia="Arial" w:hAnsi="Arial"/>
          <w:sz w:val="22"/>
          <w:szCs w:val="22"/>
          <w:color w:val="auto"/>
        </w:rPr>
        <w:t>confirmed that the Gaming Concession Consent Agreement and the Land Concession Consent Agreement (as amended, consolidated, supplemented, novated or replaced from time to time prior to the Fifth Amendment Effective Date) continue to apply with respect to at least USD2,500,000,000 (or equivalent) of such financial indebtedness.</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Revocation Power of Attorney.</w:t>
      </w:r>
    </w:p>
    <w:p>
      <w:pPr>
        <w:sectPr>
          <w:pgSz w:w="11900" w:h="16838" w:orient="portrait"/>
          <w:cols w:equalWidth="0" w:num="1">
            <w:col w:w="10764"/>
          </w:cols>
          <w:pgMar w:left="896" w:top="631" w:right="239" w:bottom="1440" w:gutter="0" w:footer="0" w:header="0"/>
        </w:sectPr>
      </w:pPr>
    </w:p>
    <w:bookmarkStart w:id="98" w:name="page99"/>
    <w:bookmarkEnd w:id="98"/>
    <w:p>
      <w:pPr>
        <w:ind w:left="378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AMENDED COMMON TERMS AGREEMENT</w:t>
      </w:r>
    </w:p>
    <w:p>
      <w:pPr>
        <w:spacing w:after="0" w:line="21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DATED 14 SEPTEMBER 2004</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WYNN RESORTS (MACAU) S.A.</w:t>
      </w:r>
    </w:p>
    <w:p>
      <w:pPr>
        <w:spacing w:after="0" w:line="2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the Company</w:t>
      </w:r>
    </w:p>
    <w:p>
      <w:pPr>
        <w:spacing w:after="0" w:line="19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CERTAIN FINANCIAL INSTITUTIONS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as Term Facility Lenders, Revolving Credit Facility Lenders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Hedging Counterparties</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CERTAIN FINANCIAL INSTITUTIONS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Mandated Lead Arrangers and Bookrunners, Mandated Lead Arrangers, Lead Arrangers and Arrangers</w:t>
      </w: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Term Facility Agent</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Revolving Credit Facility Agent</w:t>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Intercreditor Agent</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BANK OF CHINA LIMITED, MACAU BRANCH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270510</wp:posOffset>
            </wp:positionV>
            <wp:extent cx="15093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COMMON TERMS AGREEMENT</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(As amended by the Common Terms Agreement Amendment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14 September 2005,</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Common Terms Agreement Second Amendment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27 June 2007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Common Terms Agreement Third Amendment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8 September 2009</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Common Terms Agreement Fourth Amendment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31 July 2012</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 the Common Terms Agreement Fifth Amendment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133350</wp:posOffset>
            </wp:positionV>
            <wp:extent cx="15093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CONTENTS</w:t>
      </w:r>
    </w:p>
    <w:p>
      <w:pPr>
        <w:sectPr>
          <w:pgSz w:w="11900" w:h="16838" w:orient="portrait"/>
          <w:cols w:equalWidth="0" w:num="1">
            <w:col w:w="9160"/>
          </w:cols>
          <w:pgMar w:left="1380" w:top="625" w:right="1359" w:bottom="1440" w:gutter="0" w:footer="0" w:header="0"/>
        </w:sectPr>
      </w:pPr>
    </w:p>
    <w:bookmarkStart w:id="99" w:name="page100"/>
    <w:bookmarkEnd w:id="99"/>
    <w:p>
      <w:pPr>
        <w:ind w:left="20"/>
        <w:spacing w:after="0"/>
        <w:rPr>
          <w:sz w:val="20"/>
          <w:szCs w:val="20"/>
          <w:color w:val="auto"/>
        </w:rPr>
      </w:pPr>
      <w:r>
        <w:rPr>
          <w:rFonts w:ascii="Arial" w:cs="Arial" w:eastAsia="Arial" w:hAnsi="Arial"/>
          <w:sz w:val="22"/>
          <w:szCs w:val="22"/>
          <w:b w:val="1"/>
          <w:bCs w:val="1"/>
          <w:color w:val="auto"/>
        </w:rPr>
        <w:t>Clause</w:t>
      </w:r>
    </w:p>
    <w:p>
      <w:pPr>
        <w:spacing w:after="0" w:line="200" w:lineRule="exact"/>
        <w:rPr>
          <w:sz w:val="20"/>
          <w:szCs w:val="20"/>
          <w:color w:val="auto"/>
        </w:rPr>
      </w:pPr>
    </w:p>
    <w:p>
      <w:pPr>
        <w:spacing w:after="0" w:line="282" w:lineRule="exact"/>
        <w:rPr>
          <w:sz w:val="20"/>
          <w:szCs w:val="20"/>
          <w:color w:val="auto"/>
        </w:rPr>
      </w:pPr>
    </w:p>
    <w:p>
      <w:pPr>
        <w:ind w:left="240" w:hanging="225"/>
        <w:spacing w:after="0"/>
        <w:tabs>
          <w:tab w:leader="none" w:pos="24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Definitions And Interpretation</w:t>
      </w:r>
    </w:p>
    <w:p>
      <w:pPr>
        <w:spacing w:after="0" w:line="44" w:lineRule="exact"/>
        <w:rPr>
          <w:rFonts w:ascii="Arial" w:cs="Arial" w:eastAsia="Arial" w:hAnsi="Arial"/>
          <w:sz w:val="22"/>
          <w:szCs w:val="22"/>
          <w:u w:val="single" w:color="auto"/>
          <w:color w:val="0000EE"/>
        </w:rPr>
      </w:pPr>
    </w:p>
    <w:p>
      <w:pPr>
        <w:ind w:left="240" w:hanging="225"/>
        <w:spacing w:after="0"/>
        <w:tabs>
          <w:tab w:leader="none" w:pos="24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Conditions Precedent</w:t>
      </w:r>
    </w:p>
    <w:p>
      <w:pPr>
        <w:spacing w:after="0" w:line="44" w:lineRule="exact"/>
        <w:rPr>
          <w:rFonts w:ascii="Arial" w:cs="Arial" w:eastAsia="Arial" w:hAnsi="Arial"/>
          <w:sz w:val="22"/>
          <w:szCs w:val="22"/>
          <w:u w:val="single" w:color="auto"/>
          <w:color w:val="0000EE"/>
        </w:rPr>
      </w:pPr>
    </w:p>
    <w:p>
      <w:pPr>
        <w:ind w:left="240" w:hanging="225"/>
        <w:spacing w:after="0"/>
        <w:tabs>
          <w:tab w:leader="none" w:pos="24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Drawdown of Advances</w:t>
      </w:r>
    </w:p>
    <w:p>
      <w:pPr>
        <w:spacing w:after="0" w:line="44" w:lineRule="exact"/>
        <w:rPr>
          <w:rFonts w:ascii="Arial" w:cs="Arial" w:eastAsia="Arial" w:hAnsi="Arial"/>
          <w:sz w:val="22"/>
          <w:szCs w:val="22"/>
          <w:u w:val="single" w:color="auto"/>
          <w:color w:val="0000EE"/>
        </w:rPr>
      </w:pPr>
    </w:p>
    <w:p>
      <w:pPr>
        <w:ind w:left="220" w:hanging="205"/>
        <w:spacing w:after="0"/>
        <w:tabs>
          <w:tab w:leader="none" w:pos="22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Availability Periods</w:t>
      </w:r>
    </w:p>
    <w:p>
      <w:pPr>
        <w:spacing w:after="0" w:line="44" w:lineRule="exact"/>
        <w:rPr>
          <w:rFonts w:ascii="Arial" w:cs="Arial" w:eastAsia="Arial" w:hAnsi="Arial"/>
          <w:sz w:val="22"/>
          <w:szCs w:val="22"/>
          <w:u w:val="single" w:color="auto"/>
          <w:color w:val="0000EE"/>
        </w:rPr>
      </w:pPr>
    </w:p>
    <w:p>
      <w:pPr>
        <w:ind w:left="240" w:hanging="225"/>
        <w:spacing w:after="0"/>
        <w:tabs>
          <w:tab w:leader="none" w:pos="24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Purpose</w:t>
      </w:r>
    </w:p>
    <w:p>
      <w:pPr>
        <w:spacing w:after="0" w:line="44" w:lineRule="exact"/>
        <w:rPr>
          <w:rFonts w:ascii="Arial" w:cs="Arial" w:eastAsia="Arial" w:hAnsi="Arial"/>
          <w:sz w:val="22"/>
          <w:szCs w:val="22"/>
          <w:u w:val="single" w:color="auto"/>
          <w:color w:val="0000EE"/>
        </w:rPr>
      </w:pPr>
    </w:p>
    <w:p>
      <w:pPr>
        <w:ind w:left="240" w:hanging="225"/>
        <w:spacing w:after="0"/>
        <w:tabs>
          <w:tab w:leader="none" w:pos="240" w:val="left"/>
        </w:tabs>
        <w:numPr>
          <w:ilvl w:val="0"/>
          <w:numId w:val="81"/>
        </w:numPr>
        <w:rPr>
          <w:rFonts w:ascii="Arial" w:cs="Arial" w:eastAsia="Arial" w:hAnsi="Arial"/>
          <w:sz w:val="22"/>
          <w:szCs w:val="22"/>
          <w:u w:val="single" w:color="auto"/>
          <w:color w:val="0000EE"/>
        </w:rPr>
      </w:pPr>
      <w:r>
        <w:rPr>
          <w:rFonts w:ascii="Arial" w:cs="Arial" w:eastAsia="Arial" w:hAnsi="Arial"/>
          <w:sz w:val="22"/>
          <w:szCs w:val="22"/>
          <w:color w:val="0000FF"/>
        </w:rPr>
        <w:t>Pro Rata Drawings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-17780</wp:posOffset>
            </wp:positionV>
            <wp:extent cx="1078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8230" cy="8890"/>
                    </a:xfrm>
                    <a:prstGeom prst="rect">
                      <a:avLst/>
                    </a:prstGeom>
                    <a:noFill/>
                  </pic:spPr>
                </pic:pic>
              </a:graphicData>
            </a:graphic>
          </wp:anchor>
        </w:drawing>
      </w:r>
    </w:p>
    <w:p>
      <w:pPr>
        <w:spacing w:after="0" w:line="105" w:lineRule="exact"/>
        <w:rPr>
          <w:sz w:val="20"/>
          <w:szCs w:val="20"/>
          <w:color w:val="auto"/>
        </w:rPr>
      </w:pPr>
    </w:p>
    <w:p>
      <w:pPr>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7</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u w:val="single" w:color="auto"/>
          <w:color w:val="0000FF"/>
        </w:rPr>
        <w:t>[NOT USED]</w:t>
      </w:r>
    </w:p>
    <w:p>
      <w:pPr>
        <w:spacing w:after="0" w:line="44" w:lineRule="exact"/>
        <w:rPr>
          <w:sz w:val="20"/>
          <w:szCs w:val="20"/>
          <w:color w:val="auto"/>
        </w:rPr>
      </w:pPr>
    </w:p>
    <w:p>
      <w:pPr>
        <w:ind w:left="240" w:hanging="225"/>
        <w:spacing w:after="0"/>
        <w:tabs>
          <w:tab w:leader="none" w:pos="240" w:val="left"/>
        </w:tabs>
        <w:numPr>
          <w:ilvl w:val="0"/>
          <w:numId w:val="82"/>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Repayments, Prepayments And Cancellation</w:t>
      </w:r>
    </w:p>
    <w:p>
      <w:pPr>
        <w:spacing w:after="0" w:line="44" w:lineRule="exact"/>
        <w:rPr>
          <w:rFonts w:ascii="Arial" w:cs="Arial" w:eastAsia="Arial" w:hAnsi="Arial"/>
          <w:sz w:val="22"/>
          <w:szCs w:val="22"/>
          <w:u w:val="single" w:color="auto"/>
          <w:color w:val="0000EE"/>
        </w:rPr>
      </w:pPr>
    </w:p>
    <w:p>
      <w:pPr>
        <w:ind w:left="20"/>
        <w:spacing w:after="0"/>
        <w:rPr>
          <w:rFonts w:ascii="Arial" w:cs="Arial" w:eastAsia="Arial" w:hAnsi="Arial"/>
          <w:sz w:val="22"/>
          <w:szCs w:val="22"/>
          <w:u w:val="single" w:color="auto"/>
          <w:color w:val="0000EE"/>
        </w:rPr>
      </w:pPr>
      <w:hyperlink w:anchor="page165">
        <w:r>
          <w:rPr>
            <w:rFonts w:ascii="Arial" w:cs="Arial" w:eastAsia="Arial" w:hAnsi="Arial"/>
            <w:sz w:val="22"/>
            <w:szCs w:val="22"/>
            <w:u w:val="single" w:color="auto"/>
            <w:color w:val="0000EE"/>
          </w:rPr>
          <w:t>9.</w:t>
        </w:r>
      </w:hyperlink>
      <w:r>
        <w:rPr>
          <w:rFonts w:ascii="Arial" w:cs="Arial" w:eastAsia="Arial" w:hAnsi="Arial"/>
          <w:sz w:val="22"/>
          <w:szCs w:val="22"/>
          <w:u w:val="single" w:color="auto"/>
          <w:color w:val="0000FF"/>
        </w:rPr>
        <w:t>Interest,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Interest Periods And Default Interest</w:t>
      </w:r>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167">
        <w:r>
          <w:rPr>
            <w:rFonts w:ascii="Arial" w:cs="Arial" w:eastAsia="Arial" w:hAnsi="Arial"/>
            <w:sz w:val="22"/>
            <w:szCs w:val="22"/>
            <w:u w:val="single" w:color="auto"/>
            <w:color w:val="0000EE"/>
          </w:rPr>
          <w:t>10.</w:t>
        </w:r>
      </w:hyperlink>
      <w:r>
        <w:rPr>
          <w:rFonts w:ascii="Arial" w:cs="Arial" w:eastAsia="Arial" w:hAnsi="Arial"/>
          <w:sz w:val="22"/>
          <w:szCs w:val="22"/>
          <w:u w:val="single" w:color="auto"/>
          <w:color w:val="0000FF"/>
        </w:rPr>
        <w:t>Changes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To The Calculation Of Interest</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68">
        <w:r>
          <w:rPr>
            <w:rFonts w:ascii="Arial" w:cs="Arial" w:eastAsia="Arial" w:hAnsi="Arial"/>
            <w:sz w:val="22"/>
            <w:szCs w:val="22"/>
            <w:u w:val="single" w:color="auto"/>
            <w:color w:val="0000EE"/>
          </w:rPr>
          <w:t>11.</w:t>
        </w:r>
      </w:hyperlink>
      <w:r>
        <w:rPr>
          <w:rFonts w:ascii="Arial" w:cs="Arial" w:eastAsia="Arial" w:hAnsi="Arial"/>
          <w:sz w:val="22"/>
          <w:szCs w:val="22"/>
          <w:u w:val="single" w:color="auto"/>
          <w:color w:val="0000FF"/>
        </w:rPr>
        <w:t>Tax</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Gross Up And Indemnities</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69">
        <w:r>
          <w:rPr>
            <w:rFonts w:ascii="Arial" w:cs="Arial" w:eastAsia="Arial" w:hAnsi="Arial"/>
            <w:sz w:val="22"/>
            <w:szCs w:val="22"/>
            <w:u w:val="single" w:color="auto"/>
            <w:color w:val="0000EE"/>
          </w:rPr>
          <w:t>12.</w:t>
        </w:r>
      </w:hyperlink>
      <w:r>
        <w:rPr>
          <w:rFonts w:ascii="Arial" w:cs="Arial" w:eastAsia="Arial" w:hAnsi="Arial"/>
          <w:sz w:val="22"/>
          <w:szCs w:val="22"/>
          <w:u w:val="single" w:color="auto"/>
          <w:color w:val="0000FF"/>
        </w:rPr>
        <w:t>Increased</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Costs</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70">
        <w:r>
          <w:rPr>
            <w:rFonts w:ascii="Arial" w:cs="Arial" w:eastAsia="Arial" w:hAnsi="Arial"/>
            <w:sz w:val="22"/>
            <w:szCs w:val="22"/>
            <w:u w:val="single" w:color="auto"/>
            <w:color w:val="0000EE"/>
          </w:rPr>
          <w:t>13.</w:t>
        </w:r>
      </w:hyperlink>
      <w:r>
        <w:rPr>
          <w:rFonts w:ascii="Arial" w:cs="Arial" w:eastAsia="Arial" w:hAnsi="Arial"/>
          <w:sz w:val="22"/>
          <w:szCs w:val="22"/>
          <w:u w:val="single" w:color="auto"/>
          <w:color w:val="0000FF"/>
        </w:rPr>
        <w:t>Currency</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Other Indemnities</w:t>
      </w:r>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171">
        <w:r>
          <w:rPr>
            <w:rFonts w:ascii="Arial" w:cs="Arial" w:eastAsia="Arial" w:hAnsi="Arial"/>
            <w:sz w:val="22"/>
            <w:szCs w:val="22"/>
            <w:u w:val="single" w:color="auto"/>
            <w:color w:val="0000EE"/>
          </w:rPr>
          <w:t>14.</w:t>
        </w:r>
      </w:hyperlink>
      <w:r>
        <w:rPr>
          <w:rFonts w:ascii="Arial" w:cs="Arial" w:eastAsia="Arial" w:hAnsi="Arial"/>
          <w:sz w:val="22"/>
          <w:szCs w:val="22"/>
          <w:u w:val="single" w:color="auto"/>
          <w:color w:val="0000FF"/>
        </w:rPr>
        <w:t>Illegality</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71">
        <w:r>
          <w:rPr>
            <w:rFonts w:ascii="Arial" w:cs="Arial" w:eastAsia="Arial" w:hAnsi="Arial"/>
            <w:sz w:val="22"/>
            <w:szCs w:val="22"/>
            <w:u w:val="single" w:color="auto"/>
            <w:color w:val="0000EE"/>
          </w:rPr>
          <w:t>15.</w:t>
        </w:r>
      </w:hyperlink>
      <w:r>
        <w:rPr>
          <w:rFonts w:ascii="Arial" w:cs="Arial" w:eastAsia="Arial" w:hAnsi="Arial"/>
          <w:sz w:val="22"/>
          <w:szCs w:val="22"/>
          <w:u w:val="single" w:color="auto"/>
          <w:color w:val="0000FF"/>
        </w:rPr>
        <w:t>Mitigation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By The Senior Secured Creditors</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71">
        <w:r>
          <w:rPr>
            <w:rFonts w:ascii="Arial" w:cs="Arial" w:eastAsia="Arial" w:hAnsi="Arial"/>
            <w:sz w:val="22"/>
            <w:szCs w:val="22"/>
            <w:u w:val="single" w:color="auto"/>
            <w:color w:val="0000EE"/>
          </w:rPr>
          <w:t>16.</w:t>
        </w:r>
      </w:hyperlink>
      <w:r>
        <w:rPr>
          <w:rFonts w:ascii="Arial" w:cs="Arial" w:eastAsia="Arial" w:hAnsi="Arial"/>
          <w:sz w:val="22"/>
          <w:szCs w:val="22"/>
          <w:u w:val="single" w:color="auto"/>
          <w:color w:val="0000FF"/>
        </w:rPr>
        <w:t>Fees,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Costs And Expenses</w:t>
      </w:r>
    </w:p>
    <w:p>
      <w:pPr>
        <w:spacing w:after="0" w:line="125" w:lineRule="exact"/>
        <w:rPr>
          <w:sz w:val="20"/>
          <w:szCs w:val="20"/>
          <w:color w:val="auto"/>
        </w:rPr>
      </w:pPr>
    </w:p>
    <w:p>
      <w:pPr>
        <w:ind w:left="320" w:hanging="318"/>
        <w:spacing w:after="0"/>
        <w:tabs>
          <w:tab w:leader="none" w:pos="320" w:val="left"/>
        </w:tabs>
        <w:numPr>
          <w:ilvl w:val="0"/>
          <w:numId w:val="83"/>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Representations And Warranties</w:t>
      </w:r>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172">
        <w:r>
          <w:rPr>
            <w:rFonts w:ascii="Arial" w:cs="Arial" w:eastAsia="Arial" w:hAnsi="Arial"/>
            <w:sz w:val="22"/>
            <w:szCs w:val="22"/>
            <w:u w:val="single" w:color="auto"/>
            <w:color w:val="0000EE"/>
          </w:rPr>
          <w:t>18.</w:t>
        </w:r>
      </w:hyperlink>
      <w:r>
        <w:rPr>
          <w:rFonts w:ascii="Arial" w:cs="Arial" w:eastAsia="Arial" w:hAnsi="Arial"/>
          <w:sz w:val="22"/>
          <w:szCs w:val="22"/>
          <w:u w:val="single" w:color="auto"/>
          <w:color w:val="0000FF"/>
        </w:rPr>
        <w:t>Covenants</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73">
        <w:r>
          <w:rPr>
            <w:rFonts w:ascii="Arial" w:cs="Arial" w:eastAsia="Arial" w:hAnsi="Arial"/>
            <w:sz w:val="22"/>
            <w:szCs w:val="22"/>
            <w:u w:val="single" w:color="auto"/>
            <w:color w:val="0000EE"/>
          </w:rPr>
          <w:t>19.</w:t>
        </w:r>
      </w:hyperlink>
      <w:r>
        <w:rPr>
          <w:rFonts w:ascii="Arial" w:cs="Arial" w:eastAsia="Arial" w:hAnsi="Arial"/>
          <w:sz w:val="22"/>
          <w:szCs w:val="22"/>
          <w:u w:val="single" w:color="auto"/>
          <w:color w:val="0000FF"/>
        </w:rPr>
        <w:t>Events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Default</w:t>
      </w:r>
    </w:p>
    <w:p>
      <w:pPr>
        <w:spacing w:after="0" w:line="44" w:lineRule="exact"/>
        <w:rPr>
          <w:sz w:val="20"/>
          <w:szCs w:val="20"/>
          <w:color w:val="auto"/>
        </w:rPr>
      </w:pPr>
    </w:p>
    <w:p>
      <w:pPr>
        <w:ind w:left="20"/>
        <w:spacing w:after="0"/>
        <w:rPr>
          <w:rFonts w:ascii="Arial" w:cs="Arial" w:eastAsia="Arial" w:hAnsi="Arial"/>
          <w:sz w:val="22"/>
          <w:szCs w:val="22"/>
          <w:u w:val="single" w:color="auto"/>
          <w:color w:val="0000EE"/>
        </w:rPr>
      </w:pPr>
      <w:hyperlink w:anchor="page174">
        <w:r>
          <w:rPr>
            <w:rFonts w:ascii="Arial" w:cs="Arial" w:eastAsia="Arial" w:hAnsi="Arial"/>
            <w:sz w:val="22"/>
            <w:szCs w:val="22"/>
            <w:u w:val="single" w:color="auto"/>
            <w:color w:val="0000EE"/>
          </w:rPr>
          <w:t>20.</w:t>
        </w:r>
      </w:hyperlink>
      <w:r>
        <w:rPr>
          <w:rFonts w:ascii="Arial" w:cs="Arial" w:eastAsia="Arial" w:hAnsi="Arial"/>
          <w:sz w:val="22"/>
          <w:szCs w:val="22"/>
          <w:u w:val="single" w:color="auto"/>
          <w:color w:val="0000FF"/>
        </w:rPr>
        <w:t>Application</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Enforcement Proceeds</w:t>
      </w:r>
    </w:p>
    <w:p>
      <w:pPr>
        <w:spacing w:after="0" w:line="125" w:lineRule="exact"/>
        <w:rPr>
          <w:sz w:val="20"/>
          <w:szCs w:val="20"/>
          <w:color w:val="auto"/>
        </w:rPr>
      </w:pPr>
    </w:p>
    <w:p>
      <w:pPr>
        <w:jc w:val="both"/>
        <w:ind w:left="20" w:right="7799" w:hanging="18"/>
        <w:spacing w:after="0" w:line="326" w:lineRule="auto"/>
        <w:tabs>
          <w:tab w:leader="none" w:pos="331" w:val="left"/>
        </w:tabs>
        <w:numPr>
          <w:ilvl w:val="0"/>
          <w:numId w:val="84"/>
        </w:numPr>
        <w:rPr>
          <w:rFonts w:ascii="Arial" w:cs="Arial" w:eastAsia="Arial" w:hAnsi="Arial"/>
          <w:sz w:val="19"/>
          <w:szCs w:val="19"/>
          <w:u w:val="single" w:color="auto"/>
          <w:color w:val="0000EE"/>
        </w:rPr>
      </w:pPr>
      <w:r>
        <w:rPr>
          <w:rFonts w:ascii="Arial" w:cs="Arial" w:eastAsia="Arial" w:hAnsi="Arial"/>
          <w:sz w:val="19"/>
          <w:szCs w:val="19"/>
          <w:u w:val="single" w:color="auto"/>
          <w:color w:val="0000FF"/>
        </w:rPr>
        <w:t xml:space="preserve">Changes To The Parties </w:t>
      </w:r>
      <w:hyperlink w:anchor="page178">
        <w:r>
          <w:rPr>
            <w:rFonts w:ascii="Arial" w:cs="Arial" w:eastAsia="Arial" w:hAnsi="Arial"/>
            <w:sz w:val="19"/>
            <w:szCs w:val="19"/>
            <w:u w:val="single" w:color="auto"/>
            <w:color w:val="0000EE"/>
          </w:rPr>
          <w:t>22</w:t>
        </w:r>
      </w:hyperlink>
      <w:r>
        <w:rPr>
          <w:rFonts w:ascii="Arial" w:cs="Arial" w:eastAsia="Arial" w:hAnsi="Arial"/>
          <w:sz w:val="19"/>
          <w:szCs w:val="19"/>
          <w:u w:val="single" w:color="auto"/>
          <w:color w:val="0000FF"/>
        </w:rPr>
        <w:t>.</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Hedging Counterparties</w:t>
      </w:r>
    </w:p>
    <w:p>
      <w:pPr>
        <w:ind w:left="20"/>
        <w:spacing w:after="0"/>
        <w:rPr>
          <w:rFonts w:ascii="Arial" w:cs="Arial" w:eastAsia="Arial" w:hAnsi="Arial"/>
          <w:sz w:val="21"/>
          <w:szCs w:val="21"/>
          <w:u w:val="single" w:color="auto"/>
          <w:color w:val="0000EE"/>
        </w:rPr>
      </w:pPr>
      <w:hyperlink w:anchor="page179">
        <w:r>
          <w:rPr>
            <w:rFonts w:ascii="Arial" w:cs="Arial" w:eastAsia="Arial" w:hAnsi="Arial"/>
            <w:sz w:val="21"/>
            <w:szCs w:val="21"/>
            <w:u w:val="single" w:color="auto"/>
            <w:color w:val="0000EE"/>
          </w:rPr>
          <w:t>23.</w:t>
        </w:r>
      </w:hyperlink>
      <w:r>
        <w:rPr>
          <w:rFonts w:ascii="Arial" w:cs="Arial" w:eastAsia="Arial" w:hAnsi="Arial"/>
          <w:sz w:val="21"/>
          <w:szCs w:val="21"/>
          <w:u w:val="single" w:color="auto"/>
          <w:color w:val="0000FF"/>
        </w:rPr>
        <w:t>Agents</w:t>
      </w:r>
      <w:r>
        <w:rPr>
          <w:rFonts w:ascii="Arial" w:cs="Arial" w:eastAsia="Arial" w:hAnsi="Arial"/>
          <w:sz w:val="21"/>
          <w:szCs w:val="21"/>
          <w:u w:val="single" w:color="auto"/>
          <w:color w:val="0000EE"/>
        </w:rPr>
        <w:t xml:space="preserve"> </w:t>
      </w:r>
      <w:r>
        <w:rPr>
          <w:rFonts w:ascii="Arial" w:cs="Arial" w:eastAsia="Arial" w:hAnsi="Arial"/>
          <w:sz w:val="21"/>
          <w:szCs w:val="21"/>
          <w:u w:val="single" w:color="auto"/>
          <w:color w:val="0000FF"/>
        </w:rPr>
        <w:t>And Global Coordinating Lead Arrangers</w:t>
      </w:r>
    </w:p>
    <w:p>
      <w:pPr>
        <w:spacing w:after="0" w:line="137" w:lineRule="exact"/>
        <w:rPr>
          <w:rFonts w:ascii="Arial" w:cs="Arial" w:eastAsia="Arial" w:hAnsi="Arial"/>
          <w:sz w:val="19"/>
          <w:szCs w:val="19"/>
          <w:u w:val="single" w:color="auto"/>
          <w:color w:val="0000EE"/>
        </w:rPr>
      </w:pPr>
    </w:p>
    <w:p>
      <w:pPr>
        <w:spacing w:after="0"/>
        <w:rPr>
          <w:rFonts w:ascii="Arial" w:cs="Arial" w:eastAsia="Arial" w:hAnsi="Arial"/>
          <w:sz w:val="19"/>
          <w:szCs w:val="19"/>
          <w:u w:val="single" w:color="auto"/>
          <w:color w:val="0000EE"/>
        </w:rPr>
      </w:pPr>
      <w:hyperlink w:anchor="page183">
        <w:r>
          <w:rPr>
            <w:rFonts w:ascii="Arial" w:cs="Arial" w:eastAsia="Arial" w:hAnsi="Arial"/>
            <w:sz w:val="19"/>
            <w:szCs w:val="19"/>
            <w:u w:val="single" w:color="auto"/>
            <w:color w:val="0000EE"/>
          </w:rPr>
          <w:t>24.</w:t>
        </w:r>
      </w:hyperlink>
      <w:r>
        <w:rPr>
          <w:rFonts w:ascii="Arial" w:cs="Arial" w:eastAsia="Arial" w:hAnsi="Arial"/>
          <w:sz w:val="19"/>
          <w:szCs w:val="19"/>
          <w:u w:val="single" w:color="auto"/>
          <w:color w:val="0000FF"/>
        </w:rPr>
        <w:t>Conduct</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Of Business By The Senior Secured Creditors</w:t>
      </w:r>
    </w:p>
    <w:p>
      <w:pPr>
        <w:spacing w:after="0" w:line="160" w:lineRule="exact"/>
        <w:rPr>
          <w:rFonts w:ascii="Arial" w:cs="Arial" w:eastAsia="Arial" w:hAnsi="Arial"/>
          <w:sz w:val="19"/>
          <w:szCs w:val="19"/>
          <w:u w:val="single" w:color="auto"/>
          <w:color w:val="0000EE"/>
        </w:rPr>
      </w:pPr>
    </w:p>
    <w:p>
      <w:pPr>
        <w:ind w:left="320" w:hanging="318"/>
        <w:spacing w:after="0"/>
        <w:tabs>
          <w:tab w:leader="none" w:pos="320" w:val="left"/>
        </w:tabs>
        <w:numPr>
          <w:ilvl w:val="0"/>
          <w:numId w:val="85"/>
        </w:numPr>
        <w:rPr>
          <w:rFonts w:ascii="Arial" w:cs="Arial" w:eastAsia="Arial" w:hAnsi="Arial"/>
          <w:sz w:val="22"/>
          <w:szCs w:val="22"/>
          <w:u w:val="single" w:color="auto"/>
          <w:color w:val="0000EE"/>
        </w:rPr>
      </w:pPr>
      <w:r>
        <w:rPr>
          <w:rFonts w:ascii="Arial" w:cs="Arial" w:eastAsia="Arial" w:hAnsi="Arial"/>
          <w:sz w:val="22"/>
          <w:szCs w:val="22"/>
          <w:u w:val="single" w:color="auto"/>
          <w:color w:val="0000FF"/>
        </w:rPr>
        <w:t>Sharing Among The Senior Secured Creditors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84">
        <w:r>
          <w:rPr>
            <w:rFonts w:ascii="Arial" w:cs="Arial" w:eastAsia="Arial" w:hAnsi="Arial"/>
            <w:sz w:val="22"/>
            <w:szCs w:val="22"/>
            <w:u w:val="single" w:color="auto"/>
            <w:color w:val="0000EE"/>
          </w:rPr>
          <w:t>26.</w:t>
        </w:r>
      </w:hyperlink>
      <w:r>
        <w:rPr>
          <w:rFonts w:ascii="Arial" w:cs="Arial" w:eastAsia="Arial" w:hAnsi="Arial"/>
          <w:sz w:val="22"/>
          <w:szCs w:val="22"/>
          <w:u w:val="single" w:color="auto"/>
          <w:color w:val="0000FF"/>
        </w:rPr>
        <w:t>Payment</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Mechanics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86">
        <w:r>
          <w:rPr>
            <w:rFonts w:ascii="Arial" w:cs="Arial" w:eastAsia="Arial" w:hAnsi="Arial"/>
            <w:sz w:val="22"/>
            <w:szCs w:val="22"/>
            <w:u w:val="single" w:color="auto"/>
            <w:color w:val="0000EE"/>
          </w:rPr>
          <w:t>27.</w:t>
        </w:r>
      </w:hyperlink>
      <w:r>
        <w:rPr>
          <w:rFonts w:ascii="Arial" w:cs="Arial" w:eastAsia="Arial" w:hAnsi="Arial"/>
          <w:sz w:val="22"/>
          <w:szCs w:val="22"/>
          <w:u w:val="single" w:color="auto"/>
          <w:color w:val="0000FF"/>
        </w:rPr>
        <w:t>Set-Off</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86">
        <w:r>
          <w:rPr>
            <w:rFonts w:ascii="Arial" w:cs="Arial" w:eastAsia="Arial" w:hAnsi="Arial"/>
            <w:sz w:val="22"/>
            <w:szCs w:val="22"/>
            <w:u w:val="single" w:color="auto"/>
            <w:color w:val="0000EE"/>
          </w:rPr>
          <w:t>28.</w:t>
        </w:r>
      </w:hyperlink>
      <w:r>
        <w:rPr>
          <w:rFonts w:ascii="Arial" w:cs="Arial" w:eastAsia="Arial" w:hAnsi="Arial"/>
          <w:sz w:val="22"/>
          <w:szCs w:val="22"/>
          <w:u w:val="single" w:color="auto"/>
          <w:color w:val="0000FF"/>
        </w:rPr>
        <w:t>Non-Recourse Liability</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86">
        <w:r>
          <w:rPr>
            <w:rFonts w:ascii="Arial" w:cs="Arial" w:eastAsia="Arial" w:hAnsi="Arial"/>
            <w:sz w:val="22"/>
            <w:szCs w:val="22"/>
            <w:u w:val="single" w:color="auto"/>
            <w:color w:val="0000EE"/>
          </w:rPr>
          <w:t>29.</w:t>
        </w:r>
      </w:hyperlink>
      <w:r>
        <w:rPr>
          <w:rFonts w:ascii="Arial" w:cs="Arial" w:eastAsia="Arial" w:hAnsi="Arial"/>
          <w:sz w:val="22"/>
          <w:szCs w:val="22"/>
          <w:u w:val="single" w:color="auto"/>
          <w:color w:val="0000FF"/>
        </w:rPr>
        <w:t>Notices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0">
        <w:r>
          <w:rPr>
            <w:rFonts w:ascii="Arial" w:cs="Arial" w:eastAsia="Arial" w:hAnsi="Arial"/>
            <w:sz w:val="22"/>
            <w:szCs w:val="22"/>
            <w:u w:val="single" w:color="auto"/>
            <w:color w:val="0000EE"/>
          </w:rPr>
          <w:t>30.</w:t>
        </w:r>
      </w:hyperlink>
      <w:r>
        <w:rPr>
          <w:rFonts w:ascii="Arial" w:cs="Arial" w:eastAsia="Arial" w:hAnsi="Arial"/>
          <w:sz w:val="22"/>
          <w:szCs w:val="22"/>
          <w:u w:val="single" w:color="auto"/>
          <w:color w:val="0000FF"/>
        </w:rPr>
        <w:t>Calculations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Certificates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0">
        <w:r>
          <w:rPr>
            <w:rFonts w:ascii="Arial" w:cs="Arial" w:eastAsia="Arial" w:hAnsi="Arial"/>
            <w:sz w:val="22"/>
            <w:szCs w:val="22"/>
            <w:u w:val="single" w:color="auto"/>
            <w:color w:val="0000EE"/>
          </w:rPr>
          <w:t>31.</w:t>
        </w:r>
      </w:hyperlink>
      <w:r>
        <w:rPr>
          <w:rFonts w:ascii="Arial" w:cs="Arial" w:eastAsia="Arial" w:hAnsi="Arial"/>
          <w:sz w:val="22"/>
          <w:szCs w:val="22"/>
          <w:u w:val="single" w:color="auto"/>
          <w:color w:val="0000FF"/>
        </w:rPr>
        <w:t>Partial</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Invalidity</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0">
        <w:r>
          <w:rPr>
            <w:rFonts w:ascii="Arial" w:cs="Arial" w:eastAsia="Arial" w:hAnsi="Arial"/>
            <w:sz w:val="22"/>
            <w:szCs w:val="22"/>
            <w:u w:val="single" w:color="auto"/>
            <w:color w:val="0000EE"/>
          </w:rPr>
          <w:t>32.</w:t>
        </w:r>
      </w:hyperlink>
      <w:r>
        <w:rPr>
          <w:rFonts w:ascii="Arial" w:cs="Arial" w:eastAsia="Arial" w:hAnsi="Arial"/>
          <w:sz w:val="22"/>
          <w:szCs w:val="22"/>
          <w:u w:val="single" w:color="auto"/>
          <w:color w:val="0000FF"/>
        </w:rPr>
        <w:t>Remedies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Waivers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0">
        <w:r>
          <w:rPr>
            <w:rFonts w:ascii="Arial" w:cs="Arial" w:eastAsia="Arial" w:hAnsi="Arial"/>
            <w:sz w:val="22"/>
            <w:szCs w:val="22"/>
            <w:u w:val="single" w:color="auto"/>
            <w:color w:val="0000EE"/>
          </w:rPr>
          <w:t>33.</w:t>
        </w:r>
      </w:hyperlink>
      <w:r>
        <w:rPr>
          <w:rFonts w:ascii="Arial" w:cs="Arial" w:eastAsia="Arial" w:hAnsi="Arial"/>
          <w:sz w:val="22"/>
          <w:szCs w:val="22"/>
          <w:u w:val="single" w:color="auto"/>
          <w:color w:val="0000FF"/>
        </w:rPr>
        <w:t>Intercreditor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Arrangements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2">
        <w:r>
          <w:rPr>
            <w:rFonts w:ascii="Arial" w:cs="Arial" w:eastAsia="Arial" w:hAnsi="Arial"/>
            <w:sz w:val="22"/>
            <w:szCs w:val="22"/>
            <w:u w:val="single" w:color="auto"/>
            <w:color w:val="0000EE"/>
          </w:rPr>
          <w:t>34.</w:t>
        </w:r>
      </w:hyperlink>
      <w:r>
        <w:rPr>
          <w:rFonts w:ascii="Arial" w:cs="Arial" w:eastAsia="Arial" w:hAnsi="Arial"/>
          <w:sz w:val="22"/>
          <w:szCs w:val="22"/>
          <w:u w:val="single" w:color="auto"/>
          <w:color w:val="0000FF"/>
        </w:rPr>
        <w:t>Amendments</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And Waivers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3">
        <w:r>
          <w:rPr>
            <w:rFonts w:ascii="Arial" w:cs="Arial" w:eastAsia="Arial" w:hAnsi="Arial"/>
            <w:sz w:val="22"/>
            <w:szCs w:val="22"/>
            <w:u w:val="single" w:color="auto"/>
            <w:color w:val="0000EE"/>
          </w:rPr>
          <w:t>35.</w:t>
        </w:r>
      </w:hyperlink>
      <w:r>
        <w:rPr>
          <w:rFonts w:ascii="Arial" w:cs="Arial" w:eastAsia="Arial" w:hAnsi="Arial"/>
          <w:sz w:val="22"/>
          <w:szCs w:val="22"/>
          <w:u w:val="single" w:color="auto"/>
          <w:color w:val="0000FF"/>
        </w:rPr>
        <w:t>Counterparts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3">
        <w:r>
          <w:rPr>
            <w:rFonts w:ascii="Arial" w:cs="Arial" w:eastAsia="Arial" w:hAnsi="Arial"/>
            <w:sz w:val="22"/>
            <w:szCs w:val="22"/>
            <w:u w:val="single" w:color="auto"/>
            <w:color w:val="0000EE"/>
          </w:rPr>
          <w:t>36.</w:t>
        </w:r>
      </w:hyperlink>
      <w:r>
        <w:rPr>
          <w:rFonts w:ascii="Arial" w:cs="Arial" w:eastAsia="Arial" w:hAnsi="Arial"/>
          <w:sz w:val="22"/>
          <w:szCs w:val="22"/>
          <w:u w:val="single" w:color="auto"/>
          <w:color w:val="0000FF"/>
        </w:rPr>
        <w:t>Language</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4">
        <w:r>
          <w:rPr>
            <w:rFonts w:ascii="Arial" w:cs="Arial" w:eastAsia="Arial" w:hAnsi="Arial"/>
            <w:sz w:val="22"/>
            <w:szCs w:val="22"/>
            <w:u w:val="single" w:color="auto"/>
            <w:color w:val="0000EE"/>
          </w:rPr>
          <w:t>37.</w:t>
        </w:r>
      </w:hyperlink>
      <w:r>
        <w:rPr>
          <w:rFonts w:ascii="Arial" w:cs="Arial" w:eastAsia="Arial" w:hAnsi="Arial"/>
          <w:sz w:val="22"/>
          <w:szCs w:val="22"/>
          <w:u w:val="single" w:color="auto"/>
          <w:color w:val="0000FF"/>
        </w:rPr>
        <w:t>Governing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Law</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4">
        <w:r>
          <w:rPr>
            <w:rFonts w:ascii="Arial" w:cs="Arial" w:eastAsia="Arial" w:hAnsi="Arial"/>
            <w:sz w:val="22"/>
            <w:szCs w:val="22"/>
            <w:u w:val="single" w:color="auto"/>
            <w:color w:val="0000EE"/>
          </w:rPr>
          <w:t>38.</w:t>
        </w:r>
      </w:hyperlink>
      <w:r>
        <w:rPr>
          <w:rFonts w:ascii="Arial" w:cs="Arial" w:eastAsia="Arial" w:hAnsi="Arial"/>
          <w:sz w:val="22"/>
          <w:szCs w:val="22"/>
          <w:u w:val="single" w:color="auto"/>
          <w:color w:val="0000FF"/>
        </w:rPr>
        <w:t>Jurisdiction</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4">
        <w:r>
          <w:rPr>
            <w:rFonts w:ascii="Arial" w:cs="Arial" w:eastAsia="Arial" w:hAnsi="Arial"/>
            <w:sz w:val="22"/>
            <w:szCs w:val="22"/>
            <w:u w:val="single" w:color="auto"/>
            <w:color w:val="0000EE"/>
          </w:rPr>
          <w:t>39.</w:t>
        </w:r>
      </w:hyperlink>
      <w:r>
        <w:rPr>
          <w:rFonts w:ascii="Arial" w:cs="Arial" w:eastAsia="Arial" w:hAnsi="Arial"/>
          <w:sz w:val="22"/>
          <w:szCs w:val="22"/>
          <w:u w:val="single" w:color="auto"/>
          <w:color w:val="0000FF"/>
        </w:rPr>
        <w:t>Confidentiality</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5">
        <w:r>
          <w:rPr>
            <w:rFonts w:ascii="Arial" w:cs="Arial" w:eastAsia="Arial" w:hAnsi="Arial"/>
            <w:sz w:val="22"/>
            <w:szCs w:val="22"/>
            <w:u w:val="single" w:color="auto"/>
            <w:color w:val="0000EE"/>
          </w:rPr>
          <w:t>40.</w:t>
        </w:r>
      </w:hyperlink>
      <w:r>
        <w:rPr>
          <w:rFonts w:ascii="Arial" w:cs="Arial" w:eastAsia="Arial" w:hAnsi="Arial"/>
          <w:sz w:val="22"/>
          <w:szCs w:val="22"/>
          <w:u w:val="single" w:color="auto"/>
          <w:color w:val="0000FF"/>
        </w:rPr>
        <w:t>Gaming</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Authorities</w:t>
      </w:r>
    </w:p>
    <w:p>
      <w:pPr>
        <w:spacing w:after="0" w:line="12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195">
        <w:r>
          <w:rPr>
            <w:rFonts w:ascii="Arial" w:cs="Arial" w:eastAsia="Arial" w:hAnsi="Arial"/>
            <w:sz w:val="22"/>
            <w:szCs w:val="22"/>
            <w:u w:val="single" w:color="auto"/>
            <w:color w:val="0000EE"/>
          </w:rPr>
          <w:t>41.</w:t>
        </w:r>
      </w:hyperlink>
      <w:r>
        <w:rPr>
          <w:rFonts w:ascii="Arial" w:cs="Arial" w:eastAsia="Arial" w:hAnsi="Arial"/>
          <w:sz w:val="22"/>
          <w:szCs w:val="22"/>
          <w:u w:val="single" w:color="auto"/>
          <w:color w:val="0000FF"/>
        </w:rPr>
        <w:t>Waiver</w:t>
      </w:r>
      <w:r>
        <w:rPr>
          <w:rFonts w:ascii="Arial" w:cs="Arial" w:eastAsia="Arial" w:hAnsi="Arial"/>
          <w:sz w:val="22"/>
          <w:szCs w:val="22"/>
          <w:u w:val="single" w:color="auto"/>
          <w:color w:val="0000EE"/>
        </w:rPr>
        <w:t xml:space="preserve"> </w:t>
      </w:r>
      <w:r>
        <w:rPr>
          <w:rFonts w:ascii="Arial" w:cs="Arial" w:eastAsia="Arial" w:hAnsi="Arial"/>
          <w:sz w:val="22"/>
          <w:szCs w:val="22"/>
          <w:u w:val="single" w:color="auto"/>
          <w:color w:val="0000FF"/>
        </w:rPr>
        <w:t>of Immunity</w:t>
      </w:r>
    </w:p>
    <w:p>
      <w:pPr>
        <w:spacing w:after="0" w:line="125" w:lineRule="exact"/>
        <w:rPr>
          <w:rFonts w:ascii="Arial" w:cs="Arial" w:eastAsia="Arial" w:hAnsi="Arial"/>
          <w:sz w:val="22"/>
          <w:szCs w:val="22"/>
          <w:u w:val="single" w:color="auto"/>
          <w:color w:val="0000EE"/>
        </w:rPr>
      </w:pPr>
    </w:p>
    <w:p>
      <w:pPr>
        <w:ind w:right="5619"/>
        <w:spacing w:after="0" w:line="408" w:lineRule="auto"/>
        <w:rPr>
          <w:rFonts w:ascii="Arial" w:cs="Arial" w:eastAsia="Arial" w:hAnsi="Arial"/>
          <w:sz w:val="21"/>
          <w:szCs w:val="21"/>
          <w:u w:val="single" w:color="auto"/>
          <w:color w:val="0000EE"/>
        </w:rPr>
      </w:pPr>
      <w:hyperlink w:anchor="page195">
        <w:r>
          <w:rPr>
            <w:rFonts w:ascii="Arial" w:cs="Arial" w:eastAsia="Arial" w:hAnsi="Arial"/>
            <w:sz w:val="21"/>
            <w:szCs w:val="21"/>
            <w:u w:val="single" w:color="auto"/>
            <w:color w:val="0000EE"/>
          </w:rPr>
          <w:t>Schedule 1 The Lenders and Hedging Counterparties</w:t>
        </w:r>
      </w:hyperlink>
      <w:r>
        <w:rPr>
          <w:rFonts w:ascii="Arial" w:cs="Arial" w:eastAsia="Arial" w:hAnsi="Arial"/>
          <w:sz w:val="21"/>
          <w:szCs w:val="21"/>
          <w:u w:val="single" w:color="auto"/>
          <w:color w:val="0000EE"/>
        </w:rPr>
        <w:t xml:space="preserve"> </w:t>
      </w:r>
      <w:hyperlink w:anchor="page195">
        <w:r>
          <w:rPr>
            <w:rFonts w:ascii="Arial" w:cs="Arial" w:eastAsia="Arial" w:hAnsi="Arial"/>
            <w:sz w:val="21"/>
            <w:szCs w:val="21"/>
            <w:u w:val="single" w:color="auto"/>
            <w:color w:val="0000EE"/>
          </w:rPr>
          <w:t>Schedule 2 Conditions Precedent</w:t>
        </w:r>
      </w:hyperlink>
    </w:p>
    <w:p>
      <w:pPr>
        <w:sectPr>
          <w:pgSz w:w="11900" w:h="16838" w:orient="portrait"/>
          <w:cols w:equalWidth="0" w:num="1">
            <w:col w:w="10199"/>
          </w:cols>
          <w:pgMar w:left="260" w:top="774" w:right="1440" w:bottom="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199">
        <w:r>
          <w:rPr>
            <w:rFonts w:ascii="Arial" w:cs="Arial" w:eastAsia="Arial" w:hAnsi="Arial"/>
            <w:sz w:val="22"/>
            <w:szCs w:val="22"/>
            <w:u w:val="single" w:color="auto"/>
            <w:color w:val="0000EE"/>
          </w:rPr>
          <w:t>Schedule 3 Form of Advance Request</w:t>
        </w:r>
      </w:hyperlink>
    </w:p>
    <w:p>
      <w:pPr>
        <w:spacing w:after="0" w:line="126" w:lineRule="exact"/>
        <w:rPr>
          <w:sz w:val="20"/>
          <w:szCs w:val="20"/>
          <w:color w:val="auto"/>
        </w:rPr>
      </w:pPr>
    </w:p>
    <w:p>
      <w:pPr>
        <w:spacing w:after="0"/>
        <w:rPr>
          <w:rFonts w:ascii="Arial" w:cs="Arial" w:eastAsia="Arial" w:hAnsi="Arial"/>
          <w:sz w:val="19"/>
          <w:szCs w:val="19"/>
          <w:u w:val="single" w:color="auto"/>
          <w:color w:val="0000EE"/>
        </w:rPr>
      </w:pPr>
      <w:hyperlink w:anchor="page200">
        <w:r>
          <w:rPr>
            <w:rFonts w:ascii="Arial" w:cs="Arial" w:eastAsia="Arial" w:hAnsi="Arial"/>
            <w:sz w:val="19"/>
            <w:szCs w:val="19"/>
            <w:u w:val="single" w:color="auto"/>
            <w:color w:val="0000EE"/>
          </w:rPr>
          <w:t>Schedule 4 Representations and Warranties</w:t>
        </w:r>
      </w:hyperlink>
    </w:p>
    <w:p>
      <w:pPr>
        <w:sectPr>
          <w:pgSz w:w="11900" w:h="16838" w:orient="portrait"/>
          <w:cols w:equalWidth="0" w:num="1">
            <w:col w:w="10199"/>
          </w:cols>
          <w:pgMar w:left="260" w:top="118" w:right="1440"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206">
        <w:r>
          <w:rPr>
            <w:rFonts w:ascii="Arial" w:cs="Arial" w:eastAsia="Arial" w:hAnsi="Arial"/>
            <w:sz w:val="22"/>
            <w:szCs w:val="22"/>
            <w:u w:val="single" w:color="auto"/>
            <w:color w:val="0000EE"/>
          </w:rPr>
          <w:t>Schedule 5 Covenants</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26">
        <w:r>
          <w:rPr>
            <w:rFonts w:ascii="Arial" w:cs="Arial" w:eastAsia="Arial" w:hAnsi="Arial"/>
            <w:sz w:val="22"/>
            <w:szCs w:val="22"/>
            <w:u w:val="single" w:color="auto"/>
            <w:color w:val="0000EE"/>
          </w:rPr>
          <w:t>Schedule 6 Accounts</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31">
        <w:r>
          <w:rPr>
            <w:rFonts w:ascii="Arial" w:cs="Arial" w:eastAsia="Arial" w:hAnsi="Arial"/>
            <w:sz w:val="22"/>
            <w:szCs w:val="22"/>
            <w:u w:val="single" w:color="auto"/>
            <w:color w:val="0000EE"/>
          </w:rPr>
          <w:t>Schedule 7 Insurance</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31">
        <w:r>
          <w:rPr>
            <w:rFonts w:ascii="Arial" w:cs="Arial" w:eastAsia="Arial" w:hAnsi="Arial"/>
            <w:sz w:val="22"/>
            <w:szCs w:val="22"/>
            <w:u w:val="single" w:color="auto"/>
            <w:color w:val="0000EE"/>
          </w:rPr>
          <w:t>Schedule 8 Hedging Arrangements</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33">
        <w:r>
          <w:rPr>
            <w:rFonts w:ascii="Arial" w:cs="Arial" w:eastAsia="Arial" w:hAnsi="Arial"/>
            <w:sz w:val="22"/>
            <w:szCs w:val="22"/>
            <w:u w:val="single" w:color="auto"/>
            <w:color w:val="0000EE"/>
          </w:rPr>
          <w:t>Schedule 9 Mandatory Prepayment</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35">
        <w:r>
          <w:rPr>
            <w:rFonts w:ascii="Arial" w:cs="Arial" w:eastAsia="Arial" w:hAnsi="Arial"/>
            <w:sz w:val="22"/>
            <w:szCs w:val="22"/>
            <w:u w:val="single" w:color="auto"/>
            <w:color w:val="0000EE"/>
          </w:rPr>
          <w:t>Schedule 10 Events of Default</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39">
        <w:r>
          <w:rPr>
            <w:rFonts w:ascii="Arial" w:cs="Arial" w:eastAsia="Arial" w:hAnsi="Arial"/>
            <w:sz w:val="22"/>
            <w:szCs w:val="22"/>
            <w:u w:val="single" w:color="auto"/>
            <w:color w:val="0000EE"/>
          </w:rPr>
          <w:t>Schedule 11 Transfers and Accession</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49">
        <w:r>
          <w:rPr>
            <w:rFonts w:ascii="Arial" w:cs="Arial" w:eastAsia="Arial" w:hAnsi="Arial"/>
            <w:sz w:val="22"/>
            <w:szCs w:val="22"/>
            <w:u w:val="single" w:color="auto"/>
            <w:color w:val="0000EE"/>
          </w:rPr>
          <w:t>Schedule 12 [NOT USED]</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49">
        <w:r>
          <w:rPr>
            <w:rFonts w:ascii="Arial" w:cs="Arial" w:eastAsia="Arial" w:hAnsi="Arial"/>
            <w:sz w:val="22"/>
            <w:szCs w:val="22"/>
            <w:u w:val="single" w:color="auto"/>
            <w:color w:val="0000EE"/>
          </w:rPr>
          <w:t>Schedule 13 [NOT USED]</w:t>
        </w:r>
      </w:hyperlink>
    </w:p>
    <w:p>
      <w:pPr>
        <w:spacing w:after="0" w:line="125" w:lineRule="exact"/>
        <w:rPr>
          <w:sz w:val="20"/>
          <w:szCs w:val="20"/>
          <w:color w:val="auto"/>
        </w:rPr>
      </w:pPr>
    </w:p>
    <w:p>
      <w:pPr>
        <w:spacing w:after="0"/>
        <w:rPr>
          <w:rFonts w:ascii="Arial" w:cs="Arial" w:eastAsia="Arial" w:hAnsi="Arial"/>
          <w:sz w:val="19"/>
          <w:szCs w:val="19"/>
          <w:u w:val="single" w:color="auto"/>
          <w:color w:val="0000EE"/>
        </w:rPr>
      </w:pPr>
      <w:hyperlink w:anchor="page249">
        <w:r>
          <w:rPr>
            <w:rFonts w:ascii="Arial" w:cs="Arial" w:eastAsia="Arial" w:hAnsi="Arial"/>
            <w:sz w:val="19"/>
            <w:szCs w:val="19"/>
            <w:u w:val="single" w:color="auto"/>
            <w:color w:val="0000EE"/>
          </w:rPr>
          <w:t>Schedule 14 Form of Additional Lender's Accession Deed</w:t>
        </w:r>
      </w:hyperlink>
    </w:p>
    <w:p>
      <w:pPr>
        <w:spacing w:after="0" w:line="160" w:lineRule="exact"/>
        <w:rPr>
          <w:sz w:val="20"/>
          <w:szCs w:val="20"/>
          <w:color w:val="auto"/>
        </w:rPr>
      </w:pPr>
    </w:p>
    <w:p>
      <w:pPr>
        <w:spacing w:after="0"/>
        <w:rPr>
          <w:rFonts w:ascii="Arial" w:cs="Arial" w:eastAsia="Arial" w:hAnsi="Arial"/>
          <w:sz w:val="22"/>
          <w:szCs w:val="22"/>
          <w:u w:val="single" w:color="auto"/>
          <w:color w:val="0000EE"/>
        </w:rPr>
      </w:pPr>
      <w:hyperlink w:anchor="page249">
        <w:r>
          <w:rPr>
            <w:rFonts w:ascii="Arial" w:cs="Arial" w:eastAsia="Arial" w:hAnsi="Arial"/>
            <w:sz w:val="22"/>
            <w:szCs w:val="22"/>
            <w:u w:val="single" w:color="auto"/>
            <w:color w:val="0000EE"/>
          </w:rPr>
          <w:t>Schedule 15 Form of Compliance Certificate</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50">
        <w:r>
          <w:rPr>
            <w:rFonts w:ascii="Arial" w:cs="Arial" w:eastAsia="Arial" w:hAnsi="Arial"/>
            <w:sz w:val="22"/>
            <w:szCs w:val="22"/>
            <w:u w:val="single" w:color="auto"/>
            <w:color w:val="0000EE"/>
          </w:rPr>
          <w:t>Schedule 16 [NOT USED]</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50">
        <w:r>
          <w:rPr>
            <w:rFonts w:ascii="Arial" w:cs="Arial" w:eastAsia="Arial" w:hAnsi="Arial"/>
            <w:sz w:val="22"/>
            <w:szCs w:val="22"/>
            <w:u w:val="single" w:color="auto"/>
            <w:color w:val="0000EE"/>
          </w:rPr>
          <w:t>Schedule 17 [NOT USED]</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50">
        <w:r>
          <w:rPr>
            <w:rFonts w:ascii="Arial" w:cs="Arial" w:eastAsia="Arial" w:hAnsi="Arial"/>
            <w:sz w:val="22"/>
            <w:szCs w:val="22"/>
            <w:u w:val="single" w:color="auto"/>
            <w:color w:val="0000EE"/>
          </w:rPr>
          <w:t>Schedule 18 [NOT USED]</w:t>
        </w:r>
      </w:hyperlink>
    </w:p>
    <w:p>
      <w:pPr>
        <w:spacing w:after="0" w:line="125" w:lineRule="exact"/>
        <w:rPr>
          <w:sz w:val="20"/>
          <w:szCs w:val="20"/>
          <w:color w:val="auto"/>
        </w:rPr>
      </w:pPr>
    </w:p>
    <w:p>
      <w:pPr>
        <w:spacing w:after="0"/>
        <w:rPr>
          <w:rFonts w:ascii="Arial" w:cs="Arial" w:eastAsia="Arial" w:hAnsi="Arial"/>
          <w:sz w:val="22"/>
          <w:szCs w:val="22"/>
          <w:u w:val="single" w:color="auto"/>
          <w:color w:val="0000EE"/>
        </w:rPr>
      </w:pPr>
      <w:hyperlink w:anchor="page251">
        <w:r>
          <w:rPr>
            <w:rFonts w:ascii="Arial" w:cs="Arial" w:eastAsia="Arial" w:hAnsi="Arial"/>
            <w:sz w:val="22"/>
            <w:szCs w:val="22"/>
            <w:u w:val="single" w:color="auto"/>
            <w:color w:val="0000EE"/>
          </w:rPr>
          <w:t>Schedule 19 [NOT USED]</w:t>
        </w:r>
      </w:hyperlink>
    </w:p>
    <w:p>
      <w:pPr>
        <w:sectPr>
          <w:pgSz w:w="11900" w:h="16838" w:orient="portrait"/>
          <w:cols w:equalWidth="0" w:num="1">
            <w:col w:w="10199"/>
          </w:cols>
          <w:pgMar w:left="260" w:top="861" w:right="1440"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on the 14th day of September 2004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WYNN RESORTS (MACAU) S.A.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Term Facility Lenders;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Revolving Credit Facility Lenders;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defined below as Hedging Counterparties;</w:t>
      </w:r>
    </w:p>
    <w:p>
      <w:pPr>
        <w:spacing w:after="0" w:line="219"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Fifth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Mandated Lead Arrangers and Bookrunners;</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Fifth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Mandated Lead Arrangers;</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Fifth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Lead Arrangers;</w:t>
      </w:r>
    </w:p>
    <w:p>
      <w:pPr>
        <w:spacing w:after="0" w:line="162" w:lineRule="exact"/>
        <w:rPr>
          <w:rFonts w:ascii="Arial" w:cs="Arial" w:eastAsia="Arial" w:hAnsi="Arial"/>
          <w:sz w:val="22"/>
          <w:szCs w:val="22"/>
          <w:color w:val="auto"/>
        </w:rPr>
      </w:pPr>
    </w:p>
    <w:p>
      <w:pPr>
        <w:ind w:left="660" w:hanging="652"/>
        <w:spacing w:after="0" w:line="269"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named on the signing pages to the Common Terms Agreement Fifth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and in their capacities as, the Arrangers;</w:t>
      </w:r>
    </w:p>
    <w:p>
      <w:pPr>
        <w:spacing w:after="0" w:line="162"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Term Facility Agent;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Revolving Credit Facility Agent;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Intercreditor Agent; and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in its capacity as Security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26" w:lineRule="exact"/>
        <w:rPr>
          <w:sz w:val="20"/>
          <w:szCs w:val="20"/>
          <w:color w:val="auto"/>
        </w:rPr>
      </w:pPr>
    </w:p>
    <w:p>
      <w:pPr>
        <w:jc w:val="both"/>
        <w:ind w:left="660" w:hanging="652"/>
        <w:spacing w:after="0" w:line="271" w:lineRule="auto"/>
        <w:tabs>
          <w:tab w:leader="none" w:pos="6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Senior Secured Creditors have agreed, subject to the terms and conditions contained in the Senior Finance Documents, to make available to the Company certain loan facilities for Wynn Macau, the Cotai Project and for general corporate purposes and/or to enter into other agreements or arrangements associated therewith.</w:t>
      </w:r>
    </w:p>
    <w:p>
      <w:pPr>
        <w:spacing w:after="0" w:line="167"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3900" w:val="left"/>
          <w:tab w:leader="none" w:pos="7680" w:val="left"/>
        </w:tabs>
        <w:rPr>
          <w:sz w:val="20"/>
          <w:szCs w:val="20"/>
          <w:color w:val="auto"/>
        </w:rPr>
      </w:pPr>
      <w:r>
        <w:rPr>
          <w:rFonts w:ascii="Arial" w:cs="Arial" w:eastAsia="Arial" w:hAnsi="Arial"/>
          <w:sz w:val="14"/>
          <w:szCs w:val="14"/>
          <w:color w:val="auto"/>
        </w:rPr>
        <w:t>520703-4-32-v8.1</w:t>
      </w:r>
      <w:r>
        <w:rPr>
          <w:sz w:val="20"/>
          <w:szCs w:val="20"/>
          <w:color w:val="auto"/>
        </w:rPr>
        <w:tab/>
      </w:r>
      <w:r>
        <w:rPr>
          <w:rFonts w:ascii="Arial" w:cs="Arial" w:eastAsia="Arial" w:hAnsi="Arial"/>
          <w:sz w:val="14"/>
          <w:szCs w:val="14"/>
          <w:color w:val="auto"/>
        </w:rPr>
        <w:t>520703-4-32-v8.1</w:t>
      </w:r>
      <w:r>
        <w:rPr>
          <w:sz w:val="20"/>
          <w:szCs w:val="20"/>
          <w:color w:val="auto"/>
        </w:rPr>
        <w:tab/>
      </w:r>
      <w:r>
        <w:rPr>
          <w:rFonts w:ascii="Arial" w:cs="Arial" w:eastAsia="Arial" w:hAnsi="Arial"/>
          <w:sz w:val="13"/>
          <w:szCs w:val="13"/>
          <w:color w:val="auto"/>
        </w:rPr>
        <w:t>520703-4-32-v8.1</w:t>
      </w:r>
    </w:p>
    <w:p>
      <w:pPr>
        <w:sectPr>
          <w:pgSz w:w="11900" w:h="16838" w:orient="portrait"/>
          <w:cols w:equalWidth="0" w:num="1">
            <w:col w:w="11420"/>
          </w:cols>
          <w:pgMar w:left="240" w:top="625"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9"/>
          <w:szCs w:val="19"/>
          <w:color w:val="auto"/>
        </w:rPr>
        <w:t>exercise or enforce their rights, discretions and remedies under the Senior Finance Documents.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IT IS HEREBY AGREED </w:t>
      </w:r>
      <w:r>
        <w:rPr>
          <w:rFonts w:ascii="Arial" w:cs="Arial" w:eastAsia="Arial" w:hAnsi="Arial"/>
          <w:sz w:val="22"/>
          <w:szCs w:val="22"/>
          <w:color w:val="auto"/>
        </w:rPr>
        <w:t>as follows:</w:t>
      </w:r>
    </w:p>
    <w:p>
      <w:pPr>
        <w:sectPr>
          <w:pgSz w:w="11900" w:h="16838" w:orient="portrait"/>
          <w:cols w:equalWidth="0" w:num="1">
            <w:col w:w="10219"/>
          </w:cols>
          <w:pgMar w:left="240" w:top="631" w:right="1440" w:bottom="1440" w:gutter="0" w:footer="0" w:header="0"/>
        </w:sectPr>
      </w:pPr>
    </w:p>
    <w:bookmarkStart w:id="104" w:name="page105"/>
    <w:bookmarkEnd w:id="104"/>
    <w:p>
      <w:pPr>
        <w:ind w:left="660" w:hanging="652"/>
        <w:spacing w:after="0"/>
        <w:tabs>
          <w:tab w:leader="none" w:pos="660"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this Agreement, except as otherwise defined herein or to the extent the context otherwise requires, capitalised terms used shall have the following meanings: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Bank</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bank notified by the Company to the Security Agent which:</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is licensed by the Hong Kong Monetary Authority, the Monetary Authority of Macao, the Monetary Authority of Singapore, the Financial Supervisory Commission in Taiwan, the Office of the Superintendent of Financial Institutions in Canada, the Federal Reserve System in the United States of America and/or the Financial Services Agency in Japan; and</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has, at all times, general obligations rated at least BBB-, Baa3 or BBB from one or more of S&amp;P, Moody's or Fitch respectively;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of Banco Comercial de Macau, S.A., Banco Nacional Ultramarino, S.A., Bank of China Limited, Macau Branch, Industrial and Commercial Bank of China (Macau) Limited or Tai Fung Bank Limited; or</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bank which is confirmed by the Security Agent (acting reasonably) as acceptable (including any bank confirmed by the Security Agent or its predecessor as acceptable prior to the Fifth Amendment Effective Date).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w:t>
      </w:r>
      <w:r>
        <w:rPr>
          <w:rFonts w:ascii="Arial" w:cs="Arial" w:eastAsia="Arial" w:hAnsi="Arial"/>
          <w:sz w:val="22"/>
          <w:szCs w:val="22"/>
          <w:color w:val="auto"/>
        </w:rPr>
        <w:t>" means an account (other than an Excluded Account):</w:t>
      </w:r>
    </w:p>
    <w:p>
      <w:pPr>
        <w:spacing w:after="0" w:line="226" w:lineRule="exact"/>
        <w:rPr>
          <w:sz w:val="20"/>
          <w:szCs w:val="20"/>
          <w:color w:val="auto"/>
        </w:rPr>
      </w:pPr>
    </w:p>
    <w:p>
      <w:pPr>
        <w:ind w:left="1300" w:hanging="644"/>
        <w:spacing w:after="0" w:line="263" w:lineRule="auto"/>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held by a member of the Restricted Group with an Acceptable Bank in Macau, Hong Kong, the United States or any other jurisdiction on terms reasonably acceptable to the Security Agent;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subject to Liens in favour of the Security Agent in form and substance satisfactory to the Security Agent.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Bank</w:t>
      </w:r>
      <w:r>
        <w:rPr>
          <w:rFonts w:ascii="Arial" w:cs="Arial" w:eastAsia="Arial" w:hAnsi="Arial"/>
          <w:sz w:val="22"/>
          <w:szCs w:val="22"/>
          <w:color w:val="auto"/>
        </w:rPr>
        <w:t>" means, in relation to an Account, the bank with which the Account is maintained.</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 Bank Notices and Acknowledgements</w:t>
      </w:r>
      <w:r>
        <w:rPr>
          <w:rFonts w:ascii="Arial" w:cs="Arial" w:eastAsia="Arial" w:hAnsi="Arial"/>
          <w:sz w:val="22"/>
          <w:szCs w:val="22"/>
          <w:color w:val="auto"/>
        </w:rPr>
        <w:t>" mean the notices and acknowledgements to be delivered to and executed by each Account Bank in respect of each Account in accordance with the Charges over Accounts and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Facility Agent</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line="263" w:lineRule="auto"/>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each bank or financial institution appointed as a facility agent for Additional Lenders under an Additional Lender Facility Agreement and which has executed and delivered to the Intercreditor Agent:</w:t>
      </w:r>
    </w:p>
    <w:p>
      <w:pPr>
        <w:sectPr>
          <w:pgSz w:w="11900" w:h="16838" w:orient="portrait"/>
          <w:cols w:equalWidth="0" w:num="1">
            <w:col w:w="11420"/>
          </w:cols>
          <w:pgMar w:left="240" w:top="625" w:right="239" w:bottom="1440" w:gutter="0" w:footer="0" w:header="0"/>
        </w:sectPr>
      </w:pPr>
    </w:p>
    <w:bookmarkStart w:id="105" w:name="page106"/>
    <w:bookmarkEnd w:id="105"/>
    <w:p>
      <w:pPr>
        <w:ind w:left="1304" w:hanging="655"/>
        <w:spacing w:after="0"/>
        <w:tabs>
          <w:tab w:leader="none" w:pos="1304"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duly completed Agent's Deed of Accession; and</w:t>
      </w:r>
    </w:p>
    <w:p>
      <w:pPr>
        <w:spacing w:after="0" w:line="219"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8"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each of which the Intercreditor Agent shall promptly copy to the Company and the other Senior Secured Creditors; or</w:t>
      </w:r>
    </w:p>
    <w:p>
      <w:pPr>
        <w:spacing w:after="0" w:line="175" w:lineRule="exact"/>
        <w:rPr>
          <w:sz w:val="20"/>
          <w:szCs w:val="20"/>
          <w:color w:val="auto"/>
        </w:rPr>
      </w:pPr>
    </w:p>
    <w:p>
      <w:pPr>
        <w:ind w:left="644" w:hanging="644"/>
        <w:spacing w:after="0"/>
        <w:tabs>
          <w:tab w:leader="none" w:pos="6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successor to any such bank or financial institution appointed in accordance with this Agreement.</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w:t>
      </w:r>
      <w:r>
        <w:rPr>
          <w:rFonts w:ascii="Arial" w:cs="Arial" w:eastAsia="Arial" w:hAnsi="Arial"/>
          <w:sz w:val="22"/>
          <w:szCs w:val="22"/>
          <w:color w:val="auto"/>
        </w:rPr>
        <w:t>" means each term loan facility and each revolving credit facility provided by the Additional Lenders to the Company.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 Agreement</w:t>
      </w:r>
      <w:r>
        <w:rPr>
          <w:rFonts w:ascii="Arial" w:cs="Arial" w:eastAsia="Arial" w:hAnsi="Arial"/>
          <w:sz w:val="22"/>
          <w:szCs w:val="22"/>
          <w:color w:val="auto"/>
        </w:rPr>
        <w:t>" means an agreement between the Additional Lenders, the Additional Facility Agent and the Company for the provision of an Additional Lender Facility.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 Facility Availability Period</w:t>
      </w:r>
      <w:r>
        <w:rPr>
          <w:rFonts w:ascii="Arial" w:cs="Arial" w:eastAsia="Arial" w:hAnsi="Arial"/>
          <w:sz w:val="22"/>
          <w:szCs w:val="22"/>
          <w:color w:val="auto"/>
        </w:rPr>
        <w:t>" means, in relation to the Additional Lender Facility, the period specified in respect thereof in Clause 4.3 (</w:t>
      </w:r>
      <w:r>
        <w:rPr>
          <w:rFonts w:ascii="Arial" w:cs="Arial" w:eastAsia="Arial" w:hAnsi="Arial"/>
          <w:sz w:val="22"/>
          <w:szCs w:val="22"/>
          <w:i w:val="1"/>
          <w:iCs w:val="1"/>
          <w:color w:val="auto"/>
        </w:rPr>
        <w:t>Additional Lender Facility Availability Period</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Lender's Accession Deed</w:t>
      </w:r>
      <w:r>
        <w:rPr>
          <w:rFonts w:ascii="Arial" w:cs="Arial" w:eastAsia="Arial" w:hAnsi="Arial"/>
          <w:sz w:val="22"/>
          <w:szCs w:val="22"/>
          <w:color w:val="auto"/>
        </w:rPr>
        <w:t>" means a deed of accession in substantially the form set out in Schedule 14 (</w:t>
      </w:r>
      <w:r>
        <w:rPr>
          <w:rFonts w:ascii="Arial" w:cs="Arial" w:eastAsia="Arial" w:hAnsi="Arial"/>
          <w:sz w:val="22"/>
          <w:szCs w:val="22"/>
          <w:i w:val="1"/>
          <w:iCs w:val="1"/>
          <w:color w:val="auto"/>
        </w:rPr>
        <w:t>Form</w:t>
      </w:r>
      <w:r>
        <w:rPr>
          <w:rFonts w:ascii="Arial" w:cs="Arial" w:eastAsia="Arial" w:hAnsi="Arial"/>
          <w:sz w:val="22"/>
          <w:szCs w:val="22"/>
          <w:color w:val="auto"/>
        </w:rPr>
        <w:t xml:space="preserve"> </w:t>
      </w:r>
      <w:r>
        <w:rPr>
          <w:rFonts w:ascii="Arial" w:cs="Arial" w:eastAsia="Arial" w:hAnsi="Arial"/>
          <w:sz w:val="22"/>
          <w:szCs w:val="22"/>
          <w:i w:val="1"/>
          <w:iCs w:val="1"/>
          <w:color w:val="auto"/>
        </w:rPr>
        <w:t>of Additional Lender's Accession Deed</w:t>
      </w:r>
      <w:r>
        <w:rPr>
          <w:rFonts w:ascii="Arial" w:cs="Arial" w:eastAsia="Arial" w:hAnsi="Arial"/>
          <w:sz w:val="22"/>
          <w:szCs w:val="22"/>
          <w:color w:val="auto"/>
        </w:rPr>
        <w:t>).</w:t>
      </w:r>
    </w:p>
    <w:p>
      <w:pPr>
        <w:spacing w:after="0" w:line="162" w:lineRule="exact"/>
        <w:rPr>
          <w:sz w:val="20"/>
          <w:szCs w:val="20"/>
          <w:color w:val="auto"/>
        </w:rPr>
      </w:pPr>
    </w:p>
    <w:p>
      <w:pPr>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Lenders</w:t>
      </w:r>
      <w:r>
        <w:rPr>
          <w:rFonts w:ascii="Arial" w:cs="Arial" w:eastAsia="Arial" w:hAnsi="Arial"/>
          <w:sz w:val="19"/>
          <w:szCs w:val="19"/>
          <w:color w:val="auto"/>
        </w:rPr>
        <w:t>" means the parties who have agreed to provide the Company with loan facilities permitted by paragraph 2.1(f)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and who have each executed and delivered to the Intercreditor Agent:</w:t>
      </w:r>
    </w:p>
    <w:p>
      <w:pPr>
        <w:spacing w:after="0" w:line="98" w:lineRule="exact"/>
        <w:rPr>
          <w:sz w:val="20"/>
          <w:szCs w:val="20"/>
          <w:color w:val="auto"/>
        </w:rPr>
      </w:pPr>
    </w:p>
    <w:p>
      <w:pPr>
        <w:ind w:left="644" w:hanging="644"/>
        <w:spacing w:after="0"/>
        <w:tabs>
          <w:tab w:leader="none" w:pos="6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duly completed Additional Lender's Accession Deed; and</w:t>
      </w:r>
    </w:p>
    <w:p>
      <w:pPr>
        <w:spacing w:after="0" w:line="219"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1"/>
          <w:szCs w:val="21"/>
          <w:color w:val="auto"/>
        </w:rPr>
        <w:t>each of which the Intercreditor Agent shall promptly copy to the Company and the other Senior Secured Creditors.</w:t>
      </w:r>
    </w:p>
    <w:p>
      <w:pPr>
        <w:spacing w:after="0" w:line="225"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Lending Group</w:t>
      </w:r>
      <w:r>
        <w:rPr>
          <w:rFonts w:ascii="Arial" w:cs="Arial" w:eastAsia="Arial" w:hAnsi="Arial"/>
          <w:sz w:val="22"/>
          <w:szCs w:val="22"/>
          <w:color w:val="auto"/>
        </w:rPr>
        <w:t>" means, with respect to an Additional Lender Facility Agreement, the Additional Lenders party to such Additional Lender Facility Agreement, acting as a lending group in accordance with, and subject to the decision making rules under, such Additional Lender Facility Agreement.</w:t>
      </w:r>
    </w:p>
    <w:p>
      <w:pPr>
        <w:spacing w:after="0" w:line="17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w:t>
      </w:r>
      <w:r>
        <w:rPr>
          <w:rFonts w:ascii="Arial" w:cs="Arial" w:eastAsia="Arial" w:hAnsi="Arial"/>
          <w:sz w:val="22"/>
          <w:szCs w:val="22"/>
          <w:color w:val="auto"/>
        </w:rPr>
        <w:t>" means an advance (as from time to time reduced by repayment or prepayment) made or to be made under a Facility.</w:t>
      </w:r>
    </w:p>
    <w:p>
      <w:pPr>
        <w:sectPr>
          <w:pgSz w:w="11900" w:h="16838" w:orient="portrait"/>
          <w:cols w:equalWidth="0" w:num="1">
            <w:col w:w="10764"/>
          </w:cols>
          <w:pgMar w:left="896" w:top="631" w:right="239" w:bottom="1440" w:gutter="0" w:footer="0" w:header="0"/>
        </w:sectPr>
      </w:pPr>
    </w:p>
    <w:bookmarkStart w:id="106" w:name="page107"/>
    <w:bookmarkEnd w:id="106"/>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 Date</w:t>
      </w:r>
      <w:r>
        <w:rPr>
          <w:rFonts w:ascii="Arial" w:cs="Arial" w:eastAsia="Arial" w:hAnsi="Arial"/>
          <w:sz w:val="22"/>
          <w:szCs w:val="22"/>
          <w:color w:val="auto"/>
        </w:rPr>
        <w:t>" means the date on which an Advance is required to be made.</w:t>
      </w:r>
    </w:p>
    <w:p>
      <w:pPr>
        <w:spacing w:after="0" w:line="220"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Advance Request</w:t>
      </w:r>
      <w:r>
        <w:rPr>
          <w:rFonts w:ascii="Arial" w:cs="Arial" w:eastAsia="Arial" w:hAnsi="Arial"/>
          <w:sz w:val="19"/>
          <w:szCs w:val="19"/>
          <w:color w:val="auto"/>
        </w:rPr>
        <w:t>" means, in relation to an Advance under the Term Loan Facilities, a request for an Advance in substantially the form set out in Schedule 3 (</w:t>
      </w:r>
      <w:r>
        <w:rPr>
          <w:rFonts w:ascii="Arial" w:cs="Arial" w:eastAsia="Arial" w:hAnsi="Arial"/>
          <w:sz w:val="19"/>
          <w:szCs w:val="19"/>
          <w:i w:val="1"/>
          <w:iCs w:val="1"/>
          <w:color w:val="auto"/>
        </w:rPr>
        <w:t>Form of Advance Request</w:t>
      </w:r>
      <w:r>
        <w:rPr>
          <w:rFonts w:ascii="Arial" w:cs="Arial" w:eastAsia="Arial" w:hAnsi="Arial"/>
          <w:sz w:val="19"/>
          <w:szCs w:val="19"/>
          <w:color w:val="auto"/>
        </w:rPr>
        <w:t>) and, in relation to an Advance under the Revolving Credit Facilities, in substantially the form set out in schedule 2 to the Revolving Credit Facility Agreement or the equivalent schedule to the Additional Lender Facility Agreement setting out the form of advance request, as the case may be.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Affected Lender Decision</w:t>
      </w:r>
      <w:r>
        <w:rPr>
          <w:rFonts w:ascii="Arial" w:cs="Arial" w:eastAsia="Arial" w:hAnsi="Arial"/>
          <w:sz w:val="21"/>
          <w:szCs w:val="21"/>
          <w:color w:val="auto"/>
        </w:rPr>
        <w:t>" means an amendment or waiver that has the effect of changing or which relates to:</w:t>
      </w:r>
    </w:p>
    <w:p>
      <w:pPr>
        <w:spacing w:after="0" w:line="237" w:lineRule="exact"/>
        <w:rPr>
          <w:sz w:val="20"/>
          <w:szCs w:val="20"/>
          <w:color w:val="auto"/>
        </w:rPr>
      </w:pPr>
    </w:p>
    <w:p>
      <w:pPr>
        <w:ind w:left="644" w:hanging="644"/>
        <w:spacing w:after="0" w:line="343" w:lineRule="auto"/>
        <w:tabs>
          <w:tab w:leader="none" w:pos="644"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reduction in the interest margin applicable to a Lender's participation in an Advance or a reduction in the amount of any payment of principal, interest or fees owing or payable under any Senior Finance Document; or</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(save for any change in the currency of any fees payable under a Senior Finance Document to any Secured Party as expressly permitted pursuant to such Senior Finance Document) a change in the currency of payment of any amount under the Senior Finance Document.</w:t>
      </w:r>
    </w:p>
    <w:p>
      <w:pPr>
        <w:spacing w:after="0" w:line="180"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Executive Director shall not, by virtue of fulfilling either of these requirements alone as a result of the Executive Director Shares held by such individual in the Company or as a result of such individual's role as executive director of the Company, be an Affiliate of the Company).</w:t>
      </w:r>
    </w:p>
    <w:p>
      <w:pPr>
        <w:spacing w:after="0" w:line="18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 Agreement</w:t>
      </w:r>
      <w:r>
        <w:rPr>
          <w:rFonts w:ascii="Arial" w:cs="Arial" w:eastAsia="Arial" w:hAnsi="Arial"/>
          <w:sz w:val="22"/>
          <w:szCs w:val="22"/>
          <w:color w:val="auto"/>
        </w:rPr>
        <w:t>" means any agreement entered into by any Obligor with an Affiliate of that Obligor involving expenditures by any party thereto or any other flow of funds of not less than USD1,000,000 or its equivalent, but excluding any agreement entered into between the Company and a Subsidiary Obligor.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the Intercreditor Agent or a Facility Agent, as the case may be.</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 Deed of Accession</w:t>
      </w:r>
      <w:r>
        <w:rPr>
          <w:rFonts w:ascii="Arial" w:cs="Arial" w:eastAsia="Arial" w:hAnsi="Arial"/>
          <w:sz w:val="22"/>
          <w:szCs w:val="22"/>
          <w:color w:val="auto"/>
        </w:rPr>
        <w:t>" means a deed of accession in substantially the form of Part A of Schedule 11 (</w:t>
      </w:r>
      <w:r>
        <w:rPr>
          <w:rFonts w:ascii="Arial" w:cs="Arial" w:eastAsia="Arial" w:hAnsi="Arial"/>
          <w:sz w:val="22"/>
          <w:szCs w:val="22"/>
          <w:i w:val="1"/>
          <w:iCs w:val="1"/>
          <w:color w:val="auto"/>
        </w:rPr>
        <w:t>Transfers and</w:t>
      </w:r>
      <w:r>
        <w:rPr>
          <w:rFonts w:ascii="Arial" w:cs="Arial" w:eastAsia="Arial" w:hAnsi="Arial"/>
          <w:sz w:val="22"/>
          <w:szCs w:val="22"/>
          <w:color w:val="auto"/>
        </w:rPr>
        <w:t xml:space="preserve"> </w:t>
      </w:r>
      <w:r>
        <w:rPr>
          <w:rFonts w:ascii="Arial" w:cs="Arial" w:eastAsia="Arial" w:hAnsi="Arial"/>
          <w:sz w:val="22"/>
          <w:szCs w:val="22"/>
          <w:i w:val="1"/>
          <w:iCs w:val="1"/>
          <w:color w:val="auto"/>
        </w:rPr>
        <w:t>Accession</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Form</w:t>
      </w:r>
      <w:r>
        <w:rPr>
          <w:rFonts w:ascii="Arial" w:cs="Arial" w:eastAsia="Arial" w:hAnsi="Arial"/>
          <w:sz w:val="22"/>
          <w:szCs w:val="22"/>
          <w:color w:val="auto"/>
        </w:rPr>
        <w:t>" means, in relation to any document, the form most recently initialled for the purposes of identification as such by the Company and the Intercreditor Agent with such changes as the Intercreditor Agent may agree with the Company.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Ancillary Finance Documents</w:t>
      </w:r>
      <w:r>
        <w:rPr>
          <w:rFonts w:ascii="Arial" w:cs="Arial" w:eastAsia="Arial" w:hAnsi="Arial"/>
          <w:sz w:val="22"/>
          <w:szCs w:val="22"/>
          <w:color w:val="auto"/>
        </w:rPr>
        <w:t>" means the Fee Letters.</w:t>
      </w:r>
    </w:p>
    <w:p>
      <w:pPr>
        <w:sectPr>
          <w:pgSz w:w="11900" w:h="16838" w:orient="portrait"/>
          <w:cols w:equalWidth="0" w:num="1">
            <w:col w:w="10764"/>
          </w:cols>
          <w:pgMar w:left="896" w:top="625" w:right="239" w:bottom="1440" w:gutter="0" w:footer="0" w:header="0"/>
        </w:sectPr>
      </w:pPr>
    </w:p>
    <w:bookmarkStart w:id="107" w:name="page108"/>
    <w:bookmarkEnd w:id="107"/>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Anti-Bribery Laws</w:t>
      </w:r>
      <w:r>
        <w:rPr>
          <w:rFonts w:ascii="Arial" w:cs="Arial" w:eastAsia="Arial" w:hAnsi="Arial"/>
          <w:sz w:val="22"/>
          <w:szCs w:val="22"/>
          <w:color w:val="auto"/>
        </w:rPr>
        <w:t>" has the meaning given to that term in paragraph 32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Anti-Terrorism Laws</w:t>
      </w:r>
      <w:r>
        <w:rPr>
          <w:rFonts w:ascii="Arial" w:cs="Arial" w:eastAsia="Arial" w:hAnsi="Arial"/>
          <w:sz w:val="19"/>
          <w:szCs w:val="19"/>
          <w:color w:val="auto"/>
        </w:rPr>
        <w:t>" means the Executive Order, the Bank Secrecy Act (31 U.S.C. §§ 5311 et seq.), the Money Laundering Control Act of 1986 (18 U.S.C. §§ 1956 et seq.), the USA Patriot Act, the International Emergency Economic Powers Act (50 U.S.C. §§ 1701 et seq.), the Trading with the Enemy Act (50 U.S.C. App. §§ 1 et seq.), any other applicable law or regulation administered by the Office of Foreign Assets Control of the U.S. Department of the Treasury or other Governmental Authority, in each case for the purpose of controlling or preventing terrorism and related activities and any law enacted in the United States of America after the Fifth Amendment Effective Date for such purposes.</w:t>
      </w:r>
    </w:p>
    <w:p>
      <w:pPr>
        <w:spacing w:after="0" w:line="144"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Corporate Administrative Fees</w:t>
      </w:r>
      <w:r>
        <w:rPr>
          <w:rFonts w:ascii="Arial" w:cs="Arial" w:eastAsia="Arial" w:hAnsi="Arial"/>
          <w:sz w:val="22"/>
          <w:szCs w:val="22"/>
          <w:color w:val="auto"/>
        </w:rPr>
        <w:t>" means, for any Fiscal Year, an amount, when added to any other Corporate Administrative Fees paid by or on behalf of the Company during such Fiscal Year, as does not exceed 50% of the corporate administrative overhead costs incurred by Wynn Resorts during such Fiscal Year in relation to its management of the Wynn Resorts Group.</w:t>
      </w:r>
    </w:p>
    <w:p>
      <w:pPr>
        <w:spacing w:after="0" w:line="180" w:lineRule="exact"/>
        <w:rPr>
          <w:sz w:val="20"/>
          <w:szCs w:val="20"/>
          <w:color w:val="auto"/>
        </w:rPr>
      </w:pPr>
    </w:p>
    <w:p>
      <w:pPr>
        <w:jc w:val="both"/>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IP Fees</w:t>
      </w:r>
      <w:r>
        <w:rPr>
          <w:rFonts w:ascii="Arial" w:cs="Arial" w:eastAsia="Arial" w:hAnsi="Arial"/>
          <w:sz w:val="19"/>
          <w:szCs w:val="19"/>
          <w:color w:val="auto"/>
        </w:rPr>
        <w:t>" means the IP Fees as set out in the IP Agreement but without regard to any amendment, variation or supplement that would have the effect of increasing such IP Fees pursuant to the terms of the IP Agreement.</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Sale</w:t>
      </w:r>
      <w:r>
        <w:rPr>
          <w:rFonts w:ascii="Arial" w:cs="Arial" w:eastAsia="Arial" w:hAnsi="Arial"/>
          <w:sz w:val="22"/>
          <w:szCs w:val="22"/>
          <w:color w:val="auto"/>
        </w:rPr>
        <w:t>" means any Disposition of Property other than:</w:t>
      </w:r>
    </w:p>
    <w:p>
      <w:pPr>
        <w:spacing w:after="0" w:line="226" w:lineRule="exact"/>
        <w:rPr>
          <w:sz w:val="20"/>
          <w:szCs w:val="20"/>
          <w:color w:val="auto"/>
        </w:rPr>
      </w:pPr>
    </w:p>
    <w:p>
      <w:pPr>
        <w:ind w:left="644" w:hanging="644"/>
        <w:spacing w:after="0"/>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granting of any Lien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Disposition permitted by paragraph 5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paragraph 5(a)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8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of Rights</w:t>
      </w:r>
      <w:r>
        <w:rPr>
          <w:rFonts w:ascii="Arial" w:cs="Arial" w:eastAsia="Arial" w:hAnsi="Arial"/>
          <w:sz w:val="22"/>
          <w:szCs w:val="22"/>
          <w:color w:val="auto"/>
        </w:rPr>
        <w:t>" means the assignment so entitled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of Insurances</w:t>
      </w:r>
      <w:r>
        <w:rPr>
          <w:rFonts w:ascii="Arial" w:cs="Arial" w:eastAsia="Arial" w:hAnsi="Arial"/>
          <w:sz w:val="22"/>
          <w:szCs w:val="22"/>
          <w:color w:val="auto"/>
        </w:rPr>
        <w:t>" means the Assignment of Onshore Insurance Policies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Assignments of Reinsurances</w:t>
      </w:r>
      <w:r>
        <w:rPr>
          <w:rFonts w:ascii="Arial" w:cs="Arial" w:eastAsia="Arial" w:hAnsi="Arial"/>
          <w:sz w:val="22"/>
          <w:szCs w:val="22"/>
          <w:color w:val="auto"/>
        </w:rPr>
        <w:t>" means each assignment of Reinsurance so entitled between the relevant Direct Insurer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Auditors</w:t>
      </w:r>
      <w:r>
        <w:rPr>
          <w:rFonts w:ascii="Arial" w:cs="Arial" w:eastAsia="Arial" w:hAnsi="Arial"/>
          <w:sz w:val="22"/>
          <w:szCs w:val="22"/>
          <w:color w:val="auto"/>
        </w:rPr>
        <w:t>" means Ernst &amp; Young LLP or such other firm of independent accountants of international recognised standing as may be appointed by the Company.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Availability Period</w:t>
      </w:r>
      <w:r>
        <w:rPr>
          <w:rFonts w:ascii="Arial" w:cs="Arial" w:eastAsia="Arial" w:hAnsi="Arial"/>
          <w:sz w:val="22"/>
          <w:szCs w:val="22"/>
          <w:color w:val="auto"/>
        </w:rPr>
        <w:t>" means, as the case may be, the Term Facility Availability Period, the Additional Lender Facility Availability Period or the Revolving Credit Facility Availability Period.</w:t>
      </w:r>
    </w:p>
    <w:p>
      <w:pPr>
        <w:sectPr>
          <w:pgSz w:w="11900" w:h="16838" w:orient="portrait"/>
          <w:cols w:equalWidth="0" w:num="1">
            <w:col w:w="10764"/>
          </w:cols>
          <w:pgMar w:left="896" w:top="625" w:right="239" w:bottom="1440" w:gutter="0" w:footer="0" w:header="0"/>
        </w:sectPr>
      </w:pPr>
    </w:p>
    <w:bookmarkStart w:id="108" w:name="page109"/>
    <w:bookmarkEnd w:id="108"/>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w:t>
      </w:r>
      <w:r>
        <w:rPr>
          <w:rFonts w:ascii="Arial" w:cs="Arial" w:eastAsia="Arial" w:hAnsi="Arial"/>
          <w:sz w:val="22"/>
          <w:szCs w:val="22"/>
          <w:color w:val="auto"/>
        </w:rPr>
        <w:t>", in relation to each Lender under each Facility Agreement, has the meaning given in that Facility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with respect to a limited partnership, the board of directors of the general partner of the partnership; and</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with respect to any other Person (other than a natural person), the board or committee of such Person serving a similar function.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Break Costs</w:t>
      </w:r>
      <w:r>
        <w:rPr>
          <w:rFonts w:ascii="Arial" w:cs="Arial" w:eastAsia="Arial" w:hAnsi="Arial"/>
          <w:sz w:val="22"/>
          <w:szCs w:val="22"/>
          <w:color w:val="auto"/>
        </w:rPr>
        <w:t>" means the amount (if any) by which:</w:t>
      </w:r>
    </w:p>
    <w:p>
      <w:pPr>
        <w:spacing w:after="0" w:line="226" w:lineRule="exact"/>
        <w:rPr>
          <w:sz w:val="20"/>
          <w:szCs w:val="20"/>
          <w:color w:val="auto"/>
        </w:rPr>
      </w:pPr>
    </w:p>
    <w:p>
      <w:pPr>
        <w:jc w:val="both"/>
        <w:ind w:left="644" w:hanging="644"/>
        <w:spacing w:after="0" w:line="250" w:lineRule="auto"/>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exceeds:</w:t>
      </w:r>
    </w:p>
    <w:p>
      <w:pPr>
        <w:spacing w:after="0" w:line="220" w:lineRule="exact"/>
        <w:rPr>
          <w:sz w:val="20"/>
          <w:szCs w:val="20"/>
          <w:color w:val="auto"/>
        </w:rPr>
      </w:pPr>
    </w:p>
    <w:p>
      <w:pPr>
        <w:jc w:val="both"/>
        <w:ind w:left="644" w:hanging="644"/>
        <w:spacing w:after="0" w:line="302" w:lineRule="auto"/>
        <w:tabs>
          <w:tab w:leader="none" w:pos="64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Break Costs shall not include any loss of margin.</w:t>
      </w:r>
    </w:p>
    <w:p>
      <w:pPr>
        <w:spacing w:after="0" w:line="214"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banks are open for general business in the Macau SAR, Hong Kong SAR and New York and, save for the purposes of Clause 3.1.1 (</w:t>
      </w:r>
      <w:r>
        <w:rPr>
          <w:rFonts w:ascii="Arial" w:cs="Arial" w:eastAsia="Arial" w:hAnsi="Arial"/>
          <w:sz w:val="22"/>
          <w:szCs w:val="22"/>
          <w:i w:val="1"/>
          <w:iCs w:val="1"/>
          <w:color w:val="auto"/>
        </w:rPr>
        <w:t>Drawdown conditions</w:t>
      </w:r>
      <w:r>
        <w:rPr>
          <w:rFonts w:ascii="Arial" w:cs="Arial" w:eastAsia="Arial" w:hAnsi="Arial"/>
          <w:sz w:val="22"/>
          <w:szCs w:val="22"/>
          <w:color w:val="auto"/>
        </w:rPr>
        <w:t>), London and Singapore.</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w:t>
      </w:r>
      <w:r>
        <w:rPr>
          <w:rFonts w:ascii="Arial" w:cs="Arial" w:eastAsia="Arial" w:hAnsi="Arial"/>
          <w:sz w:val="22"/>
          <w:szCs w:val="22"/>
          <w:color w:val="auto"/>
        </w:rPr>
        <w:t>" means, in relation to any Person, for any period, the aggregate of all expenditures by such Person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w:t>
      </w:r>
    </w:p>
    <w:p>
      <w:pPr>
        <w:spacing w:after="0" w:line="180" w:lineRule="exact"/>
        <w:rPr>
          <w:sz w:val="20"/>
          <w:szCs w:val="20"/>
          <w:color w:val="auto"/>
        </w:rPr>
      </w:pPr>
    </w:p>
    <w:p>
      <w:pPr>
        <w:jc w:val="both"/>
        <w:ind w:left="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Lease Obligations</w:t>
      </w:r>
      <w:r>
        <w:rPr>
          <w:rFonts w:ascii="Arial" w:cs="Arial" w:eastAsia="Arial" w:hAnsi="Arial"/>
          <w:sz w:val="21"/>
          <w:szCs w:val="21"/>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ectPr>
          <w:pgSz w:w="11900" w:h="16838" w:orient="portrait"/>
          <w:cols w:equalWidth="0" w:num="1">
            <w:col w:w="10764"/>
          </w:cols>
          <w:pgMar w:left="896" w:top="625" w:right="239" w:bottom="1440" w:gutter="0" w:footer="0" w:header="0"/>
        </w:sectPr>
      </w:pPr>
    </w:p>
    <w:bookmarkStart w:id="109" w:name="page110"/>
    <w:bookmarkEnd w:id="109"/>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Flow Available for Debt Service</w:t>
      </w:r>
      <w:r>
        <w:rPr>
          <w:rFonts w:ascii="Arial" w:cs="Arial" w:eastAsia="Arial" w:hAnsi="Arial"/>
          <w:sz w:val="22"/>
          <w:szCs w:val="22"/>
          <w:color w:val="auto"/>
        </w:rPr>
        <w:t>" or "</w:t>
      </w:r>
      <w:r>
        <w:rPr>
          <w:rFonts w:ascii="Arial" w:cs="Arial" w:eastAsia="Arial" w:hAnsi="Arial"/>
          <w:sz w:val="22"/>
          <w:szCs w:val="22"/>
          <w:b w:val="1"/>
          <w:bCs w:val="1"/>
          <w:color w:val="auto"/>
        </w:rPr>
        <w:t>CFADS</w:t>
      </w:r>
      <w:r>
        <w:rPr>
          <w:rFonts w:ascii="Arial" w:cs="Arial" w:eastAsia="Arial" w:hAnsi="Arial"/>
          <w:sz w:val="22"/>
          <w:szCs w:val="22"/>
          <w:color w:val="auto"/>
        </w:rPr>
        <w:t xml:space="preserve">" means, in relation to any period, EBITDA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the sum of:</w:t>
      </w:r>
    </w:p>
    <w:p>
      <w:pPr>
        <w:spacing w:after="0" w:line="168" w:lineRule="exact"/>
        <w:rPr>
          <w:sz w:val="20"/>
          <w:szCs w:val="20"/>
          <w:color w:val="auto"/>
        </w:rPr>
      </w:pPr>
    </w:p>
    <w:p>
      <w:pPr>
        <w:ind w:left="644" w:hanging="644"/>
        <w:spacing w:after="0"/>
        <w:tabs>
          <w:tab w:leader="none" w:pos="6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decreases in Working Capital for such period;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any other non-cash charges,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i w:val="1"/>
          <w:iCs w:val="1"/>
          <w:color w:val="auto"/>
        </w:rPr>
        <w:t>minus</w:t>
      </w:r>
      <w:r>
        <w:rPr>
          <w:rFonts w:ascii="Arial" w:cs="Arial" w:eastAsia="Arial" w:hAnsi="Arial"/>
          <w:sz w:val="22"/>
          <w:szCs w:val="22"/>
          <w:color w:val="auto"/>
        </w:rPr>
        <w:t>, without duplication, the sum of:</w:t>
      </w:r>
    </w:p>
    <w:p>
      <w:pPr>
        <w:spacing w:after="0" w:line="220" w:lineRule="exact"/>
        <w:rPr>
          <w:sz w:val="20"/>
          <w:szCs w:val="20"/>
          <w:color w:val="auto"/>
        </w:rPr>
      </w:pPr>
    </w:p>
    <w:p>
      <w:pPr>
        <w:ind w:left="644" w:hanging="644"/>
        <w:spacing w:after="0"/>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increases in Working Capital for such period;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other non-cash credits;</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aggregate amount actually paid by each member of the Restricted Group in cash during such period on account of Capital Expenditure;</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aggregate amount actually paid by each member of the Restricted Group in cash during such period on account of any accrued charges from any prior period;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Tax paid by each member of the Restricted Group during such period,</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determined on a consolidated basis which includes members of the Restricted Group only (and which, for the avoidance of doubt, does not take account of any amount to the extent it (i) would otherwise have the effect of increasing Cash Flow Available for Debt Service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w:t>
      </w:r>
    </w:p>
    <w:p>
      <w:pPr>
        <w:spacing w:after="0" w:line="226" w:lineRule="exact"/>
        <w:rPr>
          <w:sz w:val="20"/>
          <w:szCs w:val="20"/>
          <w:color w:val="auto"/>
        </w:rPr>
      </w:pPr>
    </w:p>
    <w:p>
      <w:pPr>
        <w:jc w:val="both"/>
        <w:ind w:left="644" w:hanging="644"/>
        <w:spacing w:after="0" w:line="250" w:lineRule="auto"/>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 and excluding any disposition forming part of a Permitted Cotai Reorganisation);</w:t>
      </w:r>
    </w:p>
    <w:p>
      <w:pPr>
        <w:spacing w:after="0" w:line="188" w:lineRule="exact"/>
        <w:rPr>
          <w:rFonts w:ascii="Arial" w:cs="Arial" w:eastAsia="Arial" w:hAnsi="Arial"/>
          <w:sz w:val="22"/>
          <w:szCs w:val="22"/>
          <w:color w:val="auto"/>
        </w:rPr>
      </w:pPr>
    </w:p>
    <w:p>
      <w:pPr>
        <w:jc w:val="both"/>
        <w:ind w:left="644" w:right="20" w:hanging="644"/>
        <w:spacing w:after="0" w:line="253" w:lineRule="auto"/>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any Wynn Obligor or any successor thereto, but excluding any voluntary liquidation, winding-up, dissolution of, or similar action with respect to, Palo after a Permitted Cotai Reorganisation; or</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Wynn Event.</w:t>
      </w:r>
    </w:p>
    <w:p>
      <w:pPr>
        <w:sectPr>
          <w:pgSz w:w="11900" w:h="16838" w:orient="portrait"/>
          <w:cols w:equalWidth="0" w:num="1">
            <w:col w:w="10764"/>
          </w:cols>
          <w:pgMar w:left="896" w:top="625" w:right="239" w:bottom="1440" w:gutter="0" w:footer="0" w:header="0"/>
        </w:sectPr>
      </w:pPr>
    </w:p>
    <w:bookmarkStart w:id="110" w:name="page111"/>
    <w:bookmarkEnd w:id="110"/>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 over HK Accounts</w:t>
      </w:r>
      <w:r>
        <w:rPr>
          <w:rFonts w:ascii="Arial" w:cs="Arial" w:eastAsia="Arial" w:hAnsi="Arial"/>
          <w:sz w:val="22"/>
          <w:szCs w:val="22"/>
          <w:color w:val="auto"/>
        </w:rPr>
        <w:t>" means the charge so entitled between the Company and the Security Agent in the Agreed Form.</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Charges over Accounts</w:t>
      </w:r>
      <w:r>
        <w:rPr>
          <w:rFonts w:ascii="Arial" w:cs="Arial" w:eastAsia="Arial" w:hAnsi="Arial"/>
          <w:sz w:val="22"/>
          <w:szCs w:val="22"/>
          <w:color w:val="auto"/>
        </w:rPr>
        <w:t>" means the Pledge over Onshore Accounts, the Charge over HK Accounts, the Palo Pledge over Onshore Accounts and the documents granting the Liens referred to in the definition of "Account"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 Proceeds</w:t>
      </w:r>
      <w:r>
        <w:rPr>
          <w:rFonts w:ascii="Arial" w:cs="Arial" w:eastAsia="Arial" w:hAnsi="Arial"/>
          <w:sz w:val="22"/>
          <w:szCs w:val="22"/>
          <w:color w:val="auto"/>
        </w:rPr>
        <w:t>" means the proceeds of a claim (a "</w:t>
      </w:r>
      <w:r>
        <w:rPr>
          <w:rFonts w:ascii="Arial" w:cs="Arial" w:eastAsia="Arial" w:hAnsi="Arial"/>
          <w:sz w:val="22"/>
          <w:szCs w:val="22"/>
          <w:b w:val="1"/>
          <w:bCs w:val="1"/>
          <w:color w:val="auto"/>
        </w:rPr>
        <w:t>Recovery Claim</w:t>
      </w:r>
      <w:r>
        <w:rPr>
          <w:rFonts w:ascii="Arial" w:cs="Arial" w:eastAsia="Arial" w:hAnsi="Arial"/>
          <w:sz w:val="22"/>
          <w:szCs w:val="22"/>
          <w:color w:val="auto"/>
        </w:rPr>
        <w:t>") against any party to a Major Project Document (or a Cotai Resort Management Agreement) or any of such party's Affiliates (or any employee, officer or adviser) in relation to such Major Project Document (or a Cotai Resort Management Agreement) except for Excluded Claim Proceeds, and after deducting:</w:t>
      </w:r>
    </w:p>
    <w:p>
      <w:pPr>
        <w:spacing w:after="0" w:line="186" w:lineRule="exact"/>
        <w:rPr>
          <w:sz w:val="20"/>
          <w:szCs w:val="20"/>
          <w:color w:val="auto"/>
        </w:rPr>
      </w:pPr>
    </w:p>
    <w:p>
      <w:pPr>
        <w:ind w:left="644" w:right="20" w:hanging="644"/>
        <w:spacing w:after="0" w:line="263" w:lineRule="auto"/>
        <w:tabs>
          <w:tab w:leader="none" w:pos="6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reasonable expenses which are incurred by any member of the Restricted Group to Persons who are not members of the Restricted Group;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Tax incurred and required to be paid by a member of the Restricted Group (as reasonably determined by the relevant member of the Restricted Group on the basis of existing rates and taking into account any available credit, deduction or allowance),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each case in relation to that Recovery Claim.</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of the United States of America, as amended from time to time.</w:t>
      </w:r>
    </w:p>
    <w:p>
      <w:pPr>
        <w:spacing w:after="0" w:line="231"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Terms Agreement Amendment Agreement</w:t>
      </w:r>
      <w:r>
        <w:rPr>
          <w:rFonts w:ascii="Arial" w:cs="Arial" w:eastAsia="Arial" w:hAnsi="Arial"/>
          <w:sz w:val="21"/>
          <w:szCs w:val="21"/>
          <w:color w:val="auto"/>
        </w:rPr>
        <w:t>" means the agreement so entitled dated 14 September 2005 between the Company, Banc of America Securities Asia Limited, Deutsche Bank AG, Hong Kong Branch, Société Générale Asia Limited, Société Générale Hong Kong Branch and certain other financial institutions.</w:t>
      </w:r>
    </w:p>
    <w:p>
      <w:pPr>
        <w:spacing w:after="0" w:line="15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Fifth Amendment Agreement</w:t>
      </w:r>
      <w:r>
        <w:rPr>
          <w:rFonts w:ascii="Arial" w:cs="Arial" w:eastAsia="Arial" w:hAnsi="Arial"/>
          <w:sz w:val="22"/>
          <w:szCs w:val="22"/>
          <w:color w:val="auto"/>
        </w:rPr>
        <w:t>" means the agreement so entitled dated 30 September 2015 between the parties thereto.</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Fourth Amendment Agreement</w:t>
      </w:r>
      <w:r>
        <w:rPr>
          <w:rFonts w:ascii="Arial" w:cs="Arial" w:eastAsia="Arial" w:hAnsi="Arial"/>
          <w:sz w:val="22"/>
          <w:szCs w:val="22"/>
          <w:color w:val="auto"/>
        </w:rPr>
        <w:t>" means the agreement so entitled dated 31 July 2012 between the parties thereto.</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Second Amendment Agreement</w:t>
      </w:r>
      <w:r>
        <w:rPr>
          <w:rFonts w:ascii="Arial" w:cs="Arial" w:eastAsia="Arial" w:hAnsi="Arial"/>
          <w:sz w:val="22"/>
          <w:szCs w:val="22"/>
          <w:color w:val="auto"/>
        </w:rPr>
        <w:t>" means the agreement so entitled dated 27 June 2007 between the parties thereto.</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 Third Amendment Agreement</w:t>
      </w:r>
      <w:r>
        <w:rPr>
          <w:rFonts w:ascii="Arial" w:cs="Arial" w:eastAsia="Arial" w:hAnsi="Arial"/>
          <w:sz w:val="22"/>
          <w:szCs w:val="22"/>
          <w:color w:val="auto"/>
        </w:rPr>
        <w:t>" means the agreement so entitled dated 8 September 2009 between the parties thereto.</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Commonly Controlled Entity</w:t>
      </w:r>
      <w:r>
        <w:rPr>
          <w:rFonts w:ascii="Arial" w:cs="Arial" w:eastAsia="Arial" w:hAnsi="Arial"/>
          <w:sz w:val="22"/>
          <w:szCs w:val="22"/>
          <w:color w:val="auto"/>
        </w:rPr>
        <w:t>" means an entity, whether or not incorporated, which is under common control with any Obligor within the meaning of section 4001 of ERISA or is part of a group that includes such Person and that is treated as a single employer under section 414 of the Code.</w:t>
      </w:r>
    </w:p>
    <w:p>
      <w:pPr>
        <w:sectPr>
          <w:pgSz w:w="11900" w:h="16838" w:orient="portrait"/>
          <w:cols w:equalWidth="0" w:num="1">
            <w:col w:w="10764"/>
          </w:cols>
          <w:pgMar w:left="896" w:top="625" w:right="23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Share Pledge</w:t>
      </w:r>
      <w:r>
        <w:rPr>
          <w:rFonts w:ascii="Arial" w:cs="Arial" w:eastAsia="Arial" w:hAnsi="Arial"/>
          <w:sz w:val="22"/>
          <w:szCs w:val="22"/>
          <w:color w:val="auto"/>
        </w:rPr>
        <w:t>" means the pledge over shares in the Company dated on or about the date of this Agreement between Wynn HK, Wynn International, the Company and the Security Agent.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Compensation Proceeds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Memorandum</w:t>
      </w:r>
      <w:r>
        <w:rPr>
          <w:rFonts w:ascii="Arial" w:cs="Arial" w:eastAsia="Arial" w:hAnsi="Arial"/>
          <w:sz w:val="19"/>
          <w:szCs w:val="19"/>
          <w:color w:val="auto"/>
        </w:rPr>
        <w:t>" has the meaning given in the Common Terms Agreement Fifth Amendment Agreement.</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Completion Request</w:t>
      </w:r>
      <w:r>
        <w:rPr>
          <w:rFonts w:ascii="Arial" w:cs="Arial" w:eastAsia="Arial" w:hAnsi="Arial"/>
          <w:sz w:val="21"/>
          <w:szCs w:val="21"/>
          <w:color w:val="auto"/>
        </w:rPr>
        <w:t>" has the meaning given in the Common Terms Agreement Fifth Amendment Agreement.</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means a certificate in substantially the form set out in Schedule 15 (</w:t>
      </w:r>
      <w:r>
        <w:rPr>
          <w:rFonts w:ascii="Arial" w:cs="Arial" w:eastAsia="Arial" w:hAnsi="Arial"/>
          <w:sz w:val="22"/>
          <w:szCs w:val="22"/>
          <w:i w:val="1"/>
          <w:iCs w:val="1"/>
          <w:color w:val="auto"/>
        </w:rPr>
        <w:t>Form of Compliance</w:t>
      </w:r>
      <w:r>
        <w:rPr>
          <w:rFonts w:ascii="Arial" w:cs="Arial" w:eastAsia="Arial" w:hAnsi="Arial"/>
          <w:sz w:val="22"/>
          <w:szCs w:val="22"/>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Contract</w:t>
      </w:r>
      <w:r>
        <w:rPr>
          <w:rFonts w:ascii="Arial" w:cs="Arial" w:eastAsia="Arial" w:hAnsi="Arial"/>
          <w:sz w:val="22"/>
          <w:szCs w:val="22"/>
          <w:color w:val="auto"/>
        </w:rPr>
        <w:t>" means the concession contract dated 24 June 2002 between the Macau SAR and the Company for the operation of games of chance and other games in casinos in the Macau SAR.</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Contract Performance Bond</w:t>
      </w:r>
      <w:r>
        <w:rPr>
          <w:rFonts w:ascii="Arial" w:cs="Arial" w:eastAsia="Arial" w:hAnsi="Arial"/>
          <w:sz w:val="22"/>
          <w:szCs w:val="22"/>
          <w:color w:val="auto"/>
        </w:rPr>
        <w:t>" means the guarantee to be provided under article 61 of the Concession Contract.</w:t>
      </w:r>
    </w:p>
    <w:p>
      <w:pPr>
        <w:spacing w:after="0" w:line="162"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Confidentiality Undertaking</w:t>
      </w:r>
      <w:r>
        <w:rPr>
          <w:rFonts w:ascii="Arial" w:cs="Arial" w:eastAsia="Arial" w:hAnsi="Arial"/>
          <w:sz w:val="19"/>
          <w:szCs w:val="19"/>
          <w:color w:val="auto"/>
        </w:rPr>
        <w:t>" means a confidentiality undertaking in substantially the form set out in Part C of Schedule 11 (</w:t>
      </w:r>
      <w:r>
        <w:rPr>
          <w:rFonts w:ascii="Arial" w:cs="Arial" w:eastAsia="Arial" w:hAnsi="Arial"/>
          <w:sz w:val="19"/>
          <w:szCs w:val="19"/>
          <w:i w:val="1"/>
          <w:iCs w:val="1"/>
          <w:color w:val="auto"/>
        </w:rPr>
        <w:t>Transfers and Accession</w:t>
      </w:r>
      <w:r>
        <w:rPr>
          <w:rFonts w:ascii="Arial" w:cs="Arial" w:eastAsia="Arial" w:hAnsi="Arial"/>
          <w:sz w:val="19"/>
          <w:szCs w:val="19"/>
          <w:color w:val="auto"/>
        </w:rPr>
        <w:t>) or any other form agreed between the Company and the Intercreditor Agent.</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Construction Disbursement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w:t>
      </w:r>
      <w:r>
        <w:rPr>
          <w:rFonts w:ascii="Arial" w:cs="Arial" w:eastAsia="Arial" w:hAnsi="Arial"/>
          <w:sz w:val="22"/>
          <w:szCs w:val="22"/>
          <w:color w:val="auto"/>
        </w:rPr>
        <w:t>" has the meaning given to such term in paragraph (a) of the definition of "Specified Equity Contributions"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Administrative Fees</w:t>
      </w:r>
      <w:r>
        <w:rPr>
          <w:rFonts w:ascii="Arial" w:cs="Arial" w:eastAsia="Arial" w:hAnsi="Arial"/>
          <w:sz w:val="22"/>
          <w:szCs w:val="22"/>
          <w:color w:val="auto"/>
        </w:rPr>
        <w:t>" means any fees payable by the Company to Wynn Resorts pursuant to the Corporate Administrative Fees Agreement in respect of any corporate administrative overhead costs incurred by Wynn Resorts in relation to its management of the Wynn Resorts Group.</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Administrative Fees Agreement</w:t>
      </w:r>
      <w:r>
        <w:rPr>
          <w:rFonts w:ascii="Arial" w:cs="Arial" w:eastAsia="Arial" w:hAnsi="Arial"/>
          <w:sz w:val="21"/>
          <w:szCs w:val="21"/>
          <w:color w:val="auto"/>
        </w:rPr>
        <w:t>" means any agreement between the Company and Wynn Resorts regarding, among other things, the payment of the Company's portion of any Corporate Administrative Fees.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Services Provider</w:t>
      </w:r>
      <w:r>
        <w:rPr>
          <w:rFonts w:ascii="Arial" w:cs="Arial" w:eastAsia="Arial" w:hAnsi="Arial"/>
          <w:sz w:val="22"/>
          <w:szCs w:val="22"/>
          <w:color w:val="auto"/>
        </w:rPr>
        <w:t>" means Wynn Resorts in its capacity as a party to the Corporate Administrative Fees Agreement.</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Land Concession Contract</w:t>
      </w:r>
      <w:r>
        <w:rPr>
          <w:rFonts w:ascii="Arial" w:cs="Arial" w:eastAsia="Arial" w:hAnsi="Arial"/>
          <w:sz w:val="22"/>
          <w:szCs w:val="22"/>
          <w:color w:val="auto"/>
        </w:rPr>
        <w:t>" means the land concession contract agreed to by and between Palo, the Company and the Macau SAR dated 2 May 2012 pursuant to</w:t>
      </w:r>
    </w:p>
    <w:p>
      <w:pPr>
        <w:sectPr>
          <w:pgSz w:w="11900" w:h="16838" w:orient="portrait"/>
          <w:cols w:equalWidth="0" w:num="1">
            <w:col w:w="10760"/>
          </w:cols>
          <w:pgMar w:left="900" w:top="625" w:right="239" w:bottom="1440" w:gutter="0" w:footer="0" w:header="0"/>
        </w:sectPr>
      </w:pPr>
    </w:p>
    <w:bookmarkStart w:id="112" w:name="page113"/>
    <w:bookmarkEnd w:id="112"/>
    <w:p>
      <w:pPr>
        <w:jc w:val="both"/>
        <w:ind w:left="4" w:right="20"/>
        <w:spacing w:after="0" w:line="287" w:lineRule="auto"/>
        <w:rPr>
          <w:sz w:val="20"/>
          <w:szCs w:val="20"/>
          <w:color w:val="auto"/>
        </w:rPr>
      </w:pPr>
      <w:r>
        <w:rPr>
          <w:rFonts w:ascii="Arial" w:cs="Arial" w:eastAsia="Arial" w:hAnsi="Arial"/>
          <w:sz w:val="21"/>
          <w:szCs w:val="21"/>
          <w:color w:val="auto"/>
        </w:rPr>
        <w:t>Dispatch number 16/2012, and includes any novation, assignment, transfer or other Disposition to the Company or replacement thereof in the name of the Company in connection with a Permitted Cotai Reorganisation.</w:t>
      </w:r>
    </w:p>
    <w:p>
      <w:pPr>
        <w:spacing w:after="0" w:line="14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Mortgage</w:t>
      </w:r>
      <w:r>
        <w:rPr>
          <w:rFonts w:ascii="Arial" w:cs="Arial" w:eastAsia="Arial" w:hAnsi="Arial"/>
          <w:sz w:val="22"/>
          <w:szCs w:val="22"/>
          <w:color w:val="auto"/>
        </w:rPr>
        <w:t>" means the mortgage relating to the Cotai Site dated 15 October 2012 between Palo (or, if Palo's interest in the Cotai Site is transferred to the Company pursuant to a Permitted Cotai Reorganisation, the Company) and the Security Agent.</w:t>
      </w:r>
    </w:p>
    <w:p>
      <w:pPr>
        <w:spacing w:after="0" w:line="17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Opening Date</w:t>
      </w:r>
      <w:r>
        <w:rPr>
          <w:rFonts w:ascii="Arial" w:cs="Arial" w:eastAsia="Arial" w:hAnsi="Arial"/>
          <w:sz w:val="22"/>
          <w:szCs w:val="22"/>
          <w:color w:val="auto"/>
        </w:rPr>
        <w:t>" means the date upon which all Licenças de Ocupação required pursuant to applicable Legal Requirements in respect of the Cotai Project have been issued by the Macau SAR and the Cotai Project is open for business to the general public.</w:t>
      </w:r>
    </w:p>
    <w:p>
      <w:pPr>
        <w:spacing w:after="0" w:line="176"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Cotai Power of Attorney</w:t>
      </w:r>
      <w:r>
        <w:rPr>
          <w:rFonts w:ascii="Arial" w:cs="Arial" w:eastAsia="Arial" w:hAnsi="Arial"/>
          <w:sz w:val="19"/>
          <w:szCs w:val="19"/>
          <w:color w:val="auto"/>
        </w:rPr>
        <w:t>" means the irrevocable power of attorney dated on or about the Fifth Amendment Effective Date granted by Palo (or, if Palo's interest in the Cotai Site is transferred to the Company pursuant to a Permitted Cotai Reorganisation, the Company) in favour of the Security Agent in connection with the Cotai Mortgage.</w:t>
      </w:r>
    </w:p>
    <w:p>
      <w:pPr>
        <w:spacing w:after="0" w:line="126"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Cotai Project</w:t>
      </w:r>
      <w:r>
        <w:rPr>
          <w:rFonts w:ascii="Arial" w:cs="Arial" w:eastAsia="Arial" w:hAnsi="Arial"/>
          <w:sz w:val="21"/>
          <w:szCs w:val="21"/>
          <w:color w:val="auto"/>
        </w:rPr>
        <w:t>" means a luxury hotel resort, retail and entertainment complex and casino facilities known as "</w:t>
      </w:r>
      <w:r>
        <w:rPr>
          <w:rFonts w:ascii="Arial" w:cs="Arial" w:eastAsia="Arial" w:hAnsi="Arial"/>
          <w:sz w:val="21"/>
          <w:szCs w:val="21"/>
          <w:b w:val="1"/>
          <w:bCs w:val="1"/>
          <w:color w:val="auto"/>
        </w:rPr>
        <w:t>Wynn</w:t>
      </w:r>
      <w:r>
        <w:rPr>
          <w:rFonts w:ascii="Arial" w:cs="Arial" w:eastAsia="Arial" w:hAnsi="Arial"/>
          <w:sz w:val="21"/>
          <w:szCs w:val="21"/>
          <w:color w:val="auto"/>
        </w:rPr>
        <w:t xml:space="preserve"> </w:t>
      </w:r>
      <w:r>
        <w:rPr>
          <w:rFonts w:ascii="Arial" w:cs="Arial" w:eastAsia="Arial" w:hAnsi="Arial"/>
          <w:sz w:val="21"/>
          <w:szCs w:val="21"/>
          <w:b w:val="1"/>
          <w:bCs w:val="1"/>
          <w:color w:val="auto"/>
        </w:rPr>
        <w:t>Palace</w:t>
      </w:r>
      <w:r>
        <w:rPr>
          <w:rFonts w:ascii="Arial" w:cs="Arial" w:eastAsia="Arial" w:hAnsi="Arial"/>
          <w:sz w:val="21"/>
          <w:szCs w:val="21"/>
          <w:color w:val="auto"/>
        </w:rPr>
        <w:t>" being designed, developed and constructed, and to be operated and maintained, on land leased under the Cotai Land</w:t>
      </w:r>
      <w:r>
        <w:rPr>
          <w:rFonts w:ascii="Arial" w:cs="Arial" w:eastAsia="Arial" w:hAnsi="Arial"/>
          <w:sz w:val="21"/>
          <w:szCs w:val="21"/>
          <w:b w:val="1"/>
          <w:bCs w:val="1"/>
          <w:color w:val="auto"/>
        </w:rPr>
        <w:t xml:space="preserve"> </w:t>
      </w:r>
      <w:r>
        <w:rPr>
          <w:rFonts w:ascii="Arial" w:cs="Arial" w:eastAsia="Arial" w:hAnsi="Arial"/>
          <w:sz w:val="21"/>
          <w:szCs w:val="21"/>
          <w:color w:val="auto"/>
        </w:rPr>
        <w:t>Concession Contract (excluding any Excluded Project located on a portion of the Cotai Site).</w:t>
      </w:r>
    </w:p>
    <w:p>
      <w:pPr>
        <w:spacing w:after="0" w:line="159"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Resort Management Agreement</w:t>
      </w:r>
      <w:r>
        <w:rPr>
          <w:rFonts w:ascii="Arial" w:cs="Arial" w:eastAsia="Arial" w:hAnsi="Arial"/>
          <w:sz w:val="22"/>
          <w:szCs w:val="22"/>
          <w:color w:val="auto"/>
        </w:rPr>
        <w:t>" means any agreement entered into by the Company and/or Palo (that does not conflict with the Cotai Land Concession Contract and all other applicable Legal Requirements) with an Excluded Subsidiary or other third party in connection with the use by such Excluded Subsidiary or other third party of a portion of the Cotai Site for the purposes of an Excluded Project.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w:t>
      </w:r>
      <w:r>
        <w:rPr>
          <w:rFonts w:ascii="Arial" w:cs="Arial" w:eastAsia="Arial" w:hAnsi="Arial"/>
          <w:sz w:val="22"/>
          <w:szCs w:val="22"/>
          <w:color w:val="auto"/>
        </w:rPr>
        <w:t>" means the land described in the Cotai Land Concession Contract.</w:t>
      </w:r>
    </w:p>
    <w:p>
      <w:pPr>
        <w:spacing w:after="0" w:line="22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 Easements</w:t>
      </w:r>
      <w:r>
        <w:rPr>
          <w:rFonts w:ascii="Arial" w:cs="Arial" w:eastAsia="Arial" w:hAnsi="Arial"/>
          <w:sz w:val="22"/>
          <w:szCs w:val="22"/>
          <w:color w:val="auto"/>
        </w:rPr>
        <w:t>" means the easements appurtenant, easements in gross, licence agreements and other rights running for the benefit of Palo (or, if Palo's interest in the Cotai Site is transferred to the Company pursuant to a Permitted Cotai Reorganisation, the Company) and/or appurtenant to the Cotai Site.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 Facilities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Cotai Site;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Project Works (whether completed or uncompleted) in respect of the Cotai Project.</w:t>
      </w:r>
    </w:p>
    <w:p>
      <w:pPr>
        <w:spacing w:after="0" w:line="21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CP Satisfaction Date</w:t>
      </w:r>
      <w:r>
        <w:rPr>
          <w:rFonts w:ascii="Arial" w:cs="Arial" w:eastAsia="Arial" w:hAnsi="Arial"/>
          <w:sz w:val="19"/>
          <w:szCs w:val="19"/>
          <w:color w:val="auto"/>
        </w:rPr>
        <w:t>" means the date on which all conditions precedent (as set out in Part A of Schedule 2 (</w:t>
      </w:r>
      <w:r>
        <w:rPr>
          <w:rFonts w:ascii="Arial" w:cs="Arial" w:eastAsia="Arial" w:hAnsi="Arial"/>
          <w:sz w:val="19"/>
          <w:szCs w:val="19"/>
          <w:i w:val="1"/>
          <w:iCs w:val="1"/>
          <w:color w:val="auto"/>
        </w:rPr>
        <w:t>Conditions</w:t>
      </w:r>
      <w:r>
        <w:rPr>
          <w:rFonts w:ascii="Arial" w:cs="Arial" w:eastAsia="Arial" w:hAnsi="Arial"/>
          <w:sz w:val="19"/>
          <w:szCs w:val="19"/>
          <w:color w:val="auto"/>
        </w:rPr>
        <w:t xml:space="preserve"> </w:t>
      </w:r>
      <w:r>
        <w:rPr>
          <w:rFonts w:ascii="Arial" w:cs="Arial" w:eastAsia="Arial" w:hAnsi="Arial"/>
          <w:sz w:val="19"/>
          <w:szCs w:val="19"/>
          <w:i w:val="1"/>
          <w:iCs w:val="1"/>
          <w:color w:val="auto"/>
        </w:rPr>
        <w:t>Precedent</w:t>
      </w:r>
      <w:r>
        <w:rPr>
          <w:rFonts w:ascii="Arial" w:cs="Arial" w:eastAsia="Arial" w:hAnsi="Arial"/>
          <w:sz w:val="19"/>
          <w:szCs w:val="19"/>
          <w:color w:val="auto"/>
        </w:rPr>
        <w:t>) as at the Fourth Amendment Effective Date) have been satisfied in accordance with (and as set out in) sub-clause 2.1.2 of Clause 2.1 (</w:t>
      </w:r>
      <w:r>
        <w:rPr>
          <w:rFonts w:ascii="Arial" w:cs="Arial" w:eastAsia="Arial" w:hAnsi="Arial"/>
          <w:sz w:val="19"/>
          <w:szCs w:val="19"/>
          <w:i w:val="1"/>
          <w:iCs w:val="1"/>
          <w:color w:val="auto"/>
        </w:rPr>
        <w:t>Conditions Precedent to the CP Satisfaction Date</w:t>
      </w:r>
      <w:r>
        <w:rPr>
          <w:rFonts w:ascii="Arial" w:cs="Arial" w:eastAsia="Arial" w:hAnsi="Arial"/>
          <w:sz w:val="19"/>
          <w:szCs w:val="19"/>
          <w:color w:val="auto"/>
        </w:rPr>
        <w:t>) as at the Fourth Amendment Effective Date.</w:t>
      </w:r>
    </w:p>
    <w:p>
      <w:pPr>
        <w:spacing w:after="0" w:line="12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Assets</w:t>
      </w:r>
      <w:r>
        <w:rPr>
          <w:rFonts w:ascii="Arial" w:cs="Arial" w:eastAsia="Arial" w:hAnsi="Arial"/>
          <w:sz w:val="22"/>
          <w:szCs w:val="22"/>
          <w:color w:val="auto"/>
        </w:rPr>
        <w:t>" means, at any date, all amounts (other than cash) which would, in conformity with applicable GAAP, be set forth opposite the caption "total current</w:t>
      </w:r>
    </w:p>
    <w:p>
      <w:pPr>
        <w:sectPr>
          <w:pgSz w:w="11900" w:h="16838" w:orient="portrait"/>
          <w:cols w:equalWidth="0" w:num="1">
            <w:col w:w="10764"/>
          </w:cols>
          <w:pgMar w:left="896" w:top="631" w:right="239" w:bottom="1440" w:gutter="0" w:footer="0" w:header="0"/>
        </w:sectPr>
      </w:pPr>
    </w:p>
    <w:bookmarkStart w:id="113" w:name="page114"/>
    <w:bookmarkEnd w:id="113"/>
    <w:p>
      <w:pPr>
        <w:jc w:val="both"/>
        <w:ind w:left="4"/>
        <w:spacing w:after="0" w:line="263" w:lineRule="auto"/>
        <w:rPr>
          <w:sz w:val="20"/>
          <w:szCs w:val="20"/>
          <w:color w:val="auto"/>
        </w:rPr>
      </w:pPr>
      <w:r>
        <w:rPr>
          <w:rFonts w:ascii="Arial" w:cs="Arial" w:eastAsia="Arial" w:hAnsi="Arial"/>
          <w:sz w:val="21"/>
          <w:szCs w:val="21"/>
          <w:color w:val="auto"/>
        </w:rPr>
        <w:t>assets"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increasing Current Assets and (ii) is in any way derived from or attributable or otherwise connected with an Excluded Project, an Excluded Subsidiary, a Resort Management Agreement, the grant of any Subconcession or any interest, right or claim in respect thereof).</w:t>
      </w:r>
    </w:p>
    <w:p>
      <w:pPr>
        <w:spacing w:after="0" w:line="170"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Liabilities</w:t>
      </w:r>
      <w:r>
        <w:rPr>
          <w:rFonts w:ascii="Arial" w:cs="Arial" w:eastAsia="Arial" w:hAnsi="Arial"/>
          <w:sz w:val="22"/>
          <w:szCs w:val="22"/>
          <w:color w:val="auto"/>
        </w:rPr>
        <w:t>" means, at any date, all amounts that would, in conformity with applicable GAAP, be set forth opposite the caption "total current liabilities"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reducing Current Liabilities and (ii) is in any way derived from or attributable or otherwise connected with an Excluded Project, an Excluded Subsidiary, a Resort Management Agreement, the grant of any Subconcession or any interest, right or claim in respect thereof), but excluding:</w:t>
      </w:r>
    </w:p>
    <w:p>
      <w:pPr>
        <w:spacing w:after="0" w:line="196" w:lineRule="exact"/>
        <w:rPr>
          <w:sz w:val="20"/>
          <w:szCs w:val="20"/>
          <w:color w:val="auto"/>
        </w:rPr>
      </w:pPr>
    </w:p>
    <w:p>
      <w:pPr>
        <w:ind w:left="644" w:hanging="644"/>
        <w:spacing w:after="0"/>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current portion of any Funded Debt of any member of the Restricted Group; and</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without duplication of paragraph (a) above, all Financial Indebtedness consisting of Revolving Credit Facilities Advances to the extent otherwise included therein.</w:t>
      </w:r>
    </w:p>
    <w:p>
      <w:pPr>
        <w:spacing w:after="0" w:line="16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Debenture</w:t>
      </w:r>
      <w:r>
        <w:rPr>
          <w:rFonts w:ascii="Arial" w:cs="Arial" w:eastAsia="Arial" w:hAnsi="Arial"/>
          <w:sz w:val="22"/>
          <w:szCs w:val="22"/>
          <w:color w:val="auto"/>
        </w:rPr>
        <w:t>" means the debenture so entitled dated on or about the date of this Agreement between the Company and the Security Agent.</w:t>
      </w:r>
    </w:p>
    <w:p>
      <w:pPr>
        <w:spacing w:after="0" w:line="162"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Decision</w:t>
      </w:r>
      <w:r>
        <w:rPr>
          <w:rFonts w:ascii="Arial" w:cs="Arial" w:eastAsia="Arial" w:hAnsi="Arial"/>
          <w:sz w:val="19"/>
          <w:szCs w:val="19"/>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Decision Date</w:t>
      </w:r>
      <w:r>
        <w:rPr>
          <w:rFonts w:ascii="Arial" w:cs="Arial" w:eastAsia="Arial" w:hAnsi="Arial"/>
          <w:sz w:val="22"/>
          <w:szCs w:val="22"/>
          <w:color w:val="auto"/>
        </w:rPr>
        <w:t>" has the meaning given in Clause 33.1 (</w:t>
      </w:r>
      <w:r>
        <w:rPr>
          <w:rFonts w:ascii="Arial" w:cs="Arial" w:eastAsia="Arial" w:hAnsi="Arial"/>
          <w:sz w:val="22"/>
          <w:szCs w:val="22"/>
          <w:i w:val="1"/>
          <w:iCs w:val="1"/>
          <w:color w:val="auto"/>
        </w:rPr>
        <w:t>Notices of Required Decisions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Deed of Appointment and Priority</w:t>
      </w:r>
      <w:r>
        <w:rPr>
          <w:rFonts w:ascii="Arial" w:cs="Arial" w:eastAsia="Arial" w:hAnsi="Arial"/>
          <w:sz w:val="19"/>
          <w:szCs w:val="19"/>
          <w:color w:val="auto"/>
        </w:rPr>
        <w:t>" means the deed so entitled dated on or about the date of this Agreement between, among others, the Lenders, the Performance Bond Provider, the Company, the Agents and the Security Agent.</w:t>
      </w:r>
    </w:p>
    <w:p>
      <w:pPr>
        <w:spacing w:after="0" w:line="9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 Event of Default or any event or circumstance specified in Schedule 10 (</w:t>
      </w:r>
      <w:r>
        <w:rPr>
          <w:rFonts w:ascii="Arial" w:cs="Arial" w:eastAsia="Arial" w:hAnsi="Arial"/>
          <w:sz w:val="21"/>
          <w:szCs w:val="21"/>
          <w:i w:val="1"/>
          <w:iCs w:val="1"/>
          <w:color w:val="auto"/>
        </w:rPr>
        <w:t>Events of Default</w:t>
      </w:r>
      <w:r>
        <w:rPr>
          <w:rFonts w:ascii="Arial" w:cs="Arial" w:eastAsia="Arial" w:hAnsi="Arial"/>
          <w:sz w:val="21"/>
          <w:szCs w:val="21"/>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Lender</w:t>
      </w:r>
      <w:r>
        <w:rPr>
          <w:rFonts w:ascii="Arial" w:cs="Arial" w:eastAsia="Arial" w:hAnsi="Arial"/>
          <w:sz w:val="22"/>
          <w:szCs w:val="22"/>
          <w:color w:val="auto"/>
        </w:rPr>
        <w:t>" means any Lender:</w:t>
      </w:r>
    </w:p>
    <w:p>
      <w:pPr>
        <w:spacing w:after="0" w:line="226" w:lineRule="exact"/>
        <w:rPr>
          <w:sz w:val="20"/>
          <w:szCs w:val="20"/>
          <w:color w:val="auto"/>
        </w:rPr>
      </w:pPr>
    </w:p>
    <w:p>
      <w:pPr>
        <w:ind w:left="644" w:hanging="644"/>
        <w:spacing w:after="0"/>
        <w:tabs>
          <w:tab w:leader="none" w:pos="6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which has rescinded or repudiated a Finance Document;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with respect to which an Insolvency Event has occurred and is continuing.</w:t>
      </w:r>
    </w:p>
    <w:p>
      <w:pPr>
        <w:sectPr>
          <w:pgSz w:w="11900" w:h="16838" w:orient="portrait"/>
          <w:cols w:equalWidth="0" w:num="1">
            <w:col w:w="10764"/>
          </w:cols>
          <w:pgMar w:left="896" w:top="631" w:right="239" w:bottom="1440" w:gutter="0" w:footer="0" w:header="0"/>
        </w:sectPr>
      </w:pPr>
    </w:p>
    <w:bookmarkStart w:id="114" w:name="page115"/>
    <w:bookmarkEnd w:id="114"/>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Derivatives Counterparty</w:t>
      </w:r>
      <w:r>
        <w:rPr>
          <w:rFonts w:ascii="Arial" w:cs="Arial" w:eastAsia="Arial" w:hAnsi="Arial"/>
          <w:sz w:val="22"/>
          <w:szCs w:val="22"/>
          <w:color w:val="auto"/>
        </w:rPr>
        <w:t>" has the meaning given in paragraph 6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Jurisdiction</w:t>
      </w:r>
      <w:r>
        <w:rPr>
          <w:rFonts w:ascii="Arial" w:cs="Arial" w:eastAsia="Arial" w:hAnsi="Arial"/>
          <w:sz w:val="22"/>
          <w:szCs w:val="22"/>
          <w:color w:val="auto"/>
        </w:rPr>
        <w:t>" means, at any time, any country, region or territory to the extent that such country, region or territory (or portion thereof) itself is the subject of any Sanctions.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Person</w:t>
      </w:r>
      <w:r>
        <w:rPr>
          <w:rFonts w:ascii="Arial" w:cs="Arial" w:eastAsia="Arial" w:hAnsi="Arial"/>
          <w:sz w:val="22"/>
          <w:szCs w:val="22"/>
          <w:color w:val="auto"/>
        </w:rPr>
        <w:t>" means a Person:</w:t>
      </w:r>
    </w:p>
    <w:p>
      <w:pPr>
        <w:spacing w:after="0" w:line="226" w:lineRule="exact"/>
        <w:rPr>
          <w:sz w:val="20"/>
          <w:szCs w:val="20"/>
          <w:color w:val="auto"/>
        </w:rPr>
      </w:pPr>
    </w:p>
    <w:p>
      <w:pPr>
        <w:ind w:left="644" w:hanging="644"/>
        <w:spacing w:after="0"/>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listed in the annex to, or otherwise subject to the provisions of, the Executive Order;</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named as a "Specially Designated National and Blocked Person" on the most current list published by Office of Foreign Assets Control of the U.S. Department of the Treasury at its official website or any replacement website or other replacement official publication of such list; or</w:t>
      </w:r>
    </w:p>
    <w:p>
      <w:pPr>
        <w:spacing w:after="0" w:line="185" w:lineRule="exact"/>
        <w:rPr>
          <w:rFonts w:ascii="Arial" w:cs="Arial" w:eastAsia="Arial" w:hAnsi="Arial"/>
          <w:sz w:val="22"/>
          <w:szCs w:val="22"/>
          <w:color w:val="auto"/>
        </w:rPr>
      </w:pPr>
    </w:p>
    <w:p>
      <w:pPr>
        <w:jc w:val="both"/>
        <w:ind w:left="644" w:hanging="644"/>
        <w:spacing w:after="0" w:line="261" w:lineRule="auto"/>
        <w:tabs>
          <w:tab w:leader="none" w:pos="64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with which any Lender is prohibited from dealing or otherwise engaging in any transaction by any Anti-Terrorism Law or who or which is the subject of any Sanctions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Person is named as a "prohibited person", "prohibited entity" or equivalent or, as the case may be, who or which is named as a Person that is the subject of any Sanctions (in each case) on any list published by any Governmental Authority (including, without limitation, the authorities referred to in the definition of "Sanctions"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 pursuant to or otherwise in connection with any Anti-Terrorism Laws or any Sanctions.</w:t>
      </w:r>
    </w:p>
    <w:p>
      <w:pPr>
        <w:spacing w:after="0" w:line="17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Development Accounts</w:t>
      </w:r>
      <w:r>
        <w:rPr>
          <w:rFonts w:ascii="Arial" w:cs="Arial" w:eastAsia="Arial" w:hAnsi="Arial"/>
          <w:sz w:val="22"/>
          <w:szCs w:val="22"/>
          <w:color w:val="auto"/>
        </w:rPr>
        <w:t>" means each Development Account (as defined in each of the Term Facility Agreement and the Revolving Facility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DICJ Authorisation</w:t>
      </w:r>
      <w:r>
        <w:rPr>
          <w:rFonts w:ascii="Arial" w:cs="Arial" w:eastAsia="Arial" w:hAnsi="Arial"/>
          <w:sz w:val="22"/>
          <w:szCs w:val="22"/>
          <w:color w:val="auto"/>
        </w:rPr>
        <w:t>" means:</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approval by the Macau SAR government of the financial indebtedness in respect of the Term Facility and the Revolving Credit Facility, as set forth in the submission made by the Company to the Macau SAR government on 24 August 2015;</w:t>
      </w:r>
    </w:p>
    <w:p>
      <w:pPr>
        <w:spacing w:after="0" w:line="18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Macau SAR government having confirmed that the Gaming Concession Consent Agreement and the Land Concession Consent Agreement (as amended, consolidated, supplemented, novated or replaced from time to time) continue to apply with respect to such financial indebtedness; and</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the Company requests an Advance under an Additional Lender Facility:</w:t>
      </w:r>
    </w:p>
    <w:p>
      <w:pPr>
        <w:spacing w:after="0" w:line="219"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approval by the Macau SAR government of the financial indebtedness in respect of the Additional Lender Facility, as set forth in the submission made by the Company to the Macau SAR government in connection therewith; and</w:t>
      </w:r>
    </w:p>
    <w:p>
      <w:pPr>
        <w:sectPr>
          <w:pgSz w:w="11900" w:h="16838" w:orient="portrait"/>
          <w:cols w:equalWidth="0" w:num="1">
            <w:col w:w="10764"/>
          </w:cols>
          <w:pgMar w:left="896" w:top="625" w:right="239" w:bottom="1440" w:gutter="0" w:footer="0" w:header="0"/>
        </w:sectPr>
      </w:pPr>
    </w:p>
    <w:bookmarkStart w:id="115" w:name="page116"/>
    <w:bookmarkEnd w:id="115"/>
    <w:p>
      <w:pPr>
        <w:jc w:val="both"/>
        <w:ind w:left="1304" w:hanging="655"/>
        <w:spacing w:after="0" w:line="271" w:lineRule="auto"/>
        <w:tabs>
          <w:tab w:leader="none" w:pos="130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Macau SAR government having confirmed that the Gaming Concession Consent Agreement and the Land Concession Consent Agreement (as amended, consolidated, supplemented, novated or replaced from time to time) continue to apply with respect to such financial indebtedness.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Agreements</w:t>
      </w:r>
      <w:r>
        <w:rPr>
          <w:rFonts w:ascii="Arial" w:cs="Arial" w:eastAsia="Arial" w:hAnsi="Arial"/>
          <w:sz w:val="22"/>
          <w:szCs w:val="22"/>
          <w:color w:val="auto"/>
        </w:rPr>
        <w:t>" means each of the following documents:</w:t>
      </w:r>
    </w:p>
    <w:p>
      <w:pPr>
        <w:spacing w:after="0" w:line="226" w:lineRule="exact"/>
        <w:rPr>
          <w:sz w:val="20"/>
          <w:szCs w:val="20"/>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Gaming Concession Consent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Land Concession Consent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Account Bank Notices and Acknowledgements;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Insurer Notices and Acknowledgements.</w:t>
      </w:r>
    </w:p>
    <w:p>
      <w:pPr>
        <w:spacing w:after="0" w:line="21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 Insurances</w:t>
      </w:r>
      <w:r>
        <w:rPr>
          <w:rFonts w:ascii="Arial" w:cs="Arial" w:eastAsia="Arial" w:hAnsi="Arial"/>
          <w:sz w:val="19"/>
          <w:szCs w:val="19"/>
          <w:color w:val="auto"/>
        </w:rPr>
        <w:t>" means a contract or policy of insurance of any kind from time to time taken out or effected by on behalf of or in favour of the Company or any other member of the Restricted Group (whether or not in conjunction with any other Person) with one or more insurers in accordance with the terms of paragraph 10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Insurer</w:t>
      </w:r>
      <w:r>
        <w:rPr>
          <w:rFonts w:ascii="Arial" w:cs="Arial" w:eastAsia="Arial" w:hAnsi="Arial"/>
          <w:sz w:val="22"/>
          <w:szCs w:val="22"/>
          <w:color w:val="auto"/>
        </w:rPr>
        <w:t>" means the insurer(s) with whom a Direct Insurance is placed from time to time in accordance with paragraph 10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with respect to any Property, any sale, lease, sale and leaseback, assignment, conveyance, transfer or other disposition thereof (whether legal or equitable); and the terms "Dispose", "Disposed" and "Disposed of" shall have correlative meanings.</w:t>
      </w:r>
    </w:p>
    <w:p>
      <w:pPr>
        <w:spacing w:after="0" w:line="176"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Stock</w:t>
      </w:r>
      <w:r>
        <w:rPr>
          <w:rFonts w:ascii="Arial" w:cs="Arial" w:eastAsia="Arial" w:hAnsi="Arial"/>
          <w:sz w:val="19"/>
          <w:szCs w:val="19"/>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12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EBITDA</w:t>
      </w:r>
      <w:r>
        <w:rPr>
          <w:rFonts w:ascii="Arial" w:cs="Arial" w:eastAsia="Arial" w:hAnsi="Arial"/>
          <w:sz w:val="22"/>
          <w:szCs w:val="22"/>
          <w:color w:val="auto"/>
        </w:rPr>
        <w:t xml:space="preserve">" means, in relation to any period, the Net Income of the Restricted Group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and to the extent reflected as a charge in the Company's statement of such Net Income for such period, the sum of:</w:t>
      </w:r>
    </w:p>
    <w:p>
      <w:pPr>
        <w:spacing w:after="0" w:line="182" w:lineRule="exact"/>
        <w:rPr>
          <w:sz w:val="20"/>
          <w:szCs w:val="20"/>
          <w:color w:val="auto"/>
        </w:rPr>
      </w:pPr>
    </w:p>
    <w:p>
      <w:pPr>
        <w:ind w:left="644" w:hanging="644"/>
        <w:spacing w:after="0"/>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income Tax expense (whether or not paid during such period) other than Tax on gross gaming revenue;</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amortization or write-off of debt discount and debt issuance costs and interest, commissions, discounts and other fees and charges associated with Financial Indebtedness (including the Advances);</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depreciation and amortization expense;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amortization of intangibles (including goodwill);</w:t>
      </w:r>
    </w:p>
    <w:p>
      <w:pPr>
        <w:sectPr>
          <w:pgSz w:w="11900" w:h="16838" w:orient="portrait"/>
          <w:cols w:equalWidth="0" w:num="1">
            <w:col w:w="10764"/>
          </w:cols>
          <w:pgMar w:left="896" w:top="631" w:right="239" w:bottom="1440" w:gutter="0" w:footer="0" w:header="0"/>
        </w:sectPr>
      </w:pPr>
    </w:p>
    <w:bookmarkStart w:id="116" w:name="page117"/>
    <w:bookmarkEnd w:id="116"/>
    <w:p>
      <w:pPr>
        <w:ind w:left="644" w:hanging="644"/>
        <w:spacing w:after="0" w:line="263" w:lineRule="auto"/>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 amount equal to the aggregate net non-cash loss on the Disposition of Property during such period (other than sales of inventory in the ordinary course of business);</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extraordinary expenses or losses;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foreign currency translation losses;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corporate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expense that is non-recurring in nature;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pre-opening and development expenses;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Approved IP Fees paid in accordance with paragraph 6.1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Specified Equity Contributions,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minus</w:t>
      </w:r>
      <w:r>
        <w:rPr>
          <w:rFonts w:ascii="Arial" w:cs="Arial" w:eastAsia="Arial" w:hAnsi="Arial"/>
          <w:sz w:val="19"/>
          <w:szCs w:val="19"/>
          <w:color w:val="auto"/>
        </w:rPr>
        <w:t>, without duplication and to the extent included in the statement of such Net Income for such period, the sum of:</w:t>
      </w:r>
    </w:p>
    <w:p>
      <w:pPr>
        <w:spacing w:after="0" w:line="254" w:lineRule="exact"/>
        <w:rPr>
          <w:sz w:val="20"/>
          <w:szCs w:val="20"/>
          <w:color w:val="auto"/>
        </w:rPr>
      </w:pPr>
    </w:p>
    <w:p>
      <w:pPr>
        <w:ind w:left="644" w:hanging="644"/>
        <w:spacing w:after="0"/>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interest income;</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amount equal to the aggregate net non-cash gain on the Disposition of Property during such period (other than sales of inventory in the ordinary course of business);</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extraordinary income or gains;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foreign currency translation gains; and</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upfront premium or similar income or gains derived from, or in connection with the grant of, any Subconcession,</w:t>
      </w:r>
    </w:p>
    <w:p>
      <w:pPr>
        <w:spacing w:after="0" w:line="175" w:lineRule="exact"/>
        <w:rPr>
          <w:sz w:val="20"/>
          <w:szCs w:val="20"/>
          <w:color w:val="auto"/>
        </w:rPr>
      </w:pPr>
    </w:p>
    <w:p>
      <w:pPr>
        <w:jc w:val="both"/>
        <w:ind w:left="4"/>
        <w:spacing w:after="0" w:line="263" w:lineRule="auto"/>
        <w:rPr>
          <w:sz w:val="20"/>
          <w:szCs w:val="20"/>
          <w:color w:val="auto"/>
        </w:rPr>
      </w:pPr>
      <w:r>
        <w:rPr>
          <w:rFonts w:ascii="Arial" w:cs="Arial" w:eastAsia="Arial" w:hAnsi="Arial"/>
          <w:sz w:val="21"/>
          <w:szCs w:val="21"/>
          <w:color w:val="auto"/>
        </w:rPr>
        <w:t>all (including Net Income) as determined on a consolidated basis which includes members of the Restricted Group only (and which, for the avoidance of doubt, does not take account of any amount to the extent it (i) would otherwise have the effect of increasing EBITDA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applicable GAAP.</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ECF Percentage</w:t>
      </w:r>
      <w:r>
        <w:rPr>
          <w:rFonts w:ascii="Arial" w:cs="Arial" w:eastAsia="Arial" w:hAnsi="Arial"/>
          <w:sz w:val="22"/>
          <w:szCs w:val="22"/>
          <w:color w:val="auto"/>
        </w:rPr>
        <w:t>" means, with respect to any period:</w:t>
      </w:r>
    </w:p>
    <w:p>
      <w:pPr>
        <w:spacing w:after="0" w:line="226" w:lineRule="exact"/>
        <w:rPr>
          <w:sz w:val="20"/>
          <w:szCs w:val="20"/>
          <w:color w:val="auto"/>
        </w:rPr>
      </w:pPr>
    </w:p>
    <w:p>
      <w:pPr>
        <w:ind w:left="644" w:hanging="644"/>
        <w:spacing w:after="0"/>
        <w:tabs>
          <w:tab w:leader="none" w:pos="64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25% of the Excess Cash Flow if the Leverage Ratio as of the last day of such period is greater than 4.5:1; or</w:t>
      </w:r>
    </w:p>
    <w:p>
      <w:pPr>
        <w:spacing w:after="0" w:line="231" w:lineRule="exact"/>
        <w:rPr>
          <w:rFonts w:ascii="Arial" w:cs="Arial" w:eastAsia="Arial" w:hAnsi="Arial"/>
          <w:sz w:val="21"/>
          <w:szCs w:val="21"/>
          <w:color w:val="auto"/>
        </w:rPr>
      </w:pPr>
    </w:p>
    <w:p>
      <w:pPr>
        <w:ind w:left="644" w:hanging="644"/>
        <w:spacing w:after="0"/>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zero if the Leverage Ratio as of the last day of such period is 4.5:1 or less.</w:t>
      </w:r>
    </w:p>
    <w:p>
      <w:pPr>
        <w:sectPr>
          <w:pgSz w:w="11900" w:h="16838" w:orient="portrait"/>
          <w:cols w:equalWidth="0" w:num="1">
            <w:col w:w="10764"/>
          </w:cols>
          <w:pgMar w:left="896" w:top="631" w:right="239" w:bottom="1440" w:gutter="0" w:footer="0" w:header="0"/>
        </w:sectPr>
      </w:pPr>
    </w:p>
    <w:bookmarkStart w:id="117" w:name="page118"/>
    <w:bookmarkEnd w:id="117"/>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Fifth Amendment Effective Date.</w:t>
      </w:r>
    </w:p>
    <w:p>
      <w:pPr>
        <w:spacing w:after="0" w:line="220"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Eminent Domain Proceeds</w:t>
      </w:r>
      <w:r>
        <w:rPr>
          <w:rFonts w:ascii="Arial" w:cs="Arial" w:eastAsia="Arial" w:hAnsi="Arial"/>
          <w:sz w:val="19"/>
          <w:szCs w:val="19"/>
          <w:color w:val="auto"/>
        </w:rPr>
        <w:t>" means all amounts and proceeds (including monetary instruments) received in respect of any Event of Eminent Domain relating to any member of the Restricted Group or any of its assets, less any costs or expenses incurred by any member of the Restricted Group or its agents in collecting such amounts and proceeds.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Notice</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jc w:val="both"/>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Enforcement Proceeds</w:t>
      </w:r>
      <w:r>
        <w:rPr>
          <w:rFonts w:ascii="Arial" w:cs="Arial" w:eastAsia="Arial" w:hAnsi="Arial"/>
          <w:sz w:val="19"/>
          <w:szCs w:val="19"/>
          <w:color w:val="auto"/>
        </w:rPr>
        <w:t>" means all moneys received or recovered by the Security Agent after the Security has become enforceable in accordance with the terms of the Security Documents from the exercise or enforcement of the Security.</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w:t>
      </w:r>
      <w:r>
        <w:rPr>
          <w:rFonts w:ascii="Arial" w:cs="Arial" w:eastAsia="Arial" w:hAnsi="Arial"/>
          <w:sz w:val="22"/>
          <w:szCs w:val="22"/>
          <w:color w:val="auto"/>
        </w:rPr>
        <w:t>" means land, including any natural or man-made structures; water; and air.</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w:t>
      </w:r>
      <w:r>
        <w:rPr>
          <w:rFonts w:ascii="Arial" w:cs="Arial" w:eastAsia="Arial" w:hAnsi="Arial"/>
          <w:sz w:val="22"/>
          <w:szCs w:val="22"/>
          <w:color w:val="auto"/>
        </w:rPr>
        <w:t>" means any formal claim by any Person as a result of or in connection with any material violation of Environmental Law which claim could reasonably be expected to give rise to any remedy or penalty (whether interim or final) or liability for any member of the Restricted Group or any Senior Secured Creditor (in its capacity as such in the transactions contemplated by the Senior Finance Documents).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means any law or regulation of the Macau SAR with regard to:</w:t>
      </w:r>
    </w:p>
    <w:p>
      <w:pPr>
        <w:spacing w:after="0" w:line="226" w:lineRule="exact"/>
        <w:rPr>
          <w:sz w:val="20"/>
          <w:szCs w:val="20"/>
          <w:color w:val="auto"/>
        </w:rPr>
      </w:pPr>
    </w:p>
    <w:p>
      <w:pPr>
        <w:ind w:left="644" w:hanging="644"/>
        <w:spacing w:after="0"/>
        <w:tabs>
          <w:tab w:leader="none" w:pos="6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harm to the health of humans;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pollution or protection of the Environment.</w:t>
      </w:r>
    </w:p>
    <w:p>
      <w:pPr>
        <w:spacing w:after="0" w:line="214"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Licence</w:t>
      </w:r>
      <w:r>
        <w:rPr>
          <w:rFonts w:ascii="Arial" w:cs="Arial" w:eastAsia="Arial" w:hAnsi="Arial"/>
          <w:sz w:val="22"/>
          <w:szCs w:val="22"/>
          <w:color w:val="auto"/>
        </w:rPr>
        <w:t>" means any material permit, licence, approval, registration, notification, exemption or any other authorisation required under any Environmental Law.</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w:t>
      </w:r>
      <w:r>
        <w:rPr>
          <w:rFonts w:ascii="Arial" w:cs="Arial" w:eastAsia="Arial" w:hAnsi="Arial"/>
          <w:sz w:val="22"/>
          <w:szCs w:val="22"/>
          <w:color w:val="auto"/>
        </w:rPr>
        <w:t>" means, at any time, the aggregate of the US dollar equivalents of:</w:t>
      </w:r>
    </w:p>
    <w:p>
      <w:pPr>
        <w:spacing w:after="0" w:line="226" w:lineRule="exact"/>
        <w:rPr>
          <w:sz w:val="20"/>
          <w:szCs w:val="20"/>
          <w:color w:val="auto"/>
        </w:rPr>
      </w:pPr>
    </w:p>
    <w:p>
      <w:pPr>
        <w:ind w:left="644" w:hanging="644"/>
        <w:spacing w:after="0"/>
        <w:tabs>
          <w:tab w:leader="none" w:pos="6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amounts paid up by the Shareholders by way of subscription for shares in the Company; and</w:t>
      </w:r>
    </w:p>
    <w:p>
      <w:pPr>
        <w:spacing w:after="0" w:line="219" w:lineRule="exact"/>
        <w:rPr>
          <w:rFonts w:ascii="Arial" w:cs="Arial" w:eastAsia="Arial" w:hAnsi="Arial"/>
          <w:sz w:val="22"/>
          <w:szCs w:val="22"/>
          <w:color w:val="auto"/>
        </w:rPr>
      </w:pPr>
    </w:p>
    <w:p>
      <w:pPr>
        <w:ind w:left="4" w:right="1580" w:hanging="4"/>
        <w:spacing w:after="0" w:line="448" w:lineRule="auto"/>
        <w:tabs>
          <w:tab w:leader="none" w:pos="65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amounts advanced to the Company and outstanding at such time by way of Shareholder Loans. "</w:t>
      </w:r>
      <w:r>
        <w:rPr>
          <w:rFonts w:ascii="Arial" w:cs="Arial" w:eastAsia="Arial" w:hAnsi="Arial"/>
          <w:sz w:val="22"/>
          <w:szCs w:val="22"/>
          <w:b w:val="1"/>
          <w:bCs w:val="1"/>
          <w:color w:val="auto"/>
        </w:rPr>
        <w:t>Equity Issuance</w:t>
      </w:r>
      <w:r>
        <w:rPr>
          <w:rFonts w:ascii="Arial" w:cs="Arial" w:eastAsia="Arial" w:hAnsi="Arial"/>
          <w:sz w:val="22"/>
          <w:szCs w:val="22"/>
          <w:color w:val="auto"/>
        </w:rPr>
        <w:t>" means:</w:t>
      </w:r>
    </w:p>
    <w:p>
      <w:pPr>
        <w:spacing w:after="0" w:line="1" w:lineRule="exact"/>
        <w:rPr>
          <w:sz w:val="20"/>
          <w:szCs w:val="20"/>
          <w:color w:val="auto"/>
        </w:rPr>
      </w:pPr>
    </w:p>
    <w:p>
      <w:pPr>
        <w:jc w:val="both"/>
        <w:ind w:left="644" w:hanging="644"/>
        <w:spacing w:after="0" w:line="294" w:lineRule="auto"/>
        <w:tabs>
          <w:tab w:leader="none" w:pos="64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any allotment or issuance (or the entering into by the Company or any other member of the Restricted Group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 the Company or other member of the Restricted Group, or any depositary receipt(s) in respect of any such share or equity interest; or</w:t>
      </w:r>
    </w:p>
    <w:p>
      <w:pPr>
        <w:sectPr>
          <w:pgSz w:w="11900" w:h="16838" w:orient="portrait"/>
          <w:cols w:equalWidth="0" w:num="1">
            <w:col w:w="10764"/>
          </w:cols>
          <w:pgMar w:left="896" w:top="625" w:right="239" w:bottom="1440" w:gutter="0" w:footer="0" w:header="0"/>
        </w:sectPr>
      </w:pPr>
    </w:p>
    <w:bookmarkStart w:id="118" w:name="page119"/>
    <w:bookmarkEnd w:id="118"/>
    <w:p>
      <w:pPr>
        <w:ind w:left="644" w:hanging="644"/>
        <w:spacing w:after="0" w:line="263"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grant of any option, warrant or other right of acquisition in respect of any such share, equity interest, other security or depositary receipt,</w:t>
      </w:r>
    </w:p>
    <w:p>
      <w:pPr>
        <w:spacing w:after="0" w:line="175"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avoidance of doubt, "Equity Issuance" shall not include (i) any secondary sales of any shares, equity</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or other securities of the Company or any other member of the Restricted Group by any or all of the holders of such shares, equity interests or other securities or (ii) any allotment or issuance or other grant to the Company or any other member of the Restricted Group of shares, equity interests or other securities in a Subsidiary Obligor.</w:t>
      </w:r>
    </w:p>
    <w:p>
      <w:pPr>
        <w:spacing w:after="0" w:line="137"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Issuance Proceeds</w:t>
      </w:r>
      <w:r>
        <w:rPr>
          <w:rFonts w:ascii="Arial" w:cs="Arial" w:eastAsia="Arial" w:hAnsi="Arial"/>
          <w:sz w:val="22"/>
          <w:szCs w:val="22"/>
          <w:color w:val="auto"/>
        </w:rPr>
        <w:t>" means the amount of the proceeds (if not in cash, the monetary value thereof) of any Equity Issuance after deducting:</w:t>
      </w:r>
    </w:p>
    <w:p>
      <w:pPr>
        <w:spacing w:after="0" w:line="168" w:lineRule="exact"/>
        <w:rPr>
          <w:sz w:val="20"/>
          <w:szCs w:val="20"/>
          <w:color w:val="auto"/>
        </w:rPr>
      </w:pPr>
    </w:p>
    <w:p>
      <w:pPr>
        <w:ind w:left="644" w:right="20" w:hanging="644"/>
        <w:spacing w:after="0" w:line="26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fees and expenses reasonably incurred in connection with such Equity Issuance by the Company or other member of the Restricted Group;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Taxes incurred or required to be paid by the Company or other member of the Restricted Group in connection with such Equity Issuance (as reasonably determined by the Company, on the basis of existing rates and taking account of any available credit, deduction or allowance).</w:t>
      </w:r>
    </w:p>
    <w:p>
      <w:pPr>
        <w:spacing w:after="0" w:line="18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of the United States of America, as amended from time to time.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means any event or circumstance set out in Schedule 10 (</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Eminent Domain</w:t>
      </w:r>
      <w:r>
        <w:rPr>
          <w:rFonts w:ascii="Arial" w:cs="Arial" w:eastAsia="Arial" w:hAnsi="Arial"/>
          <w:sz w:val="22"/>
          <w:szCs w:val="22"/>
          <w:color w:val="auto"/>
        </w:rPr>
        <w:t>" means, with respect to any Property:</w:t>
      </w:r>
    </w:p>
    <w:p>
      <w:pPr>
        <w:spacing w:after="0" w:line="226" w:lineRule="exact"/>
        <w:rPr>
          <w:sz w:val="20"/>
          <w:szCs w:val="20"/>
          <w:color w:val="auto"/>
        </w:rPr>
      </w:pPr>
    </w:p>
    <w:p>
      <w:pPr>
        <w:jc w:val="both"/>
        <w:ind w:left="644" w:hanging="644"/>
        <w:spacing w:after="0" w:line="250" w:lineRule="auto"/>
        <w:tabs>
          <w:tab w:leader="none" w:pos="6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settlement in lieu of paragraph (a) above.</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Loss</w:t>
      </w:r>
      <w:r>
        <w:rPr>
          <w:rFonts w:ascii="Arial" w:cs="Arial" w:eastAsia="Arial" w:hAnsi="Arial"/>
          <w:sz w:val="19"/>
          <w:szCs w:val="19"/>
          <w:color w:val="auto"/>
        </w:rPr>
        <w:t>" means, with respect to any property or asset (tangible or intangible, real or personal), any of the following:</w:t>
      </w:r>
    </w:p>
    <w:p>
      <w:pPr>
        <w:spacing w:after="0" w:line="260" w:lineRule="exact"/>
        <w:rPr>
          <w:sz w:val="20"/>
          <w:szCs w:val="20"/>
          <w:color w:val="auto"/>
        </w:rPr>
      </w:pPr>
    </w:p>
    <w:p>
      <w:pPr>
        <w:ind w:left="644" w:hanging="644"/>
        <w:spacing w:after="0"/>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loss, destruction or damage of such property or asset;</w:t>
      </w:r>
    </w:p>
    <w:p>
      <w:pPr>
        <w:spacing w:after="0" w:line="219"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settlement in lieu of paragraph (b) above.</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Cash Flow</w:t>
      </w:r>
      <w:r>
        <w:rPr>
          <w:rFonts w:ascii="Arial" w:cs="Arial" w:eastAsia="Arial" w:hAnsi="Arial"/>
          <w:sz w:val="22"/>
          <w:szCs w:val="22"/>
          <w:color w:val="auto"/>
        </w:rPr>
        <w:t xml:space="preserve">" means, in relation to any period, CFADS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the US dollar equivalents of:</w:t>
      </w:r>
    </w:p>
    <w:p>
      <w:pPr>
        <w:sectPr>
          <w:pgSz w:w="11900" w:h="16838" w:orient="portrait"/>
          <w:cols w:equalWidth="0" w:num="1">
            <w:col w:w="10764"/>
          </w:cols>
          <w:pgMar w:left="896" w:top="631" w:right="239" w:bottom="1440" w:gutter="0" w:footer="0" w:header="0"/>
        </w:sectPr>
      </w:pPr>
    </w:p>
    <w:bookmarkStart w:id="119" w:name="page120"/>
    <w:bookmarkEnd w:id="119"/>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to the extent included in Net Income for such period, interest income received during such period,</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minus</w:t>
      </w:r>
      <w:r>
        <w:rPr>
          <w:rFonts w:ascii="Arial" w:cs="Arial" w:eastAsia="Arial" w:hAnsi="Arial"/>
          <w:sz w:val="22"/>
          <w:szCs w:val="22"/>
          <w:color w:val="auto"/>
        </w:rPr>
        <w:t>, without duplication, the US dollar equivalents of:</w:t>
      </w:r>
    </w:p>
    <w:p>
      <w:pPr>
        <w:spacing w:after="0" w:line="220" w:lineRule="exact"/>
        <w:rPr>
          <w:sz w:val="20"/>
          <w:szCs w:val="20"/>
          <w:color w:val="auto"/>
        </w:rPr>
      </w:pPr>
    </w:p>
    <w:p>
      <w:pPr>
        <w:ind w:left="644" w:right="20" w:hanging="644"/>
        <w:spacing w:after="0" w:line="263"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aggregate amount of Financing Costs paid by the Company or any other member of the Restricted Group in cash during such period;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aggregate amount of all prepayments of Advances under the Revolving Credit Facilities during such period to the extent accompanying permanent voluntary reductions of the commitments thereunder and all voluntary prepayments of Term Loan Facility Advances during such period;</w:t>
      </w:r>
    </w:p>
    <w:p>
      <w:pPr>
        <w:spacing w:after="0" w:line="185"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aggregate amount of all scheduled principal payments of the Company under the Facility Agreements made during such period (other than in respect of any Revolving Credit Facility to the extent there is not an equivalent permanent reduction in commitments thereunder such that after giving effect to such commitment reduction the Company would not be able to reborrow all or any of the amount so prepaid); and</w:t>
      </w:r>
    </w:p>
    <w:p>
      <w:pPr>
        <w:spacing w:after="0" w:line="175" w:lineRule="exact"/>
        <w:rPr>
          <w:rFonts w:ascii="Arial" w:cs="Arial" w:eastAsia="Arial" w:hAnsi="Arial"/>
          <w:sz w:val="21"/>
          <w:szCs w:val="21"/>
          <w:color w:val="auto"/>
        </w:rPr>
      </w:pPr>
    </w:p>
    <w:p>
      <w:pPr>
        <w:jc w:val="both"/>
        <w:ind w:left="644" w:hanging="644"/>
        <w:spacing w:after="0" w:line="247"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aggregate of all other scheduled payments of any Financial Indebtedness permitted to be incurred by a member of the Restricted Group pursuant to paragraphs 2.1(e) and 2.1(f)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falling due and any voluntary prepayments thereof made during such period (other than in respect of any overdraft or revolving facility to the extent there is not an equivalent permanent reduction in commitments thereunder such that after giving effect to such commitment reduction the relevant member of the Restricted Group would not be able to reborrow all or any of the amount so prepaid),</w:t>
      </w:r>
    </w:p>
    <w:p>
      <w:pPr>
        <w:spacing w:after="0" w:line="194"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determined on a consolidated basis which includes members of the Restricted Group only (and which, for the avoidance of doubt, does not take account of any amount to the extent it (i) would otherwise have the effect of increasing Excess Cash Flow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Account</w:t>
      </w:r>
      <w:r>
        <w:rPr>
          <w:rFonts w:ascii="Arial" w:cs="Arial" w:eastAsia="Arial" w:hAnsi="Arial"/>
          <w:sz w:val="22"/>
          <w:szCs w:val="22"/>
          <w:color w:val="auto"/>
        </w:rPr>
        <w:t>" means any account held by a member of the Restricted Group which:</w:t>
      </w:r>
    </w:p>
    <w:p>
      <w:pPr>
        <w:spacing w:after="0" w:line="226" w:lineRule="exact"/>
        <w:rPr>
          <w:sz w:val="20"/>
          <w:szCs w:val="20"/>
          <w:color w:val="auto"/>
        </w:rPr>
      </w:pPr>
    </w:p>
    <w:p>
      <w:pPr>
        <w:ind w:left="644" w:hanging="644"/>
        <w:spacing w:after="0"/>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is used exclusively for the remittance of remuneration to employees;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is a zero-balance disbursement account used exclusively for the remittance of vendor payments;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is established for the exclusive purpose of receiving funds for customers and patrons to establish credit;</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is established for the exclusive benefit of officers, directors and employees in connection with share option schemes, welfare benefit schemes, pension schemes or other similar arrangements; and</w:t>
      </w:r>
    </w:p>
    <w:p>
      <w:pPr>
        <w:sectPr>
          <w:pgSz w:w="11900" w:h="16838" w:orient="portrait"/>
          <w:cols w:equalWidth="0" w:num="1">
            <w:col w:w="10764"/>
          </w:cols>
          <w:pgMar w:left="896" w:top="631" w:right="239" w:bottom="1440" w:gutter="0" w:footer="0" w:header="0"/>
        </w:sectPr>
      </w:pPr>
    </w:p>
    <w:bookmarkStart w:id="120" w:name="page121"/>
    <w:bookmarkEnd w:id="120"/>
    <w:p>
      <w:pPr>
        <w:jc w:val="both"/>
        <w:ind w:left="644" w:hanging="644"/>
        <w:spacing w:after="0" w:line="248" w:lineRule="auto"/>
        <w:tabs>
          <w:tab w:leader="none" w:pos="64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granting of a Lien in favour of a Senior Secured Creditor in respect thereof would violate applicable law or regulations provided that the Intercreditor Agent has received legal advice (in form and substance reasonably satisfactory to the Intercreditor Agent) to confirm the relevant violation of applicable law or regulation and that such relevant violation cannot be overcome by the relevant member of the Restricted Group (using all commercially reasonable efforts).</w:t>
      </w:r>
    </w:p>
    <w:p>
      <w:pPr>
        <w:spacing w:after="0" w:line="186"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Amount</w:t>
      </w:r>
      <w:r>
        <w:rPr>
          <w:rFonts w:ascii="Arial" w:cs="Arial" w:eastAsia="Arial" w:hAnsi="Arial"/>
          <w:sz w:val="19"/>
          <w:szCs w:val="19"/>
          <w:color w:val="auto"/>
        </w:rPr>
        <w:t>" means any amount referred to in paragraphs (a) to (e) (inclusive) of the definition of "Excluded Account" in this Clause 1.1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that is deposited into an Excluded Account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must, within five days of such deposit, be applied solely towards the purpose for which that account has been established.</w:t>
      </w:r>
    </w:p>
    <w:p>
      <w:pPr>
        <w:spacing w:after="0" w:line="12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Claim Proceeds</w:t>
      </w:r>
      <w:r>
        <w:rPr>
          <w:rFonts w:ascii="Arial" w:cs="Arial" w:eastAsia="Arial" w:hAnsi="Arial"/>
          <w:sz w:val="22"/>
          <w:szCs w:val="22"/>
          <w:color w:val="auto"/>
        </w:rPr>
        <w:t>" means any proceeds of a Recovery Claim which the Company notifies the Intercreditor Agent are, or are to be, applied:</w:t>
      </w:r>
    </w:p>
    <w:p>
      <w:pPr>
        <w:spacing w:after="0" w:line="168" w:lineRule="exact"/>
        <w:rPr>
          <w:sz w:val="20"/>
          <w:szCs w:val="20"/>
          <w:color w:val="auto"/>
        </w:rPr>
      </w:pPr>
    </w:p>
    <w:p>
      <w:pPr>
        <w:ind w:left="644" w:hanging="644"/>
        <w:spacing w:after="0" w:line="287" w:lineRule="auto"/>
        <w:tabs>
          <w:tab w:leader="none" w:pos="64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to satisfy (or reimburse a member of the Restricted Group which has discharged) any liability, charge or claim upon a member of the Restricted Group by a Person which is not a member of the Restricted Group; or</w:t>
      </w:r>
    </w:p>
    <w:p>
      <w:pPr>
        <w:spacing w:after="0" w:line="151" w:lineRule="exact"/>
        <w:rPr>
          <w:rFonts w:ascii="Arial" w:cs="Arial" w:eastAsia="Arial" w:hAnsi="Arial"/>
          <w:sz w:val="21"/>
          <w:szCs w:val="21"/>
          <w:color w:val="auto"/>
        </w:rPr>
      </w:pPr>
    </w:p>
    <w:p>
      <w:pPr>
        <w:ind w:left="644" w:hanging="644"/>
        <w:spacing w:after="0" w:line="263" w:lineRule="auto"/>
        <w:tabs>
          <w:tab w:leader="none" w:pos="6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the replacement, reinstatement and/or repair of assets of members of the Restricted Group which have been lost, destroyed or damaged,</w:t>
      </w:r>
    </w:p>
    <w:p>
      <w:pPr>
        <w:spacing w:after="0" w:line="175"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in each case as a result of the events or circumstances giving rise to that Recovery Claim, if those proceeds are deposited into and retained in an Account pending such application and are so applied within 6 months, or such longer period as the Intercreditor Agent may agree, after receipt.</w:t>
      </w:r>
    </w:p>
    <w:p>
      <w:pPr>
        <w:spacing w:after="0" w:line="180"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Project</w:t>
      </w:r>
      <w:r>
        <w:rPr>
          <w:rFonts w:ascii="Arial" w:cs="Arial" w:eastAsia="Arial" w:hAnsi="Arial"/>
          <w:sz w:val="21"/>
          <w:szCs w:val="21"/>
          <w:color w:val="auto"/>
        </w:rPr>
        <w:t>" means any gaming, hotel or resort related business, development or undertaking of any kind (including any business, development or undertaking referred to in clause (c) of the definition of "Permitted Businesses"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 xml:space="preserve">)) in the Macau SAR (other than Wynn Macau or the Cotai Project) and, save as contemplated by any Resort Management Agreement therefor in the case of the Company or Palo, neither involving nor permitting any claim, interest, liability, right of recourse of any kind in connection therewith against or in any member of the Restricted Group or its assets, including Wynn Macau and the Cotai Project. For the avoidance of doubt, an Excluded Project may be located on a portion of the Cotai Site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to the extent any such Excluded Project located on a portion of the Cotai Site is funded by the proceeds of any Advance, such funding is applied solely towards the financing or refinancing of the development costs incurred in relation to such Excluded Project (it being agreed that such development costs include, but are not limited to, costs and expenses related to design, development, land acquisition, construction, site preparation, equipping, pre-opening expenses and capitalized interest), and </w:t>
      </w:r>
      <w:r>
        <w:rPr>
          <w:rFonts w:ascii="Arial" w:cs="Arial" w:eastAsia="Arial" w:hAnsi="Arial"/>
          <w:sz w:val="21"/>
          <w:szCs w:val="21"/>
          <w:i w:val="1"/>
          <w:iCs w:val="1"/>
          <w:color w:val="auto"/>
        </w:rPr>
        <w:t>further provided that</w:t>
      </w:r>
      <w:r>
        <w:rPr>
          <w:rFonts w:ascii="Arial" w:cs="Arial" w:eastAsia="Arial" w:hAnsi="Arial"/>
          <w:sz w:val="21"/>
          <w:szCs w:val="21"/>
          <w:color w:val="auto"/>
        </w:rPr>
        <w:t xml:space="preserve"> the following additional conditions are met prior to the earlier of entry into of any contract for and the commencement of the construction of an Excluded Project on the Cotai Site:</w:t>
      </w:r>
    </w:p>
    <w:p>
      <w:pPr>
        <w:spacing w:after="0" w:line="183" w:lineRule="exact"/>
        <w:rPr>
          <w:sz w:val="20"/>
          <w:szCs w:val="20"/>
          <w:color w:val="auto"/>
        </w:rPr>
      </w:pPr>
    </w:p>
    <w:p>
      <w:pPr>
        <w:ind w:left="644" w:right="20" w:hanging="644"/>
        <w:spacing w:after="0" w:line="263" w:lineRule="auto"/>
        <w:tabs>
          <w:tab w:leader="none" w:pos="6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entire Cotai Site shall remain part of the Project Security and subject to the Cotai Mortgage and there shall be no adverse effect on the validity or</w:t>
      </w:r>
    </w:p>
    <w:p>
      <w:pPr>
        <w:sectPr>
          <w:pgSz w:w="11900" w:h="16838" w:orient="portrait"/>
          <w:cols w:equalWidth="0" w:num="1">
            <w:col w:w="10764"/>
          </w:cols>
          <w:pgMar w:left="896" w:top="631" w:right="239" w:bottom="1440" w:gutter="0" w:footer="0" w:header="0"/>
        </w:sectPr>
      </w:pPr>
    </w:p>
    <w:bookmarkStart w:id="121" w:name="page122"/>
    <w:bookmarkEnd w:id="121"/>
    <w:p>
      <w:pPr>
        <w:ind w:left="644"/>
        <w:spacing w:after="0" w:line="263" w:lineRule="auto"/>
        <w:rPr>
          <w:sz w:val="20"/>
          <w:szCs w:val="20"/>
          <w:color w:val="auto"/>
        </w:rPr>
      </w:pPr>
      <w:r>
        <w:rPr>
          <w:rFonts w:ascii="Arial" w:cs="Arial" w:eastAsia="Arial" w:hAnsi="Arial"/>
          <w:sz w:val="22"/>
          <w:szCs w:val="22"/>
          <w:color w:val="auto"/>
        </w:rPr>
        <w:t>enforceability of, or the effectiveness or ranking of any Security of the Finance Parties as a result of the Excluded Project being located on the Cotai Site;</w:t>
      </w:r>
    </w:p>
    <w:p>
      <w:pPr>
        <w:spacing w:after="0" w:line="175" w:lineRule="exact"/>
        <w:rPr>
          <w:sz w:val="20"/>
          <w:szCs w:val="20"/>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development, operation and maintenance of such Excluded Project:</w:t>
      </w:r>
    </w:p>
    <w:p>
      <w:pPr>
        <w:spacing w:after="0" w:line="219" w:lineRule="exact"/>
        <w:rPr>
          <w:rFonts w:ascii="Arial" w:cs="Arial" w:eastAsia="Arial" w:hAnsi="Arial"/>
          <w:sz w:val="22"/>
          <w:szCs w:val="22"/>
          <w:color w:val="auto"/>
        </w:rPr>
      </w:pPr>
    </w:p>
    <w:p>
      <w:pPr>
        <w:ind w:left="1304" w:hanging="655"/>
        <w:spacing w:after="0" w:line="287" w:lineRule="auto"/>
        <w:tabs>
          <w:tab w:leader="none" w:pos="1304" w:val="left"/>
        </w:tabs>
        <w:numPr>
          <w:ilvl w:val="1"/>
          <w:numId w:val="128"/>
        </w:numPr>
        <w:rPr>
          <w:rFonts w:ascii="Arial" w:cs="Arial" w:eastAsia="Arial" w:hAnsi="Arial"/>
          <w:sz w:val="21"/>
          <w:szCs w:val="21"/>
          <w:color w:val="auto"/>
        </w:rPr>
      </w:pPr>
      <w:r>
        <w:rPr>
          <w:rFonts w:ascii="Arial" w:cs="Arial" w:eastAsia="Arial" w:hAnsi="Arial"/>
          <w:sz w:val="21"/>
          <w:szCs w:val="21"/>
          <w:color w:val="auto"/>
        </w:rPr>
        <w:t>complies in all material respects with all applicable Legal Requirements (including, without limitation, Environmental Laws), the Cotai Land Concession Contract and the Concession Contract; and</w:t>
      </w:r>
    </w:p>
    <w:p>
      <w:pPr>
        <w:spacing w:after="0" w:line="151" w:lineRule="exact"/>
        <w:rPr>
          <w:rFonts w:ascii="Arial" w:cs="Arial" w:eastAsia="Arial" w:hAnsi="Arial"/>
          <w:sz w:val="21"/>
          <w:szCs w:val="21"/>
          <w:color w:val="auto"/>
        </w:rPr>
      </w:pPr>
    </w:p>
    <w:p>
      <w:pPr>
        <w:ind w:left="1304" w:hanging="655"/>
        <w:spacing w:after="0" w:line="263" w:lineRule="auto"/>
        <w:tabs>
          <w:tab w:leader="none" w:pos="13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does not materially interfere with or materially obstruct (or otherwise have any material adverse effect on) the development, operation and maintenance of the Cotai Project; and</w:t>
      </w:r>
    </w:p>
    <w:p>
      <w:pPr>
        <w:spacing w:after="0" w:line="174" w:lineRule="exact"/>
        <w:rPr>
          <w:rFonts w:ascii="Arial" w:cs="Arial" w:eastAsia="Arial" w:hAnsi="Arial"/>
          <w:sz w:val="22"/>
          <w:szCs w:val="22"/>
          <w:color w:val="auto"/>
        </w:rPr>
      </w:pPr>
    </w:p>
    <w:p>
      <w:pPr>
        <w:jc w:val="both"/>
        <w:ind w:left="644" w:hanging="644"/>
        <w:spacing w:after="0" w:line="260" w:lineRule="auto"/>
        <w:tabs>
          <w:tab w:leader="none" w:pos="6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claim, interest or liability, or right of recourse of any kind of any counterparty to any Resort Management Agreement, in respect of such Excluded Project against or in the Company, Palo or any other member of the Restricted Group or any of their respective assets (including, without limitation, Wynn Macau and the Cotai Project) is limited to an aggregate amount equal to all revenues derived by the Company (or, as the case may be, Palo) in respect of that Excluded Project and any other assets of the Company (or, as the case may be, Palo) comprised in that Excluded Project (and which do not form part of and are not necessary to ensure to the Restricted Group the full benefit of Wynn Macau or the Cotai Project).</w:t>
      </w:r>
    </w:p>
    <w:p>
      <w:pPr>
        <w:spacing w:after="0" w:line="202"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Subsidiary</w:t>
      </w:r>
      <w:r>
        <w:rPr>
          <w:rFonts w:ascii="Arial" w:cs="Arial" w:eastAsia="Arial" w:hAnsi="Arial"/>
          <w:sz w:val="22"/>
          <w:szCs w:val="22"/>
          <w:color w:val="auto"/>
        </w:rPr>
        <w:t>" means a Subsidiary of the Company exclusively engaged in the development, financing, ownership, leasing or operation of Excluded Projects on terms which, save as contemplated by any Resort Management Agreement to which such Subsidiary is party in the case of the Company, neither involve nor permit any claim, interest, liability, right of recourse of any kind in connection therewith against or in any member of the Restricted Group or its assets.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w:t>
      </w:r>
      <w:r>
        <w:rPr>
          <w:rFonts w:ascii="Arial" w:cs="Arial" w:eastAsia="Arial" w:hAnsi="Arial"/>
          <w:sz w:val="22"/>
          <w:szCs w:val="22"/>
          <w:color w:val="auto"/>
        </w:rPr>
        <w:t>" means an individual:</w:t>
      </w:r>
    </w:p>
    <w:p>
      <w:pPr>
        <w:spacing w:after="0" w:line="226" w:lineRule="exact"/>
        <w:rPr>
          <w:sz w:val="20"/>
          <w:szCs w:val="20"/>
          <w:color w:val="auto"/>
        </w:rPr>
      </w:pPr>
    </w:p>
    <w:p>
      <w:pPr>
        <w:ind w:left="644" w:hanging="644"/>
        <w:spacing w:after="0" w:line="263" w:lineRule="auto"/>
        <w:tabs>
          <w:tab w:leader="none" w:pos="6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who is an executive director of the Company, is a Macau permanent resident and holds the Executive Director Shares, pursuant to Clause 2 of Article 19 of Macau SAR Law 16/2001; and</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(b)</w:t>
      </w:r>
    </w:p>
    <w:p>
      <w:pPr>
        <w:spacing w:after="0" w:line="233" w:lineRule="exact"/>
        <w:rPr>
          <w:sz w:val="20"/>
          <w:szCs w:val="20"/>
          <w:color w:val="auto"/>
        </w:rPr>
      </w:pPr>
    </w:p>
    <w:p>
      <w:pPr>
        <w:jc w:val="both"/>
        <w:ind w:left="1304" w:right="20" w:hanging="655"/>
        <w:spacing w:after="0" w:line="253" w:lineRule="auto"/>
        <w:tabs>
          <w:tab w:leader="none" w:pos="130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whose Executive Director Shares are subject to the Executive Director Option Agreement and the Executive Director Share Pledge, in each case entered into by that individual prior to the Fifth Amendment Effective Date; or</w:t>
      </w:r>
    </w:p>
    <w:p>
      <w:pPr>
        <w:spacing w:after="0" w:line="185"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(other than the person referred to in sub-paragraph (i) above) who has satisfied all the requirements pursuant to an Executive Director Substitution.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Event</w:t>
      </w:r>
      <w:r>
        <w:rPr>
          <w:rFonts w:ascii="Arial" w:cs="Arial" w:eastAsia="Arial" w:hAnsi="Arial"/>
          <w:sz w:val="22"/>
          <w:szCs w:val="22"/>
          <w:color w:val="auto"/>
        </w:rPr>
        <w:t>" means any of the following events:</w:t>
      </w:r>
    </w:p>
    <w:p>
      <w:pPr>
        <w:sectPr>
          <w:pgSz w:w="11900" w:h="16838" w:orient="portrait"/>
          <w:cols w:equalWidth="0" w:num="1">
            <w:col w:w="10764"/>
          </w:cols>
          <w:pgMar w:left="896" w:top="631" w:right="239" w:bottom="1440" w:gutter="0" w:footer="0" w:header="0"/>
        </w:sectPr>
      </w:pPr>
    </w:p>
    <w:bookmarkStart w:id="122" w:name="page123"/>
    <w:bookmarkEnd w:id="122"/>
    <w:p>
      <w:pPr>
        <w:ind w:left="644" w:hanging="644"/>
        <w:spacing w:after="0" w:line="343"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any representation or warranty made or deemed to be made by the Executive Director under the Executive Director Share Pledge proves to have been incorrect in any material respect on or as of the date made or deemed made;</w:t>
      </w:r>
    </w:p>
    <w:p>
      <w:pPr>
        <w:spacing w:after="0" w:line="104" w:lineRule="exact"/>
        <w:rPr>
          <w:rFonts w:ascii="Arial" w:cs="Arial" w:eastAsia="Arial" w:hAnsi="Arial"/>
          <w:sz w:val="19"/>
          <w:szCs w:val="19"/>
          <w:color w:val="auto"/>
        </w:rPr>
      </w:pPr>
    </w:p>
    <w:p>
      <w:pPr>
        <w:jc w:val="both"/>
        <w:ind w:left="644" w:hanging="644"/>
        <w:spacing w:after="0" w:line="297"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Executive Director defaults in the observance or performance of any covenant or agreement contained in the Executive Director Share Pledge in any material respect and such default continues unremedied for a period of 30 days or, provided the Executive Director is diligently pursuing action to remedy the default and it is of a nature that is capable of being remedied, 60 days after the earlier of (i) the Executive Director becoming aware of such default and (ii) receipt by the Executive Director of notice from the Security Agent of such default; or</w:t>
      </w:r>
    </w:p>
    <w:p>
      <w:pPr>
        <w:spacing w:after="0" w:line="147"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Executive Director commences or there is commenced against the Executive Director any case, proceeding or other action relating to his or her bankruptcy or (ii) the death or incompetency of the Executive Director.</w:t>
      </w:r>
    </w:p>
    <w:p>
      <w:pPr>
        <w:spacing w:after="0" w:line="99"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Option Agreement</w:t>
      </w:r>
      <w:r>
        <w:rPr>
          <w:rFonts w:ascii="Arial" w:cs="Arial" w:eastAsia="Arial" w:hAnsi="Arial"/>
          <w:sz w:val="22"/>
          <w:szCs w:val="22"/>
          <w:color w:val="auto"/>
        </w:rPr>
        <w:t>" means the option agreement between Mr Wong Chi Seng, Wynn International and the Company delivered on or about 14 September 2004 or such other option agreement entered into between the Company, Wynn International and the Executive Director from time to time.</w:t>
      </w:r>
    </w:p>
    <w:p>
      <w:pPr>
        <w:spacing w:after="0" w:line="17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 Pledge</w:t>
      </w:r>
      <w:r>
        <w:rPr>
          <w:rFonts w:ascii="Arial" w:cs="Arial" w:eastAsia="Arial" w:hAnsi="Arial"/>
          <w:sz w:val="22"/>
          <w:szCs w:val="22"/>
          <w:color w:val="auto"/>
        </w:rPr>
        <w:t>" means the document formerly entitled "Wong Share Pledge" dated on or about 14 September 2004 between the Executive Director and the Security Agent.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Shares</w:t>
      </w:r>
      <w:r>
        <w:rPr>
          <w:rFonts w:ascii="Arial" w:cs="Arial" w:eastAsia="Arial" w:hAnsi="Arial"/>
          <w:sz w:val="22"/>
          <w:szCs w:val="22"/>
          <w:color w:val="auto"/>
        </w:rPr>
        <w:t>" means (as the context requires):</w:t>
      </w:r>
    </w:p>
    <w:p>
      <w:pPr>
        <w:spacing w:after="0" w:line="226" w:lineRule="exact"/>
        <w:rPr>
          <w:sz w:val="20"/>
          <w:szCs w:val="20"/>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Existing Executive Director Shares;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New Executive Director Shares.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 Substitution</w:t>
      </w:r>
      <w:r>
        <w:rPr>
          <w:rFonts w:ascii="Arial" w:cs="Arial" w:eastAsia="Arial" w:hAnsi="Arial"/>
          <w:sz w:val="22"/>
          <w:szCs w:val="22"/>
          <w:color w:val="auto"/>
        </w:rPr>
        <w:t>" means each of the following having occurred:</w:t>
      </w:r>
    </w:p>
    <w:p>
      <w:pPr>
        <w:spacing w:after="0" w:line="226" w:lineRule="exact"/>
        <w:rPr>
          <w:sz w:val="20"/>
          <w:szCs w:val="20"/>
          <w:color w:val="auto"/>
        </w:rPr>
      </w:pPr>
    </w:p>
    <w:p>
      <w:pPr>
        <w:jc w:val="both"/>
        <w:ind w:left="644" w:hanging="644"/>
        <w:spacing w:after="0" w:line="302" w:lineRule="auto"/>
        <w:tabs>
          <w:tab w:leader="none" w:pos="6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Macau SAR government has approved a new executive director of the Company in accordance with the Concession Contract (the "</w:t>
      </w:r>
      <w:r>
        <w:rPr>
          <w:rFonts w:ascii="Arial" w:cs="Arial" w:eastAsia="Arial" w:hAnsi="Arial"/>
          <w:sz w:val="19"/>
          <w:szCs w:val="19"/>
          <w:b w:val="1"/>
          <w:bCs w:val="1"/>
          <w:color w:val="auto"/>
        </w:rPr>
        <w:t>New Executive Director</w:t>
      </w:r>
      <w:r>
        <w:rPr>
          <w:rFonts w:ascii="Arial" w:cs="Arial" w:eastAsia="Arial" w:hAnsi="Arial"/>
          <w:sz w:val="19"/>
          <w:szCs w:val="19"/>
          <w:color w:val="auto"/>
        </w:rPr>
        <w:t>") and, if applicable, the issuance of the New Executive Director Shares to the New Executive Director (including the Security over such New Executive Director Shares as contemplated by paragraph (d) below) and the cancellation of the Existing Executive Director Shares;</w:t>
      </w:r>
    </w:p>
    <w:p>
      <w:pPr>
        <w:spacing w:after="0" w:line="142"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Executive Director has transferred all of the Existing Executive Director Shares to the New Executive Director or New Executive Director Shares have been issued to the New Executive Director and the Existing Executive Director Shares have been cancelled on or prior to such issuance;</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any other contracts and accessions to existing contracts by the New Executive Director, the Company and any other relevant Obligor as are necessary or desirable in order for the New Executive Director to step into the Executive Director's position and role as executive director of the Company and owner of the Executive Director Shares have been entered into; and</w:t>
      </w:r>
    </w:p>
    <w:p>
      <w:pPr>
        <w:sectPr>
          <w:pgSz w:w="11900" w:h="16838" w:orient="portrait"/>
          <w:cols w:equalWidth="0" w:num="1">
            <w:col w:w="10764"/>
          </w:cols>
          <w:pgMar w:left="896" w:top="631" w:right="239" w:bottom="1440" w:gutter="0" w:footer="0" w:header="0"/>
        </w:sectPr>
      </w:pPr>
    </w:p>
    <w:bookmarkStart w:id="123" w:name="page124"/>
    <w:bookmarkEnd w:id="123"/>
    <w:p>
      <w:pPr>
        <w:jc w:val="both"/>
        <w:ind w:left="644" w:hanging="644"/>
        <w:spacing w:after="0" w:line="284" w:lineRule="auto"/>
        <w:tabs>
          <w:tab w:leader="none" w:pos="64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New Executive Director has duly executed and, (where applicable) the Company has provided the Intercreditor Agent with, any acknowledgement, confirmation and/or such other documents as the Intercreditor Agent, acting on the advice of its legal counsel, shall deem appropriate to ensure (1) the Existing Executive Director Shares are pledged in the same manner after the occurrence of the steps set out in paragraphs (a) to (c) (inclusive) above as such shares are pledged prior to the occurrence of the steps set out in paragraphs (a) to (c) (inclusive) above, such that the New Executive Director will be the "Pledgor" under the Executive Director Share Pledge and the outgoing Executive Director will no longer be the Pledgor thereunder and will be released from any obligations thereunder or</w:t>
      </w:r>
    </w:p>
    <w:p>
      <w:pPr>
        <w:spacing w:after="0" w:line="4" w:lineRule="exact"/>
        <w:rPr>
          <w:rFonts w:ascii="Arial" w:cs="Arial" w:eastAsia="Arial" w:hAnsi="Arial"/>
          <w:sz w:val="19"/>
          <w:szCs w:val="19"/>
          <w:color w:val="auto"/>
        </w:rPr>
      </w:pPr>
    </w:p>
    <w:p>
      <w:pPr>
        <w:ind w:left="644" w:right="20" w:firstLine="5"/>
        <w:spacing w:after="0" w:line="323" w:lineRule="auto"/>
        <w:tabs>
          <w:tab w:leader="none" w:pos="9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New Executive Director Shares when issued are pledged in the same manner as the Existing Executive Director Shares are pledged prior to the occurrence of the steps set out in paragraphs (a) to (c) (inclusive) above,</w:t>
      </w:r>
    </w:p>
    <w:p>
      <w:pPr>
        <w:spacing w:after="0" w:line="123" w:lineRule="exact"/>
        <w:rPr>
          <w:sz w:val="20"/>
          <w:szCs w:val="20"/>
          <w:color w:val="auto"/>
        </w:rPr>
      </w:pPr>
    </w:p>
    <w:p>
      <w:pPr>
        <w:jc w:val="both"/>
        <w:ind w:left="4"/>
        <w:spacing w:after="0" w:line="259" w:lineRule="auto"/>
        <w:rPr>
          <w:sz w:val="20"/>
          <w:szCs w:val="20"/>
          <w:color w:val="auto"/>
        </w:rPr>
      </w:pPr>
      <w:r>
        <w:rPr>
          <w:rFonts w:ascii="Arial" w:cs="Arial" w:eastAsia="Arial" w:hAnsi="Arial"/>
          <w:sz w:val="21"/>
          <w:szCs w:val="21"/>
          <w:color w:val="auto"/>
        </w:rPr>
        <w:t>in each case, in form and substance satisfactory to the Intercreditor Agent (acting reasonably), and following the occurrence of each of the steps set out in paragraphs (a) to (d) above and the Intercreditor Agent confirming its satisfaction thereto, the New Executive Director shall be (for the purposes of the Senior Finance Documents) the Executive Director (pursuant to paragraph (b)(ii) of the definition set out in Clause 1.1 (</w:t>
      </w:r>
      <w:r>
        <w:rPr>
          <w:rFonts w:ascii="Arial" w:cs="Arial" w:eastAsia="Arial" w:hAnsi="Arial"/>
          <w:sz w:val="21"/>
          <w:szCs w:val="21"/>
          <w:i w:val="1"/>
          <w:iCs w:val="1"/>
          <w:color w:val="auto"/>
        </w:rPr>
        <w:t>Definition</w:t>
      </w:r>
      <w:r>
        <w:rPr>
          <w:rFonts w:ascii="Arial" w:cs="Arial" w:eastAsia="Arial" w:hAnsi="Arial"/>
          <w:sz w:val="21"/>
          <w:szCs w:val="21"/>
          <w:color w:val="auto"/>
        </w:rPr>
        <w:t>)) (it being agreed and acknowledged that the Intercreditor Agent is not obliged to obtain any further instructions, authorizations or consents from the Lenders (or any of them) or from any other Senior Secured Creditor in respect of confirming its satisfaction as so contemplated by this paragraph (and that the Lenders and the other Senior Secured Creditors party to this Agreement so authorise the Intercreditor Agent to provide such confirmation on being so satisfied)).</w:t>
      </w:r>
    </w:p>
    <w:p>
      <w:pPr>
        <w:spacing w:after="0" w:line="178"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Order</w:t>
      </w:r>
      <w:r>
        <w:rPr>
          <w:rFonts w:ascii="Arial" w:cs="Arial" w:eastAsia="Arial" w:hAnsi="Arial"/>
          <w:sz w:val="22"/>
          <w:szCs w:val="22"/>
          <w:color w:val="auto"/>
        </w:rPr>
        <w:t>" means Executive Order 13224 on Terrorist Financing: Blocking Property and Prohibiting Transactions With Persons Who Commit, Threaten To Commit, Or Support Terrorism issued September 23, 2001, as amended by Order 13268.</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Executive Director Shares</w:t>
      </w:r>
      <w:r>
        <w:rPr>
          <w:rFonts w:ascii="Arial" w:cs="Arial" w:eastAsia="Arial" w:hAnsi="Arial"/>
          <w:sz w:val="22"/>
          <w:szCs w:val="22"/>
          <w:color w:val="auto"/>
        </w:rPr>
        <w:t xml:space="preserve">" means the shares in the Company held by the Executive Director as at the Fifth Amendment Effective Date and having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economic interest.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means any of:</w:t>
      </w:r>
    </w:p>
    <w:p>
      <w:pPr>
        <w:spacing w:after="0" w:line="226" w:lineRule="exact"/>
        <w:rPr>
          <w:sz w:val="20"/>
          <w:szCs w:val="20"/>
          <w:color w:val="auto"/>
        </w:rPr>
      </w:pPr>
    </w:p>
    <w:p>
      <w:pPr>
        <w:ind w:left="644" w:hanging="644"/>
        <w:spacing w:after="0"/>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Term Loan Facilities; 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Revolving Credit Facilities.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Agents</w:t>
      </w:r>
      <w:r>
        <w:rPr>
          <w:rFonts w:ascii="Arial" w:cs="Arial" w:eastAsia="Arial" w:hAnsi="Arial"/>
          <w:sz w:val="19"/>
          <w:szCs w:val="19"/>
          <w:color w:val="auto"/>
        </w:rPr>
        <w:t>" means the Term Facility Agent, the Revolving Credit Facility Agent and each Additional Facility Agent.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Agreements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Term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Revolving Credit Facility Agreement;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each Additional Lender Facility Agreement.</w:t>
      </w:r>
    </w:p>
    <w:p>
      <w:pPr>
        <w:sectPr>
          <w:pgSz w:w="11900" w:h="16838" w:orient="portrait"/>
          <w:cols w:equalWidth="0" w:num="1">
            <w:col w:w="10764"/>
          </w:cols>
          <w:pgMar w:left="896" w:top="631" w:right="239" w:bottom="1440" w:gutter="0" w:footer="0" w:header="0"/>
        </w:sectPr>
      </w:pPr>
    </w:p>
    <w:bookmarkStart w:id="124" w:name="page125"/>
    <w:bookmarkEnd w:id="124"/>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Office</w:t>
      </w:r>
      <w:r>
        <w:rPr>
          <w:rFonts w:ascii="Arial" w:cs="Arial" w:eastAsia="Arial" w:hAnsi="Arial"/>
          <w:sz w:val="21"/>
          <w:szCs w:val="21"/>
          <w:color w:val="auto"/>
        </w:rPr>
        <w:t>" means the office or offices notified by a Senior Secured Creditor to the relevant Facility Agent under the Facilities and by the relevant Facility Agent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168"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Letters</w:t>
      </w:r>
      <w:r>
        <w:rPr>
          <w:rFonts w:ascii="Arial" w:cs="Arial" w:eastAsia="Arial" w:hAnsi="Arial"/>
          <w:sz w:val="22"/>
          <w:szCs w:val="22"/>
          <w:color w:val="auto"/>
        </w:rPr>
        <w:t>" means each of the fee letters entered into from time to time between the Company on the one hand and any of the Agents and the Security Agent on the other hand.</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Fifth Amendment Effective Date</w:t>
      </w:r>
      <w:r>
        <w:rPr>
          <w:rFonts w:ascii="Arial" w:cs="Arial" w:eastAsia="Arial" w:hAnsi="Arial"/>
          <w:sz w:val="22"/>
          <w:szCs w:val="22"/>
          <w:color w:val="auto"/>
        </w:rPr>
        <w:t>" has the meaning given in the Common Terms Agreement Fifth Amendment Agreement.</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Fifth Amendment Effective Date Fee Letters</w:t>
      </w:r>
      <w:r>
        <w:rPr>
          <w:rFonts w:ascii="Arial" w:cs="Arial" w:eastAsia="Arial" w:hAnsi="Arial"/>
          <w:sz w:val="22"/>
          <w:szCs w:val="22"/>
          <w:color w:val="auto"/>
        </w:rPr>
        <w:t>" means the Fee Letters referred to in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of the Common Terms Agreement Fifth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Fifth Amendment Signing Date</w:t>
      </w:r>
      <w:r>
        <w:rPr>
          <w:rFonts w:ascii="Arial" w:cs="Arial" w:eastAsia="Arial" w:hAnsi="Arial"/>
          <w:sz w:val="21"/>
          <w:szCs w:val="21"/>
          <w:color w:val="auto"/>
        </w:rPr>
        <w:t>" means the date of the Common Terms Agreement Fifth Amendment Agreement.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Repayment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relation to the Term Facility, the sixth anniversary of the Fifth Amendment Effective Date; and</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relation to an Additional Lender Facility providing for a term loan, the date set forth in the applicable Additional Lender Facility Agreement.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Document</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Party Accession Undertaking</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Indebtedness</w:t>
      </w:r>
      <w:r>
        <w:rPr>
          <w:rFonts w:ascii="Arial" w:cs="Arial" w:eastAsia="Arial" w:hAnsi="Arial"/>
          <w:sz w:val="22"/>
          <w:szCs w:val="22"/>
          <w:color w:val="auto"/>
        </w:rPr>
        <w:t>" means, in relation to any Person at any date, without duplication:</w:t>
      </w:r>
    </w:p>
    <w:p>
      <w:pPr>
        <w:spacing w:after="0" w:line="226" w:lineRule="exact"/>
        <w:rPr>
          <w:sz w:val="20"/>
          <w:szCs w:val="20"/>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indebtedness of such Person for borrowed money;</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obligations of such Person for the purchase price of Property or services to the extent the payment of such obligations is deferred for a period in excess of 90 days (other than trade payables incurred in the ordinary course of such Person's business);</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obligations of such Person evidenced by notes, bonds, debentures or other similar instruments;</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ectPr>
          <w:pgSz w:w="11900" w:h="16838" w:orient="portrait"/>
          <w:cols w:equalWidth="0" w:num="1">
            <w:col w:w="10764"/>
          </w:cols>
          <w:pgMar w:left="896" w:top="625" w:right="239" w:bottom="1440" w:gutter="0" w:footer="0" w:header="0"/>
        </w:sectPr>
      </w:pPr>
    </w:p>
    <w:bookmarkStart w:id="125" w:name="page126"/>
    <w:bookmarkEnd w:id="125"/>
    <w:p>
      <w:pPr>
        <w:ind w:left="644"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Capital Lease Obligations (to the extent treated as finance or capital lease obligations in accordance with applicable GAAP) or Synthetic Lease Obligations of such Person;</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indebtedness of such Person in respect of any amount raised under any other transaction (including any forward sale or purchase agreement) having the commercial effect of a borrowing;</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indebtedness of such Person, contingent or otherwise, as an account party under acceptance, letter of credit, completion guaranties, performance bonds or similar facilities;</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obligations of such Person, contingent or otherwise, to purchase, redeem, retire or otherwise acquire for value any Capital Stock of such Person;</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obligations of such Person in respect of Swap Agreements or any other derivative transaction entered into in connection with protection against or benefit from fluctuation in any rate or price;</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Guarantee Obligations of such Person in respect of obligations (whether of such Person or another Person) of the kind referred to in paragraphs (a) through (j) above;</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188"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liquidation value of any preferred Capital Stock of such Person or its Subsidiaries held by any Person other than such Person and its Wholly Owned Subsidiaries.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Financing Costs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interest, fees, commissions, costs and expenses payable by the Company under the Senior Finance Documents;</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interest, fees, commissions, costs and expenses payable by the Company under the Performance Bond Facility;</w:t>
      </w:r>
    </w:p>
    <w:p>
      <w:pPr>
        <w:spacing w:after="0" w:line="254" w:lineRule="exact"/>
        <w:rPr>
          <w:rFonts w:ascii="Arial" w:cs="Arial" w:eastAsia="Arial" w:hAnsi="Arial"/>
          <w:sz w:val="19"/>
          <w:szCs w:val="19"/>
          <w:color w:val="auto"/>
        </w:rPr>
      </w:pPr>
    </w:p>
    <w:p>
      <w:pPr>
        <w:ind w:left="644" w:right="20" w:hanging="644"/>
        <w:spacing w:after="0" w:line="287" w:lineRule="auto"/>
        <w:tabs>
          <w:tab w:leader="none" w:pos="64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amounts payable by the Company under Clause 10 (</w:t>
      </w:r>
      <w:r>
        <w:rPr>
          <w:rFonts w:ascii="Arial" w:cs="Arial" w:eastAsia="Arial" w:hAnsi="Arial"/>
          <w:sz w:val="21"/>
          <w:szCs w:val="21"/>
          <w:i w:val="1"/>
          <w:iCs w:val="1"/>
          <w:color w:val="auto"/>
        </w:rPr>
        <w:t>Changes to the Calculation of Interest</w:t>
      </w:r>
      <w:r>
        <w:rPr>
          <w:rFonts w:ascii="Arial" w:cs="Arial" w:eastAsia="Arial" w:hAnsi="Arial"/>
          <w:sz w:val="21"/>
          <w:szCs w:val="21"/>
          <w:color w:val="auto"/>
        </w:rPr>
        <w:t>), Clause 11 (</w:t>
      </w:r>
      <w:r>
        <w:rPr>
          <w:rFonts w:ascii="Arial" w:cs="Arial" w:eastAsia="Arial" w:hAnsi="Arial"/>
          <w:sz w:val="21"/>
          <w:szCs w:val="21"/>
          <w:i w:val="1"/>
          <w:iCs w:val="1"/>
          <w:color w:val="auto"/>
        </w:rPr>
        <w:t>Tax Gross</w:t>
      </w:r>
      <w:r>
        <w:rPr>
          <w:rFonts w:ascii="Arial" w:cs="Arial" w:eastAsia="Arial" w:hAnsi="Arial"/>
          <w:sz w:val="21"/>
          <w:szCs w:val="21"/>
          <w:color w:val="auto"/>
        </w:rPr>
        <w:t xml:space="preserve"> </w:t>
      </w:r>
      <w:r>
        <w:rPr>
          <w:rFonts w:ascii="Arial" w:cs="Arial" w:eastAsia="Arial" w:hAnsi="Arial"/>
          <w:sz w:val="21"/>
          <w:szCs w:val="21"/>
          <w:i w:val="1"/>
          <w:iCs w:val="1"/>
          <w:color w:val="auto"/>
        </w:rPr>
        <w:t>Up and Indemnities</w:t>
      </w:r>
      <w:r>
        <w:rPr>
          <w:rFonts w:ascii="Arial" w:cs="Arial" w:eastAsia="Arial" w:hAnsi="Arial"/>
          <w:sz w:val="21"/>
          <w:szCs w:val="21"/>
          <w:color w:val="auto"/>
        </w:rPr>
        <w:t>), Clause 12 (</w:t>
      </w:r>
      <w:r>
        <w:rPr>
          <w:rFonts w:ascii="Arial" w:cs="Arial" w:eastAsia="Arial" w:hAnsi="Arial"/>
          <w:sz w:val="21"/>
          <w:szCs w:val="21"/>
          <w:i w:val="1"/>
          <w:iCs w:val="1"/>
          <w:color w:val="auto"/>
        </w:rPr>
        <w:t>Increased Costs</w:t>
      </w:r>
      <w:r>
        <w:rPr>
          <w:rFonts w:ascii="Arial" w:cs="Arial" w:eastAsia="Arial" w:hAnsi="Arial"/>
          <w:sz w:val="21"/>
          <w:szCs w:val="21"/>
          <w:color w:val="auto"/>
        </w:rPr>
        <w:t>) and Clause 13 (</w:t>
      </w:r>
      <w:r>
        <w:rPr>
          <w:rFonts w:ascii="Arial" w:cs="Arial" w:eastAsia="Arial" w:hAnsi="Arial"/>
          <w:sz w:val="21"/>
          <w:szCs w:val="21"/>
          <w:i w:val="1"/>
          <w:iCs w:val="1"/>
          <w:color w:val="auto"/>
        </w:rPr>
        <w:t>Currency and Other Indemnities</w:t>
      </w:r>
      <w:r>
        <w:rPr>
          <w:rFonts w:ascii="Arial" w:cs="Arial" w:eastAsia="Arial" w:hAnsi="Arial"/>
          <w:sz w:val="21"/>
          <w:szCs w:val="21"/>
          <w:color w:val="auto"/>
        </w:rPr>
        <w:t>);</w:t>
      </w:r>
    </w:p>
    <w:p>
      <w:pPr>
        <w:sectPr>
          <w:pgSz w:w="11900" w:h="16838" w:orient="portrait"/>
          <w:cols w:equalWidth="0" w:num="1">
            <w:col w:w="10764"/>
          </w:cols>
          <w:pgMar w:left="896" w:top="631" w:right="239" w:bottom="1440" w:gutter="0" w:footer="0" w:header="0"/>
        </w:sectPr>
      </w:pPr>
    </w:p>
    <w:bookmarkStart w:id="126" w:name="page127"/>
    <w:bookmarkEnd w:id="126"/>
    <w:p>
      <w:pPr>
        <w:jc w:val="both"/>
        <w:ind w:left="644" w:hanging="644"/>
        <w:spacing w:after="0" w:line="271" w:lineRule="auto"/>
        <w:tabs>
          <w:tab w:leader="none" w:pos="64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any other amounts of interest, fees, commissions, discounts, prepayment penalties or premiums and other finance payments payable in respect of Financial Indebtedness permitted to be incurred by a member of the Restricted Group pursuant to paragraphs 2.1(e) and 2.1(f)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644" w:hanging="644"/>
        <w:spacing w:after="0" w:line="287" w:lineRule="auto"/>
        <w:tabs>
          <w:tab w:leader="none" w:pos="64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any amounts of dividends, disbursements or other payments payable for the purpose of paying any amount with respect to Guaranteed WML Debt (pursuant to paragraph 6.1(v)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644" w:hanging="644"/>
        <w:spacing w:after="0"/>
        <w:tabs>
          <w:tab w:leader="none" w:pos="64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net amounts payable by the Company under any Hedging Agreement and Permitted Swap Transaction; and</w:t>
      </w:r>
    </w:p>
    <w:p>
      <w:pPr>
        <w:spacing w:after="0" w:line="231"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value added or other taxes payable by the Company or any other member of the Restricted Group in respect of paragraphs (a) through (f) above and, save to the extent already included in paragraph (c) above, any withholding tax on a party under a Senior Finance Document, the Performance Bond Facility or any other agreement relating to the provision of Financial Indebtedness referred to above in respect of which the Company or any other member of the Restricted Group has an obligation to gross up.</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FinCEN</w:t>
      </w:r>
      <w:r>
        <w:rPr>
          <w:rFonts w:ascii="Arial" w:cs="Arial" w:eastAsia="Arial" w:hAnsi="Arial"/>
          <w:sz w:val="22"/>
          <w:szCs w:val="22"/>
          <w:color w:val="auto"/>
        </w:rPr>
        <w:t>" means the Financial Crimes Enforcement Network of the U.S. Department of the Treasury.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Quarter</w:t>
      </w:r>
      <w:r>
        <w:rPr>
          <w:rFonts w:ascii="Arial" w:cs="Arial" w:eastAsia="Arial" w:hAnsi="Arial"/>
          <w:sz w:val="21"/>
          <w:szCs w:val="21"/>
          <w:color w:val="auto"/>
        </w:rPr>
        <w:t>" means any one of the four consecutive three calendar month periods comprised in a Fiscal Year.</w:t>
      </w:r>
    </w:p>
    <w:p>
      <w:pPr>
        <w:spacing w:after="0" w:line="231"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Company, the Restricted Group and the Wynn Obligors ending on 31 December of each calendar year.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Fitch</w:t>
      </w:r>
      <w:r>
        <w:rPr>
          <w:rFonts w:ascii="Arial" w:cs="Arial" w:eastAsia="Arial" w:hAnsi="Arial"/>
          <w:sz w:val="22"/>
          <w:szCs w:val="22"/>
          <w:color w:val="auto"/>
        </w:rPr>
        <w:t>" means Fitch Ratings Ltd.</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Floating Charge</w:t>
      </w:r>
      <w:r>
        <w:rPr>
          <w:rFonts w:ascii="Arial" w:cs="Arial" w:eastAsia="Arial" w:hAnsi="Arial"/>
          <w:sz w:val="22"/>
          <w:szCs w:val="22"/>
          <w:color w:val="auto"/>
        </w:rPr>
        <w:t>" means the charge so entitled dated on or about the date of this Agreement between the Company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Amendment Effective Date</w:t>
      </w:r>
      <w:r>
        <w:rPr>
          <w:rFonts w:ascii="Arial" w:cs="Arial" w:eastAsia="Arial" w:hAnsi="Arial"/>
          <w:sz w:val="22"/>
          <w:szCs w:val="22"/>
          <w:color w:val="auto"/>
        </w:rPr>
        <w:t>" has the meaning given in the Common Terms Agreement Fourth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Term</w:t>
      </w:r>
      <w:r>
        <w:rPr>
          <w:rFonts w:ascii="Arial" w:cs="Arial" w:eastAsia="Arial" w:hAnsi="Arial"/>
          <w:sz w:val="22"/>
          <w:szCs w:val="22"/>
          <w:color w:val="auto"/>
        </w:rPr>
        <w:t>" means, in respect of a Senior Finance Document:</w:t>
      </w:r>
    </w:p>
    <w:p>
      <w:pPr>
        <w:spacing w:after="0" w:line="226" w:lineRule="exact"/>
        <w:rPr>
          <w:sz w:val="20"/>
          <w:szCs w:val="20"/>
          <w:color w:val="auto"/>
        </w:rPr>
      </w:pPr>
    </w:p>
    <w:p>
      <w:pPr>
        <w:ind w:left="644" w:right="20" w:hanging="644"/>
        <w:spacing w:after="0" w:line="263"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definitions of Required Lenders and Fundamental Term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and Clause 34 (</w:t>
      </w:r>
      <w:r>
        <w:rPr>
          <w:rFonts w:ascii="Arial" w:cs="Arial" w:eastAsia="Arial" w:hAnsi="Arial"/>
          <w:sz w:val="22"/>
          <w:szCs w:val="22"/>
          <w:i w:val="1"/>
          <w:iCs w:val="1"/>
          <w:color w:val="auto"/>
        </w:rPr>
        <w:t>Amendments</w:t>
      </w:r>
      <w:r>
        <w:rPr>
          <w:rFonts w:ascii="Arial" w:cs="Arial" w:eastAsia="Arial" w:hAnsi="Arial"/>
          <w:sz w:val="22"/>
          <w:szCs w:val="22"/>
          <w:color w:val="auto"/>
        </w:rPr>
        <w:t xml:space="preserve"> </w:t>
      </w:r>
      <w:r>
        <w:rPr>
          <w:rFonts w:ascii="Arial" w:cs="Arial" w:eastAsia="Arial" w:hAnsi="Arial"/>
          <w:sz w:val="22"/>
          <w:szCs w:val="22"/>
          <w:i w:val="1"/>
          <w:iCs w:val="1"/>
          <w:color w:val="auto"/>
        </w:rPr>
        <w:t>and Waivers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provisions setting out the date for, or the amount of, or the currency of, any payment of principal (other than Clause 8.2 (</w:t>
      </w:r>
      <w:r>
        <w:rPr>
          <w:rFonts w:ascii="Arial" w:cs="Arial" w:eastAsia="Arial" w:hAnsi="Arial"/>
          <w:sz w:val="22"/>
          <w:szCs w:val="22"/>
          <w:i w:val="1"/>
          <w:iCs w:val="1"/>
          <w:color w:val="auto"/>
        </w:rPr>
        <w:t>Voluntary Prepayment of the Term Loan Facilities</w:t>
      </w:r>
      <w:r>
        <w:rPr>
          <w:rFonts w:ascii="Arial" w:cs="Arial" w:eastAsia="Arial" w:hAnsi="Arial"/>
          <w:sz w:val="22"/>
          <w:szCs w:val="22"/>
          <w:color w:val="auto"/>
        </w:rPr>
        <w:t>)) or interest under a Senior Finance Document or any interest rate hedging payment to a Hedging Counterparty (but excluding, in each case, any amendment bringing forward the date of any such interest rate hedging payment or increasing the amount of any such interest rate hedging payment);</w:t>
      </w:r>
    </w:p>
    <w:p>
      <w:pPr>
        <w:spacing w:after="0" w:line="192" w:lineRule="exact"/>
        <w:rPr>
          <w:rFonts w:ascii="Arial" w:cs="Arial" w:eastAsia="Arial" w:hAnsi="Arial"/>
          <w:sz w:val="22"/>
          <w:szCs w:val="22"/>
          <w:color w:val="auto"/>
        </w:rPr>
      </w:pPr>
    </w:p>
    <w:p>
      <w:pPr>
        <w:ind w:left="644" w:hanging="644"/>
        <w:spacing w:after="0"/>
        <w:tabs>
          <w:tab w:leader="none" w:pos="6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[Not used];</w:t>
      </w:r>
    </w:p>
    <w:p>
      <w:pPr>
        <w:sectPr>
          <w:pgSz w:w="11900" w:h="16838" w:orient="portrait"/>
          <w:cols w:equalWidth="0" w:num="1">
            <w:col w:w="10764"/>
          </w:cols>
          <w:pgMar w:left="896" w:top="631" w:right="239" w:bottom="1440" w:gutter="0" w:footer="0" w:header="0"/>
        </w:sectPr>
      </w:pPr>
    </w:p>
    <w:bookmarkStart w:id="127" w:name="page128"/>
    <w:bookmarkEnd w:id="127"/>
    <w:p>
      <w:pPr>
        <w:jc w:val="both"/>
        <w:ind w:left="644" w:hanging="644"/>
        <w:spacing w:after="0" w:line="253" w:lineRule="auto"/>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term which expressly requires the consent of each Lender or Senior Secured Creditor;</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priority or ranking of any Security or the Secured Obligations (and any other provisions which, if amended, would have the effect of changing the priority or ranking thereof);</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provisions dealing with the order of distribution on partial payment by the Company or the proceeds of Security;</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paragraph 2.1(e)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or paragraph 2.1(f)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Clause 25 (</w:t>
      </w:r>
      <w:r>
        <w:rPr>
          <w:rFonts w:ascii="Arial" w:cs="Arial" w:eastAsia="Arial" w:hAnsi="Arial"/>
          <w:sz w:val="22"/>
          <w:szCs w:val="22"/>
          <w:i w:val="1"/>
          <w:iCs w:val="1"/>
          <w:color w:val="auto"/>
        </w:rPr>
        <w:t>Sharing Among the Senior Secured Creditors</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Notwithstanding the above:</w:t>
      </w:r>
    </w:p>
    <w:p>
      <w:pPr>
        <w:spacing w:after="0" w:line="220" w:lineRule="exact"/>
        <w:rPr>
          <w:sz w:val="20"/>
          <w:szCs w:val="20"/>
          <w:color w:val="auto"/>
        </w:rPr>
      </w:pPr>
    </w:p>
    <w:p>
      <w:pPr>
        <w:jc w:val="both"/>
        <w:ind w:left="1304" w:hanging="655"/>
        <w:spacing w:after="0" w:line="258" w:lineRule="auto"/>
        <w:tabs>
          <w:tab w:leader="none" w:pos="130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unanimity among the Lenders and Hedging Counterparties shall not be required with respect to any changes, additions, deletions, modifications or supplements (herein "changes") comprised in any amendment to the Deed of Appointment and Priority made in accordance with paragraph (c) of clause 24.1 (</w:t>
      </w:r>
      <w:r>
        <w:rPr>
          <w:rFonts w:ascii="Arial" w:cs="Arial" w:eastAsia="Arial" w:hAnsi="Arial"/>
          <w:sz w:val="21"/>
          <w:szCs w:val="21"/>
          <w:i w:val="1"/>
          <w:iCs w:val="1"/>
          <w:color w:val="auto"/>
        </w:rPr>
        <w:t>Required</w:t>
      </w:r>
      <w:r>
        <w:rPr>
          <w:rFonts w:ascii="Arial" w:cs="Arial" w:eastAsia="Arial" w:hAnsi="Arial"/>
          <w:sz w:val="21"/>
          <w:szCs w:val="21"/>
          <w:color w:val="auto"/>
        </w:rPr>
        <w:t xml:space="preserve"> </w:t>
      </w:r>
      <w:r>
        <w:rPr>
          <w:rFonts w:ascii="Arial" w:cs="Arial" w:eastAsia="Arial" w:hAnsi="Arial"/>
          <w:sz w:val="21"/>
          <w:szCs w:val="21"/>
          <w:i w:val="1"/>
          <w:iCs w:val="1"/>
          <w:color w:val="auto"/>
        </w:rPr>
        <w:t>Consents</w:t>
      </w:r>
      <w:r>
        <w:rPr>
          <w:rFonts w:ascii="Arial" w:cs="Arial" w:eastAsia="Arial" w:hAnsi="Arial"/>
          <w:sz w:val="21"/>
          <w:szCs w:val="21"/>
          <w:color w:val="auto"/>
        </w:rPr>
        <w:t>) of the Deed of Appointment and Priority with respect to subparagraphs (a), (e), (f), (g), (h) and (j)</w:t>
      </w:r>
      <w:r>
        <w:rPr>
          <w:rFonts w:ascii="Arial" w:cs="Arial" w:eastAsia="Arial" w:hAnsi="Arial"/>
          <w:sz w:val="21"/>
          <w:szCs w:val="21"/>
          <w:i w:val="1"/>
          <w:iCs w:val="1"/>
          <w:color w:val="auto"/>
        </w:rPr>
        <w:t xml:space="preserve"> </w:t>
      </w:r>
      <w:r>
        <w:rPr>
          <w:rFonts w:ascii="Arial" w:cs="Arial" w:eastAsia="Arial" w:hAnsi="Arial"/>
          <w:sz w:val="21"/>
          <w:szCs w:val="21"/>
          <w:color w:val="auto"/>
        </w:rPr>
        <w:t>above and any Decision related to such changes shall be effected pursuant to subparagraph (a) of the definition of "Required Lenders"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 xml:space="preserve">) (and as if a Hedging Voting Right Event had occurred and was continuing in relation to each Hedging Counterparty)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the Senior Secured Creditors' rights, benefits and interests in respect of the First Ranking Liabilities (as defined in the Deed of Appointment and Priority) and the Security, the enforcement thereof and the priority and ranking of their claims in respect thereof and the subordination thereto of all other claims, remain unaffected by any such changes; and</w:t>
      </w:r>
    </w:p>
    <w:p>
      <w:pPr>
        <w:spacing w:after="0" w:line="183" w:lineRule="exact"/>
        <w:rPr>
          <w:rFonts w:ascii="Arial" w:cs="Arial" w:eastAsia="Arial" w:hAnsi="Arial"/>
          <w:sz w:val="21"/>
          <w:szCs w:val="21"/>
          <w:color w:val="auto"/>
        </w:rPr>
      </w:pPr>
    </w:p>
    <w:p>
      <w:pPr>
        <w:ind w:left="1304" w:hanging="655"/>
        <w:spacing w:after="0" w:line="263" w:lineRule="auto"/>
        <w:tabs>
          <w:tab w:leader="none" w:pos="130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amendment or waiver that is an Affected Lender Decision may be made in accordance with Clause 34.5 (</w:t>
      </w:r>
      <w:r>
        <w:rPr>
          <w:rFonts w:ascii="Arial" w:cs="Arial" w:eastAsia="Arial" w:hAnsi="Arial"/>
          <w:sz w:val="22"/>
          <w:szCs w:val="22"/>
          <w:i w:val="1"/>
          <w:iCs w:val="1"/>
          <w:color w:val="auto"/>
        </w:rPr>
        <w:t>Amendment and Waiver of an Affected Lender Decision</w:t>
      </w:r>
      <w:r>
        <w:rPr>
          <w:rFonts w:ascii="Arial" w:cs="Arial" w:eastAsia="Arial" w:hAnsi="Arial"/>
          <w:sz w:val="22"/>
          <w:szCs w:val="22"/>
          <w:color w:val="auto"/>
        </w:rPr>
        <w:t>).</w:t>
      </w:r>
    </w:p>
    <w:p>
      <w:pPr>
        <w:spacing w:after="0" w:line="169" w:lineRule="exact"/>
        <w:rPr>
          <w:sz w:val="20"/>
          <w:szCs w:val="20"/>
          <w:color w:val="auto"/>
        </w:rPr>
      </w:pPr>
    </w:p>
    <w:p>
      <w:pPr>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Funded Debt</w:t>
      </w:r>
      <w:r>
        <w:rPr>
          <w:rFonts w:ascii="Arial" w:cs="Arial" w:eastAsia="Arial" w:hAnsi="Arial"/>
          <w:sz w:val="21"/>
          <w:szCs w:val="21"/>
          <w:color w:val="auto"/>
        </w:rPr>
        <w:t>" means, in relation to any Person, all Financial Indebtedness of such Person of the types described in sub-clauses (a) through (g) of the definition of "Financial Indebtedness" in this Clause 1.1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ectPr>
          <w:pgSz w:w="11900" w:h="16838" w:orient="portrait"/>
          <w:cols w:equalWidth="0" w:num="1">
            <w:col w:w="10764"/>
          </w:cols>
          <w:pgMar w:left="896" w:top="631" w:right="239" w:bottom="1440" w:gutter="0" w:footer="0" w:header="0"/>
        </w:sectPr>
      </w:pPr>
    </w:p>
    <w:bookmarkStart w:id="128" w:name="page129"/>
    <w:bookmarkEnd w:id="128"/>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Funds</w:t>
      </w:r>
      <w:r>
        <w:rPr>
          <w:rFonts w:ascii="Arial" w:cs="Arial" w:eastAsia="Arial" w:hAnsi="Arial"/>
          <w:sz w:val="19"/>
          <w:szCs w:val="19"/>
          <w:color w:val="auto"/>
        </w:rPr>
        <w:t>" means any funds that are unconditionally available and have been made available, raised, procured or obtained in a manner that does not breach the terms of this Agreement, including such amount of Financial Indebtedness permitted to be created, incurred, assumed or allowed to remain outstanding pursuant to paragraph 2.1(e)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as, when aggregated with all other amounts of Financial Indebtedness permitted to be created, incurred, assumed or allowed to remain outstanding pursuant to paragraph 2.1(e), does not exceed USD500,000,000 or its equivalent.</w:t>
      </w:r>
    </w:p>
    <w:p>
      <w:pPr>
        <w:spacing w:after="0" w:line="143"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in respect of the Company and other members of the Restricted Group, IFRS and, in respect of any Wynn Obligor, generally accepted accounting principles in the United States of America as in effect from time to time.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Gaming Concession Consent Agreement</w:t>
      </w:r>
      <w:r>
        <w:rPr>
          <w:rFonts w:ascii="Arial" w:cs="Arial" w:eastAsia="Arial" w:hAnsi="Arial"/>
          <w:sz w:val="22"/>
          <w:szCs w:val="22"/>
          <w:color w:val="auto"/>
        </w:rPr>
        <w:t>" means the Agreement Relating to Security (with the Exclusion of Land Concession and Immovable Property) between the Government of the Macau SAR, the Company and the Security Agent and the Supplement in respect thereof dated 14 September 2005.</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Coordinating Lead Arrangers</w:t>
      </w:r>
      <w:r>
        <w:rPr>
          <w:rFonts w:ascii="Arial" w:cs="Arial" w:eastAsia="Arial" w:hAnsi="Arial"/>
          <w:sz w:val="22"/>
          <w:szCs w:val="22"/>
          <w:color w:val="auto"/>
        </w:rPr>
        <w:t>" or "</w:t>
      </w:r>
      <w:r>
        <w:rPr>
          <w:rFonts w:ascii="Arial" w:cs="Arial" w:eastAsia="Arial" w:hAnsi="Arial"/>
          <w:sz w:val="22"/>
          <w:szCs w:val="22"/>
          <w:b w:val="1"/>
          <w:bCs w:val="1"/>
          <w:color w:val="auto"/>
        </w:rPr>
        <w:t>GCLAs</w:t>
      </w:r>
      <w:r>
        <w:rPr>
          <w:rFonts w:ascii="Arial" w:cs="Arial" w:eastAsia="Arial" w:hAnsi="Arial"/>
          <w:sz w:val="22"/>
          <w:szCs w:val="22"/>
          <w:color w:val="auto"/>
        </w:rPr>
        <w:t>" means the Mandated Lead Arrangers and Bookrunners, the Mandated Lead Arrangers, the Lead Arrangers and the Arrangers (each a "</w:t>
      </w:r>
      <w:r>
        <w:rPr>
          <w:rFonts w:ascii="Arial" w:cs="Arial" w:eastAsia="Arial" w:hAnsi="Arial"/>
          <w:sz w:val="22"/>
          <w:szCs w:val="22"/>
          <w:b w:val="1"/>
          <w:bCs w:val="1"/>
          <w:color w:val="auto"/>
        </w:rPr>
        <w:t>Global Coordinating Lead Arranger</w:t>
      </w:r>
      <w:r>
        <w:rPr>
          <w:rFonts w:ascii="Arial" w:cs="Arial" w:eastAsia="Arial" w:hAnsi="Arial"/>
          <w:sz w:val="22"/>
          <w:szCs w:val="22"/>
          <w:color w:val="auto"/>
        </w:rPr>
        <w:t>" or "</w:t>
      </w:r>
      <w:r>
        <w:rPr>
          <w:rFonts w:ascii="Arial" w:cs="Arial" w:eastAsia="Arial" w:hAnsi="Arial"/>
          <w:sz w:val="22"/>
          <w:szCs w:val="22"/>
          <w:b w:val="1"/>
          <w:bCs w:val="1"/>
          <w:color w:val="auto"/>
        </w:rPr>
        <w:t>GCLA</w:t>
      </w:r>
      <w:r>
        <w:rPr>
          <w:rFonts w:ascii="Arial" w:cs="Arial" w:eastAsia="Arial" w:hAnsi="Arial"/>
          <w:sz w:val="22"/>
          <w:szCs w:val="22"/>
          <w:color w:val="auto"/>
        </w:rPr>
        <w: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Governing Documents</w:t>
      </w:r>
      <w:r>
        <w:rPr>
          <w:rFonts w:ascii="Arial" w:cs="Arial" w:eastAsia="Arial" w:hAnsi="Arial"/>
          <w:sz w:val="21"/>
          <w:szCs w:val="21"/>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the Company and each of the Company's Subsidiaries (other than any Excluded Subsidiary) for the time being (including, without limitation, Palo and any other Subsidiary of the Company which becomes an Obligor pursuant to paragraph 27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xml:space="preserve">" means the guarantee formerly entitled the "Wynn Pledgors' Guarantee" dated on or about the date of this Agreement between Wynn Asia 2, Wynn Holdings, Wynn HK, Wynn International, Palo and the Security Agent, as amended, restated, supplemented and novated by, </w:t>
      </w:r>
      <w:r>
        <w:rPr>
          <w:rFonts w:ascii="Arial" w:cs="Arial" w:eastAsia="Arial" w:hAnsi="Arial"/>
          <w:sz w:val="22"/>
          <w:szCs w:val="22"/>
          <w:i w:val="1"/>
          <w:iCs w:val="1"/>
          <w:color w:val="auto"/>
        </w:rPr>
        <w:t>inter alia</w:t>
      </w:r>
      <w:r>
        <w:rPr>
          <w:rFonts w:ascii="Arial" w:cs="Arial" w:eastAsia="Arial" w:hAnsi="Arial"/>
          <w:sz w:val="22"/>
          <w:szCs w:val="22"/>
          <w:color w:val="auto"/>
        </w:rPr>
        <w:t>, the Guarantee Fourth Deed of Amendment and Acknowledgement.</w:t>
      </w:r>
    </w:p>
    <w:p>
      <w:pPr>
        <w:spacing w:after="0" w:line="18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 Fourth Deed of Amendment and Acknowledgement</w:t>
      </w:r>
      <w:r>
        <w:rPr>
          <w:rFonts w:ascii="Arial" w:cs="Arial" w:eastAsia="Arial" w:hAnsi="Arial"/>
          <w:sz w:val="22"/>
          <w:szCs w:val="22"/>
          <w:color w:val="auto"/>
        </w:rPr>
        <w:t>" has the meaning given in the Common Terms Agreement Fifth Amendment Agreement.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Guaranteed WML Debt</w:t>
      </w:r>
      <w:r>
        <w:rPr>
          <w:rFonts w:ascii="Arial" w:cs="Arial" w:eastAsia="Arial" w:hAnsi="Arial"/>
          <w:sz w:val="22"/>
          <w:szCs w:val="22"/>
          <w:color w:val="auto"/>
        </w:rPr>
        <w:t>" means WML Debt in respect of which the Company or any Obligor has incurred, assumed or allowed to remain outstanding any Guarantee</w:t>
      </w:r>
    </w:p>
    <w:p>
      <w:pPr>
        <w:sectPr>
          <w:pgSz w:w="11900" w:h="16838" w:orient="portrait"/>
          <w:cols w:equalWidth="0" w:num="1">
            <w:col w:w="10760"/>
          </w:cols>
          <w:pgMar w:left="900" w:top="625" w:right="239" w:bottom="1440" w:gutter="0" w:footer="0" w:header="0"/>
        </w:sectPr>
      </w:pPr>
    </w:p>
    <w:bookmarkStart w:id="129" w:name="page130"/>
    <w:bookmarkEnd w:id="129"/>
    <w:p>
      <w:pPr>
        <w:ind w:left="4"/>
        <w:spacing w:after="0"/>
        <w:rPr>
          <w:sz w:val="20"/>
          <w:szCs w:val="20"/>
          <w:color w:val="auto"/>
        </w:rPr>
      </w:pPr>
      <w:r>
        <w:rPr>
          <w:rFonts w:ascii="Arial" w:cs="Arial" w:eastAsia="Arial" w:hAnsi="Arial"/>
          <w:sz w:val="22"/>
          <w:szCs w:val="22"/>
          <w:color w:val="auto"/>
        </w:rPr>
        <w:t>Obligations in compliance with paragraph 2.1(i)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of this Agreement.</w:t>
      </w:r>
    </w:p>
    <w:p>
      <w:pPr>
        <w:spacing w:after="0" w:line="214"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 Obligation</w:t>
      </w:r>
      <w:r>
        <w:rPr>
          <w:rFonts w:ascii="Arial" w:cs="Arial" w:eastAsia="Arial" w:hAnsi="Arial"/>
          <w:sz w:val="21"/>
          <w:szCs w:val="21"/>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80" w:lineRule="exact"/>
        <w:rPr>
          <w:sz w:val="20"/>
          <w:szCs w:val="20"/>
          <w:color w:val="auto"/>
        </w:rPr>
      </w:pPr>
    </w:p>
    <w:p>
      <w:pPr>
        <w:jc w:val="both"/>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Agreements</w:t>
      </w:r>
      <w:r>
        <w:rPr>
          <w:rFonts w:ascii="Arial" w:cs="Arial" w:eastAsia="Arial" w:hAnsi="Arial"/>
          <w:sz w:val="21"/>
          <w:szCs w:val="21"/>
          <w:color w:val="auto"/>
        </w:rPr>
        <w:t>" means any agreement entered into by the Company in accordance with paragraph 1 of Schedule 8 (</w:t>
      </w:r>
      <w:r>
        <w:rPr>
          <w:rFonts w:ascii="Arial" w:cs="Arial" w:eastAsia="Arial" w:hAnsi="Arial"/>
          <w:sz w:val="21"/>
          <w:szCs w:val="21"/>
          <w:i w:val="1"/>
          <w:iCs w:val="1"/>
          <w:color w:val="auto"/>
        </w:rPr>
        <w:t>Hedging Arrangements</w:t>
      </w:r>
      <w:r>
        <w:rPr>
          <w:rFonts w:ascii="Arial" w:cs="Arial" w:eastAsia="Arial" w:hAnsi="Arial"/>
          <w:sz w:val="21"/>
          <w:szCs w:val="21"/>
          <w:color w:val="auto"/>
        </w:rPr>
        <w:t>) but, for the avoidance of doubt, excludes any Permitted Swap Transaction.</w:t>
      </w:r>
    </w:p>
    <w:p>
      <w:pPr>
        <w:spacing w:after="0" w:line="14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Arrangements</w:t>
      </w:r>
      <w:r>
        <w:rPr>
          <w:rFonts w:ascii="Arial" w:cs="Arial" w:eastAsia="Arial" w:hAnsi="Arial"/>
          <w:sz w:val="22"/>
          <w:szCs w:val="22"/>
          <w:color w:val="auto"/>
        </w:rPr>
        <w:t>" means the requirements concerning interest rate hedging set out in Schedule 8 (</w:t>
      </w:r>
      <w:r>
        <w:rPr>
          <w:rFonts w:ascii="Arial" w:cs="Arial" w:eastAsia="Arial" w:hAnsi="Arial"/>
          <w:sz w:val="22"/>
          <w:szCs w:val="22"/>
          <w:i w:val="1"/>
          <w:iCs w:val="1"/>
          <w:color w:val="auto"/>
        </w:rPr>
        <w:t>Hedging</w:t>
      </w:r>
      <w:r>
        <w:rPr>
          <w:rFonts w:ascii="Arial" w:cs="Arial" w:eastAsia="Arial" w:hAnsi="Arial"/>
          <w:sz w:val="22"/>
          <w:szCs w:val="22"/>
          <w:color w:val="auto"/>
        </w:rPr>
        <w:t xml:space="preserve"> </w:t>
      </w:r>
      <w:r>
        <w:rPr>
          <w:rFonts w:ascii="Arial" w:cs="Arial" w:eastAsia="Arial" w:hAnsi="Arial"/>
          <w:sz w:val="22"/>
          <w:szCs w:val="22"/>
          <w:i w:val="1"/>
          <w:iCs w:val="1"/>
          <w:color w:val="auto"/>
        </w:rPr>
        <w:t>Arrangements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Counterparties</w:t>
      </w:r>
      <w:r>
        <w:rPr>
          <w:rFonts w:ascii="Arial" w:cs="Arial" w:eastAsia="Arial" w:hAnsi="Arial"/>
          <w:sz w:val="22"/>
          <w:szCs w:val="22"/>
          <w:color w:val="auto"/>
        </w:rPr>
        <w:t>" means a financial institution identified as such in Part C of Schedule 1 (</w:t>
      </w:r>
      <w:r>
        <w:rPr>
          <w:rFonts w:ascii="Arial" w:cs="Arial" w:eastAsia="Arial" w:hAnsi="Arial"/>
          <w:sz w:val="22"/>
          <w:szCs w:val="22"/>
          <w:i w:val="1"/>
          <w:iCs w:val="1"/>
          <w:color w:val="auto"/>
        </w:rPr>
        <w:t>The Lenders and</w:t>
      </w:r>
      <w:r>
        <w:rPr>
          <w:rFonts w:ascii="Arial" w:cs="Arial" w:eastAsia="Arial" w:hAnsi="Arial"/>
          <w:sz w:val="22"/>
          <w:szCs w:val="22"/>
          <w:color w:val="auto"/>
        </w:rPr>
        <w:t xml:space="preserve"> </w:t>
      </w:r>
      <w:r>
        <w:rPr>
          <w:rFonts w:ascii="Arial" w:cs="Arial" w:eastAsia="Arial" w:hAnsi="Arial"/>
          <w:sz w:val="22"/>
          <w:szCs w:val="22"/>
          <w:i w:val="1"/>
          <w:iCs w:val="1"/>
          <w:color w:val="auto"/>
        </w:rPr>
        <w:t>Hedging Counterparties</w:t>
      </w:r>
      <w:r>
        <w:rPr>
          <w:rFonts w:ascii="Arial" w:cs="Arial" w:eastAsia="Arial" w:hAnsi="Arial"/>
          <w:sz w:val="22"/>
          <w:szCs w:val="22"/>
          <w:color w:val="auto"/>
        </w:rPr>
        <w:t>) and the parties, other than the Company, to the Hedging Agreements and who have executed a</w:t>
      </w:r>
      <w:r>
        <w:rPr>
          <w:rFonts w:ascii="Arial" w:cs="Arial" w:eastAsia="Arial" w:hAnsi="Arial"/>
          <w:sz w:val="22"/>
          <w:szCs w:val="22"/>
          <w:i w:val="1"/>
          <w:iCs w:val="1"/>
          <w:color w:val="auto"/>
        </w:rPr>
        <w:t xml:space="preserve"> </w:t>
      </w:r>
      <w:r>
        <w:rPr>
          <w:rFonts w:ascii="Arial" w:cs="Arial" w:eastAsia="Arial" w:hAnsi="Arial"/>
          <w:sz w:val="22"/>
          <w:szCs w:val="22"/>
          <w:color w:val="auto"/>
        </w:rPr>
        <w:t>Hedging Counterparty's Deed of Accession.</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Counterparty's Deed of Accession</w:t>
      </w:r>
      <w:r>
        <w:rPr>
          <w:rFonts w:ascii="Arial" w:cs="Arial" w:eastAsia="Arial" w:hAnsi="Arial"/>
          <w:sz w:val="22"/>
          <w:szCs w:val="22"/>
          <w:color w:val="auto"/>
        </w:rPr>
        <w:t>" means a deed of accession in substantially the form set out in Appendix 1 to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Voting Right Event</w:t>
      </w:r>
      <w:r>
        <w:rPr>
          <w:rFonts w:ascii="Arial" w:cs="Arial" w:eastAsia="Arial" w:hAnsi="Arial"/>
          <w:sz w:val="22"/>
          <w:szCs w:val="22"/>
          <w:color w:val="auto"/>
        </w:rPr>
        <w:t>" means, in relation to any Hedging Counterparty, the occurrence and continuation of both of the following events:</w:t>
      </w:r>
    </w:p>
    <w:p>
      <w:pPr>
        <w:spacing w:after="0" w:line="168" w:lineRule="exact"/>
        <w:rPr>
          <w:sz w:val="20"/>
          <w:szCs w:val="20"/>
          <w:color w:val="auto"/>
        </w:rPr>
      </w:pPr>
    </w:p>
    <w:p>
      <w:pPr>
        <w:ind w:left="644" w:hanging="644"/>
        <w:spacing w:after="0" w:line="263" w:lineRule="auto"/>
        <w:tabs>
          <w:tab w:leader="none" w:pos="6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serving of any notice given by the Intercreditor Agent pursuant to sub-clause 19.2.2 of Clause 19.2 (</w:t>
      </w:r>
      <w:r>
        <w:rPr>
          <w:rFonts w:ascii="Arial" w:cs="Arial" w:eastAsia="Arial" w:hAnsi="Arial"/>
          <w:sz w:val="22"/>
          <w:szCs w:val="22"/>
          <w:i w:val="1"/>
          <w:iCs w:val="1"/>
          <w:color w:val="auto"/>
        </w:rPr>
        <w:t>Remedies</w:t>
      </w:r>
      <w:r>
        <w:rPr>
          <w:rFonts w:ascii="Arial" w:cs="Arial" w:eastAsia="Arial" w:hAnsi="Arial"/>
          <w:sz w:val="22"/>
          <w:szCs w:val="22"/>
          <w:color w:val="auto"/>
        </w:rPr>
        <w:t xml:space="preserve"> </w:t>
      </w:r>
      <w:r>
        <w:rPr>
          <w:rFonts w:ascii="Arial" w:cs="Arial" w:eastAsia="Arial" w:hAnsi="Arial"/>
          <w:sz w:val="22"/>
          <w:szCs w:val="22"/>
          <w:i w:val="1"/>
          <w:iCs w:val="1"/>
          <w:color w:val="auto"/>
        </w:rPr>
        <w:t>following an Event of Default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Realised Hedge Loss is not paid when due under the Hedging Agreement to which such Hedging Counterparty is party.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HIBOR</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w:t>
      </w:r>
      <w:r>
        <w:rPr>
          <w:rFonts w:ascii="Arial" w:cs="Arial" w:eastAsia="Arial" w:hAnsi="Arial"/>
          <w:sz w:val="22"/>
          <w:szCs w:val="22"/>
          <w:color w:val="auto"/>
        </w:rPr>
        <w:t>" or "</w:t>
      </w:r>
      <w:r>
        <w:rPr>
          <w:rFonts w:ascii="Arial" w:cs="Arial" w:eastAsia="Arial" w:hAnsi="Arial"/>
          <w:sz w:val="22"/>
          <w:szCs w:val="22"/>
          <w:b w:val="1"/>
          <w:bCs w:val="1"/>
          <w:color w:val="auto"/>
        </w:rPr>
        <w:t>HK dollars</w:t>
      </w:r>
      <w:r>
        <w:rPr>
          <w:rFonts w:ascii="Arial" w:cs="Arial" w:eastAsia="Arial" w:hAnsi="Arial"/>
          <w:sz w:val="22"/>
          <w:szCs w:val="22"/>
          <w:color w:val="auto"/>
        </w:rPr>
        <w:t>" denotes the lawful currency of the Hong Kong SAR.</w:t>
      </w:r>
    </w:p>
    <w:p>
      <w:pPr>
        <w:sectPr>
          <w:pgSz w:w="11900" w:h="16838" w:orient="portrait"/>
          <w:cols w:equalWidth="0" w:num="1">
            <w:col w:w="10764"/>
          </w:cols>
          <w:pgMar w:left="896" w:top="631" w:right="239" w:bottom="1440" w:gutter="0" w:footer="0" w:header="0"/>
        </w:sectPr>
      </w:pPr>
    </w:p>
    <w:bookmarkStart w:id="130" w:name="page131"/>
    <w:bookmarkEnd w:id="130"/>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Debt Service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Debt Service Reserve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HKD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SAR</w:t>
      </w:r>
      <w:r>
        <w:rPr>
          <w:rFonts w:ascii="Arial" w:cs="Arial" w:eastAsia="Arial" w:hAnsi="Arial"/>
          <w:sz w:val="22"/>
          <w:szCs w:val="22"/>
          <w:color w:val="auto"/>
        </w:rPr>
        <w:t>" means the Hong Kong Special Administrative Region.</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IFRS</w:t>
      </w:r>
      <w:r>
        <w:rPr>
          <w:rFonts w:ascii="Arial" w:cs="Arial" w:eastAsia="Arial" w:hAnsi="Arial"/>
          <w:sz w:val="22"/>
          <w:szCs w:val="22"/>
          <w:color w:val="auto"/>
        </w:rPr>
        <w:t>" means the International Financial Reporting Standards issued by the International Accounting Standards Board or its successor.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has the meaning given in Clause 12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 Memorandum</w:t>
      </w:r>
      <w:r>
        <w:rPr>
          <w:rFonts w:ascii="Arial" w:cs="Arial" w:eastAsia="Arial" w:hAnsi="Arial"/>
          <w:sz w:val="22"/>
          <w:szCs w:val="22"/>
          <w:color w:val="auto"/>
        </w:rPr>
        <w:t>" means the information memorandum dated August 2015 prepared by the Company in relation to Wynn Macau and the Cotai Project for the purposes of the financing of any or all of the Facilities, and sent to the Lenders on 19 August 2015 by the Intercreditor Agent.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Advance</w:t>
      </w:r>
      <w:r>
        <w:rPr>
          <w:rFonts w:ascii="Arial" w:cs="Arial" w:eastAsia="Arial" w:hAnsi="Arial"/>
          <w:sz w:val="22"/>
          <w:szCs w:val="22"/>
          <w:color w:val="auto"/>
        </w:rPr>
        <w:t>" means the first Advance made under each of the Facilities.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Event</w:t>
      </w:r>
      <w:r>
        <w:rPr>
          <w:rFonts w:ascii="Arial" w:cs="Arial" w:eastAsia="Arial" w:hAnsi="Arial"/>
          <w:sz w:val="22"/>
          <w:szCs w:val="22"/>
          <w:color w:val="auto"/>
        </w:rPr>
        <w:t>" in relation to an entity means that the entity:</w:t>
      </w:r>
    </w:p>
    <w:p>
      <w:pPr>
        <w:spacing w:after="0" w:line="226" w:lineRule="exact"/>
        <w:rPr>
          <w:sz w:val="20"/>
          <w:szCs w:val="20"/>
          <w:color w:val="auto"/>
        </w:rPr>
      </w:pPr>
    </w:p>
    <w:p>
      <w:pPr>
        <w:ind w:left="644" w:hanging="644"/>
        <w:spacing w:after="0"/>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is dissolved (other than pursuant to a consolidation, amalgamation or merger);</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becomes insolvent or is unable to pay its debts or fails or admits in writing its inability generally to pay its debts as they become due;</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makes a general assignment, arrangement or composition with or for the benefit of its creditors;</w:t>
      </w:r>
    </w:p>
    <w:p>
      <w:pPr>
        <w:spacing w:after="0" w:line="219" w:lineRule="exact"/>
        <w:rPr>
          <w:rFonts w:ascii="Arial" w:cs="Arial" w:eastAsia="Arial" w:hAnsi="Arial"/>
          <w:sz w:val="22"/>
          <w:szCs w:val="22"/>
          <w:color w:val="auto"/>
        </w:rPr>
      </w:pPr>
    </w:p>
    <w:p>
      <w:pPr>
        <w:jc w:val="both"/>
        <w:ind w:left="644" w:hanging="644"/>
        <w:spacing w:after="0" w:line="263" w:lineRule="auto"/>
        <w:tabs>
          <w:tab w:leader="none" w:pos="64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5" w:lineRule="exact"/>
        <w:rPr>
          <w:rFonts w:ascii="Arial" w:cs="Arial" w:eastAsia="Arial" w:hAnsi="Arial"/>
          <w:sz w:val="21"/>
          <w:szCs w:val="21"/>
          <w:color w:val="auto"/>
        </w:rPr>
      </w:pPr>
    </w:p>
    <w:p>
      <w:pPr>
        <w:jc w:val="both"/>
        <w:ind w:left="644" w:hanging="644"/>
        <w:spacing w:after="0" w:line="302" w:lineRule="auto"/>
        <w:tabs>
          <w:tab w:leader="none" w:pos="64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42" w:lineRule="exact"/>
        <w:rPr>
          <w:rFonts w:ascii="Arial" w:cs="Arial" w:eastAsia="Arial" w:hAnsi="Arial"/>
          <w:sz w:val="19"/>
          <w:szCs w:val="19"/>
          <w:color w:val="auto"/>
        </w:rPr>
      </w:pPr>
    </w:p>
    <w:p>
      <w:pPr>
        <w:ind w:left="1304" w:right="20" w:hanging="655"/>
        <w:spacing w:after="0" w:line="263" w:lineRule="auto"/>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results in a judgment of insolvency or bankruptcy or the entry of an order for relief or the making of an order for its winding-up or liquidation; or</w:t>
      </w:r>
    </w:p>
    <w:p>
      <w:pPr>
        <w:sectPr>
          <w:pgSz w:w="11900" w:h="16838" w:orient="portrait"/>
          <w:cols w:equalWidth="0" w:num="1">
            <w:col w:w="10764"/>
          </w:cols>
          <w:pgMar w:left="896" w:top="625" w:right="239" w:bottom="1440" w:gutter="0" w:footer="0" w:header="0"/>
        </w:sectPr>
      </w:pPr>
    </w:p>
    <w:bookmarkStart w:id="131" w:name="page132"/>
    <w:bookmarkEnd w:id="131"/>
    <w:p>
      <w:pPr>
        <w:ind w:left="1304" w:hanging="655"/>
        <w:spacing w:after="0" w:line="263" w:lineRule="auto"/>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(is not dismissed, discharged, stayed or restrained in each case within 30 days of the institution or presentation thereof;</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has a resolution passed for its winding-up, official management or liquidation (other than pursuant to a consolidation, amalgamation or merger);</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88"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8"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causes or is subject to any event with respect to it which, under the applicable laws of any jurisdiction, has an analogous effect to any of the events specified in paragraphs (a) to (h) above; or</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takes any action in furtherance of, or indicating its consent to, approval of, or acquiescence in, any of the foregoing acts.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w:t>
      </w:r>
      <w:r>
        <w:rPr>
          <w:rFonts w:ascii="Arial" w:cs="Arial" w:eastAsia="Arial" w:hAnsi="Arial"/>
          <w:sz w:val="22"/>
          <w:szCs w:val="22"/>
          <w:color w:val="auto"/>
        </w:rPr>
        <w:t>" means a Direct Insurance or a Reinsurance.</w:t>
      </w:r>
    </w:p>
    <w:p>
      <w:pPr>
        <w:spacing w:after="0" w:line="22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 Proceeds</w:t>
      </w:r>
      <w:r>
        <w:rPr>
          <w:rFonts w:ascii="Arial" w:cs="Arial" w:eastAsia="Arial" w:hAnsi="Arial"/>
          <w:sz w:val="22"/>
          <w:szCs w:val="22"/>
          <w:color w:val="auto"/>
        </w:rPr>
        <w:t>" means all amounts and proceeds (including monetary instruments) paid under any insurance policy maintained by the Company or Palo (including, without limitation, any insurance policy required to be maintained by the Company or Palo under any Transaction Document but excluding any public liability, third party liability, workers compensation and legal liability insurances and also excluding any other insurance the proceeds of which are payable to the employees of the Company or Palo) less any costs or expenses incurred by the Company, Palo or their respective agents in collecting such amounts and proceeds.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Insurer</w:t>
      </w:r>
      <w:r>
        <w:rPr>
          <w:rFonts w:ascii="Arial" w:cs="Arial" w:eastAsia="Arial" w:hAnsi="Arial"/>
          <w:sz w:val="22"/>
          <w:szCs w:val="22"/>
          <w:color w:val="auto"/>
        </w:rPr>
        <w:t>" means a Direct Insurer or a Reinsurer.</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Insurer Notices and Acknowledgements</w:t>
      </w:r>
      <w:r>
        <w:rPr>
          <w:rFonts w:ascii="Arial" w:cs="Arial" w:eastAsia="Arial" w:hAnsi="Arial"/>
          <w:sz w:val="22"/>
          <w:szCs w:val="22"/>
          <w:color w:val="auto"/>
        </w:rPr>
        <w:t>" means the notices and acknowledgements to be delivered to and executed by each Insurer and Reinsurer in accordance with the Assignment of Insurances and the Assignments of Reinsurances, respectively.</w:t>
      </w:r>
    </w:p>
    <w:p>
      <w:pPr>
        <w:spacing w:after="0" w:line="176"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ectPr>
          <w:pgSz w:w="11900" w:h="16838" w:orient="portrait"/>
          <w:cols w:equalWidth="0" w:num="1">
            <w:col w:w="10764"/>
          </w:cols>
          <w:pgMar w:left="896" w:top="631" w:right="239" w:bottom="144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Intercreditor Agent</w:t>
      </w:r>
      <w:r>
        <w:rPr>
          <w:rFonts w:ascii="Arial" w:cs="Arial" w:eastAsia="Arial" w:hAnsi="Arial"/>
          <w:sz w:val="22"/>
          <w:szCs w:val="22"/>
          <w:color w:val="auto"/>
        </w:rPr>
        <w:t>" means Bank of China Limited, Macau Branch in its capacity as intercreditor agent for the Senior Secured Creditors or its successor appointed in accordance with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Coverage Ratio</w:t>
      </w:r>
      <w:r>
        <w:rPr>
          <w:rFonts w:ascii="Arial" w:cs="Arial" w:eastAsia="Arial" w:hAnsi="Arial"/>
          <w:sz w:val="21"/>
          <w:szCs w:val="21"/>
          <w:color w:val="auto"/>
        </w:rPr>
        <w:t>" means, in relation to any period, the ratio of EBITDA to Financing Costs for such period.</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each date on which an Interest Period ends.</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Period</w:t>
      </w:r>
      <w:r>
        <w:rPr>
          <w:rFonts w:ascii="Arial" w:cs="Arial" w:eastAsia="Arial" w:hAnsi="Arial"/>
          <w:sz w:val="22"/>
          <w:szCs w:val="22"/>
          <w:color w:val="auto"/>
        </w:rPr>
        <w:t>" means, in relation to any Advance, each period for the calculation of interest in respect thereof ascertained in accordance with Clause 9 (</w:t>
      </w:r>
      <w:r>
        <w:rPr>
          <w:rFonts w:ascii="Arial" w:cs="Arial" w:eastAsia="Arial" w:hAnsi="Arial"/>
          <w:sz w:val="22"/>
          <w:szCs w:val="22"/>
          <w:i w:val="1"/>
          <w:iCs w:val="1"/>
          <w:color w:val="auto"/>
        </w:rPr>
        <w:t>Interest, Interest Periods and Default Interest</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 Income</w:t>
      </w:r>
      <w:r>
        <w:rPr>
          <w:rFonts w:ascii="Arial" w:cs="Arial" w:eastAsia="Arial" w:hAnsi="Arial"/>
          <w:sz w:val="19"/>
          <w:szCs w:val="19"/>
          <w:color w:val="auto"/>
        </w:rPr>
        <w:t>" means any interest, dividends or other income arising from or in respect of a Permitted Investment.</w:t>
      </w:r>
    </w:p>
    <w:p>
      <w:pPr>
        <w:spacing w:after="0" w:line="2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Proceeds</w:t>
      </w:r>
      <w:r>
        <w:rPr>
          <w:rFonts w:ascii="Arial" w:cs="Arial" w:eastAsia="Arial" w:hAnsi="Arial"/>
          <w:sz w:val="22"/>
          <w:szCs w:val="22"/>
          <w:color w:val="auto"/>
        </w:rPr>
        <w:t>" means any net proceeds received upon any disposal, realisation or redemption of a Permitted Investment, but excluding any Investment Income.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Investments</w:t>
      </w:r>
      <w:r>
        <w:rPr>
          <w:rFonts w:ascii="Arial" w:cs="Arial" w:eastAsia="Arial" w:hAnsi="Arial"/>
          <w:sz w:val="22"/>
          <w:szCs w:val="22"/>
          <w:color w:val="auto"/>
        </w:rPr>
        <w:t>" has the meaning given to it in paragraph 8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Agreement</w:t>
      </w:r>
      <w:r>
        <w:rPr>
          <w:rFonts w:ascii="Arial" w:cs="Arial" w:eastAsia="Arial" w:hAnsi="Arial"/>
          <w:sz w:val="22"/>
          <w:szCs w:val="22"/>
          <w:color w:val="auto"/>
        </w:rPr>
        <w:t>" means the Amended and Restated Fourth Amendment to Intellectual Property Licence Agreement dated 19 September 2009.</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Fees</w:t>
      </w:r>
      <w:r>
        <w:rPr>
          <w:rFonts w:ascii="Arial" w:cs="Arial" w:eastAsia="Arial" w:hAnsi="Arial"/>
          <w:sz w:val="22"/>
          <w:szCs w:val="22"/>
          <w:color w:val="auto"/>
        </w:rPr>
        <w:t>" means the "Licensing Fee" as defined in the IP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Master Agreement</w:t>
      </w:r>
      <w:r>
        <w:rPr>
          <w:rFonts w:ascii="Arial" w:cs="Arial" w:eastAsia="Arial" w:hAnsi="Arial"/>
          <w:sz w:val="22"/>
          <w:szCs w:val="22"/>
          <w:color w:val="auto"/>
        </w:rPr>
        <w:t>" has the meaning given in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Schedule</w:t>
      </w:r>
      <w:r>
        <w:rPr>
          <w:rFonts w:ascii="Arial" w:cs="Arial" w:eastAsia="Arial" w:hAnsi="Arial"/>
          <w:sz w:val="22"/>
          <w:szCs w:val="22"/>
          <w:color w:val="auto"/>
        </w:rPr>
        <w:t>" means the schedule to the ISDA Master Agreement in form and substance reasonably satisfactory to the Intercreditor Agent.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Concession Contract</w:t>
      </w:r>
      <w:r>
        <w:rPr>
          <w:rFonts w:ascii="Arial" w:cs="Arial" w:eastAsia="Arial" w:hAnsi="Arial"/>
          <w:sz w:val="22"/>
          <w:szCs w:val="22"/>
          <w:color w:val="auto"/>
        </w:rPr>
        <w:t>" means the land concession contract agreed to by the Company with the Macau SAR on 4 June 2004 which forms an integral part of Dispatch number 81/2004.</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Concession Consent Agreement</w:t>
      </w:r>
      <w:r>
        <w:rPr>
          <w:rFonts w:ascii="Arial" w:cs="Arial" w:eastAsia="Arial" w:hAnsi="Arial"/>
          <w:sz w:val="22"/>
          <w:szCs w:val="22"/>
          <w:color w:val="auto"/>
        </w:rPr>
        <w:t>" means the Agreement relating to Security under the Land Concession Contract between the Government of the Macau SAR, the Company and the Security Agent and the Supplement in respect thereof dated 14 September 2005.</w:t>
      </w:r>
    </w:p>
    <w:p>
      <w:pPr>
        <w:spacing w:after="0" w:line="17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Security Assignment</w:t>
      </w:r>
      <w:r>
        <w:rPr>
          <w:rFonts w:ascii="Arial" w:cs="Arial" w:eastAsia="Arial" w:hAnsi="Arial"/>
          <w:sz w:val="22"/>
          <w:szCs w:val="22"/>
          <w:color w:val="auto"/>
        </w:rPr>
        <w:t>" means the assignment so entitled dated on or about the date of this Agreement between the Company and the Security Agent.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Requirements</w:t>
      </w:r>
      <w:r>
        <w:rPr>
          <w:rFonts w:ascii="Arial" w:cs="Arial" w:eastAsia="Arial" w:hAnsi="Arial"/>
          <w:sz w:val="22"/>
          <w:szCs w:val="22"/>
          <w:color w:val="auto"/>
        </w:rPr>
        <w:t>" means all laws, statutes, orders, decrees, injunctions, licenses, permits, approvals, agreements and regulations of any Governmental Authority having jurisdiction over the matter in question.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means a Term Facility Lender, a Revolving Credit Facility Lender or an Additional Lender.</w:t>
      </w:r>
    </w:p>
    <w:p>
      <w:pPr>
        <w:sectPr>
          <w:pgSz w:w="11900" w:h="16838" w:orient="portrait"/>
          <w:cols w:equalWidth="0" w:num="1">
            <w:col w:w="10760"/>
          </w:cols>
          <w:pgMar w:left="900" w:top="625" w:right="239" w:bottom="1440" w:gutter="0" w:footer="0" w:header="0"/>
        </w:sectPr>
      </w:pPr>
    </w:p>
    <w:bookmarkStart w:id="133" w:name="page134"/>
    <w:bookmarkEnd w:id="133"/>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Lending Group</w:t>
      </w:r>
      <w:r>
        <w:rPr>
          <w:rFonts w:ascii="Arial" w:cs="Arial" w:eastAsia="Arial" w:hAnsi="Arial"/>
          <w:sz w:val="19"/>
          <w:szCs w:val="19"/>
          <w:color w:val="auto"/>
        </w:rPr>
        <w:t>" means the Term Lending Group, each Revolving Lending Group and each Additional Lending Group.</w:t>
      </w:r>
    </w:p>
    <w:p>
      <w:pPr>
        <w:spacing w:after="0" w:line="254"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Leverage Ratio</w:t>
      </w:r>
      <w:r>
        <w:rPr>
          <w:rFonts w:ascii="Arial" w:cs="Arial" w:eastAsia="Arial" w:hAnsi="Arial"/>
          <w:sz w:val="22"/>
          <w:szCs w:val="22"/>
          <w:color w:val="auto"/>
        </w:rPr>
        <w:t>" means, in relation to any period, the ratio of Total Debt on the last day of such period to EBITDA for such period.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Licensor</w:t>
      </w:r>
      <w:r>
        <w:rPr>
          <w:rFonts w:ascii="Arial" w:cs="Arial" w:eastAsia="Arial" w:hAnsi="Arial"/>
          <w:sz w:val="22"/>
          <w:szCs w:val="22"/>
          <w:color w:val="auto"/>
        </w:rPr>
        <w:t>" has the meaning given in the IP Agreement.</w:t>
      </w:r>
    </w:p>
    <w:p>
      <w:pPr>
        <w:spacing w:after="0" w:line="220"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135"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Listing Rules</w:t>
      </w:r>
      <w:r>
        <w:rPr>
          <w:rFonts w:ascii="Arial" w:cs="Arial" w:eastAsia="Arial" w:hAnsi="Arial"/>
          <w:sz w:val="22"/>
          <w:szCs w:val="22"/>
          <w:color w:val="auto"/>
        </w:rPr>
        <w:t>" means the rules as in effect from time to time governing the listing of securities on The Stock Exchange of Hong Kong Limited.</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 Covering Letter</w:t>
      </w:r>
      <w:r>
        <w:rPr>
          <w:rFonts w:ascii="Arial" w:cs="Arial" w:eastAsia="Arial" w:hAnsi="Arial"/>
          <w:sz w:val="22"/>
          <w:szCs w:val="22"/>
          <w:color w:val="auto"/>
        </w:rPr>
        <w:t>" means the letter from the Company to the Security Agent dated on or about the Fifth Amendment Effective Date in relation to the Livranças, duly acknowledged by Palo.</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Livranças</w:t>
      </w:r>
      <w:r>
        <w:rPr>
          <w:rFonts w:ascii="Arial" w:cs="Arial" w:eastAsia="Arial" w:hAnsi="Arial"/>
          <w:sz w:val="22"/>
          <w:szCs w:val="22"/>
          <w:color w:val="auto"/>
        </w:rPr>
        <w:t>" means the promissory notes dated on or about the date of this Agreement issued by the Company and endorsed and payable to the Security Agent.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London Business Day</w:t>
      </w:r>
      <w:r>
        <w:rPr>
          <w:rFonts w:ascii="Arial" w:cs="Arial" w:eastAsia="Arial" w:hAnsi="Arial"/>
          <w:sz w:val="22"/>
          <w:szCs w:val="22"/>
          <w:color w:val="auto"/>
        </w:rPr>
        <w:t>" means a day (other than a Saturday or Sunday) on which banks are open for general business in London.</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Gaming Laws</w:t>
      </w:r>
      <w:r>
        <w:rPr>
          <w:rFonts w:ascii="Arial" w:cs="Arial" w:eastAsia="Arial" w:hAnsi="Arial"/>
          <w:sz w:val="22"/>
          <w:szCs w:val="22"/>
          <w:color w:val="auto"/>
        </w:rPr>
        <w:t>" means Law No. 16/2001 and Administrative Regulation No. 26/2001, as amended from time to time, and other laws promulgated by any Governmental Authority of the Macau SAR and applying to gaming operations in the Macau SAR.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SAR</w:t>
      </w:r>
      <w:r>
        <w:rPr>
          <w:rFonts w:ascii="Arial" w:cs="Arial" w:eastAsia="Arial" w:hAnsi="Arial"/>
          <w:sz w:val="22"/>
          <w:szCs w:val="22"/>
          <w:color w:val="auto"/>
        </w:rPr>
        <w:t>" means the Macau Special Administrative Region.</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Project Document</w:t>
      </w:r>
      <w:r>
        <w:rPr>
          <w:rFonts w:ascii="Arial" w:cs="Arial" w:eastAsia="Arial" w:hAnsi="Arial"/>
          <w:sz w:val="22"/>
          <w:szCs w:val="22"/>
          <w:color w:val="auto"/>
        </w:rPr>
        <w:t>" means any of:</w:t>
      </w:r>
    </w:p>
    <w:p>
      <w:pPr>
        <w:spacing w:after="0" w:line="226" w:lineRule="exact"/>
        <w:rPr>
          <w:sz w:val="20"/>
          <w:szCs w:val="20"/>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Land Concession Contract;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IP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Performance Bond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Concession Contract Performance Bond;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Resort Management Agreement; and</w:t>
      </w:r>
    </w:p>
    <w:p>
      <w:pPr>
        <w:sectPr>
          <w:pgSz w:w="11900" w:h="16838" w:orient="portrait"/>
          <w:cols w:equalWidth="0" w:num="1">
            <w:col w:w="10764"/>
          </w:cols>
          <w:pgMar w:left="896" w:top="625" w:right="239" w:bottom="1440" w:gutter="0" w:footer="0" w:header="0"/>
        </w:sectPr>
      </w:pPr>
    </w:p>
    <w:bookmarkStart w:id="134" w:name="page135"/>
    <w:bookmarkEnd w:id="134"/>
    <w:p>
      <w:pPr>
        <w:ind w:left="4" w:right="6920" w:hanging="4"/>
        <w:spacing w:after="0" w:line="519" w:lineRule="auto"/>
        <w:tabs>
          <w:tab w:leader="none" w:pos="65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Cotai Land Concession Contract. "</w:t>
      </w:r>
      <w:r>
        <w:rPr>
          <w:rFonts w:ascii="Arial" w:cs="Arial" w:eastAsia="Arial" w:hAnsi="Arial"/>
          <w:sz w:val="19"/>
          <w:szCs w:val="19"/>
          <w:b w:val="1"/>
          <w:bCs w:val="1"/>
          <w:color w:val="auto"/>
        </w:rPr>
        <w:t>Major Project Participants</w:t>
      </w:r>
      <w:r>
        <w:rPr>
          <w:rFonts w:ascii="Arial" w:cs="Arial" w:eastAsia="Arial" w:hAnsi="Arial"/>
          <w:sz w:val="19"/>
          <w:szCs w:val="19"/>
          <w:color w:val="auto"/>
        </w:rPr>
        <w:t>" means:</w:t>
      </w:r>
    </w:p>
    <w:p>
      <w:pPr>
        <w:ind w:left="644" w:hanging="644"/>
        <w:spacing w:after="0"/>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each Obligor;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Macau SAR; and</w:t>
      </w:r>
    </w:p>
    <w:p>
      <w:pPr>
        <w:spacing w:after="0" w:line="219" w:lineRule="exact"/>
        <w:rPr>
          <w:rFonts w:ascii="Arial" w:cs="Arial" w:eastAsia="Arial" w:hAnsi="Arial"/>
          <w:sz w:val="22"/>
          <w:szCs w:val="22"/>
          <w:color w:val="auto"/>
        </w:rPr>
      </w:pPr>
    </w:p>
    <w:p>
      <w:pPr>
        <w:ind w:left="4" w:right="580" w:hanging="4"/>
        <w:spacing w:after="0" w:line="445" w:lineRule="auto"/>
        <w:tabs>
          <w:tab w:leader="none" w:pos="65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each other Person who is party to a Major Project Document (other than any Resort Management Agreement). "</w:t>
      </w:r>
      <w:r>
        <w:rPr>
          <w:rFonts w:ascii="Arial" w:cs="Arial" w:eastAsia="Arial" w:hAnsi="Arial"/>
          <w:sz w:val="22"/>
          <w:szCs w:val="22"/>
          <w:b w:val="1"/>
          <w:bCs w:val="1"/>
          <w:color w:val="auto"/>
        </w:rPr>
        <w:t>Market Disruption Event</w:t>
      </w:r>
      <w:r>
        <w:rPr>
          <w:rFonts w:ascii="Arial" w:cs="Arial" w:eastAsia="Arial" w:hAnsi="Arial"/>
          <w:sz w:val="22"/>
          <w:szCs w:val="22"/>
          <w:color w:val="auto"/>
        </w:rPr>
        <w:t>" has the meaning given in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condition or material adverse change in or affecting:</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business, assets, liabilities, property, condition (financial or otherwise), results of operations, prospects, value or management of the Company or Palo or the Company, the Restricted Group and the Wynn Obligors, taken as a whole;</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ability of the Company or any other Obligor to perform its obligations under the Senior Finance Documents;</w:t>
      </w:r>
    </w:p>
    <w:p>
      <w:pPr>
        <w:spacing w:after="0" w:line="254" w:lineRule="exact"/>
        <w:rPr>
          <w:rFonts w:ascii="Arial" w:cs="Arial" w:eastAsia="Arial" w:hAnsi="Arial"/>
          <w:sz w:val="19"/>
          <w:szCs w:val="19"/>
          <w:color w:val="auto"/>
        </w:rPr>
      </w:pPr>
    </w:p>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validity or enforceability of any Senior Finance Document (other than any Palo Security Document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material adverse condition or material adverse change in or affecting the validity or enforceability of that Palo Security Document arises as a result of the matters contemplated by Clause 18.3.4(a) (</w:t>
      </w:r>
      <w:r>
        <w:rPr>
          <w:rFonts w:ascii="Arial" w:cs="Arial" w:eastAsia="Arial" w:hAnsi="Arial"/>
          <w:sz w:val="19"/>
          <w:szCs w:val="19"/>
          <w:i w:val="1"/>
          <w:iCs w:val="1"/>
          <w:color w:val="auto"/>
        </w:rPr>
        <w:t>Permitted Cotai</w:t>
      </w:r>
      <w:r>
        <w:rPr>
          <w:rFonts w:ascii="Arial" w:cs="Arial" w:eastAsia="Arial" w:hAnsi="Arial"/>
          <w:sz w:val="19"/>
          <w:szCs w:val="19"/>
          <w:color w:val="auto"/>
        </w:rPr>
        <w:t xml:space="preserve"> </w:t>
      </w:r>
      <w:r>
        <w:rPr>
          <w:rFonts w:ascii="Arial" w:cs="Arial" w:eastAsia="Arial" w:hAnsi="Arial"/>
          <w:sz w:val="19"/>
          <w:szCs w:val="19"/>
          <w:i w:val="1"/>
          <w:iCs w:val="1"/>
          <w:color w:val="auto"/>
        </w:rPr>
        <w:t>Reorganisation; Release of Palo Security</w:t>
      </w:r>
      <w:r>
        <w:rPr>
          <w:rFonts w:ascii="Arial" w:cs="Arial" w:eastAsia="Arial" w:hAnsi="Arial"/>
          <w:sz w:val="19"/>
          <w:szCs w:val="19"/>
          <w:color w:val="auto"/>
        </w:rPr>
        <w:t>) of this Agreement following a Permitted Cotai Reorganisation);</w:t>
      </w:r>
    </w:p>
    <w:p>
      <w:pPr>
        <w:spacing w:after="0" w:line="142" w:lineRule="exact"/>
        <w:rPr>
          <w:rFonts w:ascii="Arial" w:cs="Arial" w:eastAsia="Arial" w:hAnsi="Arial"/>
          <w:sz w:val="19"/>
          <w:szCs w:val="19"/>
          <w:color w:val="auto"/>
        </w:rPr>
      </w:pPr>
    </w:p>
    <w:p>
      <w:pPr>
        <w:jc w:val="both"/>
        <w:ind w:left="644" w:hanging="644"/>
        <w:spacing w:after="0" w:line="247" w:lineRule="auto"/>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the validity, enforceability or priority of any of the Liens purported to be created under any of the Security Documents (other than any of the Palo Security Documents,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material adverse condition or material adverse change in or affecting the validity, enforceability or priority of any of the Liens purported to be created under that Palo Security Document arises as a result of the matters contemplated by Clause 18.3.4(a) (</w:t>
      </w:r>
      <w:r>
        <w:rPr>
          <w:rFonts w:ascii="Arial" w:cs="Arial" w:eastAsia="Arial" w:hAnsi="Arial"/>
          <w:sz w:val="22"/>
          <w:szCs w:val="22"/>
          <w:i w:val="1"/>
          <w:iCs w:val="1"/>
          <w:color w:val="auto"/>
        </w:rPr>
        <w:t>Permitted Cotai Reorganisation; Release of Palo Security</w:t>
      </w:r>
      <w:r>
        <w:rPr>
          <w:rFonts w:ascii="Arial" w:cs="Arial" w:eastAsia="Arial" w:hAnsi="Arial"/>
          <w:sz w:val="22"/>
          <w:szCs w:val="22"/>
          <w:color w:val="auto"/>
        </w:rPr>
        <w:t>) of this Agreement following a Permitted Cotai Reorganisation); or</w:t>
      </w:r>
    </w:p>
    <w:p>
      <w:pPr>
        <w:spacing w:after="0" w:line="193" w:lineRule="exact"/>
        <w:rPr>
          <w:rFonts w:ascii="Arial" w:cs="Arial" w:eastAsia="Arial" w:hAnsi="Arial"/>
          <w:sz w:val="22"/>
          <w:szCs w:val="22"/>
          <w:color w:val="auto"/>
        </w:rPr>
      </w:pPr>
    </w:p>
    <w:p>
      <w:pPr>
        <w:jc w:val="both"/>
        <w:ind w:left="644" w:hanging="644"/>
        <w:spacing w:after="0" w:line="263" w:lineRule="auto"/>
        <w:tabs>
          <w:tab w:leader="none" w:pos="644"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the rights and remedies of any Senior Secured Creditor under any Senior Finance Document (other than any Palo Security Document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material adverse condition or material adverse change in or affecting the rights or remedies of any Senior Secured Creditor under that Palo Security Document arises as a result of the matters contemplated by Clause 18.3.4(a) (</w:t>
      </w:r>
      <w:r>
        <w:rPr>
          <w:rFonts w:ascii="Arial" w:cs="Arial" w:eastAsia="Arial" w:hAnsi="Arial"/>
          <w:sz w:val="21"/>
          <w:szCs w:val="21"/>
          <w:i w:val="1"/>
          <w:iCs w:val="1"/>
          <w:color w:val="auto"/>
        </w:rPr>
        <w:t>Permitted Cotai Reorganisation; Release of Palo Security</w:t>
      </w:r>
      <w:r>
        <w:rPr>
          <w:rFonts w:ascii="Arial" w:cs="Arial" w:eastAsia="Arial" w:hAnsi="Arial"/>
          <w:sz w:val="21"/>
          <w:szCs w:val="21"/>
          <w:color w:val="auto"/>
        </w:rPr>
        <w:t>) of this Agreement following a Permitted Cotai Reorganisation).</w:t>
      </w:r>
    </w:p>
    <w:p>
      <w:pPr>
        <w:sectPr>
          <w:pgSz w:w="11900" w:h="16838" w:orient="portrait"/>
          <w:cols w:equalWidth="0" w:num="1">
            <w:col w:w="10764"/>
          </w:cols>
          <w:pgMar w:left="896" w:top="631" w:right="239" w:bottom="1440" w:gutter="0" w:footer="0" w:header="0"/>
        </w:sectPr>
      </w:pPr>
    </w:p>
    <w:bookmarkStart w:id="135" w:name="page136"/>
    <w:bookmarkEnd w:id="135"/>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Money Laundering Laws</w:t>
      </w:r>
      <w:r>
        <w:rPr>
          <w:rFonts w:ascii="Arial" w:cs="Arial" w:eastAsia="Arial" w:hAnsi="Arial"/>
          <w:sz w:val="19"/>
          <w:szCs w:val="19"/>
          <w:color w:val="auto"/>
        </w:rPr>
        <w:t>" has the meaning given to that term in paragraph 33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or its successor.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MOP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w:t>
      </w:r>
      <w:r>
        <w:rPr>
          <w:rFonts w:ascii="Arial" w:cs="Arial" w:eastAsia="Arial" w:hAnsi="Arial"/>
          <w:sz w:val="22"/>
          <w:szCs w:val="22"/>
          <w:color w:val="auto"/>
        </w:rPr>
        <w:t>" means the mortgage so entitled dated on or about the date of this Agreement between the Company and the Security Agent.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means a Plan that is a multiemployer plan as defined in section 3(37) or 4001(a)(3) of ERISA.</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Cash Proceeds</w:t>
      </w:r>
      <w:r>
        <w:rPr>
          <w:rFonts w:ascii="Arial" w:cs="Arial" w:eastAsia="Arial" w:hAnsi="Arial"/>
          <w:sz w:val="22"/>
          <w:szCs w:val="22"/>
          <w:color w:val="auto"/>
        </w:rPr>
        <w:t>" means:</w:t>
      </w:r>
    </w:p>
    <w:p>
      <w:pPr>
        <w:spacing w:after="0" w:line="226" w:lineRule="exact"/>
        <w:rPr>
          <w:sz w:val="20"/>
          <w:szCs w:val="20"/>
          <w:color w:val="auto"/>
        </w:rPr>
      </w:pPr>
    </w:p>
    <w:p>
      <w:pPr>
        <w:jc w:val="both"/>
        <w:ind w:left="644" w:hanging="644"/>
        <w:spacing w:after="0" w:line="289" w:lineRule="auto"/>
        <w:tabs>
          <w:tab w:leader="none" w:pos="6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 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157" w:lineRule="exact"/>
        <w:rPr>
          <w:rFonts w:ascii="Arial" w:cs="Arial" w:eastAsia="Arial" w:hAnsi="Arial"/>
          <w:sz w:val="19"/>
          <w:szCs w:val="19"/>
          <w:color w:val="auto"/>
        </w:rPr>
      </w:pPr>
    </w:p>
    <w:p>
      <w:pPr>
        <w:jc w:val="both"/>
        <w:ind w:left="644" w:hanging="644"/>
        <w:spacing w:after="0" w:line="302" w:lineRule="auto"/>
        <w:tabs>
          <w:tab w:leader="none" w:pos="6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or any other member of the Restricted Group in connection therewith.</w:t>
      </w:r>
    </w:p>
    <w:p>
      <w:pPr>
        <w:spacing w:after="0" w:line="137"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Income</w:t>
      </w:r>
      <w:r>
        <w:rPr>
          <w:rFonts w:ascii="Arial" w:cs="Arial" w:eastAsia="Arial" w:hAnsi="Arial"/>
          <w:sz w:val="19"/>
          <w:szCs w:val="19"/>
          <w:color w:val="auto"/>
        </w:rPr>
        <w:t>" means, in relation to any period, the net income (or loss) of the Restricted Group for such period, determined on a consolidated basis which includes members of the Restricted Group only (and which, for the avoidance of doubt, does not take account of any amount to the extent it (i) would otherwise have the effect of increasing Net Income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GAAP without taking account of any amount of cash or cash proceeds paid or received in respect of the grant or entry into any Subconcession and before any reduction in respect of preferred equity dividends.</w:t>
      </w:r>
    </w:p>
    <w:p>
      <w:pPr>
        <w:spacing w:after="0" w:line="145"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Executive Director Shares</w:t>
      </w:r>
      <w:r>
        <w:rPr>
          <w:rFonts w:ascii="Arial" w:cs="Arial" w:eastAsia="Arial" w:hAnsi="Arial"/>
          <w:sz w:val="22"/>
          <w:szCs w:val="22"/>
          <w:color w:val="auto"/>
        </w:rPr>
        <w:t xml:space="preserve">" means the shares in the Company which constitute a ten percent (10%) non-blocking voting interest in the Company (and having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economic interest) issued to a New Executive Director in connection with an Executive</w:t>
      </w:r>
    </w:p>
    <w:p>
      <w:pPr>
        <w:sectPr>
          <w:pgSz w:w="11900" w:h="16838" w:orient="portrait"/>
          <w:cols w:equalWidth="0" w:num="1">
            <w:col w:w="10764"/>
          </w:cols>
          <w:pgMar w:left="896" w:top="625" w:right="239" w:bottom="1440" w:gutter="0" w:footer="0" w:header="0"/>
        </w:sectPr>
      </w:pPr>
    </w:p>
    <w:bookmarkStart w:id="136" w:name="page137"/>
    <w:bookmarkEnd w:id="136"/>
    <w:p>
      <w:pPr>
        <w:ind w:left="4"/>
        <w:spacing w:after="0"/>
        <w:rPr>
          <w:sz w:val="20"/>
          <w:szCs w:val="20"/>
          <w:color w:val="auto"/>
        </w:rPr>
      </w:pPr>
      <w:r>
        <w:rPr>
          <w:rFonts w:ascii="Arial" w:cs="Arial" w:eastAsia="Arial" w:hAnsi="Arial"/>
          <w:sz w:val="22"/>
          <w:szCs w:val="22"/>
          <w:color w:val="auto"/>
        </w:rPr>
        <w:t>Director Substitution on or prior to the cancellation of the Existing Executive Director Shares.</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Notional Amount</w:t>
      </w:r>
      <w:r>
        <w:rPr>
          <w:rFonts w:ascii="Arial" w:cs="Arial" w:eastAsia="Arial" w:hAnsi="Arial"/>
          <w:sz w:val="22"/>
          <w:szCs w:val="22"/>
          <w:color w:val="auto"/>
        </w:rPr>
        <w:t>", in relation to a Hedging Agreement or a Permitted Swap Transaction, has the meaning referred to in paragraph 10 of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Novation Certificate</w:t>
      </w:r>
      <w:r>
        <w:rPr>
          <w:rFonts w:ascii="Arial" w:cs="Arial" w:eastAsia="Arial" w:hAnsi="Arial"/>
          <w:sz w:val="22"/>
          <w:szCs w:val="22"/>
          <w:color w:val="auto"/>
        </w:rPr>
        <w:t>" means a novation certificate in substantially the form set out in Part B of Schedule 11 (</w:t>
      </w:r>
      <w:r>
        <w:rPr>
          <w:rFonts w:ascii="Arial" w:cs="Arial" w:eastAsia="Arial" w:hAnsi="Arial"/>
          <w:sz w:val="22"/>
          <w:szCs w:val="22"/>
          <w:i w:val="1"/>
          <w:iCs w:val="1"/>
          <w:color w:val="auto"/>
        </w:rPr>
        <w:t>Transfers</w:t>
      </w:r>
      <w:r>
        <w:rPr>
          <w:rFonts w:ascii="Arial" w:cs="Arial" w:eastAsia="Arial" w:hAnsi="Arial"/>
          <w:sz w:val="22"/>
          <w:szCs w:val="22"/>
          <w:color w:val="auto"/>
        </w:rPr>
        <w:t xml:space="preserve"> </w:t>
      </w:r>
      <w:r>
        <w:rPr>
          <w:rFonts w:ascii="Arial" w:cs="Arial" w:eastAsia="Arial" w:hAnsi="Arial"/>
          <w:sz w:val="22"/>
          <w:szCs w:val="22"/>
          <w:i w:val="1"/>
          <w:iCs w:val="1"/>
          <w:color w:val="auto"/>
        </w:rPr>
        <w:t>and Accession</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Obligations</w:t>
      </w:r>
      <w:r>
        <w:rPr>
          <w:rFonts w:ascii="Arial" w:cs="Arial" w:eastAsia="Arial" w:hAnsi="Arial"/>
          <w:sz w:val="22"/>
          <w:szCs w:val="22"/>
          <w:color w:val="auto"/>
        </w:rPr>
        <w:t>" means:</w:t>
      </w:r>
    </w:p>
    <w:p>
      <w:pPr>
        <w:spacing w:after="0" w:line="226" w:lineRule="exact"/>
        <w:rPr>
          <w:sz w:val="20"/>
          <w:szCs w:val="20"/>
          <w:color w:val="auto"/>
        </w:rPr>
      </w:pPr>
    </w:p>
    <w:p>
      <w:pPr>
        <w:jc w:val="both"/>
        <w:ind w:left="644" w:hanging="644"/>
        <w:spacing w:after="0" w:line="288" w:lineRule="auto"/>
        <w:tabs>
          <w:tab w:leader="none" w:pos="6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160" w:lineRule="exact"/>
        <w:rPr>
          <w:rFonts w:ascii="Arial" w:cs="Arial" w:eastAsia="Arial" w:hAnsi="Arial"/>
          <w:sz w:val="19"/>
          <w:szCs w:val="19"/>
          <w:color w:val="auto"/>
        </w:rPr>
      </w:pPr>
    </w:p>
    <w:p>
      <w:pPr>
        <w:jc w:val="both"/>
        <w:ind w:left="644" w:right="20" w:hanging="644"/>
        <w:spacing w:after="0" w:line="253" w:lineRule="auto"/>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185"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186" w:lineRule="exact"/>
        <w:rPr>
          <w:sz w:val="20"/>
          <w:szCs w:val="20"/>
          <w:color w:val="auto"/>
        </w:rPr>
      </w:pPr>
    </w:p>
    <w:p>
      <w:pPr>
        <w:jc w:val="both"/>
        <w:ind w:left="4"/>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Obligors</w:t>
      </w:r>
      <w:r>
        <w:rPr>
          <w:rFonts w:ascii="Arial" w:cs="Arial" w:eastAsia="Arial" w:hAnsi="Arial"/>
          <w:sz w:val="19"/>
          <w:szCs w:val="19"/>
          <w:color w:val="auto"/>
        </w:rPr>
        <w:t>" means the Company, the Wynn Obligors, Palo, the other members of the Restricted Group (in each case, on and from the date on which the requirements of paragraph 27.1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have been satisfied in respect of such other member of the Restricted Group) and any party to a Senior Finance Document referred to in paragraph</w:t>
      </w:r>
    </w:p>
    <w:p>
      <w:pPr>
        <w:spacing w:after="0" w:line="2" w:lineRule="exact"/>
        <w:rPr>
          <w:sz w:val="20"/>
          <w:szCs w:val="20"/>
          <w:color w:val="auto"/>
        </w:rPr>
      </w:pPr>
    </w:p>
    <w:p>
      <w:pPr>
        <w:jc w:val="both"/>
        <w:ind w:left="4" w:hanging="4"/>
        <w:spacing w:after="0" w:line="295" w:lineRule="auto"/>
        <w:tabs>
          <w:tab w:leader="none" w:pos="27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of the definition of "Senior Finance Document" in this Clause 1.1 (</w:t>
      </w:r>
      <w:r>
        <w:rPr>
          <w:rFonts w:ascii="Arial" w:cs="Arial" w:eastAsia="Arial" w:hAnsi="Arial"/>
          <w:sz w:val="19"/>
          <w:szCs w:val="19"/>
          <w:i w:val="1"/>
          <w:iCs w:val="1"/>
          <w:color w:val="auto"/>
        </w:rPr>
        <w:t>Definitions</w:t>
      </w:r>
      <w:r>
        <w:rPr>
          <w:rFonts w:ascii="Arial" w:cs="Arial" w:eastAsia="Arial" w:hAnsi="Arial"/>
          <w:sz w:val="19"/>
          <w:szCs w:val="19"/>
          <w:color w:val="auto"/>
        </w:rPr>
        <w:t>) (other than, in each case, the Wynn Non-Obligor Subordination Deed Parties, any Person that accedes to the Subordination Deed on or after the Fifth Amendment Effective Date as a "Wynn Non-Obligor" (or in any additional capacity at the same time as such Person's accession as a "Wynn Non-Obligor"), a Secured Party or a Person who is solely party to an acknowledgement of Security).</w:t>
      </w:r>
    </w:p>
    <w:p>
      <w:pPr>
        <w:sectPr>
          <w:pgSz w:w="11900" w:h="16838" w:orient="portrait"/>
          <w:cols w:equalWidth="0" w:num="1">
            <w:col w:w="10764"/>
          </w:cols>
          <w:pgMar w:left="896" w:top="631" w:right="239" w:bottom="1440" w:gutter="0" w:footer="0" w:header="0"/>
        </w:sectPr>
      </w:pPr>
    </w:p>
    <w:bookmarkStart w:id="137" w:name="page138"/>
    <w:bookmarkEnd w:id="137"/>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has the meaning given to that term in paragraph 31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ind w:left="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Market Purchases</w:t>
      </w:r>
      <w:r>
        <w:rPr>
          <w:rFonts w:ascii="Arial" w:cs="Arial" w:eastAsia="Arial" w:hAnsi="Arial"/>
          <w:sz w:val="19"/>
          <w:szCs w:val="19"/>
          <w:color w:val="auto"/>
        </w:rPr>
        <w:t>" means the purchase of outstanding Advances from a Lender or Lenders by the Company pursuant to secondary market purchases entered into with such a Lender or Lenders as the Company shall see fit.</w:t>
      </w:r>
    </w:p>
    <w:p>
      <w:pPr>
        <w:spacing w:after="0" w:line="9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Operatives</w:t>
      </w:r>
      <w:r>
        <w:rPr>
          <w:rFonts w:ascii="Arial" w:cs="Arial" w:eastAsia="Arial" w:hAnsi="Arial"/>
          <w:sz w:val="22"/>
          <w:szCs w:val="22"/>
          <w:color w:val="auto"/>
        </w:rPr>
        <w:t>" means a shareholder, officer, employee, servant, controlling Person, executive, director, agent, authorised representative or Affiliate of any of the Obligors.</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w:t>
      </w:r>
      <w:r>
        <w:rPr>
          <w:rFonts w:ascii="Arial" w:cs="Arial" w:eastAsia="Arial" w:hAnsi="Arial"/>
          <w:sz w:val="22"/>
          <w:szCs w:val="22"/>
          <w:color w:val="auto"/>
        </w:rPr>
        <w:t>" means Palo Real Estate Company Limited a company with limited liability incorporated in the Macau SAR with registration number 27319 SO.</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Assignment of Insurances</w:t>
      </w:r>
      <w:r>
        <w:rPr>
          <w:rFonts w:ascii="Arial" w:cs="Arial" w:eastAsia="Arial" w:hAnsi="Arial"/>
          <w:sz w:val="22"/>
          <w:szCs w:val="22"/>
          <w:color w:val="auto"/>
        </w:rPr>
        <w:t>" means the Palo Assignment of Onshore Insurance Policies entered into between Palo and the Security Agent on 15 October 2012.</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Floating Charge</w:t>
      </w:r>
      <w:r>
        <w:rPr>
          <w:rFonts w:ascii="Arial" w:cs="Arial" w:eastAsia="Arial" w:hAnsi="Arial"/>
          <w:sz w:val="22"/>
          <w:szCs w:val="22"/>
          <w:color w:val="auto"/>
        </w:rPr>
        <w:t>" means the charge so entitled entered into between Palo and the Security Agent on 15 October 2012.</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Pledge over Onshore Accounts</w:t>
      </w:r>
      <w:r>
        <w:rPr>
          <w:rFonts w:ascii="Arial" w:cs="Arial" w:eastAsia="Arial" w:hAnsi="Arial"/>
          <w:sz w:val="22"/>
          <w:szCs w:val="22"/>
          <w:color w:val="auto"/>
        </w:rPr>
        <w:t>" means the pledge so entitled dated on or about the Fourth Amendment Effective Date and made between Palo and the Security Agent.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Share Pledge</w:t>
      </w:r>
      <w:r>
        <w:rPr>
          <w:rFonts w:ascii="Arial" w:cs="Arial" w:eastAsia="Arial" w:hAnsi="Arial"/>
          <w:sz w:val="22"/>
          <w:szCs w:val="22"/>
          <w:color w:val="auto"/>
        </w:rPr>
        <w:t>" means the Share Pledge entered into between the Company, Wynn International, Wynn HK, Palo and the Security Agent on 15 October 2012.</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 Security Documents</w:t>
      </w:r>
      <w:r>
        <w:rPr>
          <w:rFonts w:ascii="Arial" w:cs="Arial" w:eastAsia="Arial" w:hAnsi="Arial"/>
          <w:sz w:val="22"/>
          <w:szCs w:val="22"/>
          <w:color w:val="auto"/>
        </w:rPr>
        <w:t>" means (in each case, from the date thereof):</w:t>
      </w:r>
    </w:p>
    <w:p>
      <w:pPr>
        <w:spacing w:after="0" w:line="226" w:lineRule="exact"/>
        <w:rPr>
          <w:sz w:val="20"/>
          <w:szCs w:val="20"/>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Cotai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Cotai Power of Attorney;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Palo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Palo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Palo Pledge over Onshore Accounts;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Palo Share Pledge.</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Patacas</w:t>
      </w:r>
      <w:r>
        <w:rPr>
          <w:rFonts w:ascii="Arial" w:cs="Arial" w:eastAsia="Arial" w:hAnsi="Arial"/>
          <w:sz w:val="22"/>
          <w:szCs w:val="22"/>
          <w:color w:val="auto"/>
        </w:rPr>
        <w:t>" or "</w:t>
      </w:r>
      <w:r>
        <w:rPr>
          <w:rFonts w:ascii="Arial" w:cs="Arial" w:eastAsia="Arial" w:hAnsi="Arial"/>
          <w:sz w:val="22"/>
          <w:szCs w:val="22"/>
          <w:b w:val="1"/>
          <w:bCs w:val="1"/>
          <w:color w:val="auto"/>
        </w:rPr>
        <w:t>MOP</w:t>
      </w:r>
      <w:r>
        <w:rPr>
          <w:rFonts w:ascii="Arial" w:cs="Arial" w:eastAsia="Arial" w:hAnsi="Arial"/>
          <w:sz w:val="22"/>
          <w:szCs w:val="22"/>
          <w:color w:val="auto"/>
        </w:rPr>
        <w:t>" denotes the lawful currency of the Macau SAR.</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w:t>
      </w:r>
      <w:r>
        <w:rPr>
          <w:rFonts w:ascii="Arial" w:cs="Arial" w:eastAsia="Arial" w:hAnsi="Arial"/>
          <w:sz w:val="22"/>
          <w:szCs w:val="22"/>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 Agreement</w:t>
      </w:r>
      <w:r>
        <w:rPr>
          <w:rFonts w:ascii="Arial" w:cs="Arial" w:eastAsia="Arial" w:hAnsi="Arial"/>
          <w:sz w:val="22"/>
          <w:szCs w:val="22"/>
          <w:color w:val="auto"/>
        </w:rPr>
        <w:t>" means the agreement dated as of 14 September 2004 between the Performance Bond Provider and the Company.</w:t>
      </w:r>
    </w:p>
    <w:p>
      <w:pPr>
        <w:sectPr>
          <w:pgSz w:w="11900" w:h="16838" w:orient="portrait"/>
          <w:cols w:equalWidth="0" w:num="1">
            <w:col w:w="10764"/>
          </w:cols>
          <w:pgMar w:left="896" w:top="625" w:right="239" w:bottom="1440" w:gutter="0" w:footer="0" w:header="0"/>
        </w:sectPr>
      </w:pPr>
    </w:p>
    <w:bookmarkStart w:id="138" w:name="page139"/>
    <w:bookmarkEnd w:id="138"/>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Provider</w:t>
      </w:r>
      <w:r>
        <w:rPr>
          <w:rFonts w:ascii="Arial" w:cs="Arial" w:eastAsia="Arial" w:hAnsi="Arial"/>
          <w:sz w:val="22"/>
          <w:szCs w:val="22"/>
          <w:color w:val="auto"/>
        </w:rPr>
        <w:t>" means Banco Nacional Ultramarino, S.A. or such other Person as may be acceptable to the Intercreditor Agent.</w:t>
      </w:r>
    </w:p>
    <w:p>
      <w:pPr>
        <w:spacing w:after="0" w:line="162"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Wynn Macau and the Cotai Project, in each case, as contemplated under the Transaction Documents.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Businesses</w:t>
      </w:r>
      <w:r>
        <w:rPr>
          <w:rFonts w:ascii="Arial" w:cs="Arial" w:eastAsia="Arial" w:hAnsi="Arial"/>
          <w:sz w:val="22"/>
          <w:szCs w:val="22"/>
          <w:color w:val="auto"/>
        </w:rPr>
        <w:t>" means:</w:t>
      </w:r>
    </w:p>
    <w:p>
      <w:pPr>
        <w:spacing w:after="0" w:line="226" w:lineRule="exact"/>
        <w:rPr>
          <w:sz w:val="20"/>
          <w:szCs w:val="20"/>
          <w:color w:val="auto"/>
        </w:rPr>
      </w:pPr>
    </w:p>
    <w:p>
      <w:pPr>
        <w:ind w:left="644" w:right="20" w:hanging="644"/>
        <w:spacing w:after="0" w:line="343" w:lineRule="auto"/>
        <w:tabs>
          <w:tab w:leader="none" w:pos="64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development, construction, ownership, operation, management, maintenance, refurbishment, enhancement and financing of hotel resorts and casinos in the Macau SAR as permitted under the Concession Contract;</w:t>
      </w:r>
    </w:p>
    <w:p>
      <w:pPr>
        <w:spacing w:after="0" w:line="104"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operation of casino games of chance or other forms of gaming in one or more locations in the Macau SAR in connection with Wynn Macau, the Cotai Project or any Excluded Project, in each case as permitted under the Concession Contract and, in the case of any Excluded Project, as contemplated by the Resort Management Agreement entered into by the Company in respect thereof; and</w:t>
      </w:r>
    </w:p>
    <w:p>
      <w:pPr>
        <w:spacing w:after="0" w:line="188"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ownership, operation or oversight of food and beverage, spa, entertainment production, convention, retail, residential, foreign exchange, transportation and outsourcing of in-house facilities, businesses or other activities which are necessary for, incident to, arising out of, supportive of or connected to the development, construction, financing, ownership, operation, maintenance, refurbishment or enhancement of such hotel resorts and casinos,</w:t>
      </w:r>
    </w:p>
    <w:p>
      <w:pPr>
        <w:spacing w:after="0" w:line="143"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22"/>
          <w:szCs w:val="22"/>
          <w:color w:val="auto"/>
        </w:rPr>
        <w:t>and, in the case of the Company and other members of the Restricted Group, the holding of shares and other interests permitted hereunder in Subsidiary Obligors and Excluded Subsidiaries.</w:t>
      </w:r>
    </w:p>
    <w:p>
      <w:pPr>
        <w:spacing w:after="0" w:line="169" w:lineRule="exact"/>
        <w:rPr>
          <w:sz w:val="20"/>
          <w:szCs w:val="20"/>
          <w:color w:val="auto"/>
        </w:rPr>
      </w:pPr>
    </w:p>
    <w:p>
      <w:pPr>
        <w:jc w:val="both"/>
        <w:ind w:left="4"/>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Cotai Reorganisation</w:t>
      </w:r>
      <w:r>
        <w:rPr>
          <w:rFonts w:ascii="Arial" w:cs="Arial" w:eastAsia="Arial" w:hAnsi="Arial"/>
          <w:sz w:val="19"/>
          <w:szCs w:val="19"/>
          <w:color w:val="auto"/>
        </w:rPr>
        <w:t xml:space="preserve">" means any transaction or series of transactions in which Palo Disposes to the Company Palo's interest in the Cotai Site (whether by assignment, novation, transfer or replacement of the Cotai Land Concession Contract or otherwise) and Palo's ownership of, and interest in, all of Palo's other assets (including, without limitation, assets relating to the Cotai Site and/or the Cotai Project)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any such case:</w:t>
      </w:r>
    </w:p>
    <w:p>
      <w:pPr>
        <w:spacing w:after="0" w:line="141" w:lineRule="exact"/>
        <w:rPr>
          <w:sz w:val="20"/>
          <w:szCs w:val="20"/>
          <w:color w:val="auto"/>
        </w:rPr>
      </w:pPr>
    </w:p>
    <w:p>
      <w:pPr>
        <w:jc w:val="both"/>
        <w:ind w:left="644" w:hanging="644"/>
        <w:spacing w:after="0" w:line="253" w:lineRule="auto"/>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such Disposal, does not conflict with the Cotai Land Concession Contract, the Concession Contract and applicable Legal Requirements (taking into account any relevant Macau SAR Permits obtained or to be obtained as a condition to any such Permitted Cotai Reorganisation);</w:t>
      </w:r>
    </w:p>
    <w:p>
      <w:pPr>
        <w:spacing w:after="0" w:line="18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Company gives prompt written notice to the Intercreditor Agent of the occurrence of such Disposal (and such written notice includes a confirmation that both the Company and Palo are then (and will, following the completion of such Disposal, be) Solvent);</w:t>
      </w:r>
    </w:p>
    <w:p>
      <w:pPr>
        <w:sectPr>
          <w:pgSz w:w="11900" w:h="16838" w:orient="portrait"/>
          <w:cols w:equalWidth="0" w:num="1">
            <w:col w:w="10764"/>
          </w:cols>
          <w:pgMar w:left="896" w:top="625" w:right="239" w:bottom="1440" w:gutter="0" w:footer="0" w:header="0"/>
        </w:sectPr>
      </w:pPr>
    </w:p>
    <w:bookmarkStart w:id="139" w:name="page140"/>
    <w:bookmarkEnd w:id="139"/>
    <w:p>
      <w:pPr>
        <w:ind w:left="644" w:hanging="644"/>
        <w:spacing w:after="0" w:line="343" w:lineRule="auto"/>
        <w:tabs>
          <w:tab w:leader="none" w:pos="64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entire Cotai Site shall remain at all times part of the Project Security and there shall be no adverse effect on the validity or enforceability of, or the effectiveness or ranking of any Security as a result of such Disposal; and</w:t>
      </w:r>
    </w:p>
    <w:p>
      <w:pPr>
        <w:spacing w:after="0" w:line="104" w:lineRule="exact"/>
        <w:rPr>
          <w:rFonts w:ascii="Arial" w:cs="Arial" w:eastAsia="Arial" w:hAnsi="Arial"/>
          <w:sz w:val="19"/>
          <w:szCs w:val="19"/>
          <w:color w:val="auto"/>
        </w:rPr>
      </w:pPr>
    </w:p>
    <w:p>
      <w:pPr>
        <w:ind w:left="644" w:right="20" w:hanging="644"/>
        <w:spacing w:after="0" w:line="263" w:lineRule="auto"/>
        <w:tabs>
          <w:tab w:leader="none" w:pos="6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(without prejudice to paragraph (iii) above) the Company complies with paragraph 15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with respect to its acquisition of any Disposed Property.</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Financial Indebtedness</w:t>
      </w:r>
      <w:r>
        <w:rPr>
          <w:rFonts w:ascii="Arial" w:cs="Arial" w:eastAsia="Arial" w:hAnsi="Arial"/>
          <w:sz w:val="21"/>
          <w:szCs w:val="21"/>
          <w:color w:val="auto"/>
        </w:rPr>
        <w:t>" has the meaning given in paragraph 2.1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Investments</w:t>
      </w:r>
      <w:r>
        <w:rPr>
          <w:rFonts w:ascii="Arial" w:cs="Arial" w:eastAsia="Arial" w:hAnsi="Arial"/>
          <w:sz w:val="22"/>
          <w:szCs w:val="22"/>
          <w:color w:val="auto"/>
        </w:rPr>
        <w:t>" means the following:</w:t>
      </w:r>
    </w:p>
    <w:p>
      <w:pPr>
        <w:spacing w:after="0" w:line="226" w:lineRule="exact"/>
        <w:rPr>
          <w:sz w:val="20"/>
          <w:szCs w:val="20"/>
          <w:color w:val="auto"/>
        </w:rPr>
      </w:pPr>
    </w:p>
    <w:p>
      <w:pPr>
        <w:jc w:val="both"/>
        <w:ind w:left="644" w:hanging="644"/>
        <w:spacing w:after="0" w:line="312" w:lineRule="auto"/>
        <w:tabs>
          <w:tab w:leader="none" w:pos="64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133"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188"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142"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commercial paper having a rating of A-1, P-1 or F1 from one or more of S&amp;P, Moody's or Fitch respectively and in each case maturing within nine months after the date of acquisition;</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corporate bonds having a rating of at least BBB-, Baa3 or BBB from two or more of S&amp;P, Moody's or Fitch respectively, with an aggregate principal amount not exceeding (when aggregated with the principal amount of any Dim Sum Bonds then held by any Obligor pursuant to paragraph (h) below) USD250,000,000 or its equivalent at any time;</w:t>
      </w:r>
    </w:p>
    <w:p>
      <w:pPr>
        <w:spacing w:after="0" w:line="188"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money market or mutual funds which are rated at least AAA by S&amp;P or Aaa by Moody's or have an equivalent rating from another internationally recognised rating agency; and</w:t>
      </w:r>
    </w:p>
    <w:p>
      <w:pPr>
        <w:sectPr>
          <w:pgSz w:w="11900" w:h="16838" w:orient="portrait"/>
          <w:cols w:equalWidth="0" w:num="1">
            <w:col w:w="10764"/>
          </w:cols>
          <w:pgMar w:left="896" w:top="631" w:right="239" w:bottom="1440" w:gutter="0" w:footer="0" w:header="0"/>
        </w:sectPr>
      </w:pPr>
    </w:p>
    <w:bookmarkStart w:id="140" w:name="page141"/>
    <w:bookmarkEnd w:id="140"/>
    <w:p>
      <w:pPr>
        <w:jc w:val="both"/>
        <w:ind w:left="644" w:hanging="644"/>
        <w:spacing w:after="0" w:line="253" w:lineRule="auto"/>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corporate bonds denominated in Renminbi (commonly known as "offshore RMB" or "Dim Sum" bonds) which do not satisfy the ratings requirements set out in paragraph (f) above ("</w:t>
      </w:r>
      <w:r>
        <w:rPr>
          <w:rFonts w:ascii="Arial" w:cs="Arial" w:eastAsia="Arial" w:hAnsi="Arial"/>
          <w:sz w:val="22"/>
          <w:szCs w:val="22"/>
          <w:b w:val="1"/>
          <w:bCs w:val="1"/>
          <w:color w:val="auto"/>
        </w:rPr>
        <w:t>Dim Sum Bonds</w:t>
      </w:r>
      <w:r>
        <w:rPr>
          <w:rFonts w:ascii="Arial" w:cs="Arial" w:eastAsia="Arial" w:hAnsi="Arial"/>
          <w:sz w:val="22"/>
          <w:szCs w:val="22"/>
          <w:color w:val="auto"/>
        </w:rPr>
        <w:t>") with an aggregate principal amount not exceeding USD100,000,000 or its equivalent at any time.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means the collective reference to:</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case of any Property other than any Pledged Stock, Liens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(but only of the priority and to the extent of coverage expressly set forth in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and</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case of any Property consisting of Pledged Stock, non-consensual Liens permitted by paragraph 3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 to the extent arising by operation of law.</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Loan Repurchase</w:t>
      </w:r>
      <w:r>
        <w:rPr>
          <w:rFonts w:ascii="Arial" w:cs="Arial" w:eastAsia="Arial" w:hAnsi="Arial"/>
          <w:sz w:val="22"/>
          <w:szCs w:val="22"/>
          <w:color w:val="auto"/>
        </w:rPr>
        <w:t>" means any purchase of Advances by the Company made in accordance with Clause 21.10 (</w:t>
      </w:r>
      <w:r>
        <w:rPr>
          <w:rFonts w:ascii="Arial" w:cs="Arial" w:eastAsia="Arial" w:hAnsi="Arial"/>
          <w:sz w:val="22"/>
          <w:szCs w:val="22"/>
          <w:i w:val="1"/>
          <w:iCs w:val="1"/>
          <w:color w:val="auto"/>
        </w:rPr>
        <w:t>Permitted Loan Repurchases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68" w:lineRule="exact"/>
        <w:rPr>
          <w:sz w:val="20"/>
          <w:szCs w:val="20"/>
          <w:color w:val="auto"/>
        </w:rPr>
      </w:pPr>
    </w:p>
    <w:p>
      <w:pPr>
        <w:jc w:val="both"/>
        <w:ind w:left="644" w:hanging="644"/>
        <w:spacing w:after="0" w:line="253" w:lineRule="auto"/>
        <w:tabs>
          <w:tab w:leader="none" w:pos="64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aggregate amount paid by the Company for such purchases (excluding payments of accrued interest) during the period commencing on the Fifth Amendment Effective Date and ending on (and including) the Release Date shall not exceed the Permitted Loan Repurchase Amount; and</w:t>
      </w:r>
    </w:p>
    <w:p>
      <w:pPr>
        <w:spacing w:after="0" w:line="185"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such purchase is either an Open Market Purchase or is consummated pursuant to a written offer made to all Term Facility Lenders (if the Company proposes to purchase Advances under the Term Facility), all Revolving Credit Facility Lenders (other than Additional Lenders) (if the Company proposes to purchase Advances under a Revolving Credit Facility that is not an Additional Lender Facility), all Additional Lenders party to the applicable Additional Lender Facility (if the Company proposes to purchase Advances under such Additional Lender Facility), and delivered to the Intercreditor Agent concurrently with the delivery of such offer to the applicable Lenders.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Loan Repurchase Amount</w:t>
      </w:r>
      <w:r>
        <w:rPr>
          <w:rFonts w:ascii="Arial" w:cs="Arial" w:eastAsia="Arial" w:hAnsi="Arial"/>
          <w:sz w:val="22"/>
          <w:szCs w:val="22"/>
          <w:color w:val="auto"/>
        </w:rPr>
        <w:t>" means USD200,000,000.</w:t>
      </w:r>
    </w:p>
    <w:p>
      <w:pPr>
        <w:spacing w:after="0" w:line="220"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Swap Transaction</w:t>
      </w:r>
      <w:r>
        <w:rPr>
          <w:rFonts w:ascii="Arial" w:cs="Arial" w:eastAsia="Arial" w:hAnsi="Arial"/>
          <w:sz w:val="19"/>
          <w:szCs w:val="19"/>
          <w:color w:val="auto"/>
        </w:rPr>
        <w:t>" means any derivative transaction entered into to protect against or benefit from any Obligor's exposure to fluctuations in any rate, price, index or credit rating (whether in relation to interest rates, commodity prices, currency exchange or otherwise) but excluding any transaction entered into for purely speculative purposes.</w:t>
      </w:r>
    </w:p>
    <w:p>
      <w:pPr>
        <w:spacing w:after="0" w:line="126"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partnership, firm, association, Governmental Authority or any other entity whether acting in an individual, fiduciary or other capacity.</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at a particular time, any employee benefit plan that is subject to the requirements of section 412 of the Code or that is a Single Employer Plan and which any Obligor or any Commonly Controlled Entity maintains, administers, contributes to</w:t>
      </w:r>
    </w:p>
    <w:p>
      <w:pPr>
        <w:sectPr>
          <w:pgSz w:w="11900" w:h="16838" w:orient="portrait"/>
          <w:cols w:equalWidth="0" w:num="1">
            <w:col w:w="10764"/>
          </w:cols>
          <w:pgMar w:left="896" w:top="631" w:right="239" w:bottom="1440" w:gutter="0" w:footer="0" w:header="0"/>
        </w:sectPr>
      </w:pPr>
    </w:p>
    <w:bookmarkStart w:id="141" w:name="page142"/>
    <w:bookmarkEnd w:id="141"/>
    <w:p>
      <w:pPr>
        <w:jc w:val="both"/>
        <w:ind w:left="4"/>
        <w:spacing w:after="0" w:line="263" w:lineRule="auto"/>
        <w:rPr>
          <w:sz w:val="20"/>
          <w:szCs w:val="20"/>
          <w:color w:val="auto"/>
        </w:rPr>
      </w:pPr>
      <w:r>
        <w:rPr>
          <w:rFonts w:ascii="Arial" w:cs="Arial" w:eastAsia="Arial" w:hAnsi="Arial"/>
          <w:sz w:val="22"/>
          <w:szCs w:val="22"/>
          <w:color w:val="auto"/>
        </w:rPr>
        <w:t>or is required to contribute to or under which any Obligor or any Commonly Controlled Entity could reasonably be expected to incur any liability.</w:t>
      </w:r>
    </w:p>
    <w:p>
      <w:pPr>
        <w:spacing w:after="0" w:line="16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 over Gaming Equipment and Utensils</w:t>
      </w:r>
      <w:r>
        <w:rPr>
          <w:rFonts w:ascii="Arial" w:cs="Arial" w:eastAsia="Arial" w:hAnsi="Arial"/>
          <w:sz w:val="22"/>
          <w:szCs w:val="22"/>
          <w:color w:val="auto"/>
        </w:rPr>
        <w:t>" means the pledge so entitled dated on or about the date of this Agreement between the Company and the Security Agent.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 over Onshore Accounts</w:t>
      </w:r>
      <w:r>
        <w:rPr>
          <w:rFonts w:ascii="Arial" w:cs="Arial" w:eastAsia="Arial" w:hAnsi="Arial"/>
          <w:sz w:val="22"/>
          <w:szCs w:val="22"/>
          <w:color w:val="auto"/>
        </w:rPr>
        <w:t>" means the pledge so entitled dated on or about the date of this Agreement between the Company and the Security Agent.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Stock</w:t>
      </w:r>
      <w:r>
        <w:rPr>
          <w:rFonts w:ascii="Arial" w:cs="Arial" w:eastAsia="Arial" w:hAnsi="Arial"/>
          <w:sz w:val="22"/>
          <w:szCs w:val="22"/>
          <w:color w:val="auto"/>
        </w:rPr>
        <w:t>" means any Property expressed to be subject to any Lien created or purported to be created under all and any of the Company Share Pledge, the Palo Share Pledge, the Wynn International Share Charge and the Wynn HK Share Charge.</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Post-Amendment Global Transfer Agreement</w:t>
      </w:r>
      <w:r>
        <w:rPr>
          <w:rFonts w:ascii="Arial" w:cs="Arial" w:eastAsia="Arial" w:hAnsi="Arial"/>
          <w:sz w:val="22"/>
          <w:szCs w:val="22"/>
          <w:color w:val="auto"/>
        </w:rPr>
        <w:t>" has the meaning given in the Common Terms Agreement Fifth Amendment Agreement.</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Power of Attorney</w:t>
      </w:r>
      <w:r>
        <w:rPr>
          <w:rFonts w:ascii="Arial" w:cs="Arial" w:eastAsia="Arial" w:hAnsi="Arial"/>
          <w:sz w:val="22"/>
          <w:szCs w:val="22"/>
          <w:color w:val="auto"/>
        </w:rPr>
        <w:t>" means the irrevocable power of attorney dated on or about the Fifth Amendment Effective Date granted by the Company in favour of the Security Agent in connection with the Mortgage.</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Pre-Amendment Global Transfer Agreement</w:t>
      </w:r>
      <w:r>
        <w:rPr>
          <w:rFonts w:ascii="Arial" w:cs="Arial" w:eastAsia="Arial" w:hAnsi="Arial"/>
          <w:sz w:val="22"/>
          <w:szCs w:val="22"/>
          <w:color w:val="auto"/>
        </w:rPr>
        <w:t>" has the meaning given in the Common Terms Agreement Fifth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Proceedings</w:t>
      </w:r>
      <w:r>
        <w:rPr>
          <w:rFonts w:ascii="Arial" w:cs="Arial" w:eastAsia="Arial" w:hAnsi="Arial"/>
          <w:sz w:val="22"/>
          <w:szCs w:val="22"/>
          <w:color w:val="auto"/>
        </w:rPr>
        <w:t>" has the meaning given to it in paragraph 12(i)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Security</w:t>
      </w:r>
      <w:r>
        <w:rPr>
          <w:rFonts w:ascii="Arial" w:cs="Arial" w:eastAsia="Arial" w:hAnsi="Arial"/>
          <w:sz w:val="22"/>
          <w:szCs w:val="22"/>
          <w:color w:val="auto"/>
        </w:rPr>
        <w:t>" means any Property expressed to be subject to any Lien created or purported to be created under any of the Security Documents.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Works</w:t>
      </w:r>
      <w:r>
        <w:rPr>
          <w:rFonts w:ascii="Arial" w:cs="Arial" w:eastAsia="Arial" w:hAnsi="Arial"/>
          <w:sz w:val="22"/>
          <w:szCs w:val="22"/>
          <w:color w:val="auto"/>
        </w:rPr>
        <w:t>" means the design, development and construction of the Cotai Project.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Projections</w:t>
      </w:r>
      <w:r>
        <w:rPr>
          <w:rFonts w:ascii="Arial" w:cs="Arial" w:eastAsia="Arial" w:hAnsi="Arial"/>
          <w:sz w:val="22"/>
          <w:szCs w:val="22"/>
          <w:color w:val="auto"/>
        </w:rPr>
        <w:t>" has the meaning given in paragraph 2(c)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Quarterly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with respect to the first Quarterly Date, the last day of the first full Fiscal Quarter falling after the Fifth Amendment Effective Date;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with respect to each subsequent Quarterly Date, the last day of the next succeeding Fiscal Quarter.</w:t>
      </w:r>
    </w:p>
    <w:p>
      <w:pPr>
        <w:spacing w:after="0" w:line="214" w:lineRule="exact"/>
        <w:rPr>
          <w:sz w:val="20"/>
          <w:szCs w:val="20"/>
          <w:color w:val="auto"/>
        </w:rPr>
      </w:pPr>
    </w:p>
    <w:p>
      <w:pPr>
        <w:ind w:left="4"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Quotation Day</w:t>
      </w:r>
      <w:r>
        <w:rPr>
          <w:rFonts w:ascii="Arial" w:cs="Arial" w:eastAsia="Arial" w:hAnsi="Arial"/>
          <w:sz w:val="19"/>
          <w:szCs w:val="19"/>
          <w:color w:val="auto"/>
        </w:rPr>
        <w:t>" means, in relation to any period for which an interest rate is to be determined, two London Business Days before the first day of that period or, in the case of any interest rate determined using HIBOR, the first day of that period.</w:t>
      </w:r>
    </w:p>
    <w:p>
      <w:pPr>
        <w:sectPr>
          <w:pgSz w:w="11900" w:h="16838" w:orient="portrait"/>
          <w:cols w:equalWidth="0" w:num="1">
            <w:col w:w="10764"/>
          </w:cols>
          <w:pgMar w:left="896" w:top="631" w:right="239" w:bottom="1440" w:gutter="0" w:footer="0" w:header="0"/>
        </w:sectPr>
      </w:pPr>
    </w:p>
    <w:bookmarkStart w:id="142" w:name="page143"/>
    <w:bookmarkEnd w:id="142"/>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Realised Hedge Loss</w:t>
      </w:r>
      <w:r>
        <w:rPr>
          <w:rFonts w:ascii="Arial" w:cs="Arial" w:eastAsia="Arial" w:hAnsi="Arial"/>
          <w:sz w:val="22"/>
          <w:szCs w:val="22"/>
          <w:color w:val="auto"/>
        </w:rPr>
        <w:t>" has the meaning given in paragraph 7 of Schedule 8 (</w:t>
      </w:r>
      <w:r>
        <w:rPr>
          <w:rFonts w:ascii="Arial" w:cs="Arial" w:eastAsia="Arial" w:hAnsi="Arial"/>
          <w:sz w:val="22"/>
          <w:szCs w:val="22"/>
          <w:i w:val="1"/>
          <w:iCs w:val="1"/>
          <w:color w:val="auto"/>
        </w:rPr>
        <w:t>Hedging Arrangements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Recovering Senior Secured Creditor</w:t>
      </w:r>
      <w:r>
        <w:rPr>
          <w:rFonts w:ascii="Arial" w:cs="Arial" w:eastAsia="Arial" w:hAnsi="Arial"/>
          <w:sz w:val="19"/>
          <w:szCs w:val="19"/>
          <w:color w:val="auto"/>
        </w:rPr>
        <w:t>" has the meaning given in Clause 25.1 (</w:t>
      </w:r>
      <w:r>
        <w:rPr>
          <w:rFonts w:ascii="Arial" w:cs="Arial" w:eastAsia="Arial" w:hAnsi="Arial"/>
          <w:sz w:val="19"/>
          <w:szCs w:val="19"/>
          <w:i w:val="1"/>
          <w:iCs w:val="1"/>
          <w:color w:val="auto"/>
        </w:rPr>
        <w:t>Payments to Senior Secured Creditors</w:t>
      </w:r>
      <w:r>
        <w:rPr>
          <w:rFonts w:ascii="Arial" w:cs="Arial" w:eastAsia="Arial" w:hAnsi="Arial"/>
          <w:sz w:val="19"/>
          <w:szCs w:val="19"/>
          <w:color w:val="auto"/>
        </w:rPr>
        <w: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Banks</w:t>
      </w:r>
      <w:r>
        <w:rPr>
          <w:rFonts w:ascii="Arial" w:cs="Arial" w:eastAsia="Arial" w:hAnsi="Arial"/>
          <w:sz w:val="22"/>
          <w:szCs w:val="22"/>
          <w:color w:val="auto"/>
        </w:rPr>
        <w:t>", in relation to any Facility Agreement, has the meaning given in such Facility Agreement.</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Reinsurance</w:t>
      </w:r>
      <w:r>
        <w:rPr>
          <w:rFonts w:ascii="Arial" w:cs="Arial" w:eastAsia="Arial" w:hAnsi="Arial"/>
          <w:sz w:val="22"/>
          <w:szCs w:val="22"/>
          <w:color w:val="auto"/>
        </w:rPr>
        <w:t>" means any contract or policy of reinsurance from time to time taken out or effected in respect of any Direct Insurance.</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Reinsurer</w:t>
      </w:r>
      <w:r>
        <w:rPr>
          <w:rFonts w:ascii="Arial" w:cs="Arial" w:eastAsia="Arial" w:hAnsi="Arial"/>
          <w:sz w:val="22"/>
          <w:szCs w:val="22"/>
          <w:color w:val="auto"/>
        </w:rPr>
        <w:t>" means an international reinsurer of good standing and responsibility with whom a Reinsurance is placed from time to time in accordance with paragraph 10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 Date</w:t>
      </w:r>
      <w:r>
        <w:rPr>
          <w:rFonts w:ascii="Arial" w:cs="Arial" w:eastAsia="Arial" w:hAnsi="Arial"/>
          <w:sz w:val="22"/>
          <w:szCs w:val="22"/>
          <w:color w:val="auto"/>
        </w:rPr>
        <w:t>" means the date on which the Intercreditor Agent notifies the Company that the following conditions have been satisfied:</w:t>
      </w:r>
    </w:p>
    <w:p>
      <w:pPr>
        <w:spacing w:after="0" w:line="168" w:lineRule="exact"/>
        <w:rPr>
          <w:sz w:val="20"/>
          <w:szCs w:val="20"/>
          <w:color w:val="auto"/>
        </w:rPr>
      </w:pPr>
    </w:p>
    <w:p>
      <w:pPr>
        <w:jc w:val="both"/>
        <w:ind w:left="644" w:right="20" w:hanging="644"/>
        <w:spacing w:after="0" w:line="253" w:lineRule="auto"/>
        <w:tabs>
          <w:tab w:leader="none" w:pos="64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receipt by the Intercreditor Agent of confirmation from each Agent and Hedging Counterparty that all liabilities to its Lending Group or, as the case may be, to it have been discharged in full under the Senior Finance Documents; and</w:t>
      </w:r>
    </w:p>
    <w:p>
      <w:pPr>
        <w:spacing w:after="0" w:line="185"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unless the discharge in paragraph (a) above is effected using the proceeds of Financial Indebtedness incurred pursuant to paragraph 2.1(d)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Renminbi</w:t>
      </w:r>
      <w:r>
        <w:rPr>
          <w:rFonts w:ascii="Arial" w:cs="Arial" w:eastAsia="Arial" w:hAnsi="Arial"/>
          <w:sz w:val="22"/>
          <w:szCs w:val="22"/>
          <w:color w:val="auto"/>
        </w:rPr>
        <w:t xml:space="preserve"> " or "</w:t>
      </w:r>
      <w:r>
        <w:rPr>
          <w:rFonts w:ascii="Arial" w:cs="Arial" w:eastAsia="Arial" w:hAnsi="Arial"/>
          <w:sz w:val="22"/>
          <w:szCs w:val="22"/>
          <w:b w:val="1"/>
          <w:bCs w:val="1"/>
          <w:color w:val="auto"/>
        </w:rPr>
        <w:t>RMB</w:t>
      </w:r>
      <w:r>
        <w:rPr>
          <w:rFonts w:ascii="Arial" w:cs="Arial" w:eastAsia="Arial" w:hAnsi="Arial"/>
          <w:sz w:val="22"/>
          <w:szCs w:val="22"/>
          <w:color w:val="auto"/>
        </w:rPr>
        <w:t>" denotes the lawful currency of the People's Republic of China.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Repair Plan</w:t>
      </w:r>
      <w:r>
        <w:rPr>
          <w:rFonts w:ascii="Arial" w:cs="Arial" w:eastAsia="Arial" w:hAnsi="Arial"/>
          <w:sz w:val="22"/>
          <w:szCs w:val="22"/>
          <w:color w:val="auto"/>
        </w:rPr>
        <w:t>" has the meaning given in paragraph 5 of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Repayment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in relation to the Term Facility, each of the dates on which repayments of principal are scheduled to be made, as set forth in the Term Facility Agreement; and</w:t>
      </w:r>
    </w:p>
    <w:p>
      <w:pPr>
        <w:spacing w:after="0" w:line="174"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in relation to an Additional Lender Facility providing for a term loan, each of the dates on which repayments of principal are scheduled to be made, as set forth in the applicable Additional Lender Facility Agreement.</w:t>
      </w:r>
    </w:p>
    <w:p>
      <w:pPr>
        <w:spacing w:after="0" w:line="146"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Reportable Event</w:t>
      </w:r>
      <w:r>
        <w:rPr>
          <w:rFonts w:ascii="Arial" w:cs="Arial" w:eastAsia="Arial" w:hAnsi="Arial"/>
          <w:sz w:val="22"/>
          <w:szCs w:val="22"/>
          <w:color w:val="auto"/>
        </w:rPr>
        <w:t>" means any of the events set forth in section 4043(c) of ERISA, other than those events as to which the thirty day notice period is waived under regulations under ERISA.</w:t>
      </w:r>
    </w:p>
    <w:p>
      <w:pPr>
        <w:sectPr>
          <w:pgSz w:w="11900" w:h="16838" w:orient="portrait"/>
          <w:cols w:equalWidth="0" w:num="1">
            <w:col w:w="10764"/>
          </w:cols>
          <w:pgMar w:left="896" w:top="625" w:right="239" w:bottom="1440" w:gutter="0" w:footer="0" w:header="0"/>
        </w:sectPr>
      </w:pPr>
    </w:p>
    <w:bookmarkStart w:id="143" w:name="page144"/>
    <w:bookmarkEnd w:id="143"/>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Filings</w:t>
      </w:r>
      <w:r>
        <w:rPr>
          <w:rFonts w:ascii="Arial" w:cs="Arial" w:eastAsia="Arial" w:hAnsi="Arial"/>
          <w:sz w:val="19"/>
          <w:szCs w:val="19"/>
          <w:color w:val="auto"/>
        </w:rPr>
        <w:t>" has the meaning given to that term in the Common Terms Agreement Fifth Amendment Agreement.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Lenders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343" w:lineRule="auto"/>
        <w:tabs>
          <w:tab w:leader="none" w:pos="64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relation to any Decision other than on a Fundamental Term, Lenders (and, after the occurrence and continuation of a Hedging Voting Right Event in relation to any Hedging Counterparty, that Hedging Counterparty) who:</w:t>
      </w:r>
    </w:p>
    <w:p>
      <w:pPr>
        <w:spacing w:after="0" w:line="104" w:lineRule="exact"/>
        <w:rPr>
          <w:rFonts w:ascii="Arial" w:cs="Arial" w:eastAsia="Arial" w:hAnsi="Arial"/>
          <w:sz w:val="19"/>
          <w:szCs w:val="19"/>
          <w:color w:val="auto"/>
        </w:rPr>
      </w:pPr>
    </w:p>
    <w:p>
      <w:pPr>
        <w:ind w:left="1304" w:hanging="655"/>
        <w:spacing w:after="0" w:line="263" w:lineRule="auto"/>
        <w:tabs>
          <w:tab w:leader="none" w:pos="1304" w:val="left"/>
        </w:tabs>
        <w:numPr>
          <w:ilvl w:val="1"/>
          <w:numId w:val="167"/>
        </w:numPr>
        <w:rPr>
          <w:rFonts w:ascii="Arial" w:cs="Arial" w:eastAsia="Arial" w:hAnsi="Arial"/>
          <w:sz w:val="22"/>
          <w:szCs w:val="22"/>
          <w:color w:val="auto"/>
        </w:rPr>
      </w:pPr>
      <w:r>
        <w:rPr>
          <w:rFonts w:ascii="Arial" w:cs="Arial" w:eastAsia="Arial" w:hAnsi="Arial"/>
          <w:sz w:val="22"/>
          <w:szCs w:val="22"/>
          <w:color w:val="auto"/>
        </w:rPr>
        <w:t>have notified the Intercreditor Agent of their vote in respect of such Decision within the time required by the Intercreditor Agent pursuant to this Agreement; and</w:t>
      </w:r>
    </w:p>
    <w:p>
      <w:pPr>
        <w:spacing w:after="0" w:line="174" w:lineRule="exact"/>
        <w:rPr>
          <w:rFonts w:ascii="Arial" w:cs="Arial" w:eastAsia="Arial" w:hAnsi="Arial"/>
          <w:sz w:val="22"/>
          <w:szCs w:val="22"/>
          <w:color w:val="auto"/>
        </w:rPr>
      </w:pPr>
    </w:p>
    <w:p>
      <w:pPr>
        <w:ind w:left="1304" w:right="20" w:hanging="655"/>
        <w:spacing w:after="0" w:line="263" w:lineRule="auto"/>
        <w:tabs>
          <w:tab w:leader="none" w:pos="1304" w:val="left"/>
        </w:tabs>
        <w:numPr>
          <w:ilvl w:val="1"/>
          <w:numId w:val="167"/>
        </w:numPr>
        <w:rPr>
          <w:rFonts w:ascii="Arial" w:cs="Arial" w:eastAsia="Arial" w:hAnsi="Arial"/>
          <w:sz w:val="22"/>
          <w:szCs w:val="22"/>
          <w:color w:val="auto"/>
        </w:rPr>
      </w:pPr>
      <w:r>
        <w:rPr>
          <w:rFonts w:ascii="Arial" w:cs="Arial" w:eastAsia="Arial" w:hAnsi="Arial"/>
          <w:sz w:val="22"/>
          <w:szCs w:val="22"/>
          <w:color w:val="auto"/>
        </w:rPr>
        <w:t>hold, in aggregate, more than 50% of the Voting Entitlements of all such Senior Secured Creditors who have so notified their votes; and</w:t>
      </w:r>
    </w:p>
    <w:p>
      <w:pPr>
        <w:spacing w:after="0" w:line="174"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in relation to a Decision on a Fundamental Term, all Lenders (and, after the occurrence of a Hedging Voting Rights Event in relation to a Hedging Counterparty that is continuing, that Hedging Counterparty).</w:t>
      </w:r>
    </w:p>
    <w:p>
      <w:pPr>
        <w:spacing w:after="0" w:line="146" w:lineRule="exact"/>
        <w:rPr>
          <w:sz w:val="20"/>
          <w:szCs w:val="20"/>
          <w:color w:val="auto"/>
        </w:rPr>
      </w:pPr>
    </w:p>
    <w:p>
      <w:pPr>
        <w:jc w:val="both"/>
        <w:ind w:left="4"/>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Resort Management Agreement</w:t>
      </w:r>
      <w:r>
        <w:rPr>
          <w:rFonts w:ascii="Arial" w:cs="Arial" w:eastAsia="Arial" w:hAnsi="Arial"/>
          <w:sz w:val="21"/>
          <w:szCs w:val="21"/>
          <w:color w:val="auto"/>
        </w:rPr>
        <w:t>" means (a) any agreement entered into by the Company (that does not conflict with the Concession Contract and all other applicable Legal Requirements) with an Excluded Subsidiary or other third party for the management or operation by the Company in compliance with the Concession Contract and all other applicable Legal Requirements of an Excluded Project or any part thereof (other than an Excluded Project or any part thereof located on the Cotai Site) and/or (b) any Cotai Resort Management Agreement.</w:t>
      </w:r>
    </w:p>
    <w:p>
      <w:pPr>
        <w:spacing w:after="0" w:line="171" w:lineRule="exact"/>
        <w:rPr>
          <w:sz w:val="20"/>
          <w:szCs w:val="20"/>
          <w:color w:val="auto"/>
        </w:rPr>
      </w:pPr>
    </w:p>
    <w:p>
      <w:pPr>
        <w:jc w:val="both"/>
        <w:ind w:left="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or the chief financial officer of WML or Wynn Resorts. Unless otherwise qualified, all references to a "Responsible Officer" shall refer to a Responsible Officer of the Company.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Group</w:t>
      </w:r>
      <w:r>
        <w:rPr>
          <w:rFonts w:ascii="Arial" w:cs="Arial" w:eastAsia="Arial" w:hAnsi="Arial"/>
          <w:sz w:val="22"/>
          <w:szCs w:val="22"/>
          <w:color w:val="auto"/>
        </w:rPr>
        <w:t>" means the Group other than any Excluded Subsidiary.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Payments</w:t>
      </w:r>
      <w:r>
        <w:rPr>
          <w:rFonts w:ascii="Arial" w:cs="Arial" w:eastAsia="Arial" w:hAnsi="Arial"/>
          <w:sz w:val="21"/>
          <w:szCs w:val="21"/>
          <w:color w:val="auto"/>
        </w:rPr>
        <w:t>" has the meaning given to it in paragraph 6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hereto.</w:t>
      </w:r>
    </w:p>
    <w:p>
      <w:pPr>
        <w:spacing w:after="0" w:line="231"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Facilities</w:t>
      </w:r>
      <w:r>
        <w:rPr>
          <w:rFonts w:ascii="Arial" w:cs="Arial" w:eastAsia="Arial" w:hAnsi="Arial"/>
          <w:sz w:val="22"/>
          <w:szCs w:val="22"/>
          <w:color w:val="auto"/>
        </w:rPr>
        <w:t>" means each of the revolving loan facilities to be provided under the Revolving Credit Facility Agreements.</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Agent</w:t>
      </w:r>
      <w:r>
        <w:rPr>
          <w:rFonts w:ascii="Arial" w:cs="Arial" w:eastAsia="Arial" w:hAnsi="Arial"/>
          <w:sz w:val="22"/>
          <w:szCs w:val="22"/>
          <w:color w:val="auto"/>
        </w:rPr>
        <w:t>" means Bank of China Limited, Macau Branch as facility agent for the Revolving Credit Facility Lenders.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Agreements</w:t>
      </w:r>
      <w:r>
        <w:rPr>
          <w:rFonts w:ascii="Arial" w:cs="Arial" w:eastAsia="Arial" w:hAnsi="Arial"/>
          <w:sz w:val="22"/>
          <w:szCs w:val="22"/>
          <w:color w:val="auto"/>
        </w:rPr>
        <w:t>" means:</w:t>
      </w:r>
    </w:p>
    <w:p>
      <w:pPr>
        <w:sectPr>
          <w:pgSz w:w="11900" w:h="16838" w:orient="portrait"/>
          <w:cols w:equalWidth="0" w:num="1">
            <w:col w:w="10764"/>
          </w:cols>
          <w:pgMar w:left="896" w:top="625" w:right="239" w:bottom="1440" w:gutter="0" w:footer="0" w:header="0"/>
        </w:sectPr>
      </w:pPr>
    </w:p>
    <w:bookmarkStart w:id="144" w:name="page145"/>
    <w:bookmarkEnd w:id="144"/>
    <w:p>
      <w:pPr>
        <w:ind w:left="644" w:hanging="644"/>
        <w:spacing w:after="0" w:line="263" w:lineRule="auto"/>
        <w:tabs>
          <w:tab w:leader="none" w:pos="6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agreement so entitled between the Company, the Revolving Credit Facility Agent and the Revolving Credit Facility Lenders; and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Additional Lender Facility Agreement providing for a revolving credit facility.</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Availability Period</w:t>
      </w:r>
      <w:r>
        <w:rPr>
          <w:rFonts w:ascii="Arial" w:cs="Arial" w:eastAsia="Arial" w:hAnsi="Arial"/>
          <w:sz w:val="22"/>
          <w:szCs w:val="22"/>
          <w:color w:val="auto"/>
        </w:rPr>
        <w:t>" means the period specified in Clause 4.2 (</w:t>
      </w:r>
      <w:r>
        <w:rPr>
          <w:rFonts w:ascii="Arial" w:cs="Arial" w:eastAsia="Arial" w:hAnsi="Arial"/>
          <w:sz w:val="22"/>
          <w:szCs w:val="22"/>
          <w:i w:val="1"/>
          <w:iCs w:val="1"/>
          <w:color w:val="auto"/>
        </w:rPr>
        <w:t>Revolving Credit Facility</w:t>
      </w:r>
      <w:r>
        <w:rPr>
          <w:rFonts w:ascii="Arial" w:cs="Arial" w:eastAsia="Arial" w:hAnsi="Arial"/>
          <w:sz w:val="22"/>
          <w:szCs w:val="22"/>
          <w:color w:val="auto"/>
        </w:rPr>
        <w:t xml:space="preserve"> </w:t>
      </w:r>
      <w:r>
        <w:rPr>
          <w:rFonts w:ascii="Arial" w:cs="Arial" w:eastAsia="Arial" w:hAnsi="Arial"/>
          <w:sz w:val="22"/>
          <w:szCs w:val="22"/>
          <w:i w:val="1"/>
          <w:iCs w:val="1"/>
          <w:color w:val="auto"/>
        </w:rPr>
        <w:t>Availability Period</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Lender</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64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lender identified as such in Part B of Schedule 1 (</w:t>
      </w:r>
      <w:r>
        <w:rPr>
          <w:rFonts w:ascii="Arial" w:cs="Arial" w:eastAsia="Arial" w:hAnsi="Arial"/>
          <w:sz w:val="22"/>
          <w:szCs w:val="22"/>
          <w:i w:val="1"/>
          <w:iCs w:val="1"/>
          <w:color w:val="auto"/>
        </w:rPr>
        <w:t>The Lenders and the Hedging Counterparties</w:t>
      </w:r>
      <w:r>
        <w:rPr>
          <w:rFonts w:ascii="Arial" w:cs="Arial" w:eastAsia="Arial" w:hAnsi="Arial"/>
          <w:sz w:val="22"/>
          <w:szCs w:val="22"/>
          <w:color w:val="auto"/>
        </w:rPr>
        <w:t>) or in an Additional Lender Facility Agreement providing for a revolving credit facility; or</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Transferee in respect of a Revolving Credit Facility made available pursuant to a Revolving Credit Facility Agreement.</w:t>
      </w:r>
    </w:p>
    <w:p>
      <w:pPr>
        <w:spacing w:after="0" w:line="16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 Termination Date</w:t>
      </w:r>
      <w:r>
        <w:rPr>
          <w:rFonts w:ascii="Arial" w:cs="Arial" w:eastAsia="Arial" w:hAnsi="Arial"/>
          <w:sz w:val="22"/>
          <w:szCs w:val="22"/>
          <w:color w:val="auto"/>
        </w:rPr>
        <w:t>" means, in relation to the Revolving Credit Facilities, the fifth anniversary of the Fifth Amendment Effective Date.</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Lending Group</w:t>
      </w:r>
      <w:r>
        <w:rPr>
          <w:rFonts w:ascii="Arial" w:cs="Arial" w:eastAsia="Arial" w:hAnsi="Arial"/>
          <w:sz w:val="22"/>
          <w:szCs w:val="22"/>
          <w:color w:val="auto"/>
        </w:rPr>
        <w:t>" means the Revolving Credit Facility Lenders under a Revolving Credit Facility Agreement, acting as a lending group in accordance with, and subject to the decision making rules under, that Revolving Credit Facility Agreement.</w:t>
      </w:r>
    </w:p>
    <w:p>
      <w:pPr>
        <w:spacing w:after="0" w:line="17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means any sanctions administered or enforced by the United States Government (including, without limitation, OFAC), the United Nations Security Council, the European Union, Her Majesty’s Treasury, the Federal Government of Canada or other relevant sanctions authority.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Obligations</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has the meaning given in the Deed of Appointment and Priority.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the Liens created or purported to be created under the Security Documents.</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Agent</w:t>
      </w:r>
      <w:r>
        <w:rPr>
          <w:rFonts w:ascii="Arial" w:cs="Arial" w:eastAsia="Arial" w:hAnsi="Arial"/>
          <w:sz w:val="22"/>
          <w:szCs w:val="22"/>
          <w:color w:val="auto"/>
        </w:rPr>
        <w:t>" means Bank of China Limited, Macau Branch in its capacity as agent and security trustee for the Secured Parties or its successor appointed in accordance with the Deed of Appointment and Priority.</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Confirmation Documents</w:t>
      </w:r>
      <w:r>
        <w:rPr>
          <w:rFonts w:ascii="Arial" w:cs="Arial" w:eastAsia="Arial" w:hAnsi="Arial"/>
          <w:sz w:val="22"/>
          <w:szCs w:val="22"/>
          <w:color w:val="auto"/>
        </w:rPr>
        <w:t>" has the meaning given to that term in the Common Terms Agreement Fifth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Cotai Mortgage;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Power of Attorney;</w:t>
      </w:r>
    </w:p>
    <w:p>
      <w:pPr>
        <w:sectPr>
          <w:pgSz w:w="11900" w:h="16838" w:orient="portrait"/>
          <w:cols w:equalWidth="0" w:num="1">
            <w:col w:w="10764"/>
          </w:cols>
          <w:pgMar w:left="896" w:top="631" w:right="239" w:bottom="1440" w:gutter="0" w:footer="0" w:header="0"/>
        </w:sectPr>
      </w:pPr>
    </w:p>
    <w:bookmarkStart w:id="145" w:name="page146"/>
    <w:bookmarkEnd w:id="145"/>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Cotai Power of Attorney;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Land Security Assignment;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Assignment of Rights;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Pledge over Gaming Equipment and Utensils;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Pledge over Onshore Accounts;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Palo Assignment of 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Assignment(s) of Reinsurances;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Palo Floating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Livranças and the Livrança Covering Letter;</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Debenture;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Palo Pledge over Onshore Accounts;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Guarantee;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Executive Director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Company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Palo Share Pledge;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Wynn International Share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Wynn HK Share Charge;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Charge over HK Accounts;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Subordination Deed;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Deed of Appointment and Priority;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each Direct Agreement;</w:t>
      </w:r>
    </w:p>
    <w:p>
      <w:pPr>
        <w:spacing w:after="0" w:line="220" w:lineRule="exact"/>
        <w:rPr>
          <w:sz w:val="20"/>
          <w:szCs w:val="20"/>
          <w:color w:val="auto"/>
        </w:rPr>
      </w:pPr>
    </w:p>
    <w:p>
      <w:pPr>
        <w:ind w:left="644" w:hanging="644"/>
        <w:spacing w:after="0"/>
        <w:tabs>
          <w:tab w:leader="none" w:pos="64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(with effect from the date thereof) each Supplemental Security Document;</w:t>
      </w:r>
    </w:p>
    <w:p>
      <w:pPr>
        <w:spacing w:after="0" w:line="219" w:lineRule="exact"/>
        <w:rPr>
          <w:rFonts w:ascii="Arial" w:cs="Arial" w:eastAsia="Arial" w:hAnsi="Arial"/>
          <w:sz w:val="22"/>
          <w:szCs w:val="22"/>
          <w:color w:val="auto"/>
        </w:rPr>
      </w:pPr>
    </w:p>
    <w:p>
      <w:pPr>
        <w:jc w:val="both"/>
        <w:ind w:left="644" w:hanging="644"/>
        <w:spacing w:after="0" w:line="271" w:lineRule="auto"/>
        <w:tabs>
          <w:tab w:leader="none" w:pos="64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any other document from time to time creating, evidencing or entered into as security for or guaranteeing the Obligations of the Company or any other Obligor or member of the Restricted Group and any documents entered into pursuant to any of the documents referred to in this definition, including any such document</w:t>
      </w:r>
    </w:p>
    <w:p>
      <w:pPr>
        <w:sectPr>
          <w:pgSz w:w="11900" w:h="16838" w:orient="portrait"/>
          <w:cols w:equalWidth="0" w:num="1">
            <w:col w:w="10764"/>
          </w:cols>
          <w:pgMar w:left="896" w:top="631" w:right="239" w:bottom="1440" w:gutter="0" w:footer="0" w:header="0"/>
        </w:sectPr>
      </w:pPr>
    </w:p>
    <w:bookmarkStart w:id="146" w:name="page147"/>
    <w:bookmarkEnd w:id="146"/>
    <w:p>
      <w:pPr>
        <w:ind w:left="644"/>
        <w:spacing w:after="0" w:line="263" w:lineRule="auto"/>
        <w:rPr>
          <w:sz w:val="20"/>
          <w:szCs w:val="20"/>
          <w:color w:val="auto"/>
        </w:rPr>
      </w:pPr>
      <w:r>
        <w:rPr>
          <w:rFonts w:ascii="Arial" w:cs="Arial" w:eastAsia="Arial" w:hAnsi="Arial"/>
          <w:sz w:val="22"/>
          <w:szCs w:val="22"/>
          <w:color w:val="auto"/>
        </w:rPr>
        <w:t>notifying or acknowledging the granting or creation of such security or creating or evidencing security over an Account; and</w:t>
      </w:r>
    </w:p>
    <w:p>
      <w:pPr>
        <w:spacing w:after="0" w:line="175" w:lineRule="exact"/>
        <w:rPr>
          <w:sz w:val="20"/>
          <w:szCs w:val="20"/>
          <w:color w:val="auto"/>
        </w:rPr>
      </w:pPr>
    </w:p>
    <w:p>
      <w:pPr>
        <w:jc w:val="both"/>
        <w:ind w:left="644" w:hanging="644"/>
        <w:spacing w:after="0" w:line="250" w:lineRule="auto"/>
        <w:tabs>
          <w:tab w:leader="none" w:pos="6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Finance Documents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each Facility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each Security Document;</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Ancillary Finance Documents;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each Hedging Agreement; and</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any other document entered into which the Intercreditor Agent and the Company (both acting reasonably) agree to designate as a Senior Finance Document.</w:t>
      </w:r>
    </w:p>
    <w:p>
      <w:pPr>
        <w:spacing w:after="0" w:line="169"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Secured Creditors</w:t>
      </w:r>
      <w:r>
        <w:rPr>
          <w:rFonts w:ascii="Arial" w:cs="Arial" w:eastAsia="Arial" w:hAnsi="Arial"/>
          <w:sz w:val="22"/>
          <w:szCs w:val="22"/>
          <w:color w:val="auto"/>
        </w:rPr>
        <w:t>" means the GCLAs, the Agents, the Security Agent, the Lenders and the Hedging Counterparties.</w:t>
      </w:r>
    </w:p>
    <w:p>
      <w:pPr>
        <w:spacing w:after="0" w:line="16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Senior Secured Indebtedness</w:t>
      </w:r>
      <w:r>
        <w:rPr>
          <w:rFonts w:ascii="Arial" w:cs="Arial" w:eastAsia="Arial" w:hAnsi="Arial"/>
          <w:sz w:val="21"/>
          <w:szCs w:val="21"/>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Guarantees</w:t>
      </w:r>
      <w:r>
        <w:rPr>
          <w:rFonts w:ascii="Arial" w:cs="Arial" w:eastAsia="Arial" w:hAnsi="Arial"/>
          <w:sz w:val="22"/>
          <w:szCs w:val="22"/>
          <w:color w:val="auto"/>
        </w:rPr>
        <w:t>" means the Guarantee and the Executive Director Share Pledge.</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Loans</w:t>
      </w:r>
      <w:r>
        <w:rPr>
          <w:rFonts w:ascii="Arial" w:cs="Arial" w:eastAsia="Arial" w:hAnsi="Arial"/>
          <w:sz w:val="22"/>
          <w:szCs w:val="22"/>
          <w:color w:val="auto"/>
        </w:rPr>
        <w:t>" means Financial Indebtedness advanced by one or more of the Shareholders, the Wynn Obligors or Affiliates of the Wynn Obligors (including, without limitation, Wynn Resorts, WML or any Affiliate of any of Wynn Resorts or WML) to the Company or any other member of the Group that is subordinated in accordance with the terms provided by the Subordination Deed.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w:t>
      </w:r>
      <w:r>
        <w:rPr>
          <w:rFonts w:ascii="Arial" w:cs="Arial" w:eastAsia="Arial" w:hAnsi="Arial"/>
          <w:sz w:val="22"/>
          <w:szCs w:val="22"/>
          <w:color w:val="auto"/>
        </w:rPr>
        <w:t>" means Wynn HK, Wynn International and the Executive Director.</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 Agreement</w:t>
      </w:r>
      <w:r>
        <w:rPr>
          <w:rFonts w:ascii="Arial" w:cs="Arial" w:eastAsia="Arial" w:hAnsi="Arial"/>
          <w:sz w:val="22"/>
          <w:szCs w:val="22"/>
          <w:color w:val="auto"/>
        </w:rPr>
        <w:t>" means the amended and restated shareholders' agreement entered into between the Shareholders and the Company dated 16 September 2004.</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Payment</w:t>
      </w:r>
      <w:r>
        <w:rPr>
          <w:rFonts w:ascii="Arial" w:cs="Arial" w:eastAsia="Arial" w:hAnsi="Arial"/>
          <w:sz w:val="22"/>
          <w:szCs w:val="22"/>
          <w:color w:val="auto"/>
        </w:rPr>
        <w:t>" has the meaning given in Clause 25.1 (</w:t>
      </w:r>
      <w:r>
        <w:rPr>
          <w:rFonts w:ascii="Arial" w:cs="Arial" w:eastAsia="Arial" w:hAnsi="Arial"/>
          <w:sz w:val="22"/>
          <w:szCs w:val="22"/>
          <w:i w:val="1"/>
          <w:iCs w:val="1"/>
          <w:color w:val="auto"/>
        </w:rPr>
        <w:t>Payments to Senior Secured Creditors</w:t>
      </w:r>
      <w:r>
        <w:rPr>
          <w:rFonts w:ascii="Arial" w:cs="Arial" w:eastAsia="Arial" w:hAnsi="Arial"/>
          <w:sz w:val="22"/>
          <w:szCs w:val="22"/>
          <w:color w:val="auto"/>
        </w:rPr>
        <w:t>).</w:t>
      </w:r>
    </w:p>
    <w:p>
      <w:pPr>
        <w:sectPr>
          <w:pgSz w:w="11900" w:h="16838" w:orient="portrait"/>
          <w:cols w:equalWidth="0" w:num="1">
            <w:col w:w="10764"/>
          </w:cols>
          <w:pgMar w:left="896" w:top="631" w:right="239" w:bottom="1440" w:gutter="0" w:footer="0" w:header="0"/>
        </w:sectPr>
      </w:pPr>
    </w:p>
    <w:bookmarkStart w:id="147" w:name="page148"/>
    <w:bookmarkEnd w:id="147"/>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Signing Date</w:t>
      </w:r>
      <w:r>
        <w:rPr>
          <w:rFonts w:ascii="Arial" w:cs="Arial" w:eastAsia="Arial" w:hAnsi="Arial"/>
          <w:sz w:val="22"/>
          <w:szCs w:val="22"/>
          <w:color w:val="auto"/>
        </w:rPr>
        <w:t>" means the date of signing of this Agreement being 14 September 2004 (and any reference in this Agreement to the date of this Agreement shall be construed accordingly).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Single Employer Plan</w:t>
      </w:r>
      <w:r>
        <w:rPr>
          <w:rFonts w:ascii="Arial" w:cs="Arial" w:eastAsia="Arial" w:hAnsi="Arial"/>
          <w:sz w:val="19"/>
          <w:szCs w:val="19"/>
          <w:color w:val="auto"/>
        </w:rPr>
        <w:t>" means any Plan that is covered by Title IV of ERISA, but which is not a Multiemployer Plan.</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w:t>
      </w:r>
      <w:r>
        <w:rPr>
          <w:rFonts w:ascii="Arial" w:cs="Arial" w:eastAsia="Arial" w:hAnsi="Arial"/>
          <w:sz w:val="22"/>
          <w:szCs w:val="22"/>
          <w:color w:val="auto"/>
        </w:rPr>
        <w:t>" means the land described in the Land Concession Contract.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 Easements</w:t>
      </w:r>
      <w:r>
        <w:rPr>
          <w:rFonts w:ascii="Arial" w:cs="Arial" w:eastAsia="Arial" w:hAnsi="Arial"/>
          <w:sz w:val="22"/>
          <w:szCs w:val="22"/>
          <w:color w:val="auto"/>
        </w:rPr>
        <w:t>" the easements appurtenant, easements in gross, licence agreements and other rights running for the benefit of the Company and/or appurtenant to the Site.</w:t>
      </w:r>
    </w:p>
    <w:p>
      <w:pPr>
        <w:spacing w:after="0" w:line="162" w:lineRule="exact"/>
        <w:rPr>
          <w:sz w:val="20"/>
          <w:szCs w:val="20"/>
          <w:color w:val="auto"/>
        </w:rPr>
      </w:pPr>
    </w:p>
    <w:p>
      <w:pPr>
        <w:jc w:val="both"/>
        <w:ind w:left="4"/>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 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Gaming Tax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Equity Contributions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343" w:lineRule="auto"/>
        <w:tabs>
          <w:tab w:leader="none" w:pos="64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on and prior to 30 June 2016, any cash contribution (whether by way of equity, debt or otherwise) the proceeds of which are paid to the Company or Palo (each such cash contribution being a "</w:t>
      </w:r>
      <w:r>
        <w:rPr>
          <w:rFonts w:ascii="Arial" w:cs="Arial" w:eastAsia="Arial" w:hAnsi="Arial"/>
          <w:sz w:val="19"/>
          <w:szCs w:val="19"/>
          <w:b w:val="1"/>
          <w:bCs w:val="1"/>
          <w:color w:val="auto"/>
        </w:rPr>
        <w:t>Contribution</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after 30 June 2016, any Contribution at any time,</w:t>
      </w:r>
    </w:p>
    <w:p>
      <w:pPr>
        <w:spacing w:after="0" w:line="220"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designated by the Company as a "Specified Equity Contribution" in writing to the Intercreditor Agent and made, in each case, in accordance with and as permitted by (and which shall be treated, for all purposes under the Senior Finance Documents, as specified in) the Specified Equity Contributions Conditions.</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Equity Contributions Conditions</w:t>
      </w:r>
      <w:r>
        <w:rPr>
          <w:rFonts w:ascii="Arial" w:cs="Arial" w:eastAsia="Arial" w:hAnsi="Arial"/>
          <w:sz w:val="22"/>
          <w:szCs w:val="22"/>
          <w:color w:val="auto"/>
        </w:rPr>
        <w:t>" means each of the following conditions, stipulations and other requirements:</w:t>
      </w:r>
    </w:p>
    <w:p>
      <w:pPr>
        <w:sectPr>
          <w:pgSz w:w="11900" w:h="16838" w:orient="portrait"/>
          <w:cols w:equalWidth="0" w:num="1">
            <w:col w:w="10764"/>
          </w:cols>
          <w:pgMar w:left="896" w:top="625" w:right="239" w:bottom="1440" w:gutter="0" w:footer="0" w:header="0"/>
        </w:sectPr>
      </w:pPr>
    </w:p>
    <w:bookmarkStart w:id="148" w:name="page149"/>
    <w:bookmarkEnd w:id="148"/>
    <w:p>
      <w:pPr>
        <w:ind w:left="644" w:hanging="644"/>
        <w:spacing w:after="0" w:line="263" w:lineRule="auto"/>
        <w:tabs>
          <w:tab w:leader="none" w:pos="6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no more than two Contributions may be made in any period of four consecutive Fiscal Quarters (commencing with the Fiscal Quarter ending on 30 September 2016);</w:t>
      </w:r>
    </w:p>
    <w:p>
      <w:pPr>
        <w:spacing w:after="0" w:line="174"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when two Contributions are made in any period of four consecutive Fiscal Quarters (commencing with the Fiscal Quarter ending on 30 September 2016), no Contribution is permitted to be made at any time during the immediately succeeding period of four consecutive Fiscal Quarters (commencing with the Fiscal Quarter immediately succeeding the Fiscal Quarter in which the second of the two Contributions referenced in this paragraph was made);</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each Contribution shall be deemed to be made on the first day of the relevant Fiscal Quarter in which it is made;</w:t>
      </w:r>
    </w:p>
    <w:p>
      <w:pPr>
        <w:spacing w:after="0" w:line="254"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each Contribution shall only be included in EBITDA where EBITDA is calculated for the purposes of testing compliance with the financial covenants set out in paragraphs 1(a) and 1(b)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in EBITDA where EBITDA is calculated for the purposes of determining the Leverage Ratio used in ascertaining the ECF Percentage;</w:t>
      </w:r>
    </w:p>
    <w:p>
      <w:pPr>
        <w:spacing w:after="0" w:line="188"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no Contribution shall be included or taken into account for any purpose (other than as set out in paragraph (d) above) and (without limitation) the effect of each Contribution shall be ignored or excluded (to the extent it would otherwise be taken into account or included under the terms of any Senior Finance Document) in any calculation (other than those specified in paragraph (d) above) for the purposes of (or definitions set out in) the Senior Finance Documents;</w:t>
      </w:r>
    </w:p>
    <w:p>
      <w:pPr>
        <w:spacing w:after="0" w:line="192"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without prejudice to paragraph (e) above, the aggregate amount of all Contributions standing to the credit of any Account or Accounts (as well as the aggregate amount of all Permitted Investments made using such Contributions) shall be excluded for the purposes of paragraph (f) of the definition of "Total Debt"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ind w:left="644" w:hanging="644"/>
        <w:spacing w:after="0"/>
        <w:tabs>
          <w:tab w:leader="none" w:pos="64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Contribution:</w:t>
      </w:r>
    </w:p>
    <w:p>
      <w:pPr>
        <w:spacing w:after="0" w:line="219"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76"/>
        </w:numPr>
        <w:rPr>
          <w:rFonts w:ascii="Arial" w:cs="Arial" w:eastAsia="Arial" w:hAnsi="Arial"/>
          <w:sz w:val="22"/>
          <w:szCs w:val="22"/>
          <w:color w:val="auto"/>
        </w:rPr>
      </w:pPr>
      <w:r>
        <w:rPr>
          <w:rFonts w:ascii="Arial" w:cs="Arial" w:eastAsia="Arial" w:hAnsi="Arial"/>
          <w:sz w:val="22"/>
          <w:szCs w:val="22"/>
          <w:color w:val="auto"/>
        </w:rPr>
        <w:t>(where made by way of loan or the incurrence of other Financial Indebtedness), constitutes Subordinated Debt; and</w:t>
      </w:r>
    </w:p>
    <w:p>
      <w:pPr>
        <w:spacing w:after="0" w:line="174" w:lineRule="exact"/>
        <w:rPr>
          <w:rFonts w:ascii="Arial" w:cs="Arial" w:eastAsia="Arial" w:hAnsi="Arial"/>
          <w:sz w:val="22"/>
          <w:szCs w:val="22"/>
          <w:color w:val="auto"/>
        </w:rPr>
      </w:pPr>
    </w:p>
    <w:p>
      <w:pPr>
        <w:jc w:val="both"/>
        <w:ind w:left="1304" w:hanging="655"/>
        <w:spacing w:after="0" w:line="297" w:lineRule="auto"/>
        <w:tabs>
          <w:tab w:leader="none" w:pos="1304" w:val="left"/>
        </w:tabs>
        <w:numPr>
          <w:ilvl w:val="1"/>
          <w:numId w:val="176"/>
        </w:numPr>
        <w:rPr>
          <w:rFonts w:ascii="Arial" w:cs="Arial" w:eastAsia="Arial" w:hAnsi="Arial"/>
          <w:sz w:val="19"/>
          <w:szCs w:val="19"/>
          <w:color w:val="auto"/>
        </w:rPr>
      </w:pPr>
      <w:r>
        <w:rPr>
          <w:rFonts w:ascii="Arial" w:cs="Arial" w:eastAsia="Arial" w:hAnsi="Arial"/>
          <w:sz w:val="19"/>
          <w:szCs w:val="19"/>
          <w:color w:val="auto"/>
        </w:rPr>
        <w:t>(where made by way of equity, being the provision of cash consideration for the issuance of Capital Stock by the relevant Obligors), such issuance of Capital Stock is made, in each case, to the existing direct shareholder of such Obligor and is either subject to the existing first ranking fixed Lien in favour of the Security Agent over the Capital Stock of the Obligor or, if needed (in the opinion of the Intercreditor Agent, acting reasonably), is otherwise in such form and on such terms as the Intercreditor Agent may require.</w:t>
      </w:r>
    </w:p>
    <w:p>
      <w:pPr>
        <w:spacing w:after="0" w:line="141"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Standard &amp; Poor's</w:t>
      </w:r>
      <w:r>
        <w:rPr>
          <w:rFonts w:ascii="Arial" w:cs="Arial" w:eastAsia="Arial" w:hAnsi="Arial"/>
          <w:sz w:val="22"/>
          <w:szCs w:val="22"/>
          <w:color w:val="auto"/>
        </w:rPr>
        <w:t>" or "</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Ratings Services, a division of The McGraw-Hill Companies, Inc., or its successor</w:t>
      </w:r>
    </w:p>
    <w:p>
      <w:pPr>
        <w:sectPr>
          <w:pgSz w:w="11900" w:h="16838" w:orient="portrait"/>
          <w:cols w:equalWidth="0" w:num="1">
            <w:col w:w="10764"/>
          </w:cols>
          <w:pgMar w:left="896" w:top="631" w:right="239" w:bottom="1440" w:gutter="0" w:footer="0" w:header="0"/>
        </w:sectPr>
      </w:pPr>
    </w:p>
    <w:bookmarkStart w:id="149" w:name="page150"/>
    <w:bookmarkEnd w:id="149"/>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Subconcession</w:t>
      </w:r>
      <w:r>
        <w:rPr>
          <w:rFonts w:ascii="Arial" w:cs="Arial" w:eastAsia="Arial" w:hAnsi="Arial"/>
          <w:sz w:val="22"/>
          <w:szCs w:val="22"/>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Debt</w:t>
      </w:r>
      <w:r>
        <w:rPr>
          <w:rFonts w:ascii="Arial" w:cs="Arial" w:eastAsia="Arial" w:hAnsi="Arial"/>
          <w:sz w:val="22"/>
          <w:szCs w:val="22"/>
          <w:color w:val="auto"/>
        </w:rPr>
        <w:t>" means Financial Indebtedness that is subordinated in accordance with the terms provided by the Subordination Deed.</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Subordination Deed</w:t>
      </w:r>
      <w:r>
        <w:rPr>
          <w:rFonts w:ascii="Arial" w:cs="Arial" w:eastAsia="Arial" w:hAnsi="Arial"/>
          <w:sz w:val="21"/>
          <w:szCs w:val="21"/>
          <w:color w:val="auto"/>
        </w:rPr>
        <w:t xml:space="preserve">" means the deed formerly entitled the "Sponsor's Subordination Deed" and dated on or about the Signing Date between the Wynn Obligors, the Company, Wynn Resorts, Wynn Holdings and the Security Agent as further amended, restated, supplemented and novated by, </w:t>
      </w:r>
      <w:r>
        <w:rPr>
          <w:rFonts w:ascii="Arial" w:cs="Arial" w:eastAsia="Arial" w:hAnsi="Arial"/>
          <w:sz w:val="21"/>
          <w:szCs w:val="21"/>
          <w:i w:val="1"/>
          <w:iCs w:val="1"/>
          <w:color w:val="auto"/>
        </w:rPr>
        <w:t>inter alia</w:t>
      </w:r>
      <w:r>
        <w:rPr>
          <w:rFonts w:ascii="Arial" w:cs="Arial" w:eastAsia="Arial" w:hAnsi="Arial"/>
          <w:sz w:val="21"/>
          <w:szCs w:val="21"/>
          <w:color w:val="auto"/>
        </w:rPr>
        <w:t>, the Subordination Deed Third Deed of Amendment and Acknowledgement of Security (as such term is defined in the Common Terms Agreement Fourth Amendment Agreement), the Sponsors' Subordination Deed Second Deed of Amendment and Acknowledgment of Security (as such term is defined in the Common Terms Agreement Third Amendment Agreement) and the Sponsors' Subordination Deed of Release, Amendment and Acknowledgement of Security (as such term is defined in the Common Terms Agreement Second Amendment Agreement</w:t>
      </w:r>
      <w:r>
        <w:rPr>
          <w:rFonts w:ascii="Arial" w:cs="Arial" w:eastAsia="Arial" w:hAnsi="Arial"/>
          <w:sz w:val="21"/>
          <w:szCs w:val="21"/>
          <w:b w:val="1"/>
          <w:bCs w:val="1"/>
          <w:color w:val="auto"/>
        </w:rPr>
        <w:t>)</w:t>
      </w:r>
      <w:r>
        <w:rPr>
          <w:rFonts w:ascii="Arial" w:cs="Arial" w:eastAsia="Arial" w:hAnsi="Arial"/>
          <w:sz w:val="21"/>
          <w:szCs w:val="21"/>
          <w:color w:val="auto"/>
        </w:rPr>
        <w:t xml:space="preserve"> .</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Obligor</w:t>
      </w:r>
      <w:r>
        <w:rPr>
          <w:rFonts w:ascii="Arial" w:cs="Arial" w:eastAsia="Arial" w:hAnsi="Arial"/>
          <w:sz w:val="22"/>
          <w:szCs w:val="22"/>
          <w:color w:val="auto"/>
        </w:rPr>
        <w:t>" has the meaning given to it in paragraph 2.1(g)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Substitution</w:t>
      </w:r>
      <w:r>
        <w:rPr>
          <w:rFonts w:ascii="Arial" w:cs="Arial" w:eastAsia="Arial" w:hAnsi="Arial"/>
          <w:sz w:val="21"/>
          <w:szCs w:val="21"/>
          <w:color w:val="auto"/>
        </w:rPr>
        <w:t>" has the meaning given to that term in the Common Terms Agreement Third Amendment Agreement.</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Security Documents</w:t>
      </w:r>
      <w:r>
        <w:rPr>
          <w:rFonts w:ascii="Arial" w:cs="Arial" w:eastAsia="Arial" w:hAnsi="Arial"/>
          <w:sz w:val="22"/>
          <w:szCs w:val="22"/>
          <w:color w:val="auto"/>
        </w:rPr>
        <w:t>" has the meaning given to it in Part H of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to the Common Terms Agreement Fifth Amendment Agreement.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Agreements</w:t>
      </w:r>
      <w:r>
        <w:rPr>
          <w:rFonts w:ascii="Arial" w:cs="Arial" w:eastAsia="Arial" w:hAnsi="Arial"/>
          <w:sz w:val="22"/>
          <w:szCs w:val="22"/>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Synthetic Lease Obligations</w:t>
      </w:r>
      <w:r>
        <w:rPr>
          <w:rFonts w:ascii="Arial" w:cs="Arial" w:eastAsia="Arial" w:hAnsi="Arial"/>
          <w:sz w:val="19"/>
          <w:szCs w:val="19"/>
          <w:color w:val="auto"/>
        </w:rPr>
        <w:t>" means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ectPr>
          <w:pgSz w:w="11900" w:h="16838" w:orient="portrait"/>
          <w:cols w:equalWidth="0" w:num="1">
            <w:col w:w="10760"/>
          </w:cols>
          <w:pgMar w:left="900" w:top="625" w:right="239" w:bottom="1440" w:gutter="0" w:footer="0" w:header="0"/>
        </w:sectPr>
      </w:pPr>
    </w:p>
    <w:bookmarkStart w:id="150" w:name="page151"/>
    <w:bookmarkEnd w:id="150"/>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Credit</w:t>
      </w:r>
      <w:r>
        <w:rPr>
          <w:rFonts w:ascii="Arial" w:cs="Arial" w:eastAsia="Arial" w:hAnsi="Arial"/>
          <w:sz w:val="22"/>
          <w:szCs w:val="22"/>
          <w:color w:val="auto"/>
        </w:rPr>
        <w:t>" means a credit against, relief or remission for, or repayment of any Tax.</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means any deduction or withholding for or on account of Tax.</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Payment</w:t>
      </w:r>
      <w:r>
        <w:rPr>
          <w:rFonts w:ascii="Arial" w:cs="Arial" w:eastAsia="Arial" w:hAnsi="Arial"/>
          <w:sz w:val="22"/>
          <w:szCs w:val="22"/>
          <w:color w:val="auto"/>
        </w:rPr>
        <w:t>" means an increased payment made by the Company to a Senior Secured Creditor under Clause 11.2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gross-up</w:t>
      </w:r>
      <w:r>
        <w:rPr>
          <w:rFonts w:ascii="Arial" w:cs="Arial" w:eastAsia="Arial" w:hAnsi="Arial"/>
          <w:sz w:val="22"/>
          <w:szCs w:val="22"/>
          <w:color w:val="auto"/>
        </w:rPr>
        <w:t>) or a payment under Clause 11.3 (</w:t>
      </w:r>
      <w:r>
        <w:rPr>
          <w:rFonts w:ascii="Arial" w:cs="Arial" w:eastAsia="Arial" w:hAnsi="Arial"/>
          <w:sz w:val="22"/>
          <w:szCs w:val="22"/>
          <w:i w:val="1"/>
          <w:iCs w:val="1"/>
          <w:color w:val="auto"/>
        </w:rPr>
        <w:t>Tax indemnity</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w:t>
      </w:r>
      <w:r>
        <w:rPr>
          <w:rFonts w:ascii="Arial" w:cs="Arial" w:eastAsia="Arial" w:hAnsi="Arial"/>
          <w:sz w:val="22"/>
          <w:szCs w:val="22"/>
          <w:color w:val="auto"/>
        </w:rPr>
        <w:t>" means the term loan facilities provided pursuant to the Term Facility Agreement.</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Agent</w:t>
      </w:r>
      <w:r>
        <w:rPr>
          <w:rFonts w:ascii="Arial" w:cs="Arial" w:eastAsia="Arial" w:hAnsi="Arial"/>
          <w:sz w:val="22"/>
          <w:szCs w:val="22"/>
          <w:color w:val="auto"/>
        </w:rPr>
        <w:t>" means Bank of China Limited, Macau Branch as facility agent for the Term Facility Lenders or its successor appointed in accordance with this Agreement.</w:t>
      </w:r>
    </w:p>
    <w:p>
      <w:pPr>
        <w:spacing w:after="0" w:line="16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Facility Agreement</w:t>
      </w:r>
      <w:r>
        <w:rPr>
          <w:rFonts w:ascii="Arial" w:cs="Arial" w:eastAsia="Arial" w:hAnsi="Arial"/>
          <w:sz w:val="21"/>
          <w:szCs w:val="21"/>
          <w:color w:val="auto"/>
        </w:rPr>
        <w:t xml:space="preserve">" means the agreement formerly entitled the "Hotel Facility Agreement" between the Company, the Term Facility Agent and the Term Facility Lenders as further amended, restated, supplemented and novated from time to time by, </w:t>
      </w:r>
      <w:r>
        <w:rPr>
          <w:rFonts w:ascii="Arial" w:cs="Arial" w:eastAsia="Arial" w:hAnsi="Arial"/>
          <w:sz w:val="21"/>
          <w:szCs w:val="21"/>
          <w:i w:val="1"/>
          <w:iCs w:val="1"/>
          <w:color w:val="auto"/>
        </w:rPr>
        <w:t>inter alia</w:t>
      </w:r>
      <w:r>
        <w:rPr>
          <w:rFonts w:ascii="Arial" w:cs="Arial" w:eastAsia="Arial" w:hAnsi="Arial"/>
          <w:sz w:val="21"/>
          <w:szCs w:val="21"/>
          <w:color w:val="auto"/>
        </w:rPr>
        <w:t>, the Term Facility Agreement Fourth Amendment Agreement.</w:t>
      </w:r>
    </w:p>
    <w:p>
      <w:pPr>
        <w:spacing w:after="0" w:line="15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Agreement Fourth Amendment Agreement</w:t>
      </w:r>
      <w:r>
        <w:rPr>
          <w:rFonts w:ascii="Arial" w:cs="Arial" w:eastAsia="Arial" w:hAnsi="Arial"/>
          <w:sz w:val="22"/>
          <w:szCs w:val="22"/>
          <w:color w:val="auto"/>
        </w:rPr>
        <w:t>" has the meaning given to such term in the Common Terms Agreement Fifth Amendment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Facility Availability Period</w:t>
      </w:r>
      <w:r>
        <w:rPr>
          <w:rFonts w:ascii="Arial" w:cs="Arial" w:eastAsia="Arial" w:hAnsi="Arial"/>
          <w:sz w:val="21"/>
          <w:szCs w:val="21"/>
          <w:color w:val="auto"/>
        </w:rPr>
        <w:t>" means the period specified in Clause 4.1 (</w:t>
      </w:r>
      <w:r>
        <w:rPr>
          <w:rFonts w:ascii="Arial" w:cs="Arial" w:eastAsia="Arial" w:hAnsi="Arial"/>
          <w:sz w:val="21"/>
          <w:szCs w:val="21"/>
          <w:i w:val="1"/>
          <w:iCs w:val="1"/>
          <w:color w:val="auto"/>
        </w:rPr>
        <w:t>Term Facility Availability Period</w:t>
      </w:r>
      <w:r>
        <w:rPr>
          <w:rFonts w:ascii="Arial" w:cs="Arial" w:eastAsia="Arial" w:hAnsi="Arial"/>
          <w:sz w:val="21"/>
          <w:szCs w:val="21"/>
          <w:color w:val="auto"/>
        </w:rPr>
        <w: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HKD Disbursement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Lender</w:t>
      </w:r>
      <w:r>
        <w:rPr>
          <w:rFonts w:ascii="Arial" w:cs="Arial" w:eastAsia="Arial" w:hAnsi="Arial"/>
          <w:sz w:val="22"/>
          <w:szCs w:val="22"/>
          <w:color w:val="auto"/>
        </w:rPr>
        <w:t>" means a lender identified as such in Part A of Schedule 1 (</w:t>
      </w:r>
      <w:r>
        <w:rPr>
          <w:rFonts w:ascii="Arial" w:cs="Arial" w:eastAsia="Arial" w:hAnsi="Arial"/>
          <w:sz w:val="22"/>
          <w:szCs w:val="22"/>
          <w:i w:val="1"/>
          <w:iCs w:val="1"/>
          <w:color w:val="auto"/>
        </w:rPr>
        <w:t>The Lenders and Hedging</w:t>
      </w:r>
      <w:r>
        <w:rPr>
          <w:rFonts w:ascii="Arial" w:cs="Arial" w:eastAsia="Arial" w:hAnsi="Arial"/>
          <w:sz w:val="22"/>
          <w:szCs w:val="22"/>
          <w:color w:val="auto"/>
        </w:rPr>
        <w:t xml:space="preserve"> </w:t>
      </w:r>
      <w:r>
        <w:rPr>
          <w:rFonts w:ascii="Arial" w:cs="Arial" w:eastAsia="Arial" w:hAnsi="Arial"/>
          <w:sz w:val="22"/>
          <w:szCs w:val="22"/>
          <w:i w:val="1"/>
          <w:iCs w:val="1"/>
          <w:color w:val="auto"/>
        </w:rPr>
        <w:t>Counterparties</w:t>
      </w:r>
      <w:r>
        <w:rPr>
          <w:rFonts w:ascii="Arial" w:cs="Arial" w:eastAsia="Arial" w:hAnsi="Arial"/>
          <w:sz w:val="22"/>
          <w:szCs w:val="22"/>
          <w:color w:val="auto"/>
        </w:rPr>
        <w:t>) or a Transferee in respect of the Term Facility.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Facility USD Disbursement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Lending Group</w:t>
      </w:r>
      <w:r>
        <w:rPr>
          <w:rFonts w:ascii="Arial" w:cs="Arial" w:eastAsia="Arial" w:hAnsi="Arial"/>
          <w:sz w:val="22"/>
          <w:szCs w:val="22"/>
          <w:color w:val="auto"/>
        </w:rPr>
        <w:t>" means the Term Facility Lenders, acting as a lending group in accordance with, and subject to the decision making rules under, the Term Facility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 Facilities</w:t>
      </w:r>
      <w:r>
        <w:rPr>
          <w:rFonts w:ascii="Arial" w:cs="Arial" w:eastAsia="Arial" w:hAnsi="Arial"/>
          <w:sz w:val="19"/>
          <w:szCs w:val="19"/>
          <w:color w:val="auto"/>
        </w:rPr>
        <w:t>" means each of the term loan facilities provided pursuant to the Term Loan Facilities Agreements.</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Facilities Agreements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Term Facility Agreement; and</w:t>
      </w:r>
    </w:p>
    <w:p>
      <w:pPr>
        <w:sectPr>
          <w:pgSz w:w="11900" w:h="16838" w:orient="portrait"/>
          <w:cols w:equalWidth="0" w:num="1">
            <w:col w:w="10764"/>
          </w:cols>
          <w:pgMar w:left="896" w:top="625" w:right="239" w:bottom="1440" w:gutter="0" w:footer="0" w:header="0"/>
        </w:sectPr>
      </w:pPr>
    </w:p>
    <w:bookmarkStart w:id="151" w:name="page152"/>
    <w:bookmarkEnd w:id="151"/>
    <w:p>
      <w:pPr>
        <w:ind w:left="644" w:hanging="644"/>
        <w:spacing w:after="0"/>
        <w:tabs>
          <w:tab w:leader="none" w:pos="64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Additional Lender Facility Agreement providing for a term loan facility.</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Loan Facility Lender</w:t>
      </w:r>
      <w:r>
        <w:rPr>
          <w:rFonts w:ascii="Arial" w:cs="Arial" w:eastAsia="Arial" w:hAnsi="Arial"/>
          <w:sz w:val="22"/>
          <w:szCs w:val="22"/>
          <w:color w:val="auto"/>
        </w:rPr>
        <w:t>" means a Term Facility Lender or an Additional Lender party to an Additional Lender Facility Agreement providing for a term loan facility.</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Event</w:t>
      </w:r>
      <w:r>
        <w:rPr>
          <w:rFonts w:ascii="Arial" w:cs="Arial" w:eastAsia="Arial" w:hAnsi="Arial"/>
          <w:sz w:val="22"/>
          <w:szCs w:val="22"/>
          <w:color w:val="auto"/>
        </w:rPr>
        <w:t>" has the meaning given in paragraph 2 (</w:t>
      </w:r>
      <w:r>
        <w:rPr>
          <w:rFonts w:ascii="Arial" w:cs="Arial" w:eastAsia="Arial" w:hAnsi="Arial"/>
          <w:sz w:val="22"/>
          <w:szCs w:val="22"/>
          <w:i w:val="1"/>
          <w:iCs w:val="1"/>
          <w:color w:val="auto"/>
        </w:rPr>
        <w:t>Certificates; Other Information</w:t>
      </w:r>
      <w:r>
        <w:rPr>
          <w:rFonts w:ascii="Arial" w:cs="Arial" w:eastAsia="Arial" w:hAnsi="Arial"/>
          <w:sz w:val="22"/>
          <w:szCs w:val="22"/>
          <w:color w:val="auto"/>
        </w:rPr>
        <w:t>)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Proceeds</w:t>
      </w:r>
      <w:r>
        <w:rPr>
          <w:rFonts w:ascii="Arial" w:cs="Arial" w:eastAsia="Arial" w:hAnsi="Arial"/>
          <w:sz w:val="22"/>
          <w:szCs w:val="22"/>
          <w:color w:val="auto"/>
        </w:rPr>
        <w:t>" means compensation or other proceeds paid by the Macau SAR in relation to the termination or rescission of the Concession Contract.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Debt</w:t>
      </w:r>
      <w:r>
        <w:rPr>
          <w:rFonts w:ascii="Arial" w:cs="Arial" w:eastAsia="Arial" w:hAnsi="Arial"/>
          <w:sz w:val="22"/>
          <w:szCs w:val="22"/>
          <w:color w:val="auto"/>
        </w:rPr>
        <w:t>" means, in relation to the Restricted Group at any time, the aggregate principal amount of all Financial Indebtedness of each member of the Restricted Group at such time (without double counting) but:</w:t>
      </w:r>
    </w:p>
    <w:p>
      <w:pPr>
        <w:spacing w:after="0" w:line="168" w:lineRule="exact"/>
        <w:rPr>
          <w:sz w:val="20"/>
          <w:szCs w:val="20"/>
          <w:color w:val="auto"/>
        </w:rPr>
      </w:pPr>
    </w:p>
    <w:p>
      <w:pPr>
        <w:ind w:left="644" w:hanging="644"/>
        <w:spacing w:after="0" w:line="263" w:lineRule="auto"/>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excluding Financial Indebtedness referred to in paragraph (j) of the definition thereof (save in relation to any Realised Hedge Loss);</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the Performance Bond Facility (save in relation to any drawing under the Concession Contract Performance Bond);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any Shareholder Loans;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excluding such Financial Indebtedness to the extent it is owed to another member of the Restricted Group;</w:t>
      </w:r>
    </w:p>
    <w:p>
      <w:pPr>
        <w:spacing w:after="0" w:line="231"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including the amount of any liability or obligation, whether or not contingent, assumed by the Company under any Resort Management Agreement and quantified in the same manner as though it were a Guarantee Obligation, in accordance with the deeming provision set out in the definition thereof in this Clause 1.1; and</w:t>
      </w:r>
    </w:p>
    <w:p>
      <w:pPr>
        <w:spacing w:after="0" w:line="167"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subject to paragraph (f) of the definition of "Specified Equity Contributions Conditions" in this Clause 1.1 (</w:t>
      </w:r>
      <w:r>
        <w:rPr>
          <w:rFonts w:ascii="Arial" w:cs="Arial" w:eastAsia="Arial" w:hAnsi="Arial"/>
          <w:sz w:val="22"/>
          <w:szCs w:val="22"/>
          <w:i w:val="1"/>
          <w:iCs w:val="1"/>
          <w:color w:val="auto"/>
        </w:rPr>
        <w:t>Definitions</w:t>
      </w:r>
      <w:r>
        <w:rPr>
          <w:rFonts w:ascii="Arial" w:cs="Arial" w:eastAsia="Arial" w:hAnsi="Arial"/>
          <w:sz w:val="22"/>
          <w:szCs w:val="22"/>
          <w:color w:val="auto"/>
        </w:rPr>
        <w:t>), deducting the aggregate amount of any balances standing to the credit of, amounts on deposit in and any Permitted Investments held, in each case, in any Account.</w:t>
      </w:r>
    </w:p>
    <w:p>
      <w:pPr>
        <w:spacing w:after="0" w:line="18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w:t>
      </w:r>
      <w:r>
        <w:rPr>
          <w:rFonts w:ascii="Arial" w:cs="Arial" w:eastAsia="Arial" w:hAnsi="Arial"/>
          <w:sz w:val="22"/>
          <w:szCs w:val="22"/>
          <w:color w:val="auto"/>
        </w:rPr>
        <w:t>" means a Senior Finance Document or a Major Project Document (other than any Resort Management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Date</w:t>
      </w:r>
      <w:r>
        <w:rPr>
          <w:rFonts w:ascii="Arial" w:cs="Arial" w:eastAsia="Arial" w:hAnsi="Arial"/>
          <w:sz w:val="22"/>
          <w:szCs w:val="22"/>
          <w:color w:val="auto"/>
        </w:rPr>
        <w:t>" means, in relation to a Transferee, the later of:</w:t>
      </w:r>
    </w:p>
    <w:p>
      <w:pPr>
        <w:spacing w:after="0" w:line="226" w:lineRule="exact"/>
        <w:rPr>
          <w:sz w:val="20"/>
          <w:szCs w:val="20"/>
          <w:color w:val="auto"/>
        </w:rPr>
      </w:pPr>
    </w:p>
    <w:p>
      <w:pPr>
        <w:ind w:left="644" w:hanging="644"/>
        <w:spacing w:after="0"/>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proposed Transfer Date specified in the Novation Certificate; and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date on which the Intercreditor Agent executes the Novation Certificate.</w:t>
      </w:r>
    </w:p>
    <w:p>
      <w:pPr>
        <w:spacing w:after="0" w:line="214" w:lineRule="exact"/>
        <w:rPr>
          <w:sz w:val="20"/>
          <w:szCs w:val="20"/>
          <w:color w:val="auto"/>
        </w:rPr>
      </w:pPr>
    </w:p>
    <w:p>
      <w:pPr>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Transferee</w:t>
      </w:r>
      <w:r>
        <w:rPr>
          <w:rFonts w:ascii="Arial" w:cs="Arial" w:eastAsia="Arial" w:hAnsi="Arial"/>
          <w:sz w:val="21"/>
          <w:szCs w:val="21"/>
          <w:color w:val="auto"/>
        </w:rPr>
        <w:t>" means a Person to whom the rights and obligations of a Lender under the Senior Finance Documents to which that Lender is a party are transferred in accordance with Clause 21.6 (</w:t>
      </w:r>
      <w:r>
        <w:rPr>
          <w:rFonts w:ascii="Arial" w:cs="Arial" w:eastAsia="Arial" w:hAnsi="Arial"/>
          <w:sz w:val="21"/>
          <w:szCs w:val="21"/>
          <w:i w:val="1"/>
          <w:iCs w:val="1"/>
          <w:color w:val="auto"/>
        </w:rPr>
        <w:t>Transfers by Lenders</w:t>
      </w:r>
      <w:r>
        <w:rPr>
          <w:rFonts w:ascii="Arial" w:cs="Arial" w:eastAsia="Arial" w:hAnsi="Arial"/>
          <w:sz w:val="21"/>
          <w:szCs w:val="21"/>
          <w:color w:val="auto"/>
        </w:rPr>
        <w:t>).</w:t>
      </w:r>
    </w:p>
    <w:p>
      <w:pPr>
        <w:sectPr>
          <w:pgSz w:w="11900" w:h="16838" w:orient="portrait"/>
          <w:cols w:equalWidth="0" w:num="1">
            <w:col w:w="10764"/>
          </w:cols>
          <w:pgMar w:left="896" w:top="631" w:right="239" w:bottom="1440" w:gutter="0" w:footer="0" w:header="0"/>
        </w:sectPr>
      </w:pPr>
    </w:p>
    <w:bookmarkStart w:id="152" w:name="page153"/>
    <w:bookmarkEnd w:id="152"/>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UCC</w:t>
      </w:r>
      <w:r>
        <w:rPr>
          <w:rFonts w:ascii="Arial" w:cs="Arial" w:eastAsia="Arial" w:hAnsi="Arial"/>
          <w:sz w:val="19"/>
          <w:szCs w:val="19"/>
          <w:color w:val="auto"/>
        </w:rPr>
        <w:t>" means the Uniform Commercial Code of any State in the United States of America, as in effect from time to time.</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Unpaid Sum</w:t>
      </w:r>
      <w:r>
        <w:rPr>
          <w:rFonts w:ascii="Arial" w:cs="Arial" w:eastAsia="Arial" w:hAnsi="Arial"/>
          <w:sz w:val="21"/>
          <w:szCs w:val="21"/>
          <w:color w:val="auto"/>
        </w:rPr>
        <w:t>" means any sum due and payable by an Obligor but unpaid under the Senior Finance Documents.</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Upfront Premium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Upsize Advance</w:t>
      </w:r>
      <w:r>
        <w:rPr>
          <w:rFonts w:ascii="Arial" w:cs="Arial" w:eastAsia="Arial" w:hAnsi="Arial"/>
          <w:sz w:val="22"/>
          <w:szCs w:val="22"/>
          <w:color w:val="auto"/>
        </w:rPr>
        <w:t>" has the meaning given to it in Clause 3.1.3.</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Upsized Amount</w:t>
      </w:r>
      <w:r>
        <w:rPr>
          <w:rFonts w:ascii="Arial" w:cs="Arial" w:eastAsia="Arial" w:hAnsi="Arial"/>
          <w:sz w:val="21"/>
          <w:szCs w:val="21"/>
          <w:color w:val="auto"/>
        </w:rPr>
        <w:t>" has the meaning given to it in paragraph 1 of Part H of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w:t>
      </w:r>
      <w:r>
        <w:rPr>
          <w:rFonts w:ascii="Arial" w:cs="Arial" w:eastAsia="Arial" w:hAnsi="Arial"/>
          <w:sz w:val="22"/>
          <w:szCs w:val="22"/>
          <w:color w:val="auto"/>
        </w:rPr>
        <w:t>" or "</w:t>
      </w:r>
      <w:r>
        <w:rPr>
          <w:rFonts w:ascii="Arial" w:cs="Arial" w:eastAsia="Arial" w:hAnsi="Arial"/>
          <w:sz w:val="22"/>
          <w:szCs w:val="22"/>
          <w:b w:val="1"/>
          <w:bCs w:val="1"/>
          <w:color w:val="auto"/>
        </w:rPr>
        <w:t>US dollars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denotes the lawful currency of the United States of America.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Debt Service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Debt Service Reserve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USD Operating Account</w:t>
      </w:r>
      <w:r>
        <w:rPr>
          <w:rFonts w:ascii="Arial" w:cs="Arial" w:eastAsia="Arial" w:hAnsi="Arial"/>
          <w:sz w:val="22"/>
          <w:szCs w:val="22"/>
          <w:color w:val="auto"/>
        </w:rPr>
        <w:t>" means the account so designated in Schedule 6 (</w:t>
      </w:r>
      <w:r>
        <w:rPr>
          <w:rFonts w:ascii="Arial" w:cs="Arial" w:eastAsia="Arial" w:hAnsi="Arial"/>
          <w:sz w:val="22"/>
          <w:szCs w:val="22"/>
          <w:i w:val="1"/>
          <w:iCs w:val="1"/>
          <w:color w:val="auto"/>
        </w:rPr>
        <w:t>Accounts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Entitlement</w:t>
      </w:r>
      <w:r>
        <w:rPr>
          <w:rFonts w:ascii="Arial" w:cs="Arial" w:eastAsia="Arial" w:hAnsi="Arial"/>
          <w:sz w:val="22"/>
          <w:szCs w:val="22"/>
          <w:color w:val="auto"/>
        </w:rPr>
        <w:t>" means, in respect of a Decision:</w:t>
      </w:r>
    </w:p>
    <w:p>
      <w:pPr>
        <w:spacing w:after="0" w:line="226" w:lineRule="exact"/>
        <w:rPr>
          <w:sz w:val="20"/>
          <w:szCs w:val="20"/>
          <w:color w:val="auto"/>
        </w:rPr>
      </w:pPr>
    </w:p>
    <w:p>
      <w:pPr>
        <w:jc w:val="both"/>
        <w:ind w:left="644" w:hanging="644"/>
        <w:spacing w:after="0" w:line="253" w:lineRule="auto"/>
        <w:tabs>
          <w:tab w:leader="none" w:pos="6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 relation to a Lender, the sum of the US dollar equivalent amounts, as at the Decision Date for such Decision, of its participations in the outstanding Advances and the aggregate undrawn Available Commitments of such Lender under the Facilities;</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18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means,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w:t>
      </w:r>
      <w:r>
        <w:rPr>
          <w:rFonts w:ascii="Arial" w:cs="Arial" w:eastAsia="Arial" w:hAnsi="Arial"/>
          <w:sz w:val="22"/>
          <w:szCs w:val="22"/>
          <w:color w:val="auto"/>
        </w:rPr>
        <w:t>" means Wynn Macau, Limited.</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 Debt</w:t>
      </w:r>
      <w:r>
        <w:rPr>
          <w:rFonts w:ascii="Arial" w:cs="Arial" w:eastAsia="Arial" w:hAnsi="Arial"/>
          <w:sz w:val="22"/>
          <w:szCs w:val="22"/>
          <w:color w:val="auto"/>
        </w:rPr>
        <w:t>" means Financial Indebtedness of WML (or a Subsidiary of WML, other than an Obligor, any Excluded Subsidiary or any member of the Group).</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 Owned Subsidiary</w:t>
      </w:r>
      <w:r>
        <w:rPr>
          <w:rFonts w:ascii="Arial" w:cs="Arial" w:eastAsia="Arial" w:hAnsi="Arial"/>
          <w:sz w:val="22"/>
          <w:szCs w:val="22"/>
          <w:color w:val="auto"/>
        </w:rPr>
        <w:t xml:space="preserve">" means, as to any Person, any other Person in which all (or, in the case of a </w:t>
      </w:r>
      <w:r>
        <w:rPr>
          <w:rFonts w:ascii="Arial" w:cs="Arial" w:eastAsia="Arial" w:hAnsi="Arial"/>
          <w:sz w:val="22"/>
          <w:szCs w:val="22"/>
          <w:i w:val="1"/>
          <w:iCs w:val="1"/>
          <w:color w:val="auto"/>
        </w:rPr>
        <w:t>Sociedade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Anonima </w:t>
      </w:r>
      <w:r>
        <w:rPr>
          <w:rFonts w:ascii="Arial" w:cs="Arial" w:eastAsia="Arial" w:hAnsi="Arial"/>
          <w:sz w:val="22"/>
          <w:szCs w:val="22"/>
          <w:color w:val="auto"/>
        </w:rPr>
        <w:t>incorporated in Macau, not less than 99.8%) of the Capital Stock (other than directors' qualifying shares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by any Legal</w:t>
      </w:r>
    </w:p>
    <w:p>
      <w:pPr>
        <w:sectPr>
          <w:pgSz w:w="11900" w:h="16838" w:orient="portrait"/>
          <w:cols w:equalWidth="0" w:num="1">
            <w:col w:w="10764"/>
          </w:cols>
          <w:pgMar w:left="896" w:top="625" w:right="239" w:bottom="1440" w:gutter="0" w:footer="0" w:header="0"/>
        </w:sectPr>
      </w:pPr>
    </w:p>
    <w:bookmarkStart w:id="153" w:name="page154"/>
    <w:bookmarkEnd w:id="153"/>
    <w:p>
      <w:pPr>
        <w:ind w:left="660"/>
        <w:spacing w:after="0" w:line="263" w:lineRule="auto"/>
        <w:rPr>
          <w:sz w:val="20"/>
          <w:szCs w:val="20"/>
          <w:color w:val="auto"/>
        </w:rPr>
      </w:pPr>
      <w:r>
        <w:rPr>
          <w:rFonts w:ascii="Arial" w:cs="Arial" w:eastAsia="Arial" w:hAnsi="Arial"/>
          <w:sz w:val="22"/>
          <w:szCs w:val="22"/>
          <w:color w:val="auto"/>
        </w:rPr>
        <w:t>Requirement) of such other Person is beneficially owned by such first-mentioned Person directly and/or through other Wholly Owned Subsidiaries.</w:t>
      </w:r>
    </w:p>
    <w:p>
      <w:pPr>
        <w:spacing w:after="0" w:line="169"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w:t>
      </w:r>
      <w:r>
        <w:rPr>
          <w:rFonts w:ascii="Arial" w:cs="Arial" w:eastAsia="Arial" w:hAnsi="Arial"/>
          <w:sz w:val="22"/>
          <w:szCs w:val="22"/>
          <w:color w:val="auto"/>
        </w:rPr>
        <w:t>" means, at any date, an amount equal to Current Assets on such date minus Current Liabilities on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Asia 2</w:t>
      </w:r>
      <w:r>
        <w:rPr>
          <w:rFonts w:ascii="Arial" w:cs="Arial" w:eastAsia="Arial" w:hAnsi="Arial"/>
          <w:sz w:val="22"/>
          <w:szCs w:val="22"/>
          <w:color w:val="auto"/>
        </w:rPr>
        <w:t>" means WM Cayman Holdings Limited 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Event</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line="287" w:lineRule="auto"/>
        <w:tabs>
          <w:tab w:leader="none" w:pos="130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first day on which Wynn Resorts ceases to beneficially own, directly or indirectly, 51% of the outstanding Capital Stock of the Company (measured by both voting power and size of equity interests); or</w:t>
      </w:r>
    </w:p>
    <w:p>
      <w:pPr>
        <w:spacing w:after="0" w:line="151"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first day on which Wynn Resorts otherwise ceases to have, directly or indirectly, the ability or the right to direct or procure the direction of the management and policies of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HK</w:t>
      </w:r>
      <w:r>
        <w:rPr>
          <w:rFonts w:ascii="Arial" w:cs="Arial" w:eastAsia="Arial" w:hAnsi="Arial"/>
          <w:sz w:val="22"/>
          <w:szCs w:val="22"/>
          <w:color w:val="auto"/>
        </w:rPr>
        <w:t>" means Wynn Resorts (Macau), Limited.</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HK Share Charge</w:t>
      </w:r>
      <w:r>
        <w:rPr>
          <w:rFonts w:ascii="Arial" w:cs="Arial" w:eastAsia="Arial" w:hAnsi="Arial"/>
          <w:sz w:val="22"/>
          <w:szCs w:val="22"/>
          <w:color w:val="auto"/>
        </w:rPr>
        <w:t>" means the share charge so entitled dated on or about the date of this Agreement between Wynn Holdings and the Security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Holdings</w:t>
      </w:r>
      <w:r>
        <w:rPr>
          <w:rFonts w:ascii="Arial" w:cs="Arial" w:eastAsia="Arial" w:hAnsi="Arial"/>
          <w:sz w:val="22"/>
          <w:szCs w:val="22"/>
          <w:color w:val="auto"/>
        </w:rPr>
        <w:t>" means Wynn Resorts (Macau) Holdings, Ltd.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w:t>
      </w:r>
      <w:r>
        <w:rPr>
          <w:rFonts w:ascii="Arial" w:cs="Arial" w:eastAsia="Arial" w:hAnsi="Arial"/>
          <w:sz w:val="22"/>
          <w:szCs w:val="22"/>
          <w:color w:val="auto"/>
        </w:rPr>
        <w:t>" means Wynn Resorts International, Ltd.</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 Share Charge</w:t>
      </w:r>
      <w:r>
        <w:rPr>
          <w:rFonts w:ascii="Arial" w:cs="Arial" w:eastAsia="Arial" w:hAnsi="Arial"/>
          <w:sz w:val="22"/>
          <w:szCs w:val="22"/>
          <w:color w:val="auto"/>
        </w:rPr>
        <w:t>" means the share charge so entitled dated on or about the date of this Agreement between Wynn Asia 2 and the Security Agent.</w:t>
      </w:r>
    </w:p>
    <w:p>
      <w:pPr>
        <w:spacing w:after="0" w:line="162"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Macau</w:t>
      </w:r>
      <w:r>
        <w:rPr>
          <w:rFonts w:ascii="Arial" w:cs="Arial" w:eastAsia="Arial" w:hAnsi="Arial"/>
          <w:sz w:val="22"/>
          <w:szCs w:val="22"/>
          <w:color w:val="auto"/>
        </w:rPr>
        <w:t>" means the luxury hotel resort, casino, retail and entertainment complex located in peninsular Macau, owned and operated by the Company, and including "Encore at Wynn Macau".</w:t>
      </w:r>
    </w:p>
    <w:p>
      <w:pPr>
        <w:spacing w:after="0" w:line="162" w:lineRule="exact"/>
        <w:rPr>
          <w:sz w:val="20"/>
          <w:szCs w:val="20"/>
          <w:color w:val="auto"/>
        </w:rPr>
      </w:pPr>
    </w:p>
    <w:p>
      <w:pPr>
        <w:ind w:left="6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Wynn Non-Obligor Subordination Deed Party</w:t>
      </w:r>
      <w:r>
        <w:rPr>
          <w:rFonts w:ascii="Arial" w:cs="Arial" w:eastAsia="Arial" w:hAnsi="Arial"/>
          <w:sz w:val="19"/>
          <w:szCs w:val="19"/>
          <w:color w:val="auto"/>
        </w:rPr>
        <w:t>" means each of Worldwide Wynn, LLC, Wynn Design &amp; Development, LLC Wynn International Marketing, Ltd., WML Finance I Limited, the Corporate Services Provider and the Licensor.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Obligor</w:t>
      </w:r>
      <w:r>
        <w:rPr>
          <w:rFonts w:ascii="Arial" w:cs="Arial" w:eastAsia="Arial" w:hAnsi="Arial"/>
          <w:sz w:val="22"/>
          <w:szCs w:val="22"/>
          <w:color w:val="auto"/>
        </w:rPr>
        <w:t>" means Wynn Holdings, Wynn Asia 2, Wynn International and Wynn HK.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w:t>
      </w:r>
      <w:r>
        <w:rPr>
          <w:rFonts w:ascii="Arial" w:cs="Arial" w:eastAsia="Arial" w:hAnsi="Arial"/>
          <w:sz w:val="22"/>
          <w:szCs w:val="22"/>
          <w:color w:val="auto"/>
        </w:rPr>
        <w:t>" means Wynn Resorts, Limited.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 Group</w:t>
      </w:r>
      <w:r>
        <w:rPr>
          <w:rFonts w:ascii="Arial" w:cs="Arial" w:eastAsia="Arial" w:hAnsi="Arial"/>
          <w:sz w:val="22"/>
          <w:szCs w:val="22"/>
          <w:color w:val="auto"/>
        </w:rPr>
        <w:t>" means Wynn Resorts and each of its Subsidiaries for the time being.</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Principles of Construction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reference in this Agreement to:</w:t>
      </w:r>
    </w:p>
    <w:p>
      <w:pPr>
        <w:sectPr>
          <w:pgSz w:w="11900" w:h="16838" w:orient="portrait"/>
          <w:cols w:equalWidth="0" w:num="1">
            <w:col w:w="11420"/>
          </w:cols>
          <w:pgMar w:left="240" w:top="632" w:right="239" w:bottom="1440" w:gutter="0" w:footer="0" w:header="0"/>
        </w:sectPr>
      </w:pPr>
    </w:p>
    <w:bookmarkStart w:id="154" w:name="page155"/>
    <w:bookmarkEnd w:id="154"/>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continuing</w:t>
      </w:r>
      <w:r>
        <w:rPr>
          <w:rFonts w:ascii="Arial" w:cs="Arial" w:eastAsia="Arial" w:hAnsi="Arial"/>
          <w:sz w:val="22"/>
          <w:szCs w:val="22"/>
          <w:color w:val="auto"/>
        </w:rPr>
        <w:t>", in relation to a Default or an Event of Default, shall be construed as a reference to a Default or an Event of Default which has not been remedied or waived;</w:t>
      </w:r>
    </w:p>
    <w:p>
      <w:pPr>
        <w:spacing w:after="0" w:line="162"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22"/>
          <w:szCs w:val="22"/>
          <w:color w:val="auto"/>
        </w:rPr>
        <w:t>the "</w:t>
      </w:r>
      <w:r>
        <w:rPr>
          <w:rFonts w:ascii="Arial" w:cs="Arial" w:eastAsia="Arial" w:hAnsi="Arial"/>
          <w:sz w:val="22"/>
          <w:szCs w:val="22"/>
          <w:b w:val="1"/>
          <w:bCs w:val="1"/>
          <w:color w:val="auto"/>
        </w:rPr>
        <w:t>equivalent</w:t>
      </w:r>
      <w:r>
        <w:rPr>
          <w:rFonts w:ascii="Arial" w:cs="Arial" w:eastAsia="Arial" w:hAnsi="Arial"/>
          <w:sz w:val="22"/>
          <w:szCs w:val="22"/>
          <w:color w:val="auto"/>
        </w:rPr>
        <w:t>" of one currency (the "</w:t>
      </w:r>
      <w:r>
        <w:rPr>
          <w:rFonts w:ascii="Arial" w:cs="Arial" w:eastAsia="Arial" w:hAnsi="Arial"/>
          <w:sz w:val="22"/>
          <w:szCs w:val="22"/>
          <w:b w:val="1"/>
          <w:bCs w:val="1"/>
          <w:color w:val="auto"/>
        </w:rPr>
        <w:t>original currency</w:t>
      </w:r>
      <w:r>
        <w:rPr>
          <w:rFonts w:ascii="Arial" w:cs="Arial" w:eastAsia="Arial" w:hAnsi="Arial"/>
          <w:sz w:val="22"/>
          <w:szCs w:val="22"/>
          <w:color w:val="auto"/>
        </w:rPr>
        <w:t>") in another currency (the "</w:t>
      </w:r>
      <w:r>
        <w:rPr>
          <w:rFonts w:ascii="Arial" w:cs="Arial" w:eastAsia="Arial" w:hAnsi="Arial"/>
          <w:sz w:val="22"/>
          <w:szCs w:val="22"/>
          <w:b w:val="1"/>
          <w:bCs w:val="1"/>
          <w:color w:val="auto"/>
        </w:rPr>
        <w:t>conversion currency</w:t>
      </w:r>
      <w:r>
        <w:rPr>
          <w:rFonts w:ascii="Arial" w:cs="Arial" w:eastAsia="Arial" w:hAnsi="Arial"/>
          <w:sz w:val="22"/>
          <w:szCs w:val="22"/>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include</w:t>
      </w:r>
      <w:r>
        <w:rPr>
          <w:rFonts w:ascii="Arial" w:cs="Arial" w:eastAsia="Arial" w:hAnsi="Arial"/>
          <w:sz w:val="19"/>
          <w:szCs w:val="19"/>
          <w:color w:val="auto"/>
        </w:rPr>
        <w:t>", "</w:t>
      </w:r>
      <w:r>
        <w:rPr>
          <w:rFonts w:ascii="Arial" w:cs="Arial" w:eastAsia="Arial" w:hAnsi="Arial"/>
          <w:sz w:val="19"/>
          <w:szCs w:val="19"/>
          <w:b w:val="1"/>
          <w:bCs w:val="1"/>
          <w:color w:val="auto"/>
        </w:rPr>
        <w:t>includes</w:t>
      </w:r>
      <w:r>
        <w:rPr>
          <w:rFonts w:ascii="Arial" w:cs="Arial" w:eastAsia="Arial" w:hAnsi="Arial"/>
          <w:sz w:val="19"/>
          <w:szCs w:val="19"/>
          <w:color w:val="auto"/>
        </w:rPr>
        <w:t>" and "</w:t>
      </w:r>
      <w:r>
        <w:rPr>
          <w:rFonts w:ascii="Arial" w:cs="Arial" w:eastAsia="Arial" w:hAnsi="Arial"/>
          <w:sz w:val="19"/>
          <w:szCs w:val="19"/>
          <w:b w:val="1"/>
          <w:bCs w:val="1"/>
          <w:color w:val="auto"/>
        </w:rPr>
        <w:t>including</w:t>
      </w:r>
      <w:r>
        <w:rPr>
          <w:rFonts w:ascii="Arial" w:cs="Arial" w:eastAsia="Arial" w:hAnsi="Arial"/>
          <w:sz w:val="19"/>
          <w:szCs w:val="19"/>
          <w:color w:val="auto"/>
        </w:rPr>
        <w:t>" is without limitation;</w:t>
      </w:r>
    </w:p>
    <w:p>
      <w:pPr>
        <w:spacing w:after="0" w:line="254"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22"/>
          <w:szCs w:val="22"/>
          <w:color w:val="auto"/>
        </w:rPr>
        <w:t>a "</w:t>
      </w:r>
      <w:r>
        <w:rPr>
          <w:rFonts w:ascii="Arial" w:cs="Arial" w:eastAsia="Arial" w:hAnsi="Arial"/>
          <w:sz w:val="22"/>
          <w:szCs w:val="22"/>
          <w:b w:val="1"/>
          <w:bCs w:val="1"/>
          <w:color w:val="auto"/>
        </w:rPr>
        <w:t>month</w:t>
      </w:r>
      <w:r>
        <w:rPr>
          <w:rFonts w:ascii="Arial" w:cs="Arial" w:eastAsia="Arial" w:hAnsi="Arial"/>
          <w:sz w:val="22"/>
          <w:szCs w:val="22"/>
          <w:color w:val="auto"/>
        </w:rPr>
        <w:t>" is a reference to a period starting on one day in a calendar month and ending on the numerically corresponding day in the next succeeding calendar month save that:</w:t>
      </w:r>
    </w:p>
    <w:p>
      <w:pPr>
        <w:spacing w:after="0" w:line="168" w:lineRule="exact"/>
        <w:rPr>
          <w:sz w:val="20"/>
          <w:szCs w:val="20"/>
          <w:color w:val="auto"/>
        </w:rPr>
      </w:pPr>
    </w:p>
    <w:p>
      <w:pPr>
        <w:jc w:val="both"/>
        <w:ind w:left="1960" w:right="20" w:hanging="655"/>
        <w:spacing w:after="0" w:line="253" w:lineRule="auto"/>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there is no numerically corresponding day in that next succeeding calendar month, that period shall end on the last Business Day in that next succeeding calendar month,</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references to "</w:t>
      </w:r>
      <w:r>
        <w:rPr>
          <w:rFonts w:ascii="Arial" w:cs="Arial" w:eastAsia="Arial" w:hAnsi="Arial"/>
          <w:sz w:val="22"/>
          <w:szCs w:val="22"/>
          <w:b w:val="1"/>
          <w:bCs w:val="1"/>
          <w:color w:val="auto"/>
        </w:rPr>
        <w:t>months</w:t>
      </w:r>
      <w:r>
        <w:rPr>
          <w:rFonts w:ascii="Arial" w:cs="Arial" w:eastAsia="Arial" w:hAnsi="Arial"/>
          <w:sz w:val="22"/>
          <w:szCs w:val="22"/>
          <w:color w:val="auto"/>
        </w:rPr>
        <w:t>" shall be construed accordingly);</w:t>
      </w:r>
    </w:p>
    <w:p>
      <w:pPr>
        <w:spacing w:after="0" w:line="220"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repay</w:t>
      </w:r>
      <w:r>
        <w:rPr>
          <w:rFonts w:ascii="Arial" w:cs="Arial" w:eastAsia="Arial" w:hAnsi="Arial"/>
          <w:sz w:val="22"/>
          <w:szCs w:val="22"/>
          <w:color w:val="auto"/>
        </w:rPr>
        <w:t>" (or any derivative form thereof) shall, subject to any contrary indication, be construed to include "</w:t>
      </w:r>
      <w:r>
        <w:rPr>
          <w:rFonts w:ascii="Arial" w:cs="Arial" w:eastAsia="Arial" w:hAnsi="Arial"/>
          <w:sz w:val="22"/>
          <w:szCs w:val="22"/>
          <w:b w:val="1"/>
          <w:bCs w:val="1"/>
          <w:color w:val="auto"/>
        </w:rPr>
        <w:t>prepay</w:t>
      </w:r>
      <w:r>
        <w:rPr>
          <w:rFonts w:ascii="Arial" w:cs="Arial" w:eastAsia="Arial" w:hAnsi="Arial"/>
          <w:sz w:val="22"/>
          <w:szCs w:val="22"/>
          <w:color w:val="auto"/>
        </w:rPr>
        <w:t>" (or, as the case may be, the corresponding derivative form thereof); and</w:t>
      </w:r>
    </w:p>
    <w:p>
      <w:pPr>
        <w:spacing w:after="0" w:line="162"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22"/>
          <w:szCs w:val="22"/>
          <w:color w:val="auto"/>
        </w:rPr>
        <w:t>a document being in "</w:t>
      </w:r>
      <w:r>
        <w:rPr>
          <w:rFonts w:ascii="Arial" w:cs="Arial" w:eastAsia="Arial" w:hAnsi="Arial"/>
          <w:sz w:val="22"/>
          <w:szCs w:val="22"/>
          <w:b w:val="1"/>
          <w:bCs w:val="1"/>
          <w:color w:val="auto"/>
        </w:rPr>
        <w:t>substantially the Agreed Form</w:t>
      </w:r>
      <w:r>
        <w:rPr>
          <w:rFonts w:ascii="Arial" w:cs="Arial" w:eastAsia="Arial" w:hAnsi="Arial"/>
          <w:sz w:val="22"/>
          <w:szCs w:val="22"/>
          <w:color w:val="auto"/>
        </w:rPr>
        <w:t>" or in substantially a specified form shall be construed as meaning such document being in the same form as the Agreed Form or the specified form save for the insertion of information left in blank or the correction of typographical errors.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Rules of Interpretation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unless the context otherwise requires: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9"/>
          <w:szCs w:val="19"/>
          <w:color w:val="auto"/>
        </w:rPr>
        <w:t>words importing the singular include the plural and vice versa;</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9"/>
          <w:szCs w:val="19"/>
          <w:color w:val="auto"/>
        </w:rPr>
        <w:t>words importing a gender include every gender;</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22"/>
          <w:szCs w:val="22"/>
          <w:color w:val="auto"/>
        </w:rPr>
        <w:t>references to any document (including this Agreement) are references to that document as amended, consolidated, supplemented, confirmed, novated or replaced from time to time;</w:t>
      </w:r>
    </w:p>
    <w:p>
      <w:pPr>
        <w:sectPr>
          <w:pgSz w:w="11900" w:h="16838" w:orient="portrait"/>
          <w:cols w:equalWidth="0" w:num="1">
            <w:col w:w="11420"/>
          </w:cols>
          <w:pgMar w:left="240" w:top="625" w:right="239" w:bottom="1440" w:gutter="0" w:footer="0" w:header="0"/>
        </w:sectPr>
      </w:pPr>
    </w:p>
    <w:bookmarkStart w:id="155" w:name="page156"/>
    <w:bookmarkEnd w:id="155"/>
    <w:p>
      <w:pPr>
        <w:ind w:left="660"/>
        <w:spacing w:after="0"/>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9"/>
          <w:szCs w:val="19"/>
          <w:color w:val="auto"/>
        </w:rPr>
        <w:t>references to this Agreement are references to this Agreement and the Schedules;</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9"/>
          <w:szCs w:val="19"/>
          <w:color w:val="auto"/>
        </w:rPr>
        <w:t>references to clauses and Schedules are references to clauses of, and Schedules to, this Agreement;</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9"/>
          <w:szCs w:val="19"/>
          <w:color w:val="auto"/>
        </w:rPr>
        <w:t>headings are for convenience only and shall be ignored in construing this Agreement;</w:t>
      </w:r>
    </w:p>
    <w:p>
      <w:pPr>
        <w:spacing w:after="0" w:line="254"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22"/>
          <w:szCs w:val="22"/>
          <w:color w:val="auto"/>
        </w:rPr>
        <w:t>references to any party to this Agreement include references to its respective successors, permitted transferees and permitted assigns;</w:t>
      </w:r>
    </w:p>
    <w:p>
      <w:pPr>
        <w:spacing w:after="0" w:line="175"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9"/>
          <w:szCs w:val="19"/>
          <w:color w:val="auto"/>
        </w:rPr>
        <w:t>references to law shall be construed as references to any constitutional provision, treaty, decree, convention, statute, act, regulation, rule, ordinance, subordinate legislation, rule of common law and of equity and judgement;</w:t>
      </w:r>
    </w:p>
    <w:p>
      <w:pPr>
        <w:spacing w:after="0" w:line="10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22"/>
          <w:szCs w:val="22"/>
          <w:color w:val="auto"/>
        </w:rPr>
        <w:t>references to any law are references to that law as amended, consolidated, supplemented or replaced from time to time;</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22"/>
          <w:szCs w:val="22"/>
          <w:color w:val="auto"/>
        </w:rPr>
        <w:t>references to any judgement include references to any order, injunction, decree, determination or award of any court or tribunal;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9"/>
          <w:szCs w:val="19"/>
          <w:color w:val="auto"/>
        </w:rPr>
        <w:t>a time of day is a reference to Hong Kong time unless otherwise stated.</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Following the Fourth Amendment Effective Date, any reference to the Hotel Facility Agent or a Hotel Facility Lender in any Senior Finance Document, shall be deemed to be a reference to the Term Facility Agent or a Term Facility Lender, as the case may be.</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Following the Fifth Amendment Effective Date, unless the context otherwise requires, the terms "</w:t>
      </w:r>
      <w:r>
        <w:rPr>
          <w:rFonts w:ascii="Arial" w:cs="Arial" w:eastAsia="Arial" w:hAnsi="Arial"/>
          <w:sz w:val="22"/>
          <w:szCs w:val="22"/>
          <w:b w:val="1"/>
          <w:bCs w:val="1"/>
          <w:color w:val="auto"/>
        </w:rPr>
        <w:t>Wong Option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w:t>
      </w:r>
      <w:r>
        <w:rPr>
          <w:rFonts w:ascii="Arial" w:cs="Arial" w:eastAsia="Arial" w:hAnsi="Arial"/>
          <w:sz w:val="22"/>
          <w:szCs w:val="22"/>
          <w:b w:val="1"/>
          <w:bCs w:val="1"/>
          <w:color w:val="auto"/>
        </w:rPr>
        <w:t>Shareholders Agreement</w:t>
      </w:r>
      <w:r>
        <w:rPr>
          <w:rFonts w:ascii="Arial" w:cs="Arial" w:eastAsia="Arial" w:hAnsi="Arial"/>
          <w:sz w:val="22"/>
          <w:szCs w:val="22"/>
          <w:color w:val="auto"/>
        </w:rPr>
        <w:t>" shall have the meaning given to each such term in clause 1.5 (</w:t>
      </w:r>
      <w:r>
        <w:rPr>
          <w:rFonts w:ascii="Arial" w:cs="Arial" w:eastAsia="Arial" w:hAnsi="Arial"/>
          <w:sz w:val="22"/>
          <w:szCs w:val="22"/>
          <w:i w:val="1"/>
          <w:iCs w:val="1"/>
          <w:color w:val="auto"/>
        </w:rPr>
        <w:t>Other</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Definitions</w:t>
      </w:r>
      <w:r>
        <w:rPr>
          <w:rFonts w:ascii="Arial" w:cs="Arial" w:eastAsia="Arial" w:hAnsi="Arial"/>
          <w:sz w:val="22"/>
          <w:szCs w:val="22"/>
          <w:color w:val="auto"/>
        </w:rPr>
        <w:t>) of the Deed of Appointment and Priority.</w:t>
      </w:r>
    </w:p>
    <w:p>
      <w:pPr>
        <w:spacing w:after="0" w:line="182"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In this Agreement, on and following the date on which (a) a Permitted Cotai Reorganisation and (b) the first to occur of (i) a voluntary liquidation, winding up or dissolution (or similar action) of, or in respect of, Palo and (ii) the date on which all rights, title and interests in, or to, the assets of Palo have been transferred, novated or assigned (as the case may be) to the Company and the Company has assumed all of the rights and obligations of Palo under all contracts to which Palo is party, have each occurred, Palo's obligations under this Agreement shall be deemed to be (and shall be construed as) obligations of the Company.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Conflict with a Senior Finance Document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any conflict between:</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22"/>
          <w:szCs w:val="22"/>
          <w:color w:val="auto"/>
        </w:rPr>
        <w:t>the terms of this Agreement and the terms of any other Senior Finance Document (save for the Facility Agreements and the Deed of Appointment and Priority), the terms of this Agreement shall prevail;</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22"/>
          <w:szCs w:val="22"/>
          <w:color w:val="auto"/>
        </w:rPr>
        <w:t>the terms of this Agreement and the terms of any Facility Agreement, the terms of that Facility Agreement shall prevail (save in the case of Clause 33</w:t>
      </w:r>
    </w:p>
    <w:p>
      <w:pPr>
        <w:sectPr>
          <w:pgSz w:w="11900" w:h="16838" w:orient="portrait"/>
          <w:cols w:equalWidth="0" w:num="1">
            <w:col w:w="11420"/>
          </w:cols>
          <w:pgMar w:left="240" w:top="631" w:right="239" w:bottom="1440" w:gutter="0" w:footer="0" w:header="0"/>
        </w:sectPr>
      </w:pPr>
    </w:p>
    <w:bookmarkStart w:id="156" w:name="page157"/>
    <w:bookmarkEnd w:id="15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which shall prevail over the terms of the Facility Agreement);</w:t>
      </w:r>
    </w:p>
    <w:p>
      <w:pPr>
        <w:spacing w:after="0" w:line="220"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22"/>
          <w:szCs w:val="22"/>
          <w:color w:val="auto"/>
        </w:rPr>
        <w:t>the terms of this Agreement and the terms of the Deed of Appointment and Priority, the terms of the Deed of Appointment and Priority shall prevail; or</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22"/>
          <w:szCs w:val="22"/>
          <w:color w:val="auto"/>
        </w:rPr>
        <w:t>the terms of the Deed of Appointment and Priority and the terms of any Facility Agreement, the terms of the Deed of Appointment and Priority shall prevail.</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Third party rights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9"/>
          <w:szCs w:val="19"/>
          <w:color w:val="auto"/>
        </w:rPr>
        <w:t>The Contracts (Rights of Third Parties) Act 1999 applies to:</w:t>
      </w:r>
    </w:p>
    <w:p>
      <w:pPr>
        <w:spacing w:after="0" w:line="254" w:lineRule="exact"/>
        <w:rPr>
          <w:sz w:val="20"/>
          <w:szCs w:val="20"/>
          <w:color w:val="auto"/>
        </w:rPr>
      </w:pPr>
    </w:p>
    <w:p>
      <w:pPr>
        <w:ind w:left="196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sub-clause 3.2.5 of Clause 3.2 (</w:t>
      </w:r>
      <w:r>
        <w:rPr>
          <w:rFonts w:ascii="Arial" w:cs="Arial" w:eastAsia="Arial" w:hAnsi="Arial"/>
          <w:sz w:val="22"/>
          <w:szCs w:val="22"/>
          <w:i w:val="1"/>
          <w:iCs w:val="1"/>
          <w:color w:val="auto"/>
        </w:rPr>
        <w:t>Completion of an Advance Request</w:t>
      </w:r>
      <w:r>
        <w:rPr>
          <w:rFonts w:ascii="Arial" w:cs="Arial" w:eastAsia="Arial" w:hAnsi="Arial"/>
          <w:sz w:val="22"/>
          <w:szCs w:val="22"/>
          <w:color w:val="auto"/>
        </w:rPr>
        <w:t>) but only for the benefit of the relevant officer of the Company;</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Clause 23.10 (</w:t>
      </w:r>
      <w:r>
        <w:rPr>
          <w:rFonts w:ascii="Arial" w:cs="Arial" w:eastAsia="Arial" w:hAnsi="Arial"/>
          <w:sz w:val="22"/>
          <w:szCs w:val="22"/>
          <w:i w:val="1"/>
          <w:iCs w:val="1"/>
          <w:color w:val="auto"/>
        </w:rPr>
        <w:t>No Actions</w:t>
      </w:r>
      <w:r>
        <w:rPr>
          <w:rFonts w:ascii="Arial" w:cs="Arial" w:eastAsia="Arial" w:hAnsi="Arial"/>
          <w:sz w:val="22"/>
          <w:szCs w:val="22"/>
          <w:color w:val="auto"/>
        </w:rPr>
        <w:t>) but only for the benefit of any director, officer or employee of any of the Agents or any of the GCLAs;</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paragraph 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but only for the benefit of the relevant Responsible Officers of the Company;</w:t>
      </w:r>
    </w:p>
    <w:p>
      <w:pPr>
        <w:spacing w:after="0" w:line="174" w:lineRule="exact"/>
        <w:rPr>
          <w:rFonts w:ascii="Arial" w:cs="Arial" w:eastAsia="Arial" w:hAnsi="Arial"/>
          <w:sz w:val="22"/>
          <w:szCs w:val="22"/>
          <w:color w:val="auto"/>
        </w:rPr>
      </w:pPr>
    </w:p>
    <w:p>
      <w:pPr>
        <w:jc w:val="both"/>
        <w:ind w:left="1960" w:hanging="655"/>
        <w:spacing w:after="0" w:line="263" w:lineRule="auto"/>
        <w:tabs>
          <w:tab w:leader="none" w:pos="196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Clause 18.3 (</w:t>
      </w:r>
      <w:r>
        <w:rPr>
          <w:rFonts w:ascii="Arial" w:cs="Arial" w:eastAsia="Arial" w:hAnsi="Arial"/>
          <w:sz w:val="21"/>
          <w:szCs w:val="21"/>
          <w:i w:val="1"/>
          <w:iCs w:val="1"/>
          <w:color w:val="auto"/>
        </w:rPr>
        <w:t>Permitted Cotai Reorganisation; Release of Palo Security</w:t>
      </w:r>
      <w:r>
        <w:rPr>
          <w:rFonts w:ascii="Arial" w:cs="Arial" w:eastAsia="Arial" w:hAnsi="Arial"/>
          <w:sz w:val="21"/>
          <w:szCs w:val="21"/>
          <w:color w:val="auto"/>
        </w:rPr>
        <w:t>), paragraph 15.3 (</w:t>
      </w:r>
      <w:r>
        <w:rPr>
          <w:rFonts w:ascii="Arial" w:cs="Arial" w:eastAsia="Arial" w:hAnsi="Arial"/>
          <w:sz w:val="21"/>
          <w:szCs w:val="21"/>
          <w:i w:val="1"/>
          <w:iCs w:val="1"/>
          <w:color w:val="auto"/>
        </w:rPr>
        <w:t>Additional</w:t>
      </w:r>
      <w:r>
        <w:rPr>
          <w:rFonts w:ascii="Arial" w:cs="Arial" w:eastAsia="Arial" w:hAnsi="Arial"/>
          <w:sz w:val="21"/>
          <w:szCs w:val="21"/>
          <w:color w:val="auto"/>
        </w:rPr>
        <w:t xml:space="preserve"> </w:t>
      </w:r>
      <w:r>
        <w:rPr>
          <w:rFonts w:ascii="Arial" w:cs="Arial" w:eastAsia="Arial" w:hAnsi="Arial"/>
          <w:sz w:val="21"/>
          <w:szCs w:val="21"/>
          <w:i w:val="1"/>
          <w:iCs w:val="1"/>
          <w:color w:val="auto"/>
        </w:rPr>
        <w:t>Collateral, Discharge of Liens, etc.</w:t>
      </w:r>
      <w:r>
        <w:rPr>
          <w:rFonts w:ascii="Arial" w:cs="Arial" w:eastAsia="Arial" w:hAnsi="Arial"/>
          <w:sz w:val="21"/>
          <w:szCs w:val="21"/>
          <w:color w:val="auto"/>
        </w:rPr>
        <w:t>) of Part A of Schedule 5 (</w:t>
      </w:r>
      <w:r>
        <w:rPr>
          <w:rFonts w:ascii="Arial" w:cs="Arial" w:eastAsia="Arial" w:hAnsi="Arial"/>
          <w:sz w:val="21"/>
          <w:szCs w:val="21"/>
          <w:i w:val="1"/>
          <w:iCs w:val="1"/>
          <w:color w:val="auto"/>
        </w:rPr>
        <w:t>Covenants</w:t>
      </w:r>
      <w:r>
        <w:rPr>
          <w:rFonts w:ascii="Arial" w:cs="Arial" w:eastAsia="Arial" w:hAnsi="Arial"/>
          <w:sz w:val="21"/>
          <w:szCs w:val="21"/>
          <w:color w:val="auto"/>
        </w:rPr>
        <w:t>), paragraph 6 (</w:t>
      </w:r>
      <w:r>
        <w:rPr>
          <w:rFonts w:ascii="Arial" w:cs="Arial" w:eastAsia="Arial" w:hAnsi="Arial"/>
          <w:sz w:val="21"/>
          <w:szCs w:val="21"/>
          <w:i w:val="1"/>
          <w:iCs w:val="1"/>
          <w:color w:val="auto"/>
        </w:rPr>
        <w:t>Limitation on Restricted Payments</w:t>
      </w:r>
      <w:r>
        <w:rPr>
          <w:rFonts w:ascii="Arial" w:cs="Arial" w:eastAsia="Arial" w:hAnsi="Arial"/>
          <w:sz w:val="21"/>
          <w:szCs w:val="21"/>
          <w:color w:val="auto"/>
        </w:rPr>
        <w:t>)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paragraph 15.2(a) (</w:t>
      </w:r>
      <w:r>
        <w:rPr>
          <w:rFonts w:ascii="Arial" w:cs="Arial" w:eastAsia="Arial" w:hAnsi="Arial"/>
          <w:sz w:val="21"/>
          <w:szCs w:val="21"/>
          <w:i w:val="1"/>
          <w:iCs w:val="1"/>
          <w:color w:val="auto"/>
        </w:rPr>
        <w:t>Other Contracts</w:t>
      </w:r>
      <w:r>
        <w:rPr>
          <w:rFonts w:ascii="Arial" w:cs="Arial" w:eastAsia="Arial" w:hAnsi="Arial"/>
          <w:sz w:val="21"/>
          <w:szCs w:val="21"/>
          <w:color w:val="auto"/>
        </w:rPr>
        <w:t>) of Part B of</w:t>
      </w:r>
      <w:r>
        <w:rPr>
          <w:rFonts w:ascii="Arial" w:cs="Arial" w:eastAsia="Arial" w:hAnsi="Arial"/>
          <w:sz w:val="21"/>
          <w:szCs w:val="21"/>
          <w:i w:val="1"/>
          <w:iCs w:val="1"/>
          <w:color w:val="auto"/>
        </w:rPr>
        <w:t xml:space="preserve"> </w:t>
      </w:r>
      <w:r>
        <w:rPr>
          <w:rFonts w:ascii="Arial" w:cs="Arial" w:eastAsia="Arial" w:hAnsi="Arial"/>
          <w:sz w:val="21"/>
          <w:szCs w:val="21"/>
          <w:color w:val="auto"/>
        </w:rPr>
        <w:t>Schedule 5 (</w:t>
      </w:r>
      <w:r>
        <w:rPr>
          <w:rFonts w:ascii="Arial" w:cs="Arial" w:eastAsia="Arial" w:hAnsi="Arial"/>
          <w:sz w:val="21"/>
          <w:szCs w:val="21"/>
          <w:i w:val="1"/>
          <w:iCs w:val="1"/>
          <w:color w:val="auto"/>
        </w:rPr>
        <w:t>Covenants</w:t>
      </w:r>
      <w:r>
        <w:rPr>
          <w:rFonts w:ascii="Arial" w:cs="Arial" w:eastAsia="Arial" w:hAnsi="Arial"/>
          <w:sz w:val="21"/>
          <w:szCs w:val="21"/>
          <w:color w:val="auto"/>
        </w:rPr>
        <w:t>) and paragraphs 1 and 3.7 of Schedule 6 (</w:t>
      </w:r>
      <w:r>
        <w:rPr>
          <w:rFonts w:ascii="Arial" w:cs="Arial" w:eastAsia="Arial" w:hAnsi="Arial"/>
          <w:sz w:val="21"/>
          <w:szCs w:val="21"/>
          <w:i w:val="1"/>
          <w:iCs w:val="1"/>
          <w:color w:val="auto"/>
        </w:rPr>
        <w:t>Accounts</w:t>
      </w:r>
      <w:r>
        <w:rPr>
          <w:rFonts w:ascii="Arial" w:cs="Arial" w:eastAsia="Arial" w:hAnsi="Arial"/>
          <w:sz w:val="21"/>
          <w:szCs w:val="21"/>
          <w:color w:val="auto"/>
        </w:rPr>
        <w:t>) but, in each case, only for the benefit of the Obligors and the Wynn Non-Obligor Subordination Deed Parties;</w:t>
      </w:r>
    </w:p>
    <w:p>
      <w:pPr>
        <w:spacing w:after="0" w:line="175"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Clause 23.9 (</w:t>
      </w:r>
      <w:r>
        <w:rPr>
          <w:rFonts w:ascii="Arial" w:cs="Arial" w:eastAsia="Arial" w:hAnsi="Arial"/>
          <w:sz w:val="22"/>
          <w:szCs w:val="22"/>
          <w:i w:val="1"/>
          <w:iCs w:val="1"/>
          <w:color w:val="auto"/>
        </w:rPr>
        <w:t>Exclusion of Liabilities</w:t>
      </w:r>
      <w:r>
        <w:rPr>
          <w:rFonts w:ascii="Arial" w:cs="Arial" w:eastAsia="Arial" w:hAnsi="Arial"/>
          <w:sz w:val="22"/>
          <w:szCs w:val="22"/>
          <w:color w:val="auto"/>
        </w:rPr>
        <w:t>) but only for the benefit of any officer, employee or agent of an Agent or GCLA;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Clause 28 (</w:t>
      </w:r>
      <w:r>
        <w:rPr>
          <w:rFonts w:ascii="Arial" w:cs="Arial" w:eastAsia="Arial" w:hAnsi="Arial"/>
          <w:sz w:val="22"/>
          <w:szCs w:val="22"/>
          <w:i w:val="1"/>
          <w:iCs w:val="1"/>
          <w:color w:val="auto"/>
        </w:rPr>
        <w:t>Non-Recourse Liability</w:t>
      </w:r>
      <w:r>
        <w:rPr>
          <w:rFonts w:ascii="Arial" w:cs="Arial" w:eastAsia="Arial" w:hAnsi="Arial"/>
          <w:sz w:val="22"/>
          <w:szCs w:val="22"/>
          <w:color w:val="auto"/>
        </w:rPr>
        <w:t>) but only for the benefit of the Operatives,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subject always to the terms of Clause 37 (</w:t>
      </w:r>
      <w:r>
        <w:rPr>
          <w:rFonts w:ascii="Arial" w:cs="Arial" w:eastAsia="Arial" w:hAnsi="Arial"/>
          <w:sz w:val="22"/>
          <w:szCs w:val="22"/>
          <w:i w:val="1"/>
          <w:iCs w:val="1"/>
          <w:color w:val="auto"/>
        </w:rPr>
        <w:t>Governing Law</w:t>
      </w:r>
      <w:r>
        <w:rPr>
          <w:rFonts w:ascii="Arial" w:cs="Arial" w:eastAsia="Arial" w:hAnsi="Arial"/>
          <w:sz w:val="22"/>
          <w:szCs w:val="22"/>
          <w:color w:val="auto"/>
        </w:rPr>
        <w:t>) and Clause 38 (</w:t>
      </w:r>
      <w:r>
        <w:rPr>
          <w:rFonts w:ascii="Arial" w:cs="Arial" w:eastAsia="Arial" w:hAnsi="Arial"/>
          <w:sz w:val="22"/>
          <w:szCs w:val="22"/>
          <w:i w:val="1"/>
          <w:iCs w:val="1"/>
          <w:color w:val="auto"/>
        </w:rPr>
        <w:t>Jurisdiction</w:t>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9"/>
          <w:szCs w:val="19"/>
          <w:color w:val="auto"/>
        </w:rPr>
        <w:t>Except as provided in sub-clause 1.5.1 above, a Person who is not a party to this Agreement has no right under the</w:t>
      </w:r>
    </w:p>
    <w:p>
      <w:pPr>
        <w:spacing w:after="0" w:line="56"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Contracts (Rights of Third Parties) Act 1999 to enforce or to enjoy the benefit of any term of this Agreement.</w:t>
      </w:r>
    </w:p>
    <w:p>
      <w:pPr>
        <w:spacing w:after="0" w:line="202"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22"/>
          <w:szCs w:val="22"/>
          <w:color w:val="auto"/>
        </w:rPr>
        <w:t>Notwithstanding any term of any Senior Finance Document, the consent of any Person who is not a party to this Agreement is not required to rescind or vary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[Not used]</w:t>
      </w:r>
    </w:p>
    <w:p>
      <w:pPr>
        <w:sectPr>
          <w:pgSz w:w="11900" w:h="16838" w:orient="portrait"/>
          <w:cols w:equalWidth="0" w:num="1">
            <w:col w:w="11420"/>
          </w:cols>
          <w:pgMar w:left="240" w:top="631" w:right="239" w:bottom="1440" w:gutter="0" w:footer="0" w:header="0"/>
        </w:sectPr>
      </w:pPr>
    </w:p>
    <w:bookmarkStart w:id="157" w:name="page158"/>
    <w:bookmarkEnd w:id="157"/>
    <w:p>
      <w:pPr>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b w:val="1"/>
          <w:bCs w:val="1"/>
          <w:color w:val="auto"/>
        </w:rPr>
        <w:t>Application of Agreement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parties acknowledge that this Agreement contains references to certain obligations and contracts which have been performed and references to certain matters and circumstances that have occurred, in each case, prior to the Fifth Amendment Effective Date. The existence of such references shall not be construed so as to imply (in respect of such obligations, contracts, matters and circumstances) additional or continuing obligations beyond the express terms of this Agreement.</w:t>
      </w:r>
    </w:p>
    <w:p>
      <w:pPr>
        <w:spacing w:after="0" w:line="186"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22"/>
          <w:szCs w:val="22"/>
          <w:color w:val="auto"/>
        </w:rPr>
      </w:pPr>
      <w:r>
        <w:rPr>
          <w:rFonts w:ascii="Arial" w:cs="Arial" w:eastAsia="Arial" w:hAnsi="Arial"/>
          <w:sz w:val="22"/>
          <w:szCs w:val="22"/>
          <w:b w:val="1"/>
          <w:bCs w:val="1"/>
          <w:color w:val="auto"/>
        </w:rPr>
        <w:t>CONDITIONS PRECEDENT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[Not used]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Conditions Precedent to each Advance</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obligation of each Lender to participate in each Advance under a Term Loan Facility and a Revolving Credit Facility is subject to the Company having satisfied the conditions set out in Part B2 of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in respect of each Facility in form and substance acceptable to the Intercreditor Agent.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Independent rights and obligations of Lenders</w:t>
      </w:r>
    </w:p>
    <w:p>
      <w:pPr>
        <w:spacing w:after="0" w:line="226"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21"/>
          <w:szCs w:val="21"/>
          <w:color w:val="auto"/>
        </w:rPr>
        <w:t>The obligations of each Senior Secured Creditor under the Senior Finance Documents are several. Failure by a Senior Secured Creditor to perform its obligations under the Senior Finance Documents does not affect the obligations of any other party under the Senior Finance Documents. No Senior Secured Creditor is responsible for the obligations of any other Senior Secured Creditor under the Senior Finance Documents.</w:t>
      </w:r>
    </w:p>
    <w:p>
      <w:pPr>
        <w:spacing w:after="0" w:line="17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9"/>
          <w:szCs w:val="19"/>
          <w:color w:val="auto"/>
        </w:rPr>
        <w:t>The rights of each Senior Secured Creditor under or in connection with the Senior Finance Documents are separate and independent rights and any debt arising under the Senior Finance Documents to a Senior Secured Creditor from an Obligor shall be a separate and independent debt. Each participation by a Lender in an Advance shall constitute a separate and independent debt arising under the Senior Finance Documents to such Lender from the Company of an amount equal to such participation, and references to repayment of an Advance by the Company or to the payment by the Company of interest or any fee or other amount in respect of or in connection with an Advance or determined by reference to the amount of an Advance or a Facility shall be construed accordingly.</w:t>
      </w:r>
    </w:p>
    <w:p>
      <w:pPr>
        <w:spacing w:after="0" w:line="151"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21"/>
          <w:szCs w:val="21"/>
          <w:color w:val="auto"/>
        </w:rPr>
        <w:t>A Senior Secured Creditor may, except as otherwise stated in the Senior Finance Documents, separately enforce its rights under the Senior Finance Documents. In relation to any amount due and payable by any Obligor to any Senior Secured Creditor under any Senior Finance Document (whether on account of such Senior Secured Creditor's participation in any Advance that has become due and payable or otherwise), nothing in any Senior Finance Document shall (or shall be construed so as to) prevent or restrict such Senior Secured Creditor (whether alone or with any other Senior Secured Creditor) from (without limitation) seeking any judicial remedy or commencing or taking any legal proceeding or</w:t>
      </w:r>
    </w:p>
    <w:p>
      <w:pPr>
        <w:sectPr>
          <w:pgSz w:w="11900" w:h="16838" w:orient="portrait"/>
          <w:cols w:equalWidth="0" w:num="1">
            <w:col w:w="11420"/>
          </w:cols>
          <w:pgMar w:left="240" w:top="625" w:right="239" w:bottom="1440" w:gutter="0" w:footer="0" w:header="0"/>
        </w:sectPr>
      </w:pPr>
    </w:p>
    <w:bookmarkStart w:id="158" w:name="page159"/>
    <w:bookmarkEnd w:id="158"/>
    <w:p>
      <w:pPr>
        <w:ind w:left="1300"/>
        <w:spacing w:after="0" w:line="263" w:lineRule="auto"/>
        <w:rPr>
          <w:sz w:val="20"/>
          <w:szCs w:val="20"/>
          <w:color w:val="auto"/>
        </w:rPr>
      </w:pPr>
      <w:r>
        <w:rPr>
          <w:rFonts w:ascii="Arial" w:cs="Arial" w:eastAsia="Arial" w:hAnsi="Arial"/>
          <w:sz w:val="22"/>
          <w:szCs w:val="22"/>
          <w:color w:val="auto"/>
        </w:rPr>
        <w:t>other procedure or step under the laws of any jurisdiction (including any application for a winding-up, bankruptcy or moratorium of or for any Obligor).</w:t>
      </w:r>
    </w:p>
    <w:p>
      <w:pPr>
        <w:spacing w:after="0" w:line="169"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DRAWDOWN OF ADVANCES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Drawdown conditions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Subject to the terms of this Agreement and the Facility Agreements, the Company may request, and the relevant Lending Group shall make, Advances under a Facility if:</w:t>
      </w:r>
    </w:p>
    <w:p>
      <w:pPr>
        <w:spacing w:after="0" w:line="175"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22"/>
          <w:szCs w:val="22"/>
          <w:color w:val="auto"/>
        </w:rPr>
        <w:t>not later than 5:00 p.m. on the tenth Business Day before the proposed Advance Date (in the case of an Advance under the Term Loan Facilities and with any necessary amendments thereto made and received by the Intercreditor Agent and the relevant Facility Agent not later than 3:00 p.m. on the sixth Business Day before the proposed Advance Date) or the fourth day before the proposed Advance Date (in the case of an Advance under a Revolving Credit Facility), the Intercreditor Agent and the relevant Facility Agent have received a completed Advance Request;</w:t>
      </w:r>
    </w:p>
    <w:p>
      <w:pPr>
        <w:spacing w:after="0" w:line="19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22"/>
          <w:szCs w:val="22"/>
          <w:color w:val="auto"/>
        </w:rPr>
        <w:t>in the case of the Term Loan Facilities, no other Advance Request has been served by the Company in respect of any Term Loan Facility in the same month; and</w:t>
      </w:r>
    </w:p>
    <w:p>
      <w:pPr>
        <w:spacing w:after="0" w:line="175"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9"/>
          <w:szCs w:val="19"/>
          <w:color w:val="auto"/>
        </w:rPr>
        <w:t>in the case of the Revolving Credit Facility and the Term Loan Facilities, if any Advance to be requested under the Advance Request, when drawn on the proposed Advance Date, would result in the aggregate US dollar equivalent amount of all Advances outstanding under the Facilities to exceed USD2,500,000,000 (such Advance being an "</w:t>
      </w:r>
      <w:r>
        <w:rPr>
          <w:rFonts w:ascii="Arial" w:cs="Arial" w:eastAsia="Arial" w:hAnsi="Arial"/>
          <w:sz w:val="19"/>
          <w:szCs w:val="19"/>
          <w:b w:val="1"/>
          <w:bCs w:val="1"/>
          <w:color w:val="auto"/>
        </w:rPr>
        <w:t>Upsize Advance</w:t>
      </w:r>
      <w:r>
        <w:rPr>
          <w:rFonts w:ascii="Arial" w:cs="Arial" w:eastAsia="Arial" w:hAnsi="Arial"/>
          <w:sz w:val="19"/>
          <w:szCs w:val="19"/>
          <w:color w:val="auto"/>
        </w:rPr>
        <w:t>"), the Intercreditor Agent has received (prior to the duly completed Advance Request in respect of such Advance being received) all documents and other evidence listed in either paragraph 1 of Part H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or paragraphs 2 to 8 (inclusive) of Part H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in each case, in form and substance satisfactory to the Intercreditor Agent.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Completion of an Advance Request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Advance Request is irrevocable and shall not be regarded as having been completed unless:</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3.2.15</w:t>
      </w:r>
      <w:r>
        <w:rPr>
          <w:sz w:val="20"/>
          <w:szCs w:val="20"/>
          <w:color w:val="auto"/>
        </w:rPr>
        <w:tab/>
      </w:r>
      <w:r>
        <w:rPr>
          <w:rFonts w:ascii="Arial" w:cs="Arial" w:eastAsia="Arial" w:hAnsi="Arial"/>
          <w:sz w:val="22"/>
          <w:szCs w:val="22"/>
          <w:color w:val="auto"/>
        </w:rPr>
        <w:t>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has also been delivered to the Intercreditor Agent;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3.2.16</w:t>
      </w:r>
      <w:r>
        <w:rPr>
          <w:sz w:val="20"/>
          <w:szCs w:val="20"/>
          <w:color w:val="auto"/>
        </w:rPr>
        <w:tab/>
      </w:r>
      <w:r>
        <w:rPr>
          <w:rFonts w:ascii="Arial" w:cs="Arial" w:eastAsia="Arial" w:hAnsi="Arial"/>
          <w:sz w:val="19"/>
          <w:szCs w:val="19"/>
          <w:color w:val="auto"/>
        </w:rPr>
        <w:t>the proposed Advance Date is a Business Day within the relevant Availability Period;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3.2.17</w:t>
      </w:r>
      <w:r>
        <w:rPr>
          <w:sz w:val="20"/>
          <w:szCs w:val="20"/>
          <w:color w:val="auto"/>
        </w:rPr>
        <w:tab/>
      </w:r>
      <w:r>
        <w:rPr>
          <w:rFonts w:ascii="Arial" w:cs="Arial" w:eastAsia="Arial" w:hAnsi="Arial"/>
          <w:sz w:val="19"/>
          <w:szCs w:val="19"/>
          <w:color w:val="auto"/>
        </w:rPr>
        <w:t>it specifies:</w:t>
      </w:r>
    </w:p>
    <w:p>
      <w:pPr>
        <w:spacing w:after="0" w:line="254" w:lineRule="exact"/>
        <w:rPr>
          <w:sz w:val="20"/>
          <w:szCs w:val="20"/>
          <w:color w:val="auto"/>
        </w:rPr>
      </w:pPr>
    </w:p>
    <w:p>
      <w:pPr>
        <w:ind w:left="1960" w:hanging="655"/>
        <w:spacing w:after="0"/>
        <w:tabs>
          <w:tab w:leader="none" w:pos="19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amount and currency of the Advances to be made;</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Facility under which each such Advance shall be made;</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first Interest Period for such Advances (which shall be the same for each such Advance requested under a Term Loan Facility);</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(in the case of Advances under the Term Facility) the purpose for which such Advances shall be applied; and</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(in the case of Advances under the Revolving Credit Facility) the purpose for which such Advances shall be applied.</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3.2.18</w:t>
      </w:r>
      <w:r>
        <w:rPr>
          <w:sz w:val="20"/>
          <w:szCs w:val="20"/>
          <w:color w:val="auto"/>
        </w:rPr>
        <w:tab/>
      </w:r>
      <w:r>
        <w:rPr>
          <w:rFonts w:ascii="Arial" w:cs="Arial" w:eastAsia="Arial" w:hAnsi="Arial"/>
          <w:sz w:val="22"/>
          <w:szCs w:val="22"/>
          <w:color w:val="auto"/>
        </w:rPr>
        <w:t>the amount requested under each Facility is not more than the aggregate for the time being of each Lender's Available Commitment under such Facility and, in the case of:</w:t>
      </w:r>
    </w:p>
    <w:p>
      <w:pPr>
        <w:spacing w:after="0" w:line="175" w:lineRule="exact"/>
        <w:rPr>
          <w:sz w:val="20"/>
          <w:szCs w:val="20"/>
          <w:color w:val="auto"/>
        </w:rPr>
      </w:pPr>
    </w:p>
    <w:p>
      <w:pPr>
        <w:jc w:val="both"/>
        <w:ind w:left="1960" w:hanging="655"/>
        <w:spacing w:after="0" w:line="250" w:lineRule="auto"/>
        <w:tabs>
          <w:tab w:leader="none" w:pos="19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Term Loan Facility, the amount requested is either a minimum amount of USD5,000,000 or (as the case may be) its HK dollar equivalent which is less than the aggregate for the time being of each Lender's Available Commitment under such Facility or, if less than such minimum amount, equal to this latter amount;</w:t>
      </w:r>
    </w:p>
    <w:p>
      <w:pPr>
        <w:spacing w:after="0" w:line="188"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Revolving Credit Facilities, the aggregate amount requested is either a minimum amount of USD5,000,000 or (as the case may be) its HK dollar equivalent which is less than the aggregate for the time being of each Lender's Available Commitment under such Facility or, if less than such minimum amount, equal to this latter amount; and</w:t>
      </w:r>
    </w:p>
    <w:p>
      <w:pPr>
        <w:sectPr>
          <w:pgSz w:w="11900" w:h="16838" w:orient="portrait"/>
          <w:cols w:equalWidth="0" w:num="1">
            <w:col w:w="11420"/>
          </w:cols>
          <w:pgMar w:left="240" w:top="632" w:right="239" w:bottom="0" w:gutter="0" w:footer="0" w:header="0"/>
        </w:sectPr>
      </w:pPr>
    </w:p>
    <w:bookmarkStart w:id="159" w:name="page160"/>
    <w:bookmarkEnd w:id="159"/>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3.2.19</w:t>
      </w:r>
      <w:r>
        <w:rPr>
          <w:sz w:val="20"/>
          <w:szCs w:val="20"/>
          <w:color w:val="auto"/>
        </w:rPr>
        <w:tab/>
      </w:r>
      <w:r>
        <w:rPr>
          <w:rFonts w:ascii="Arial" w:cs="Arial" w:eastAsia="Arial" w:hAnsi="Arial"/>
          <w:sz w:val="22"/>
          <w:szCs w:val="22"/>
          <w:color w:val="auto"/>
        </w:rPr>
        <w:t>it certifies, among other things and without any personal liability on the part of the officer of the Company signing such Advance Request, that:</w:t>
      </w:r>
    </w:p>
    <w:p>
      <w:pPr>
        <w:spacing w:after="0" w:line="175" w:lineRule="exact"/>
        <w:rPr>
          <w:sz w:val="20"/>
          <w:szCs w:val="20"/>
          <w:color w:val="auto"/>
        </w:rPr>
      </w:pPr>
    </w:p>
    <w:p>
      <w:pPr>
        <w:ind w:left="1960" w:hanging="655"/>
        <w:spacing w:after="0" w:line="263" w:lineRule="auto"/>
        <w:tabs>
          <w:tab w:leader="none" w:pos="19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 Default (or, in the case of any Rollover Advance (as defined in each Revolving Credit Facility Agreement), Event of Default) is continuing or would result from the proposed Advances; and</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representations and warranties contained in Schedule 4 (</w:t>
      </w: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which are repeated by the Company at the Advance Date are true and correct in all material respects with reference to the facts and circumstances existing on the date of the Advance Request.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Funding of Development Account from Revolving Credit Facility and the Term Facility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ensure that an aggregate US dollar equivalent amount at least equal to:</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9"/>
          <w:szCs w:val="19"/>
          <w:color w:val="auto"/>
        </w:rPr>
        <w:t>(in respect of the Term Facility) US$414,934,426 (the "</w:t>
      </w:r>
      <w:r>
        <w:rPr>
          <w:rFonts w:ascii="Arial" w:cs="Arial" w:eastAsia="Arial" w:hAnsi="Arial"/>
          <w:sz w:val="19"/>
          <w:szCs w:val="19"/>
          <w:b w:val="1"/>
          <w:bCs w:val="1"/>
          <w:color w:val="auto"/>
        </w:rPr>
        <w:t>Term Facility Portion</w:t>
      </w:r>
      <w:r>
        <w:rPr>
          <w:rFonts w:ascii="Arial" w:cs="Arial" w:eastAsia="Arial" w:hAnsi="Arial"/>
          <w:sz w:val="19"/>
          <w:szCs w:val="19"/>
          <w:color w:val="auto"/>
        </w:rPr>
        <w:t>"); and</w:t>
      </w:r>
    </w:p>
    <w:p>
      <w:pPr>
        <w:sectPr>
          <w:pgSz w:w="11900" w:h="16838" w:orient="portrait"/>
          <w:cols w:equalWidth="0" w:num="1">
            <w:col w:w="11420"/>
          </w:cols>
          <w:pgMar w:left="240" w:top="186" w:right="239" w:bottom="1440" w:gutter="0" w:footer="0" w:header="0"/>
        </w:sectPr>
      </w:pPr>
    </w:p>
    <w:bookmarkStart w:id="160" w:name="page161"/>
    <w:bookmarkEnd w:id="160"/>
    <w:p>
      <w:pPr>
        <w:ind w:left="660"/>
        <w:spacing w:after="0"/>
        <w:tabs>
          <w:tab w:leader="none" w:pos="128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9"/>
          <w:szCs w:val="19"/>
          <w:color w:val="auto"/>
        </w:rPr>
        <w:t>(in respect of the Revolving Credit Facility) US$135,065,574 (the "</w:t>
      </w:r>
      <w:r>
        <w:rPr>
          <w:rFonts w:ascii="Arial" w:cs="Arial" w:eastAsia="Arial" w:hAnsi="Arial"/>
          <w:sz w:val="19"/>
          <w:szCs w:val="19"/>
          <w:b w:val="1"/>
          <w:bCs w:val="1"/>
          <w:color w:val="auto"/>
        </w:rPr>
        <w:t>RCF Portion</w:t>
      </w:r>
      <w:r>
        <w:rPr>
          <w:rFonts w:ascii="Arial" w:cs="Arial" w:eastAsia="Arial" w:hAnsi="Arial"/>
          <w:sz w:val="19"/>
          <w:szCs w:val="19"/>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is paid (immediately upon utilisation) from the first Advance made under each tranche of the Term Facility and the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Revolving Credit Facility and the Company shall ensure that it submits Advance Requests such that Advances under:</w:t>
      </w:r>
    </w:p>
    <w:p>
      <w:pPr>
        <w:spacing w:after="0" w:line="236" w:lineRule="exact"/>
        <w:rPr>
          <w:sz w:val="20"/>
          <w:szCs w:val="20"/>
          <w:color w:val="auto"/>
        </w:rPr>
      </w:pPr>
    </w:p>
    <w:p>
      <w:pPr>
        <w:jc w:val="both"/>
        <w:ind w:left="1960" w:hanging="655"/>
        <w:spacing w:after="0" w:line="253" w:lineRule="auto"/>
        <w:tabs>
          <w:tab w:leader="none" w:pos="196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Term Facility are drawn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between each of the Tranche A Facility, the Tranche B Facility and the Tranche C Facility in an aggregate amount equal to the Term Facility Portion as further set out in the Completion Memorandum; and</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Revolving Credit Facility are drawn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between each of the tranches thereunder in an aggregate amount equal to the RCF Portion,</w:t>
      </w:r>
    </w:p>
    <w:p>
      <w:pPr>
        <w:spacing w:after="0" w:line="175" w:lineRule="exact"/>
        <w:rPr>
          <w:sz w:val="20"/>
          <w:szCs w:val="20"/>
          <w:color w:val="auto"/>
        </w:rPr>
      </w:pPr>
    </w:p>
    <w:p>
      <w:pPr>
        <w:ind w:left="660" w:firstLine="14"/>
        <w:spacing w:after="0" w:line="263" w:lineRule="auto"/>
        <w:rPr>
          <w:sz w:val="20"/>
          <w:szCs w:val="20"/>
          <w:color w:val="auto"/>
        </w:rPr>
      </w:pPr>
      <w:r>
        <w:rPr>
          <w:rFonts w:ascii="Arial" w:cs="Arial" w:eastAsia="Arial" w:hAnsi="Arial"/>
          <w:sz w:val="22"/>
          <w:szCs w:val="22"/>
          <w:color w:val="auto"/>
        </w:rPr>
        <w:t>in order to fund an aggregate equivalent amount of not less than US$550,000,000 into a Development Account in accordance with each relevant Facility Agreement.</w:t>
      </w:r>
    </w:p>
    <w:p>
      <w:pPr>
        <w:spacing w:after="0" w:line="169"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22"/>
          <w:szCs w:val="22"/>
          <w:color w:val="auto"/>
        </w:rPr>
      </w:pPr>
      <w:r>
        <w:rPr>
          <w:rFonts w:ascii="Arial" w:cs="Arial" w:eastAsia="Arial" w:hAnsi="Arial"/>
          <w:sz w:val="22"/>
          <w:szCs w:val="22"/>
          <w:b w:val="1"/>
          <w:bCs w:val="1"/>
          <w:color w:val="auto"/>
        </w:rPr>
        <w:t>AVAILABILITY PERIODS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Term Facility Availability Period</w:t>
      </w:r>
    </w:p>
    <w:p>
      <w:pPr>
        <w:spacing w:after="0" w:line="226"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Subject to other terms of the Senior Finance Documents, the Term Facility shall be made available from the Fifth Amendment Effective Date until the date falling 5 Business Days from the Fifth Amendment Effective Date.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Revolving Credit Facility Availability Period</w:t>
      </w:r>
    </w:p>
    <w:p>
      <w:pPr>
        <w:spacing w:after="0" w:line="226"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Subject to other terms of the Senior Finance Documents, the Revolving Credit Facility shall be made available pursuant to the Revolving Credit Facility Agreement from the Fifth Amendment Effective Date until the earliest of:</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9"/>
          <w:szCs w:val="19"/>
          <w:color w:val="auto"/>
        </w:rPr>
        <w:t>the Termination Date (as defined in the Revolving Credit Facility Agreement);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9"/>
          <w:szCs w:val="19"/>
          <w:color w:val="auto"/>
        </w:rPr>
        <w:t>the date upon which the Advances thereunder are declared to be immediately due and payable pursuant to Clause</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Additional Lender Facility Availability Period</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Subject to other terms of the Senior Finance Documents, each Additional Lender Facility shall be made available from the date of such Additional Lender Facility Agreement until the earliest 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the termination date (as set out in the applicable Additional Lender Facility Agreement); and</w:t>
      </w:r>
    </w:p>
    <w:p>
      <w:pPr>
        <w:sectPr>
          <w:pgSz w:w="11900" w:h="16838" w:orient="portrait"/>
          <w:cols w:equalWidth="0" w:num="1">
            <w:col w:w="11420"/>
          </w:cols>
          <w:pgMar w:left="240" w:top="625" w:right="239" w:bottom="1440" w:gutter="0" w:footer="0" w:header="0"/>
        </w:sectPr>
      </w:pPr>
    </w:p>
    <w:bookmarkStart w:id="161" w:name="page162"/>
    <w:bookmarkEnd w:id="161"/>
    <w:p>
      <w:pPr>
        <w:spacing w:after="0" w:line="79" w:lineRule="exact"/>
        <w:rPr>
          <w:sz w:val="20"/>
          <w:szCs w:val="20"/>
          <w:color w:val="auto"/>
        </w:rPr>
      </w:pPr>
    </w:p>
    <w:p>
      <w:pPr>
        <w:ind w:left="980" w:hanging="324"/>
        <w:spacing w:after="0" w:line="263" w:lineRule="auto"/>
        <w:tabs>
          <w:tab w:leader="none" w:pos="98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the date upon which the Advances thereunder are declared to be immediately due and payable pursuant to Clause 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Purpose - General</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shall apply the proceeds of each Advance under a Facility in accordance with the relevant Facility Agreement and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No Obligation to be Concerned with Application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None of the Senior Secured Creditors shall be obliged to concern themselves with the application of proceeds of the Facilities.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Limitation on Advances</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22"/>
          <w:szCs w:val="22"/>
          <w:color w:val="auto"/>
        </w:rPr>
        <w:t>The proceeds of the Advances shall not be applied towards the acquisition (or maintenance or repair) of any equipment or utensils used in the operation of casino games of chance or other forms of gaming.</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22"/>
          <w:szCs w:val="22"/>
          <w:color w:val="auto"/>
        </w:rPr>
        <w:t>The Company shall ensure that, in the case of the Revolving Credit Facility, the first Advance thereunder is sufficient to ensure that an amount equal to the RCF Portion (as defined in Clause 3.3.2) is paid into a Development Account pursuant to Clause 3.3 (</w:t>
      </w:r>
      <w:r>
        <w:rPr>
          <w:rFonts w:ascii="Arial" w:cs="Arial" w:eastAsia="Arial" w:hAnsi="Arial"/>
          <w:sz w:val="22"/>
          <w:szCs w:val="22"/>
          <w:i w:val="1"/>
          <w:iCs w:val="1"/>
          <w:color w:val="auto"/>
        </w:rPr>
        <w:t>Funding of Development Account from Revolving Credit Facility and the Term</w:t>
      </w:r>
      <w:r>
        <w:rPr>
          <w:rFonts w:ascii="Arial" w:cs="Arial" w:eastAsia="Arial" w:hAnsi="Arial"/>
          <w:sz w:val="22"/>
          <w:szCs w:val="22"/>
          <w:color w:val="auto"/>
        </w:rPr>
        <w:t xml:space="preserve"> </w:t>
      </w:r>
      <w:r>
        <w:rPr>
          <w:rFonts w:ascii="Arial" w:cs="Arial" w:eastAsia="Arial" w:hAnsi="Arial"/>
          <w:sz w:val="22"/>
          <w:szCs w:val="22"/>
          <w:i w:val="1"/>
          <w:iCs w:val="1"/>
          <w:color w:val="auto"/>
        </w:rPr>
        <w:t>Facility</w:t>
      </w:r>
      <w:r>
        <w:rPr>
          <w:rFonts w:ascii="Arial" w:cs="Arial" w:eastAsia="Arial" w:hAnsi="Arial"/>
          <w:sz w:val="22"/>
          <w:szCs w:val="22"/>
          <w:color w:val="auto"/>
        </w:rPr>
        <w:t>).</w:t>
      </w:r>
    </w:p>
    <w:p>
      <w:pPr>
        <w:spacing w:after="0" w:line="182" w:lineRule="exact"/>
        <w:rPr>
          <w:sz w:val="20"/>
          <w:szCs w:val="20"/>
          <w:color w:val="auto"/>
        </w:rPr>
      </w:pPr>
    </w:p>
    <w:p>
      <w:pPr>
        <w:ind w:left="660" w:right="8020" w:hanging="652"/>
        <w:spacing w:after="0" w:line="522" w:lineRule="auto"/>
        <w:tabs>
          <w:tab w:leader="none" w:pos="660"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 xml:space="preserve">PRO RATA DRAWINGS </w:t>
      </w:r>
      <w:r>
        <w:rPr>
          <w:rFonts w:ascii="Arial" w:cs="Arial" w:eastAsia="Arial" w:hAnsi="Arial"/>
          <w:sz w:val="19"/>
          <w:szCs w:val="19"/>
          <w:color w:val="auto"/>
        </w:rPr>
        <w:t>The Company shall ensure that:</w:t>
      </w:r>
    </w:p>
    <w:p>
      <w:pPr>
        <w:jc w:val="both"/>
        <w:ind w:left="980" w:hanging="324"/>
        <w:spacing w:after="0" w:line="253" w:lineRule="auto"/>
        <w:tabs>
          <w:tab w:leader="none" w:pos="98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where an Advance is requested under a Term Loan Facility, an Advance, as a proportion of the Available Commitments under such Facility, in a US dollar equivalent amount pro rata with that requested has also been requested to be made on the same Advance Date under each of the other Term Loan Facilities; and</w:t>
      </w:r>
    </w:p>
    <w:p>
      <w:pPr>
        <w:spacing w:after="0" w:line="185" w:lineRule="exact"/>
        <w:rPr>
          <w:rFonts w:ascii="Arial" w:cs="Arial" w:eastAsia="Arial" w:hAnsi="Arial"/>
          <w:sz w:val="22"/>
          <w:szCs w:val="22"/>
          <w:color w:val="auto"/>
        </w:rPr>
      </w:pPr>
    </w:p>
    <w:p>
      <w:pPr>
        <w:jc w:val="both"/>
        <w:ind w:left="980" w:hanging="324"/>
        <w:spacing w:after="0" w:line="271" w:lineRule="auto"/>
        <w:tabs>
          <w:tab w:leader="none" w:pos="980" w:val="left"/>
        </w:tabs>
        <w:numPr>
          <w:ilvl w:val="1"/>
          <w:numId w:val="194"/>
        </w:numPr>
        <w:rPr>
          <w:rFonts w:ascii="Arial" w:cs="Arial" w:eastAsia="Arial" w:hAnsi="Arial"/>
          <w:sz w:val="21"/>
          <w:szCs w:val="21"/>
          <w:color w:val="auto"/>
        </w:rPr>
      </w:pPr>
      <w:r>
        <w:rPr>
          <w:rFonts w:ascii="Arial" w:cs="Arial" w:eastAsia="Arial" w:hAnsi="Arial"/>
          <w:sz w:val="21"/>
          <w:szCs w:val="21"/>
          <w:color w:val="auto"/>
        </w:rPr>
        <w:t>where an Advance is requested under a Revolving Credit Facility, an Advance, as a proportion of the Available Commitments under such Facility, in a US dollar equivalent amount pro rata with that requested has also been requested to be made on the same Advance Date under each of the other Revolving Credit Facilities.</w:t>
      </w:r>
    </w:p>
    <w:p>
      <w:pPr>
        <w:spacing w:after="0" w:line="161" w:lineRule="exact"/>
        <w:rPr>
          <w:rFonts w:ascii="Arial" w:cs="Arial" w:eastAsia="Arial" w:hAnsi="Arial"/>
          <w:sz w:val="21"/>
          <w:szCs w:val="21"/>
          <w:color w:val="auto"/>
        </w:rPr>
      </w:pPr>
    </w:p>
    <w:p>
      <w:pPr>
        <w:ind w:left="660" w:hanging="652"/>
        <w:spacing w:after="0"/>
        <w:tabs>
          <w:tab w:leader="none" w:pos="660"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REPAYMENTS, PREPAYMENTS AND CANCELLATION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Repayments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may repay principal amounts falling due under any Facility Agreement only in accordance with that Facility Agreement and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Voluntary Prepayment of the Term Loan Facilities</w:t>
      </w:r>
    </w:p>
    <w:p>
      <w:pPr>
        <w:spacing w:after="0" w:line="226"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9"/>
          <w:szCs w:val="19"/>
          <w:color w:val="auto"/>
        </w:rPr>
        <w:t xml:space="preserve">Subject to the other provisions of this Clause 8 and any applicable terms in the Facility Agreements, the Company may, on at least 30 days' prior written notice to the Intercreditor Agent (which notice shall, if not withdrawn prior thereto, become irrevocable on the tenth Business Day prior to the proposed prepayment date), make voluntary prepayments under the Term Loan Facilities on the last day of any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each voluntary prepayment, the amount prepaid under the Term Loan Facilities must exceed an aggregate of USD10,000,000 or its equivalent or, if less, the balance of the principal amount owing to all Term Loan Facility Lenders.</w:t>
      </w:r>
    </w:p>
    <w:p>
      <w:pPr>
        <w:spacing w:after="0" w:line="15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22"/>
          <w:szCs w:val="22"/>
          <w:color w:val="auto"/>
        </w:rPr>
        <w:t xml:space="preserve">Amounts prepaid under sub-clause 8.2.1 above shall be applied on the Interest Payment Date on which they are made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between the Advances outstanding under the Term Loan Facilities and applied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against the repayment instalments of those Advances.</w:t>
      </w:r>
    </w:p>
    <w:p>
      <w:pPr>
        <w:spacing w:after="0" w:line="18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21"/>
          <w:szCs w:val="21"/>
          <w:color w:val="auto"/>
        </w:rPr>
        <w:t>For purposes of clarification, Permitted Loan Repurchases shall not constitute payments or prepayments of any amount under the Term Loan Facilities and shall not be subject to the provisions of this Clause 8.</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Mandatory Prepayment</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22"/>
          <w:szCs w:val="22"/>
          <w:color w:val="auto"/>
        </w:rPr>
        <w:t>The Company shall prepay Advances and/or cancel Available Commitments under the Facilities on the dates and in the amounts specified in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this Clause 8.3.</w:t>
      </w:r>
    </w:p>
    <w:p>
      <w:pPr>
        <w:sectPr>
          <w:pgSz w:w="11900" w:h="16917" w:orient="portrait"/>
          <w:cols w:equalWidth="0" w:num="1">
            <w:col w:w="11420"/>
          </w:cols>
          <w:pgMar w:left="240" w:top="631" w:right="239" w:bottom="0" w:gutter="0" w:footer="0" w:header="0"/>
        </w:sectPr>
      </w:pPr>
    </w:p>
    <w:bookmarkStart w:id="162" w:name="page163"/>
    <w:bookmarkEnd w:id="162"/>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22"/>
          <w:szCs w:val="22"/>
          <w:color w:val="auto"/>
        </w:rPr>
        <w:t>Any amount prepaid under this Clause 8.3 and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shall be applied in the following order:</w:t>
      </w:r>
    </w:p>
    <w:p>
      <w:pPr>
        <w:spacing w:after="0" w:line="175" w:lineRule="exact"/>
        <w:rPr>
          <w:sz w:val="20"/>
          <w:szCs w:val="20"/>
          <w:color w:val="auto"/>
        </w:rPr>
      </w:pPr>
    </w:p>
    <w:p>
      <w:pPr>
        <w:ind w:left="1960" w:hanging="655"/>
        <w:spacing w:after="0" w:line="263" w:lineRule="auto"/>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b w:val="1"/>
          <w:bCs w:val="1"/>
          <w:i w:val="1"/>
          <w:iCs w:val="1"/>
          <w:color w:val="auto"/>
        </w:rPr>
        <w:t>first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 rata between the Advances outstanding under the Term Loan Facilities and then in inverse order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maturity against the remaining repayment instalments of those Advances;</w:t>
      </w:r>
    </w:p>
    <w:p>
      <w:pPr>
        <w:spacing w:after="0" w:line="174"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0"/>
          <w:numId w:val="195"/>
        </w:numPr>
        <w:rPr>
          <w:rFonts w:ascii="Arial" w:cs="Arial" w:eastAsia="Arial" w:hAnsi="Arial"/>
          <w:sz w:val="19"/>
          <w:szCs w:val="19"/>
          <w:color w:val="auto"/>
        </w:rPr>
      </w:pPr>
      <w:r>
        <w:rPr>
          <w:rFonts w:ascii="Arial" w:cs="Arial" w:eastAsia="Arial" w:hAnsi="Arial"/>
          <w:sz w:val="19"/>
          <w:szCs w:val="19"/>
          <w:b w:val="1"/>
          <w:bCs w:val="1"/>
          <w:i w:val="1"/>
          <w:iCs w:val="1"/>
          <w:color w:val="auto"/>
        </w:rPr>
        <w:t>second</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cancellation of the Available Commitments under the Revolving Credit Facilities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Available Commitments of the Lenders under the Revolving Credit Facilities will be cancelled rateably); and</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b w:val="1"/>
          <w:bCs w:val="1"/>
          <w:i w:val="1"/>
          <w:iCs w:val="1"/>
          <w:color w:val="auto"/>
        </w:rPr>
        <w:t>thirdly</w:t>
      </w:r>
      <w:r>
        <w:rPr>
          <w:rFonts w:ascii="Arial" w:cs="Arial" w:eastAsia="Arial" w:hAnsi="Arial"/>
          <w:sz w:val="22"/>
          <w:szCs w:val="22"/>
          <w:color w:val="auto"/>
        </w:rPr>
        <w:t>, in prepayment pro rata of Advances outstanding under the Revolving Credit Facilities (and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Available Commitments of the Lenders under the Revolving Credit Facilities associated therewith shall be automatically cancelled).</w:t>
      </w:r>
    </w:p>
    <w:p>
      <w:pPr>
        <w:spacing w:after="0" w:line="186" w:lineRule="exact"/>
        <w:rPr>
          <w:sz w:val="20"/>
          <w:szCs w:val="20"/>
          <w:color w:val="auto"/>
        </w:rPr>
      </w:pPr>
    </w:p>
    <w:p>
      <w:pPr>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9"/>
          <w:szCs w:val="19"/>
          <w:color w:val="auto"/>
        </w:rPr>
        <w:t>Each of the Facilities (and any Available Commitments thereunder) shall be automatically cancelled upon the Company being required to make prepayment pursuant to paragraph 7 of Schedule 9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Cancellation</w:t>
      </w:r>
    </w:p>
    <w:p>
      <w:pPr>
        <w:spacing w:after="0" w:line="226" w:lineRule="exact"/>
        <w:rPr>
          <w:sz w:val="20"/>
          <w:szCs w:val="20"/>
          <w:color w:val="auto"/>
        </w:rPr>
      </w:pPr>
    </w:p>
    <w:p>
      <w:pPr>
        <w:jc w:val="both"/>
        <w:ind w:left="980" w:hanging="324"/>
        <w:spacing w:after="0" w:line="260" w:lineRule="auto"/>
        <w:tabs>
          <w:tab w:leader="none" w:pos="98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Save as provided in Clause 8.5 (</w:t>
      </w:r>
      <w:r>
        <w:rPr>
          <w:rFonts w:ascii="Arial" w:cs="Arial" w:eastAsia="Arial" w:hAnsi="Arial"/>
          <w:sz w:val="21"/>
          <w:szCs w:val="21"/>
          <w:i w:val="1"/>
          <w:iCs w:val="1"/>
          <w:color w:val="auto"/>
        </w:rPr>
        <w:t>Prepayment and Cancellation of Individual Lenders</w:t>
      </w:r>
      <w:r>
        <w:rPr>
          <w:rFonts w:ascii="Arial" w:cs="Arial" w:eastAsia="Arial" w:hAnsi="Arial"/>
          <w:sz w:val="21"/>
          <w:szCs w:val="21"/>
          <w:color w:val="auto"/>
        </w:rPr>
        <w:t>) and Clause 14 (</w:t>
      </w:r>
      <w:r>
        <w:rPr>
          <w:rFonts w:ascii="Arial" w:cs="Arial" w:eastAsia="Arial" w:hAnsi="Arial"/>
          <w:sz w:val="21"/>
          <w:szCs w:val="21"/>
          <w:i w:val="1"/>
          <w:iCs w:val="1"/>
          <w:color w:val="auto"/>
        </w:rPr>
        <w:t>Illegality</w:t>
      </w:r>
      <w:r>
        <w:rPr>
          <w:rFonts w:ascii="Arial" w:cs="Arial" w:eastAsia="Arial" w:hAnsi="Arial"/>
          <w:sz w:val="21"/>
          <w:szCs w:val="21"/>
          <w:color w:val="auto"/>
        </w:rPr>
        <w:t>), the Company may only cancel the whole or any part (being a minimum amount of USD25,000,000) of the Available Commitments under the Revolving Credit Facilities made available pursuant to the Revolving Credit Facility Agreements on not less than seven Business Days' prior irrevocable written notice to the Intercreditor Agent and the relevant Facility Agent, in all cases without penalty or payment of fees or charges save as provided for in Clause 8.6.2 (</w:t>
      </w:r>
      <w:r>
        <w:rPr>
          <w:rFonts w:ascii="Arial" w:cs="Arial" w:eastAsia="Arial" w:hAnsi="Arial"/>
          <w:sz w:val="21"/>
          <w:szCs w:val="21"/>
          <w:i w:val="1"/>
          <w:iCs w:val="1"/>
          <w:color w:val="auto"/>
        </w:rPr>
        <w:t>Restrictions</w:t>
      </w:r>
      <w:r>
        <w:rPr>
          <w:rFonts w:ascii="Arial" w:cs="Arial" w:eastAsia="Arial" w:hAnsi="Arial"/>
          <w:sz w:val="21"/>
          <w:szCs w:val="21"/>
          <w:color w:val="auto"/>
        </w:rPr>
        <w:t xml:space="preserve">) or the relevant Facility Agreement. Such cancellation shall apply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across all Revolving Credit Facilities made available under the Revolving Credit Facility Agreements.</w:t>
      </w:r>
    </w:p>
    <w:p>
      <w:pPr>
        <w:spacing w:after="0" w:line="181" w:lineRule="exact"/>
        <w:rPr>
          <w:rFonts w:ascii="Arial" w:cs="Arial" w:eastAsia="Arial" w:hAnsi="Arial"/>
          <w:sz w:val="21"/>
          <w:szCs w:val="21"/>
          <w:color w:val="auto"/>
        </w:rPr>
      </w:pPr>
    </w:p>
    <w:p>
      <w:pPr>
        <w:jc w:val="both"/>
        <w:ind w:left="980" w:hanging="324"/>
        <w:spacing w:after="0" w:line="253" w:lineRule="auto"/>
        <w:tabs>
          <w:tab w:leader="none" w:pos="9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Available Commitments of each Lender under each of the Term Loan Facilities will be automatically cancelled at the close of business in Hong Kong on the last day of the relevant Availability Period for that Term Loan Facility to the extent undrawn at that date.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b w:val="1"/>
          <w:bCs w:val="1"/>
          <w:color w:val="auto"/>
        </w:rPr>
        <w:t>Prepayment and Cancellation of Individual Lenders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w:t>
      </w:r>
    </w:p>
    <w:p>
      <w:pPr>
        <w:spacing w:after="0" w:line="220" w:lineRule="exact"/>
        <w:rPr>
          <w:sz w:val="20"/>
          <w:szCs w:val="20"/>
          <w:color w:val="auto"/>
        </w:rPr>
      </w:pPr>
    </w:p>
    <w:p>
      <w:pPr>
        <w:ind w:left="980" w:hanging="324"/>
        <w:spacing w:after="0"/>
        <w:tabs>
          <w:tab w:leader="none" w:pos="9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sum payable to any Lender by the Company is required to be increased under Clause 11.2 (</w:t>
      </w:r>
      <w:r>
        <w:rPr>
          <w:rFonts w:ascii="Arial" w:cs="Arial" w:eastAsia="Arial" w:hAnsi="Arial"/>
          <w:sz w:val="19"/>
          <w:szCs w:val="19"/>
          <w:i w:val="1"/>
          <w:iCs w:val="1"/>
          <w:color w:val="auto"/>
        </w:rPr>
        <w:t>Tax gross-up</w:t>
      </w:r>
      <w:r>
        <w:rPr>
          <w:rFonts w:ascii="Arial" w:cs="Arial" w:eastAsia="Arial" w:hAnsi="Arial"/>
          <w:sz w:val="19"/>
          <w:szCs w:val="19"/>
          <w:color w:val="auto"/>
        </w:rPr>
        <w:t>); and/or</w:t>
      </w:r>
    </w:p>
    <w:p>
      <w:pPr>
        <w:spacing w:after="0" w:line="254" w:lineRule="exact"/>
        <w:rPr>
          <w:rFonts w:ascii="Arial" w:cs="Arial" w:eastAsia="Arial" w:hAnsi="Arial"/>
          <w:sz w:val="19"/>
          <w:szCs w:val="19"/>
          <w:color w:val="auto"/>
        </w:rPr>
      </w:pPr>
    </w:p>
    <w:p>
      <w:pPr>
        <w:ind w:left="980" w:hanging="324"/>
        <w:spacing w:after="0" w:line="263"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Lender claims indemnification from the Company under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or Clause 12 (</w:t>
      </w:r>
      <w:r>
        <w:rPr>
          <w:rFonts w:ascii="Arial" w:cs="Arial" w:eastAsia="Arial" w:hAnsi="Arial"/>
          <w:sz w:val="22"/>
          <w:szCs w:val="22"/>
          <w:i w:val="1"/>
          <w:iCs w:val="1"/>
          <w:color w:val="auto"/>
        </w:rPr>
        <w:t>Increased</w:t>
      </w:r>
      <w:r>
        <w:rPr>
          <w:rFonts w:ascii="Arial" w:cs="Arial" w:eastAsia="Arial" w:hAnsi="Arial"/>
          <w:sz w:val="22"/>
          <w:szCs w:val="22"/>
          <w:color w:val="auto"/>
        </w:rPr>
        <w:t xml:space="preserve"> </w:t>
      </w:r>
      <w:r>
        <w:rPr>
          <w:rFonts w:ascii="Arial" w:cs="Arial" w:eastAsia="Arial" w:hAnsi="Arial"/>
          <w:sz w:val="22"/>
          <w:szCs w:val="22"/>
          <w:i w:val="1"/>
          <w:iCs w:val="1"/>
          <w:color w:val="auto"/>
        </w:rPr>
        <w:t>costs</w:t>
      </w:r>
      <w:r>
        <w:rPr>
          <w:rFonts w:ascii="Arial" w:cs="Arial" w:eastAsia="Arial" w:hAnsi="Arial"/>
          <w:sz w:val="22"/>
          <w:szCs w:val="22"/>
          <w:color w:val="auto"/>
        </w:rPr>
        <w:t>); and/or</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 Market Disruption Event occurs in relation to any Advance for any Interest Period pursuant to Clause 10.2 (</w:t>
      </w:r>
      <w:r>
        <w:rPr>
          <w:rFonts w:ascii="Arial" w:cs="Arial" w:eastAsia="Arial" w:hAnsi="Arial"/>
          <w:sz w:val="22"/>
          <w:szCs w:val="22"/>
          <w:i w:val="1"/>
          <w:iCs w:val="1"/>
          <w:color w:val="auto"/>
        </w:rPr>
        <w:t>Market</w:t>
      </w:r>
      <w:r>
        <w:rPr>
          <w:rFonts w:ascii="Arial" w:cs="Arial" w:eastAsia="Arial" w:hAnsi="Arial"/>
          <w:sz w:val="22"/>
          <w:szCs w:val="22"/>
          <w:color w:val="auto"/>
        </w:rPr>
        <w:t xml:space="preserve"> </w:t>
      </w:r>
      <w:r>
        <w:rPr>
          <w:rFonts w:ascii="Arial" w:cs="Arial" w:eastAsia="Arial" w:hAnsi="Arial"/>
          <w:sz w:val="22"/>
          <w:szCs w:val="22"/>
          <w:i w:val="1"/>
          <w:iCs w:val="1"/>
          <w:color w:val="auto"/>
        </w:rPr>
        <w:t>disruption</w:t>
      </w:r>
      <w:r>
        <w:rPr>
          <w:rFonts w:ascii="Arial" w:cs="Arial" w:eastAsia="Arial" w:hAnsi="Arial"/>
          <w:sz w:val="22"/>
          <w:szCs w:val="22"/>
          <w:color w:val="auto"/>
        </w:rPr>
        <w:t>); and/or</w:t>
      </w:r>
    </w:p>
    <w:p>
      <w:pPr>
        <w:spacing w:after="0" w:line="174"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Lender withholds its consent to the incurrence of any Financial Indebtedness by the Company such that the Intercreditor Agent is unable to approve the incurrence of additional Financial Indebtedness in accordance with paragraph 2.1(j)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or the amendment or waiver of paragraph 2.1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and/or</w:t>
      </w:r>
    </w:p>
    <w:p>
      <w:pPr>
        <w:spacing w:after="0" w:line="188" w:lineRule="exact"/>
        <w:rPr>
          <w:rFonts w:ascii="Arial" w:cs="Arial" w:eastAsia="Arial" w:hAnsi="Arial"/>
          <w:sz w:val="22"/>
          <w:szCs w:val="22"/>
          <w:color w:val="auto"/>
        </w:rPr>
      </w:pPr>
    </w:p>
    <w:p>
      <w:pPr>
        <w:jc w:val="both"/>
        <w:ind w:left="980" w:hanging="324"/>
        <w:spacing w:after="0" w:line="302" w:lineRule="auto"/>
        <w:tabs>
          <w:tab w:leader="none" w:pos="9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Lender becomes a Non-Consenting Lender (as defined in Clause 8.8.3 below) and that Non-Consenting Lender has not, within 10 Business Days of being supplied with the same, executed (and returned to the Intercreditor Agent) all agreements and other instruments (to which it is required to be a party) needed to effect the transfer contemplated by (and in accordance with) Clause 8.8 (</w:t>
      </w:r>
      <w:r>
        <w:rPr>
          <w:rFonts w:ascii="Arial" w:cs="Arial" w:eastAsia="Arial" w:hAnsi="Arial"/>
          <w:sz w:val="19"/>
          <w:szCs w:val="19"/>
          <w:i w:val="1"/>
          <w:iCs w:val="1"/>
          <w:color w:val="auto"/>
        </w:rPr>
        <w:t>Replacement of Non-Consenting Lender</w:t>
      </w:r>
      <w:r>
        <w:rPr>
          <w:rFonts w:ascii="Arial" w:cs="Arial" w:eastAsia="Arial" w:hAnsi="Arial"/>
          <w:sz w:val="19"/>
          <w:szCs w:val="19"/>
          <w:color w:val="auto"/>
        </w:rPr>
        <w:t>); and /or</w:t>
      </w:r>
    </w:p>
    <w:p>
      <w:pPr>
        <w:spacing w:after="0" w:line="142" w:lineRule="exact"/>
        <w:rPr>
          <w:rFonts w:ascii="Arial" w:cs="Arial" w:eastAsia="Arial" w:hAnsi="Arial"/>
          <w:sz w:val="19"/>
          <w:szCs w:val="19"/>
          <w:color w:val="auto"/>
        </w:rPr>
      </w:pPr>
    </w:p>
    <w:p>
      <w:pPr>
        <w:jc w:val="both"/>
        <w:ind w:left="980" w:hanging="324"/>
        <w:spacing w:after="0" w:line="302" w:lineRule="auto"/>
        <w:tabs>
          <w:tab w:leader="none" w:pos="9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Lender becomes an Outgoing Lender (as defined in Clause 8.9 (</w:t>
      </w:r>
      <w:r>
        <w:rPr>
          <w:rFonts w:ascii="Arial" w:cs="Arial" w:eastAsia="Arial" w:hAnsi="Arial"/>
          <w:sz w:val="19"/>
          <w:szCs w:val="19"/>
          <w:i w:val="1"/>
          <w:iCs w:val="1"/>
          <w:color w:val="auto"/>
        </w:rPr>
        <w:t>Anti-Terrorism and Restricted Party Events</w:t>
      </w:r>
      <w:r>
        <w:rPr>
          <w:rFonts w:ascii="Arial" w:cs="Arial" w:eastAsia="Arial" w:hAnsi="Arial"/>
          <w:sz w:val="19"/>
          <w:szCs w:val="19"/>
          <w:color w:val="auto"/>
        </w:rPr>
        <w:t>) below) and that Outgoing Lender has not, within 10 Business Days of being supplied with the same, executed (and returned to the Intercreditor Agent) all agreements and other instruments (to which it is required to be a party) needed to effect the transfer contemplated by (and in accordance with) Clause 8.9 (</w:t>
      </w:r>
      <w:r>
        <w:rPr>
          <w:rFonts w:ascii="Arial" w:cs="Arial" w:eastAsia="Arial" w:hAnsi="Arial"/>
          <w:sz w:val="19"/>
          <w:szCs w:val="19"/>
          <w:i w:val="1"/>
          <w:iCs w:val="1"/>
          <w:color w:val="auto"/>
        </w:rPr>
        <w:t>Anti-Terrorism and Restricted Party Events</w:t>
      </w:r>
      <w:r>
        <w:rPr>
          <w:rFonts w:ascii="Arial" w:cs="Arial" w:eastAsia="Arial" w:hAnsi="Arial"/>
          <w:sz w:val="19"/>
          <w:szCs w:val="19"/>
          <w:color w:val="auto"/>
        </w:rPr>
        <w:t>),</w:t>
      </w:r>
    </w:p>
    <w:p>
      <w:pPr>
        <w:spacing w:after="0" w:line="14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then, the Company may, subject to the other provisions hereof and, in the case of paragraph (d) above, whilst the circumstances described therein continue, and on giving at least fifteen days' prior irrevocable written notice to the Intercreditor Agent:</w:t>
      </w:r>
    </w:p>
    <w:p>
      <w:pPr>
        <w:spacing w:after="0" w:line="186" w:lineRule="exact"/>
        <w:rPr>
          <w:sz w:val="20"/>
          <w:szCs w:val="20"/>
          <w:color w:val="auto"/>
        </w:rPr>
      </w:pPr>
    </w:p>
    <w:p>
      <w:pPr>
        <w:ind w:left="1960" w:hanging="655"/>
        <w:spacing w:after="0" w:line="287" w:lineRule="auto"/>
        <w:tabs>
          <w:tab w:leader="none" w:pos="19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prepay that Lender's participation in the Advances outstanding under the relevant Facility Agreement on the Interest Payment Date which immediately ends after the Company's notice; and/or</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cancel that Lender's undrawn and uncancelled Available Commitments under the relevant Facility Agreement.</w:t>
      </w:r>
    </w:p>
    <w:p>
      <w:pPr>
        <w:sectPr>
          <w:pgSz w:w="11900" w:h="16838" w:orient="portrait"/>
          <w:cols w:equalWidth="0" w:num="1">
            <w:col w:w="11420"/>
          </w:cols>
          <w:pgMar w:left="240" w:top="321" w:right="239" w:bottom="0" w:gutter="0" w:footer="0" w:header="0"/>
        </w:sectPr>
      </w:pPr>
    </w:p>
    <w:bookmarkStart w:id="163" w:name="page164"/>
    <w:bookmarkEnd w:id="163"/>
    <w:p>
      <w:pPr>
        <w:spacing w:after="0"/>
        <w:tabs>
          <w:tab w:leader="none" w:pos="6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Restrictions</w:t>
      </w:r>
    </w:p>
    <w:p>
      <w:pPr>
        <w:spacing w:after="0" w:line="226" w:lineRule="exact"/>
        <w:rPr>
          <w:sz w:val="20"/>
          <w:szCs w:val="20"/>
          <w:color w:val="auto"/>
        </w:rPr>
      </w:pPr>
    </w:p>
    <w:p>
      <w:pPr>
        <w:jc w:val="both"/>
        <w:ind w:left="1300" w:right="20" w:hanging="647"/>
        <w:spacing w:after="0" w:line="312" w:lineRule="auto"/>
        <w:tabs>
          <w:tab w:leader="none" w:pos="128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9"/>
          <w:szCs w:val="19"/>
          <w:color w:val="auto"/>
        </w:rPr>
        <w:t>Any notice of cancellation or prepayment given under this Clause 8 shall be irrevocable if not withdrawn in accordance with Clause 8.2.1 (</w:t>
      </w:r>
      <w:r>
        <w:rPr>
          <w:rFonts w:ascii="Arial" w:cs="Arial" w:eastAsia="Arial" w:hAnsi="Arial"/>
          <w:sz w:val="19"/>
          <w:szCs w:val="19"/>
          <w:i w:val="1"/>
          <w:iCs w:val="1"/>
          <w:color w:val="auto"/>
        </w:rPr>
        <w:t>Voluntary Prepayment of the Term Loan Facilities</w:t>
      </w:r>
      <w:r>
        <w:rPr>
          <w:rFonts w:ascii="Arial" w:cs="Arial" w:eastAsia="Arial" w:hAnsi="Arial"/>
          <w:sz w:val="19"/>
          <w:szCs w:val="19"/>
          <w:color w:val="auto"/>
        </w:rPr>
        <w:t>) and shall specify the date or dates upon which the relevant cancellation or prepayment is to be made and the amount of the cancellation or prepayment.</w:t>
      </w:r>
    </w:p>
    <w:p>
      <w:pPr>
        <w:spacing w:after="0" w:line="134"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22"/>
          <w:szCs w:val="22"/>
          <w:color w:val="auto"/>
        </w:rPr>
        <w:t>Any prepayment or cancellation pursuant to this Clause 8 shall be made together with accrued interest and fees on the amount prepaid or cancelled and without premium or penalty, save that the Company shall pay any Break Costs and any other fees specified in the relevant Facility Agreement.</w:t>
      </w:r>
    </w:p>
    <w:p>
      <w:pPr>
        <w:spacing w:after="0" w:line="186"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9"/>
          <w:szCs w:val="19"/>
          <w:color w:val="auto"/>
        </w:rPr>
        <w:t>The Company shall not repay or prepay all or any part of the Advances or cancel all or any part of the Available Commitments under any Facility Agreement except in accordance with that Facility Agreement and this Clause 8.</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9"/>
          <w:szCs w:val="19"/>
          <w:color w:val="auto"/>
        </w:rPr>
        <w:t>The Company may not reborrow any part of the Term Loan Facilities which is prepaid.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8.6.5</w:t>
      </w:r>
      <w:r>
        <w:rPr>
          <w:sz w:val="20"/>
          <w:szCs w:val="20"/>
          <w:color w:val="auto"/>
        </w:rPr>
        <w:tab/>
      </w:r>
      <w:r>
        <w:rPr>
          <w:rFonts w:ascii="Arial" w:cs="Arial" w:eastAsia="Arial" w:hAnsi="Arial"/>
          <w:sz w:val="19"/>
          <w:szCs w:val="19"/>
          <w:color w:val="auto"/>
        </w:rPr>
        <w:t>No amount of the Available Commitments cancelled under this Clause 8 may be subsequently reinstated.</w:t>
      </w:r>
    </w:p>
    <w:p>
      <w:pPr>
        <w:spacing w:after="0" w:line="254"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8.6.6</w:t>
      </w:r>
      <w:r>
        <w:rPr>
          <w:sz w:val="20"/>
          <w:szCs w:val="20"/>
          <w:color w:val="auto"/>
        </w:rPr>
        <w:tab/>
      </w:r>
      <w:r>
        <w:rPr>
          <w:rFonts w:ascii="Arial" w:cs="Arial" w:eastAsia="Arial" w:hAnsi="Arial"/>
          <w:sz w:val="21"/>
          <w:szCs w:val="21"/>
          <w:color w:val="auto"/>
        </w:rPr>
        <w:t>If the Intercreditor Agent receives a notice under this Clause 8, it shall promptly forward a copy of that notice to either the Company or the affected Lender (or the Facility Agent acting for such Lender), as appropriate.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8.6.7</w:t>
      </w:r>
      <w:r>
        <w:rPr>
          <w:sz w:val="20"/>
          <w:szCs w:val="20"/>
          <w:color w:val="auto"/>
        </w:rPr>
        <w:tab/>
      </w:r>
      <w:r>
        <w:rPr>
          <w:rFonts w:ascii="Arial" w:cs="Arial" w:eastAsia="Arial" w:hAnsi="Arial"/>
          <w:sz w:val="19"/>
          <w:szCs w:val="19"/>
          <w:color w:val="auto"/>
        </w:rPr>
        <w:t>[Not used]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b w:val="1"/>
          <w:bCs w:val="1"/>
          <w:color w:val="auto"/>
        </w:rPr>
        <w:t>Replacement of Lender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any Lender:</w:t>
      </w:r>
    </w:p>
    <w:p>
      <w:pPr>
        <w:spacing w:after="0" w:line="220" w:lineRule="exact"/>
        <w:rPr>
          <w:sz w:val="20"/>
          <w:szCs w:val="20"/>
          <w:color w:val="auto"/>
        </w:rPr>
      </w:pPr>
    </w:p>
    <w:p>
      <w:pPr>
        <w:ind w:left="980" w:hanging="324"/>
        <w:spacing w:after="0" w:line="263" w:lineRule="auto"/>
        <w:tabs>
          <w:tab w:leader="none" w:pos="9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claims any amounts from the Company under Clauses 11.2 (</w:t>
      </w:r>
      <w:r>
        <w:rPr>
          <w:rFonts w:ascii="Arial" w:cs="Arial" w:eastAsia="Arial" w:hAnsi="Arial"/>
          <w:sz w:val="22"/>
          <w:szCs w:val="22"/>
          <w:i w:val="1"/>
          <w:iCs w:val="1"/>
          <w:color w:val="auto"/>
        </w:rPr>
        <w:t>Tax gross-up</w:t>
      </w:r>
      <w:r>
        <w:rPr>
          <w:rFonts w:ascii="Arial" w:cs="Arial" w:eastAsia="Arial" w:hAnsi="Arial"/>
          <w:sz w:val="22"/>
          <w:szCs w:val="22"/>
          <w:color w:val="auto"/>
        </w:rPr>
        <w:t>), 11.3 (</w:t>
      </w:r>
      <w:r>
        <w:rPr>
          <w:rFonts w:ascii="Arial" w:cs="Arial" w:eastAsia="Arial" w:hAnsi="Arial"/>
          <w:sz w:val="22"/>
          <w:szCs w:val="22"/>
          <w:i w:val="1"/>
          <w:iCs w:val="1"/>
          <w:color w:val="auto"/>
        </w:rPr>
        <w:t>Tax indemnity</w:t>
      </w:r>
      <w:r>
        <w:rPr>
          <w:rFonts w:ascii="Arial" w:cs="Arial" w:eastAsia="Arial" w:hAnsi="Arial"/>
          <w:sz w:val="22"/>
          <w:szCs w:val="22"/>
          <w:color w:val="auto"/>
        </w:rPr>
        <w:t>) or 12 (</w:t>
      </w:r>
      <w:r>
        <w:rPr>
          <w:rFonts w:ascii="Arial" w:cs="Arial" w:eastAsia="Arial" w:hAnsi="Arial"/>
          <w:sz w:val="22"/>
          <w:szCs w:val="22"/>
          <w:i w:val="1"/>
          <w:iCs w:val="1"/>
          <w:color w:val="auto"/>
        </w:rPr>
        <w:t>Increased costs</w:t>
      </w:r>
      <w:r>
        <w:rPr>
          <w:rFonts w:ascii="Arial" w:cs="Arial" w:eastAsia="Arial" w:hAnsi="Arial"/>
          <w:sz w:val="22"/>
          <w:szCs w:val="22"/>
          <w:color w:val="auto"/>
        </w:rPr>
        <w:t>) hereof;</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fails to make its portion of any Advance to be made by it on the relevant Advance Date;</w:t>
      </w:r>
    </w:p>
    <w:p>
      <w:pPr>
        <w:spacing w:after="0" w:line="21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withholds its consent in any of the circumstances contemplated in Clause 8.5(d) (</w:t>
      </w:r>
      <w:r>
        <w:rPr>
          <w:rFonts w:ascii="Arial" w:cs="Arial" w:eastAsia="Arial" w:hAnsi="Arial"/>
          <w:sz w:val="22"/>
          <w:szCs w:val="22"/>
          <w:i w:val="1"/>
          <w:iCs w:val="1"/>
          <w:color w:val="auto"/>
        </w:rPr>
        <w:t>Prepayment and Cancellation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Individual Lenders</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is a Defaulting Lender,</w:t>
      </w:r>
    </w:p>
    <w:p>
      <w:pPr>
        <w:spacing w:after="0" w:line="214"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(an "</w:t>
      </w:r>
      <w:r>
        <w:rPr>
          <w:rFonts w:ascii="Arial" w:cs="Arial" w:eastAsia="Arial" w:hAnsi="Arial"/>
          <w:sz w:val="19"/>
          <w:szCs w:val="19"/>
          <w:b w:val="1"/>
          <w:bCs w:val="1"/>
          <w:color w:val="auto"/>
        </w:rPr>
        <w:t>Affected Lender</w:t>
      </w:r>
      <w:r>
        <w:rPr>
          <w:rFonts w:ascii="Arial" w:cs="Arial" w:eastAsia="Arial" w:hAnsi="Arial"/>
          <w:sz w:val="19"/>
          <w:szCs w:val="19"/>
          <w:color w:val="auto"/>
        </w:rPr>
        <w:t>"), the Company may (after paying all amounts then due under Clauses 11.2 (</w:t>
      </w:r>
      <w:r>
        <w:rPr>
          <w:rFonts w:ascii="Arial" w:cs="Arial" w:eastAsia="Arial" w:hAnsi="Arial"/>
          <w:sz w:val="19"/>
          <w:szCs w:val="19"/>
          <w:i w:val="1"/>
          <w:iCs w:val="1"/>
          <w:color w:val="auto"/>
        </w:rPr>
        <w:t>Tax gross-up</w:t>
      </w:r>
      <w:r>
        <w:rPr>
          <w:rFonts w:ascii="Arial" w:cs="Arial" w:eastAsia="Arial" w:hAnsi="Arial"/>
          <w:sz w:val="19"/>
          <w:szCs w:val="19"/>
          <w:color w:val="auto"/>
        </w:rPr>
        <w:t>), 11.3 (</w:t>
      </w:r>
      <w:r>
        <w:rPr>
          <w:rFonts w:ascii="Arial" w:cs="Arial" w:eastAsia="Arial" w:hAnsi="Arial"/>
          <w:sz w:val="19"/>
          <w:szCs w:val="19"/>
          <w:i w:val="1"/>
          <w:iCs w:val="1"/>
          <w:color w:val="auto"/>
        </w:rPr>
        <w:t>Tax</w:t>
      </w:r>
      <w:r>
        <w:rPr>
          <w:rFonts w:ascii="Arial" w:cs="Arial" w:eastAsia="Arial" w:hAnsi="Arial"/>
          <w:sz w:val="19"/>
          <w:szCs w:val="19"/>
          <w:color w:val="auto"/>
        </w:rPr>
        <w:t xml:space="preserve"> </w:t>
      </w:r>
      <w:r>
        <w:rPr>
          <w:rFonts w:ascii="Arial" w:cs="Arial" w:eastAsia="Arial" w:hAnsi="Arial"/>
          <w:sz w:val="19"/>
          <w:szCs w:val="19"/>
          <w:i w:val="1"/>
          <w:iCs w:val="1"/>
          <w:color w:val="auto"/>
        </w:rPr>
        <w:t>indemnity</w:t>
      </w:r>
      <w:r>
        <w:rPr>
          <w:rFonts w:ascii="Arial" w:cs="Arial" w:eastAsia="Arial" w:hAnsi="Arial"/>
          <w:sz w:val="19"/>
          <w:szCs w:val="19"/>
          <w:color w:val="auto"/>
        </w:rPr>
        <w:t>) or 12 (</w:t>
      </w:r>
      <w:r>
        <w:rPr>
          <w:rFonts w:ascii="Arial" w:cs="Arial" w:eastAsia="Arial" w:hAnsi="Arial"/>
          <w:sz w:val="19"/>
          <w:szCs w:val="19"/>
          <w:i w:val="1"/>
          <w:iCs w:val="1"/>
          <w:color w:val="auto"/>
        </w:rPr>
        <w:t>Increased costs</w:t>
      </w:r>
      <w:r>
        <w:rPr>
          <w:rFonts w:ascii="Arial" w:cs="Arial" w:eastAsia="Arial" w:hAnsi="Arial"/>
          <w:sz w:val="19"/>
          <w:szCs w:val="19"/>
          <w:color w:val="auto"/>
        </w:rPr>
        <w:t>) hereof to the Affected Lender and, in the case of paragraph (c) above, whilst the</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referred to therein continue) designate a non-Affected Lender, any commercial bank or any other financial institution or bank reasonably satisfactory to the Intercreditor Agent (the "</w:t>
      </w:r>
      <w:r>
        <w:rPr>
          <w:rFonts w:ascii="Arial" w:cs="Arial" w:eastAsia="Arial" w:hAnsi="Arial"/>
          <w:sz w:val="19"/>
          <w:szCs w:val="19"/>
          <w:b w:val="1"/>
          <w:bCs w:val="1"/>
          <w:color w:val="auto"/>
        </w:rPr>
        <w:t>Replacement Lender</w:t>
      </w:r>
      <w:r>
        <w:rPr>
          <w:rFonts w:ascii="Arial" w:cs="Arial" w:eastAsia="Arial" w:hAnsi="Arial"/>
          <w:sz w:val="19"/>
          <w:szCs w:val="19"/>
          <w:color w:val="auto"/>
        </w:rPr>
        <w:t>") to accept a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of the Affected Lender's rights, benefits and obligations hereunder, and, promptly following such designation, the Affected Lender shall be obliged to execute the Novation Certificate required for such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and the non-Affected Lender may, but shall not be obliged to, execute such Novation Certificate and, if it does so, shall be obliged to accept such transfer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Any such acceptance of transfer shall be for a purchase price in cash payable at the time of transfer equal to the outstanding principal amount of such Affected Lender's participation in the outstanding Advances and all accrued interest, Break Costs and other amounts payable in relation thereto under the Senior Finance Documents.</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b w:val="1"/>
          <w:bCs w:val="1"/>
          <w:color w:val="auto"/>
        </w:rPr>
        <w:t>Replacement of Non-Consenting Lender</w:t>
      </w:r>
    </w:p>
    <w:p>
      <w:pPr>
        <w:spacing w:after="0" w:line="22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9"/>
          <w:szCs w:val="19"/>
          <w:color w:val="auto"/>
        </w:rPr>
        <w:t>If at any time any Lender becomes a Non-Consenting Lender (as defined in Clause 8.8.3 below), then the Company may, on 5 Business Days' prior written notice to the Intercreditor Agent and such Lender, replace such Lender by requiring such Lender to (and such Lender shall) transfer pursuant to Clause 21 (</w:t>
      </w:r>
      <w:r>
        <w:rPr>
          <w:rFonts w:ascii="Arial" w:cs="Arial" w:eastAsia="Arial" w:hAnsi="Arial"/>
          <w:sz w:val="19"/>
          <w:szCs w:val="19"/>
          <w:i w:val="1"/>
          <w:iCs w:val="1"/>
          <w:color w:val="auto"/>
        </w:rPr>
        <w:t>Changes to the Parties</w:t>
      </w:r>
      <w:r>
        <w:rPr>
          <w:rFonts w:ascii="Arial" w:cs="Arial" w:eastAsia="Arial" w:hAnsi="Arial"/>
          <w:sz w:val="19"/>
          <w:szCs w:val="19"/>
          <w:color w:val="auto"/>
        </w:rPr>
        <w:t>) all (and not part only) of its rights and obligations under this Agreement to a Lender or other bank, financial institution, trust, fund or other entity (a "</w:t>
      </w:r>
      <w:r>
        <w:rPr>
          <w:rFonts w:ascii="Arial" w:cs="Arial" w:eastAsia="Arial" w:hAnsi="Arial"/>
          <w:sz w:val="19"/>
          <w:szCs w:val="19"/>
          <w:b w:val="1"/>
          <w:bCs w:val="1"/>
          <w:color w:val="auto"/>
        </w:rPr>
        <w:t>Replacement Lender</w:t>
      </w:r>
      <w:r>
        <w:rPr>
          <w:rFonts w:ascii="Arial" w:cs="Arial" w:eastAsia="Arial" w:hAnsi="Arial"/>
          <w:sz w:val="19"/>
          <w:szCs w:val="19"/>
          <w:color w:val="auto"/>
        </w:rPr>
        <w:t>") selected by the Company, and which is acceptable to the Intercreditor Agent (acting reasonably) which confirms its willingness to assume and does assume all the obligations of the transferring Lender (including the assumption of the transferring Lender's participations on the same basis as the transferring Lender) for a purchase price in cash payable at the time of transfer equal to the outstanding principal amount of such Lender's participation in the outstanding Advances and all accrued interest, Break Costs and other amounts payable in relation thereto under the Senior Finance Documents. Such Non-Consenting Lender shall provide all reasonable assistance to effect the foregoing transfer.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8.8.2</w:t>
      </w:r>
      <w:r>
        <w:rPr>
          <w:sz w:val="20"/>
          <w:szCs w:val="20"/>
          <w:color w:val="auto"/>
        </w:rPr>
        <w:tab/>
      </w:r>
      <w:r>
        <w:rPr>
          <w:rFonts w:ascii="Arial" w:cs="Arial" w:eastAsia="Arial" w:hAnsi="Arial"/>
          <w:sz w:val="19"/>
          <w:szCs w:val="19"/>
          <w:color w:val="auto"/>
        </w:rPr>
        <w:t>The replacement of a Lender pursuant to this Clause shall be subject to the following conditions:</w:t>
      </w:r>
    </w:p>
    <w:p>
      <w:pPr>
        <w:spacing w:after="0" w:line="254" w:lineRule="exact"/>
        <w:rPr>
          <w:sz w:val="20"/>
          <w:szCs w:val="20"/>
          <w:color w:val="auto"/>
        </w:rPr>
      </w:pPr>
    </w:p>
    <w:p>
      <w:pPr>
        <w:ind w:left="1960" w:right="20" w:hanging="655"/>
        <w:spacing w:after="0" w:line="263" w:lineRule="auto"/>
        <w:tabs>
          <w:tab w:leader="none" w:pos="196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neither the Intercreditor Agent nor the Lender shall have any obligation to the Company to find a Replacement Lender;</w:t>
      </w:r>
    </w:p>
    <w:p>
      <w:pPr>
        <w:sectPr>
          <w:pgSz w:w="11900" w:h="16838" w:orient="portrait"/>
          <w:cols w:equalWidth="0" w:num="1">
            <w:col w:w="11420"/>
          </w:cols>
          <w:pgMar w:left="240" w:top="166" w:right="239" w:bottom="0" w:gutter="0" w:footer="0" w:header="0"/>
        </w:sectPr>
      </w:pPr>
    </w:p>
    <w:bookmarkStart w:id="164" w:name="page165"/>
    <w:bookmarkEnd w:id="164"/>
    <w:p>
      <w:pPr>
        <w:ind w:left="1960" w:hanging="655"/>
        <w:spacing w:after="0" w:line="263" w:lineRule="auto"/>
        <w:tabs>
          <w:tab w:leader="none" w:pos="19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such replacement of a Non-Consenting Lender must take place no later than 60 days after the date the Lender was deemed a Non-Consenting Lender under Clause 8.8.3; and</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 no event shall the Lender replaced under this Clause 8.8.2 be required to pay or surrender to such Replacement Lender any of the fees previously received by such Lender pursuant to the Senior Finance Documents.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8.8.3</w:t>
      </w:r>
      <w:r>
        <w:rPr>
          <w:sz w:val="20"/>
          <w:szCs w:val="20"/>
          <w:color w:val="auto"/>
        </w:rPr>
        <w:tab/>
      </w:r>
      <w:r>
        <w:rPr>
          <w:rFonts w:ascii="Arial" w:cs="Arial" w:eastAsia="Arial" w:hAnsi="Arial"/>
          <w:sz w:val="19"/>
          <w:szCs w:val="19"/>
          <w:color w:val="auto"/>
        </w:rPr>
        <w:t>In the event that:</w:t>
      </w:r>
    </w:p>
    <w:p>
      <w:pPr>
        <w:spacing w:after="0" w:line="254" w:lineRule="exact"/>
        <w:rPr>
          <w:sz w:val="20"/>
          <w:szCs w:val="20"/>
          <w:color w:val="auto"/>
        </w:rPr>
      </w:pPr>
    </w:p>
    <w:p>
      <w:pPr>
        <w:jc w:val="both"/>
        <w:ind w:left="1960" w:hanging="655"/>
        <w:spacing w:after="0" w:line="271" w:lineRule="auto"/>
        <w:tabs>
          <w:tab w:leader="none" w:pos="19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Intercreditor Agent (at the request of the Company) has pursuant to sub-clause 33.1.2 of Clause 33.1 (</w:t>
      </w:r>
      <w:r>
        <w:rPr>
          <w:rFonts w:ascii="Arial" w:cs="Arial" w:eastAsia="Arial" w:hAnsi="Arial"/>
          <w:sz w:val="21"/>
          <w:szCs w:val="21"/>
          <w:i w:val="1"/>
          <w:iCs w:val="1"/>
          <w:color w:val="auto"/>
        </w:rPr>
        <w:t>Notices of Required Decisions</w:t>
      </w:r>
      <w:r>
        <w:rPr>
          <w:rFonts w:ascii="Arial" w:cs="Arial" w:eastAsia="Arial" w:hAnsi="Arial"/>
          <w:sz w:val="21"/>
          <w:szCs w:val="21"/>
          <w:color w:val="auto"/>
        </w:rPr>
        <w:t>) notified the relevant Senior Secured Creditors of a Decision required in respect of a waiver or amendment of any provisions of the Senior Finance Documents;</w:t>
      </w:r>
    </w:p>
    <w:p>
      <w:pPr>
        <w:spacing w:after="0" w:line="167" w:lineRule="exact"/>
        <w:rPr>
          <w:rFonts w:ascii="Arial" w:cs="Arial" w:eastAsia="Arial" w:hAnsi="Arial"/>
          <w:sz w:val="21"/>
          <w:szCs w:val="21"/>
          <w:color w:val="auto"/>
        </w:rPr>
      </w:pPr>
    </w:p>
    <w:p>
      <w:pPr>
        <w:jc w:val="both"/>
        <w:ind w:left="1960" w:right="20" w:hanging="655"/>
        <w:spacing w:after="0" w:line="253" w:lineRule="auto"/>
        <w:tabs>
          <w:tab w:leader="none" w:pos="196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waiver or amendment in question requires the consent of all Lenders and, after the occurrence of a Hedging Voting Rights Event in relation to a Hedging Counterparty that is continuing, that Hedging Counterparty; and</w:t>
      </w:r>
    </w:p>
    <w:p>
      <w:pPr>
        <w:spacing w:after="0" w:line="185"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Lenders and, after the occurrence and continuation of a Hedging Voting Right Event in relation to any Hedging Counterparty, that Hedging Counterparty, who hold, in aggregate, more than 66 2/3% of the Voting Entitlements of all such Senior Secured Creditors have voted in favour of that Decision,</w:t>
      </w:r>
    </w:p>
    <w:p>
      <w:pPr>
        <w:spacing w:after="0" w:line="162"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then any Lender who does not and continues not to vote in favour of such Decision shall be deemed a "</w:t>
      </w:r>
      <w:r>
        <w:rPr>
          <w:rFonts w:ascii="Arial" w:cs="Arial" w:eastAsia="Arial" w:hAnsi="Arial"/>
          <w:sz w:val="22"/>
          <w:szCs w:val="22"/>
          <w:b w:val="1"/>
          <w:bCs w:val="1"/>
          <w:color w:val="auto"/>
        </w:rPr>
        <w:t>Non-Consenting Lender</w:t>
      </w:r>
      <w:r>
        <w:rPr>
          <w:rFonts w:ascii="Arial" w:cs="Arial" w:eastAsia="Arial" w:hAnsi="Arial"/>
          <w:sz w:val="22"/>
          <w:szCs w:val="22"/>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b w:val="1"/>
          <w:bCs w:val="1"/>
          <w:color w:val="auto"/>
        </w:rPr>
        <w:t>Anti-Terrorism and Restricted Party Events</w:t>
      </w:r>
    </w:p>
    <w:p>
      <w:pPr>
        <w:spacing w:after="0" w:line="226" w:lineRule="exact"/>
        <w:rPr>
          <w:sz w:val="20"/>
          <w:szCs w:val="20"/>
          <w:color w:val="auto"/>
        </w:rPr>
      </w:pPr>
    </w:p>
    <w:p>
      <w:pPr>
        <w:jc w:val="both"/>
        <w:ind w:left="980" w:hanging="324"/>
        <w:spacing w:after="0" w:line="286" w:lineRule="auto"/>
        <w:tabs>
          <w:tab w:leader="none" w:pos="98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If any litigation, governmental, regulatory or other proceedings by OFAC, FinCEN, the Monetary Authority of Macao, the Hong Kong Monetary Authority or any other United States, European Communities, Macau or Hong Kong Governmental Authority (or any divisions of any of them or authority deriving power from any of them) is pending or adversely determined against a Lender (an "</w:t>
      </w:r>
      <w:r>
        <w:rPr>
          <w:rFonts w:ascii="Arial" w:cs="Arial" w:eastAsia="Arial" w:hAnsi="Arial"/>
          <w:sz w:val="19"/>
          <w:szCs w:val="19"/>
          <w:b w:val="1"/>
          <w:bCs w:val="1"/>
          <w:color w:val="auto"/>
        </w:rPr>
        <w:t>Outgoing Lender</w:t>
      </w:r>
      <w:r>
        <w:rPr>
          <w:rFonts w:ascii="Arial" w:cs="Arial" w:eastAsia="Arial" w:hAnsi="Arial"/>
          <w:sz w:val="19"/>
          <w:szCs w:val="19"/>
          <w:color w:val="auto"/>
        </w:rPr>
        <w:t>") as a direct result of that Outgoing Lender's (i) receipt of funds or other property from a Designated Person, (ii) breach of any Anti-Terrorism Law, (iii) breach of any anti-money laundering law or (iv) breach of any anti-corruption law, the Company may on 5 Business Days' prior written notice to the Intercreditor Agent and such Outgoing Lender, replace such Outgoing Lender by requiring such Outgoing Lender to (and such Outgoing Lender shall) transfer pursuant to Clause 21.4 (</w:t>
      </w:r>
      <w:r>
        <w:rPr>
          <w:rFonts w:ascii="Arial" w:cs="Arial" w:eastAsia="Arial" w:hAnsi="Arial"/>
          <w:sz w:val="19"/>
          <w:szCs w:val="19"/>
          <w:i w:val="1"/>
          <w:iCs w:val="1"/>
          <w:color w:val="auto"/>
        </w:rPr>
        <w:t>Assignment and Transfer by Lenders</w:t>
      </w:r>
      <w:r>
        <w:rPr>
          <w:rFonts w:ascii="Arial" w:cs="Arial" w:eastAsia="Arial" w:hAnsi="Arial"/>
          <w:sz w:val="19"/>
          <w:szCs w:val="19"/>
          <w:color w:val="auto"/>
        </w:rPr>
        <w:t>) all (and not part only) of its rights and obligations under this Agreement to a Lender or other bank, financial institution, trust, fund or other entity (an "</w:t>
      </w:r>
      <w:r>
        <w:rPr>
          <w:rFonts w:ascii="Arial" w:cs="Arial" w:eastAsia="Arial" w:hAnsi="Arial"/>
          <w:sz w:val="19"/>
          <w:szCs w:val="19"/>
          <w:b w:val="1"/>
          <w:bCs w:val="1"/>
          <w:color w:val="auto"/>
        </w:rPr>
        <w:t>Incoming Lender</w:t>
      </w:r>
      <w:r>
        <w:rPr>
          <w:rFonts w:ascii="Arial" w:cs="Arial" w:eastAsia="Arial" w:hAnsi="Arial"/>
          <w:sz w:val="19"/>
          <w:szCs w:val="19"/>
          <w:color w:val="auto"/>
        </w:rPr>
        <w:t>") selected by the Company and which is acceptable to the Intercreditor Agent (acting reasonably), which confirms its willingness to assume and does assume all the obligations of the transferring Outgoing Lender (including the assumption of the transferring Outgoing Lender's participations on the same basis as the transferring Outgoing Lender) for a purchase price in cash payable at the time of transfer equal to the outstanding principal amount of such Outgoing Lender's participation in the outstanding Advances and all accrued interest and/or Break Costs and other amounts payable in relation thereto under the Senior Finance Documents.</w:t>
      </w:r>
    </w:p>
    <w:p>
      <w:pPr>
        <w:spacing w:after="0" w:line="159" w:lineRule="exact"/>
        <w:rPr>
          <w:rFonts w:ascii="Arial" w:cs="Arial" w:eastAsia="Arial" w:hAnsi="Arial"/>
          <w:sz w:val="19"/>
          <w:szCs w:val="19"/>
          <w:color w:val="auto"/>
        </w:rPr>
      </w:pPr>
    </w:p>
    <w:p>
      <w:pPr>
        <w:ind w:left="980" w:hanging="324"/>
        <w:spacing w:after="0"/>
        <w:tabs>
          <w:tab w:leader="none" w:pos="98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The replacement of an Outgoing Lender pursuant to this Clause shall be subject to the following conditions:</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03"/>
        </w:numPr>
        <w:rPr>
          <w:rFonts w:ascii="Arial" w:cs="Arial" w:eastAsia="Arial" w:hAnsi="Arial"/>
          <w:sz w:val="22"/>
          <w:szCs w:val="22"/>
          <w:color w:val="auto"/>
        </w:rPr>
      </w:pPr>
      <w:r>
        <w:rPr>
          <w:rFonts w:ascii="Arial" w:cs="Arial" w:eastAsia="Arial" w:hAnsi="Arial"/>
          <w:sz w:val="22"/>
          <w:szCs w:val="22"/>
          <w:color w:val="auto"/>
        </w:rPr>
        <w:t>neither the Intercreditor Agent nor the Outgoing Lender shall have any obligation to the Company to find an Incoming Lender;</w:t>
      </w:r>
    </w:p>
    <w:p>
      <w:pPr>
        <w:spacing w:after="0" w:line="174"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203"/>
        </w:numPr>
        <w:rPr>
          <w:rFonts w:ascii="Arial" w:cs="Arial" w:eastAsia="Arial" w:hAnsi="Arial"/>
          <w:sz w:val="22"/>
          <w:szCs w:val="22"/>
          <w:color w:val="auto"/>
        </w:rPr>
      </w:pPr>
      <w:r>
        <w:rPr>
          <w:rFonts w:ascii="Arial" w:cs="Arial" w:eastAsia="Arial" w:hAnsi="Arial"/>
          <w:sz w:val="22"/>
          <w:szCs w:val="22"/>
          <w:color w:val="auto"/>
        </w:rPr>
        <w:t>in the event of a replacement of an Outgoing Lender such replacement must take place no later than 60 days after the date the Outgoing Lender notifies the Company and the Intercreditor Agent, or the Company notifies the Intercreditor Agent, as the case may be, of the occurrence of any event set out in paragraph (a) above; and</w:t>
      </w:r>
    </w:p>
    <w:p>
      <w:pPr>
        <w:spacing w:after="0" w:line="18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203"/>
        </w:numPr>
        <w:rPr>
          <w:rFonts w:ascii="Arial" w:cs="Arial" w:eastAsia="Arial" w:hAnsi="Arial"/>
          <w:sz w:val="22"/>
          <w:szCs w:val="22"/>
          <w:color w:val="auto"/>
        </w:rPr>
      </w:pPr>
      <w:r>
        <w:rPr>
          <w:rFonts w:ascii="Arial" w:cs="Arial" w:eastAsia="Arial" w:hAnsi="Arial"/>
          <w:sz w:val="22"/>
          <w:szCs w:val="22"/>
          <w:color w:val="auto"/>
        </w:rPr>
        <w:t>in no event shall the Outgoing Lender replaced under this paragraph (b) be required to pay or surrender to such Incoming Lender any of the fees previously received by such Outgoing Lender pursuant to the Senior Finance Documents.</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04"/>
        </w:numPr>
        <w:rPr>
          <w:rFonts w:ascii="Arial" w:cs="Arial" w:eastAsia="Arial" w:hAnsi="Arial"/>
          <w:sz w:val="22"/>
          <w:szCs w:val="22"/>
          <w:color w:val="auto"/>
        </w:rPr>
      </w:pPr>
      <w:r>
        <w:rPr>
          <w:rFonts w:ascii="Arial" w:cs="Arial" w:eastAsia="Arial" w:hAnsi="Arial"/>
          <w:sz w:val="22"/>
          <w:szCs w:val="22"/>
          <w:b w:val="1"/>
          <w:bCs w:val="1"/>
          <w:color w:val="auto"/>
        </w:rPr>
        <w:t>INTEREST, INTEREST PERIODS AND DEFAULT 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Calculation of interest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pay interest under each Facility Agreement at the rate specified in that Facility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Payment of interest</w:t>
      </w:r>
    </w:p>
    <w:p>
      <w:pPr>
        <w:spacing w:after="0" w:line="22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22"/>
          <w:szCs w:val="22"/>
          <w:color w:val="auto"/>
        </w:rPr>
        <w:t>Subject to Clause 9.2.2 below, interest on each Advance shall be due on each Interest Payment Date relating to that Advance.</w:t>
      </w:r>
    </w:p>
    <w:p>
      <w:pPr>
        <w:sectPr>
          <w:pgSz w:w="11900" w:h="16838" w:orient="portrait"/>
          <w:cols w:equalWidth="0" w:num="1">
            <w:col w:w="11420"/>
          </w:cols>
          <w:pgMar w:left="240" w:top="132" w:right="239" w:bottom="0" w:gutter="0" w:footer="0" w:header="0"/>
        </w:sectPr>
      </w:pPr>
    </w:p>
    <w:bookmarkStart w:id="165" w:name="page166"/>
    <w:bookmarkEnd w:id="165"/>
    <w:p>
      <w:pPr>
        <w:spacing w:after="0" w:line="4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22"/>
          <w:szCs w:val="22"/>
          <w:color w:val="auto"/>
        </w:rPr>
        <w:t xml:space="preserve">If an Interest Period for a Revolving Credit Facility Advance is 6 months or longer, interest on that Advance shall be due on the dates falling on three month intervals after the first day of that Interest Period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last such due date shall be brought forward or postponed (as the case may be) so as to coincide with the Interest Payment Date relating to that Advance.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Interest Periods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duration of each Interest Period shall be determined as follows:</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22"/>
          <w:szCs w:val="22"/>
          <w:color w:val="auto"/>
        </w:rPr>
        <w:t>Each Interest Period for a Term Loan Facility Advance shall start on the Advance Date for such Advance or (if already made) on the last day of its preceding Interest Period. A Revolving Credit Facility Advance has one Interest Period only which shall start on the Advance Date for such Advance.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9"/>
          <w:szCs w:val="19"/>
          <w:color w:val="auto"/>
        </w:rPr>
        <w:t>Subject to this Clause 9, the duration of each Interest Period for each Advance under:</w:t>
      </w:r>
    </w:p>
    <w:p>
      <w:pPr>
        <w:spacing w:after="0" w:line="254" w:lineRule="exact"/>
        <w:rPr>
          <w:sz w:val="20"/>
          <w:szCs w:val="20"/>
          <w:color w:val="auto"/>
        </w:rPr>
      </w:pPr>
    </w:p>
    <w:p>
      <w:pPr>
        <w:ind w:left="1960" w:hanging="655"/>
        <w:spacing w:after="0"/>
        <w:tabs>
          <w:tab w:leader="none" w:pos="196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Term Loan Facility shall be one, two, three or six months;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Revolving Credit Facility shall be one, two, three or six months,</w:t>
      </w:r>
    </w:p>
    <w:p>
      <w:pPr>
        <w:spacing w:after="0" w:line="220"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 xml:space="preserve">in each case as the Company may, by not less than five (or, in the case of any Term Loan Facility Advance made on or prior to the Fifth Amendment Effective Date, two) Business Days' prior notice to the Facility Agent for such Facility, select,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Term Loan Facility Advances with the same Advance Date shall have the same Interest Period and, save in the case of each Initial Advance made thereunder, the first Interest Period for each Advance made under a Term Loan Facility shall end on the same day as the end of the current Interest Period of any other outstanding Advance made under the same Facility.</w:t>
      </w:r>
    </w:p>
    <w:p>
      <w:pPr>
        <w:spacing w:after="0" w:line="18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22"/>
          <w:szCs w:val="22"/>
          <w:color w:val="auto"/>
        </w:rPr>
        <w:t>If the Company fails to give such notice of its selection in relation to an Interest Period, the duration of such Interest Period shall, subject to this Clause 9, be 3 months.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9.3.4</w:t>
      </w:r>
      <w:r>
        <w:rPr>
          <w:sz w:val="20"/>
          <w:szCs w:val="20"/>
          <w:color w:val="auto"/>
        </w:rPr>
        <w:tab/>
      </w:r>
      <w:r>
        <w:rPr>
          <w:rFonts w:ascii="Arial" w:cs="Arial" w:eastAsia="Arial" w:hAnsi="Arial"/>
          <w:sz w:val="19"/>
          <w:szCs w:val="19"/>
          <w:color w:val="auto"/>
        </w:rPr>
        <w:t>Any Interest Period which would otherwise extend beyond:</w:t>
      </w:r>
    </w:p>
    <w:p>
      <w:pPr>
        <w:spacing w:after="0" w:line="254" w:lineRule="exact"/>
        <w:rPr>
          <w:sz w:val="20"/>
          <w:szCs w:val="20"/>
          <w:color w:val="auto"/>
        </w:rPr>
      </w:pPr>
    </w:p>
    <w:p>
      <w:pPr>
        <w:ind w:left="1960" w:hanging="655"/>
        <w:spacing w:after="0"/>
        <w:tabs>
          <w:tab w:leader="none" w:pos="19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 Repayment Date (in the case of any Interest Period relating to an Advance under the Term Facility); or</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Revolving Credit Facility Termination Date (in the case of any Interest Period relating to an Advance under a Revolving Credit Facility),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shall be of such duration that it shall end on such date.</w:t>
      </w:r>
    </w:p>
    <w:p>
      <w:pPr>
        <w:spacing w:after="0" w:line="39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9.3.5</w:t>
      </w:r>
      <w:r>
        <w:rPr>
          <w:sz w:val="20"/>
          <w:szCs w:val="20"/>
          <w:color w:val="auto"/>
        </w:rPr>
        <w:tab/>
      </w:r>
      <w:r>
        <w:rPr>
          <w:rFonts w:ascii="Arial" w:cs="Arial" w:eastAsia="Arial" w:hAnsi="Arial"/>
          <w:sz w:val="22"/>
          <w:szCs w:val="22"/>
          <w:color w:val="auto"/>
        </w:rPr>
        <w:t>If two or more Interest Periods relating to Advances in the same currency under the same Term Loan Facility end at the same time, then, on the last day of such Interest Periods, such Advances shall be consolidated into and treated as a single Advance.</w:t>
      </w:r>
    </w:p>
    <w:p>
      <w:pPr>
        <w:spacing w:after="0" w:line="321"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18"/>
          <w:szCs w:val="18"/>
          <w:color w:val="auto"/>
        </w:rPr>
        <w:t>9.3.6</w:t>
      </w:r>
      <w:r>
        <w:rPr>
          <w:sz w:val="20"/>
          <w:szCs w:val="20"/>
          <w:color w:val="auto"/>
        </w:rPr>
        <w:tab/>
      </w:r>
      <w:r>
        <w:rPr>
          <w:rFonts w:ascii="Arial" w:cs="Arial" w:eastAsia="Arial" w:hAnsi="Arial"/>
          <w:sz w:val="21"/>
          <w:szCs w:val="21"/>
          <w:color w:val="auto"/>
        </w:rPr>
        <w:t>The Company shall use reasonable efforts to at all times select the duration of Interest Periods so as to ensure that, in respect of such of the Advances outstanding under the Facilities as is from time to time equal to the Notional Amounts specified in the Hedging Agreements or, as the case may be, any Permitted Swap Transaction (to the extent that such Permitted Swap Transaction relates to hedging an Obligor's exposure to interest rate fluctuations under the Term Loan Facilities), the Interest Payment Dates for such Advances coincide with (and are no more frequent than) the selected dates for payment of amounts to the Company under the Hedging Agreements or, if applicable, a Permitted Swap Transaction.</w:t>
      </w:r>
    </w:p>
    <w:p>
      <w:pPr>
        <w:spacing w:after="0" w:line="316"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18"/>
          <w:szCs w:val="18"/>
          <w:color w:val="auto"/>
        </w:rPr>
        <w:t>9.3.7</w:t>
      </w:r>
      <w:r>
        <w:rPr>
          <w:sz w:val="20"/>
          <w:szCs w:val="20"/>
          <w:color w:val="auto"/>
        </w:rPr>
        <w:tab/>
      </w:r>
      <w:r>
        <w:rPr>
          <w:rFonts w:ascii="Arial" w:cs="Arial" w:eastAsia="Arial" w:hAnsi="Arial"/>
          <w:sz w:val="21"/>
          <w:szCs w:val="21"/>
          <w:color w:val="auto"/>
        </w:rPr>
        <w:t>Any Interest Period which would end on a day which is not a Business Day shall be extended to the next Business Day in that calendar month (if there is one) or the preceding Business Day (if there is not).</w:t>
      </w:r>
    </w:p>
    <w:p>
      <w:pPr>
        <w:spacing w:after="0" w:line="28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9.3.8</w:t>
      </w:r>
      <w:r>
        <w:rPr>
          <w:sz w:val="20"/>
          <w:szCs w:val="20"/>
          <w:color w:val="auto"/>
        </w:rPr>
        <w:tab/>
      </w:r>
      <w:r>
        <w:rPr>
          <w:rFonts w:ascii="Arial" w:cs="Arial" w:eastAsia="Arial" w:hAnsi="Arial"/>
          <w:sz w:val="22"/>
          <w:szCs w:val="22"/>
          <w:color w:val="auto"/>
        </w:rPr>
        <w:t>Interest on an Advance shall accrue from and including the first day of an Interest Period relating to such Advance up to but excluding the last day of such Interest Period.</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Default interest</w:t>
      </w:r>
    </w:p>
    <w:p>
      <w:pPr>
        <w:spacing w:after="0" w:line="22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9"/>
          <w:szCs w:val="19"/>
          <w:color w:val="auto"/>
        </w:rPr>
        <w:t>If the Company fails to pay any amount payable by it under a Senior Finance Document on its due date, interest shall accrue on such Unpaid Sum from the due date up to the date of actual payment (both before and after judgment) at a rate which, subject to sub-clause 9.4.2 below, is 2% higher than the rate which would have been payable if the Unpaid Sum had, during the period of non-payment, constituted an Advance under the relevant Facility Agreement in the currency of the overdue amount (or, where there is no such relevant Facility Agreement, an Advance in the relevant currency under the Term Facility Agreement) for successive Interest Periods, each of a duration selected by the relevant Facility Agent (each acting reasonably). Any interest accruing under this sub-</w:t>
      </w:r>
    </w:p>
    <w:p>
      <w:pPr>
        <w:sectPr>
          <w:pgSz w:w="11900" w:h="16887" w:orient="portrait"/>
          <w:cols w:equalWidth="0" w:num="1">
            <w:col w:w="11420"/>
          </w:cols>
          <w:pgMar w:left="240" w:top="132" w:right="239" w:bottom="0" w:gutter="0" w:footer="0" w:header="0"/>
        </w:sectPr>
      </w:pPr>
    </w:p>
    <w:bookmarkStart w:id="166" w:name="page167"/>
    <w:bookmarkEnd w:id="166"/>
    <w:p>
      <w:pPr>
        <w:spacing w:after="0" w:line="39"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clause 9.4.1 shall be immediately payable by the Company on demand in writing by the Intercreditor Agent or the relevant Facility Agent.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9"/>
          <w:szCs w:val="19"/>
          <w:color w:val="auto"/>
        </w:rPr>
        <w:t>If any Unpaid Sum consists of all or part of an Advance which became due on a day which was not the last day of an</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Period relating to that Advance:</w:t>
      </w:r>
    </w:p>
    <w:p>
      <w:pPr>
        <w:spacing w:after="0" w:line="202" w:lineRule="exact"/>
        <w:rPr>
          <w:sz w:val="20"/>
          <w:szCs w:val="20"/>
          <w:color w:val="auto"/>
        </w:rPr>
      </w:pPr>
    </w:p>
    <w:p>
      <w:pPr>
        <w:ind w:left="1960" w:hanging="655"/>
        <w:spacing w:after="0" w:line="263" w:lineRule="auto"/>
        <w:tabs>
          <w:tab w:leader="none" w:pos="196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first Interest Period for that Unpaid Sum shall have a duration equal to the unexpired portion of the current Interest Period relating to that Advance; and</w:t>
      </w:r>
    </w:p>
    <w:p>
      <w:pPr>
        <w:spacing w:after="0" w:line="174"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the rate of interest applying to the Unpaid Sum during that first Interest Period shall be 2% per annum higher than the rate which would have applied if the overdue amount had not become due.</w:t>
      </w:r>
    </w:p>
    <w:p>
      <w:pPr>
        <w:spacing w:after="0" w:line="152"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9.4.3</w:t>
      </w:r>
      <w:r>
        <w:rPr>
          <w:sz w:val="20"/>
          <w:szCs w:val="20"/>
          <w:color w:val="auto"/>
        </w:rPr>
        <w:tab/>
      </w:r>
      <w:r>
        <w:rPr>
          <w:rFonts w:ascii="Arial" w:cs="Arial" w:eastAsia="Arial" w:hAnsi="Arial"/>
          <w:sz w:val="21"/>
          <w:szCs w:val="21"/>
          <w:color w:val="auto"/>
        </w:rPr>
        <w:t>Default interest (if unpaid) arising on an Unpaid Sum shall be compounded with the Unpaid Sum at the end of each Interest Period applicable to that Unpaid Sum but shall remain immediately due and payable.</w:t>
      </w:r>
    </w:p>
    <w:p>
      <w:pPr>
        <w:spacing w:after="0" w:line="146"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22"/>
          <w:szCs w:val="22"/>
          <w:color w:val="auto"/>
        </w:rPr>
      </w:pPr>
      <w:r>
        <w:rPr>
          <w:rFonts w:ascii="Arial" w:cs="Arial" w:eastAsia="Arial" w:hAnsi="Arial"/>
          <w:sz w:val="22"/>
          <w:szCs w:val="22"/>
          <w:b w:val="1"/>
          <w:bCs w:val="1"/>
          <w:color w:val="auto"/>
        </w:rPr>
        <w:t>CHANGES TO THE CALCULATION OF 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8"/>
          <w:szCs w:val="18"/>
          <w:b w:val="1"/>
          <w:bCs w:val="1"/>
          <w:color w:val="auto"/>
        </w:rPr>
        <w:t>Absence of quotations</w:t>
      </w:r>
    </w:p>
    <w:p>
      <w:pPr>
        <w:spacing w:after="0" w:line="2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Subject to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Market disruption</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22"/>
          <w:szCs w:val="22"/>
          <w:color w:val="auto"/>
        </w:rPr>
        <w:t>If a Market Disruption Event occurs in relation to an Advance under a Facility for any Interest Period, the relevant Facility Agent shall promptly notify the Intercreditor Agent of the fact and that this Clause 10.2 is in operation and the Intercreditor Agent shall promptly notify the Company and the other Lenders.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9"/>
          <w:szCs w:val="19"/>
          <w:color w:val="auto"/>
        </w:rPr>
        <w:t>For the purpose of this Clause 10.2, "</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w:t>
      </w:r>
    </w:p>
    <w:p>
      <w:pPr>
        <w:spacing w:after="0" w:line="260" w:lineRule="exact"/>
        <w:rPr>
          <w:sz w:val="20"/>
          <w:szCs w:val="20"/>
          <w:color w:val="auto"/>
        </w:rPr>
      </w:pPr>
    </w:p>
    <w:p>
      <w:pPr>
        <w:ind w:left="1960" w:hanging="655"/>
        <w:spacing w:after="0"/>
        <w:tabs>
          <w:tab w:leader="none" w:pos="19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the case of a US dollar Advance:</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22"/>
          <w:szCs w:val="22"/>
          <w:i w:val="1"/>
          <w:iCs w:val="1"/>
          <w:color w:val="auto"/>
        </w:rPr>
        <w:t>Absence of</w:t>
      </w:r>
      <w:r>
        <w:rPr>
          <w:rFonts w:ascii="Arial" w:cs="Arial" w:eastAsia="Arial" w:hAnsi="Arial"/>
          <w:sz w:val="22"/>
          <w:szCs w:val="22"/>
          <w:color w:val="auto"/>
        </w:rPr>
        <w:t xml:space="preserve"> </w:t>
      </w:r>
      <w:r>
        <w:rPr>
          <w:rFonts w:ascii="Arial" w:cs="Arial" w:eastAsia="Arial" w:hAnsi="Arial"/>
          <w:sz w:val="22"/>
          <w:szCs w:val="22"/>
          <w:i w:val="1"/>
          <w:iCs w:val="1"/>
          <w:color w:val="auto"/>
        </w:rPr>
        <w:t>quotations</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1"/>
          <w:numId w:val="209"/>
        </w:numPr>
        <w:rPr>
          <w:rFonts w:ascii="Arial" w:cs="Arial" w:eastAsia="Arial" w:hAnsi="Arial"/>
          <w:sz w:val="21"/>
          <w:szCs w:val="21"/>
          <w:color w:val="auto"/>
        </w:rPr>
      </w:pPr>
      <w:r>
        <w:rPr>
          <w:rFonts w:ascii="Arial" w:cs="Arial" w:eastAsia="Arial" w:hAnsi="Arial"/>
          <w:sz w:val="21"/>
          <w:szCs w:val="21"/>
          <w:color w:val="auto"/>
        </w:rPr>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175" w:lineRule="exact"/>
        <w:rPr>
          <w:rFonts w:ascii="Arial" w:cs="Arial" w:eastAsia="Arial" w:hAnsi="Arial"/>
          <w:sz w:val="21"/>
          <w:szCs w:val="21"/>
          <w:color w:val="auto"/>
        </w:rPr>
      </w:pPr>
    </w:p>
    <w:p>
      <w:pPr>
        <w:ind w:left="1960" w:hanging="655"/>
        <w:spacing w:after="0"/>
        <w:tabs>
          <w:tab w:leader="none" w:pos="19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the case of a HK dollar Advance:</w:t>
      </w:r>
    </w:p>
    <w:p>
      <w:pPr>
        <w:spacing w:after="0" w:line="219" w:lineRule="exact"/>
        <w:rPr>
          <w:rFonts w:ascii="Arial" w:cs="Arial" w:eastAsia="Arial" w:hAnsi="Arial"/>
          <w:sz w:val="22"/>
          <w:szCs w:val="22"/>
          <w:color w:val="auto"/>
        </w:rPr>
      </w:pPr>
    </w:p>
    <w:p>
      <w:pPr>
        <w:jc w:val="both"/>
        <w:ind w:left="2600" w:right="20" w:hanging="647"/>
        <w:spacing w:after="0" w:line="253" w:lineRule="auto"/>
        <w:tabs>
          <w:tab w:leader="none" w:pos="260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22"/>
          <w:szCs w:val="22"/>
          <w:i w:val="1"/>
          <w:iCs w:val="1"/>
          <w:color w:val="auto"/>
        </w:rPr>
        <w:t>Absence of</w:t>
      </w:r>
      <w:r>
        <w:rPr>
          <w:rFonts w:ascii="Arial" w:cs="Arial" w:eastAsia="Arial" w:hAnsi="Arial"/>
          <w:sz w:val="22"/>
          <w:szCs w:val="22"/>
          <w:color w:val="auto"/>
        </w:rPr>
        <w:t xml:space="preserve"> </w:t>
      </w:r>
      <w:r>
        <w:rPr>
          <w:rFonts w:ascii="Arial" w:cs="Arial" w:eastAsia="Arial" w:hAnsi="Arial"/>
          <w:sz w:val="22"/>
          <w:szCs w:val="22"/>
          <w:i w:val="1"/>
          <w:iCs w:val="1"/>
          <w:color w:val="auto"/>
        </w:rPr>
        <w:t>quotations</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jc w:val="both"/>
        <w:ind w:left="2600" w:hanging="647"/>
        <w:spacing w:after="0" w:line="265" w:lineRule="auto"/>
        <w:tabs>
          <w:tab w:leader="none" w:pos="2600" w:val="left"/>
        </w:tabs>
        <w:numPr>
          <w:ilvl w:val="1"/>
          <w:numId w:val="209"/>
        </w:numPr>
        <w:rPr>
          <w:rFonts w:ascii="Arial" w:cs="Arial" w:eastAsia="Arial" w:hAnsi="Arial"/>
          <w:sz w:val="21"/>
          <w:szCs w:val="21"/>
          <w:color w:val="auto"/>
        </w:rPr>
      </w:pPr>
      <w:r>
        <w:rPr>
          <w:rFonts w:ascii="Arial" w:cs="Arial" w:eastAsia="Arial" w:hAnsi="Arial"/>
          <w:sz w:val="21"/>
          <w:szCs w:val="21"/>
          <w:color w:val="auto"/>
        </w:rPr>
        <w:t>before the close of business in Hong Kong on the Quotation Day for the relevant Interest Period, the Intercreditor Agent has been notified by a Lender or Lenders (whose participations in such Advance exceed 50 per cent of the Advance) that the cost to it/them of obtaining matching deposits in the Hong Kong interbank market would be in excess of HIBOR.</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21"/>
          <w:szCs w:val="21"/>
          <w:color w:val="auto"/>
        </w:rPr>
        <w:t>Within five Business Days of the Intercreditor Agent notifying the Company in accordance with sub-clause 10.2.1 above, the Company and the Intercreditor Agent shall enter into good faith negotiations for a period of up to thirty days with a view to agreeing an alternative basis for determining the rate of interest applicable to the relevant Advances. Any alternative basis agreed shall be binding on all parties hereto until (subject to the terms of such agreement) the Market Disruption Event referred to in sub-clause 10.2.1 above is at an end and the Intercreditor Agent has notified the Facility Agents and the Company accordingly.</w:t>
      </w:r>
    </w:p>
    <w:p>
      <w:pPr>
        <w:spacing w:after="0" w:line="180"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9"/>
          <w:szCs w:val="19"/>
          <w:color w:val="auto"/>
        </w:rPr>
        <w:t>If no alternative basis is agreed pursuant to sub-clause 10.2.3 above by the earlier of (i) the thirty-day period provided in sub-clause 10.2.3 above and (ii) the Advance Date (where the notification under sub-clause 10.2.1 applies to any Advance which has not been made) or the last day of the Interest Period (where the notification under</w:t>
      </w:r>
    </w:p>
    <w:p>
      <w:pPr>
        <w:sectPr>
          <w:pgSz w:w="11900" w:h="16877" w:orient="portrait"/>
          <w:cols w:equalWidth="0" w:num="1">
            <w:col w:w="11420"/>
          </w:cols>
          <w:pgMar w:left="240" w:top="132" w:right="239" w:bottom="0" w:gutter="0" w:footer="0" w:header="0"/>
        </w:sectPr>
      </w:pPr>
    </w:p>
    <w:bookmarkStart w:id="167" w:name="page168"/>
    <w:bookmarkEnd w:id="167"/>
    <w:p>
      <w:pPr>
        <w:jc w:val="both"/>
        <w:ind w:left="1300"/>
        <w:spacing w:after="0" w:line="292" w:lineRule="auto"/>
        <w:rPr>
          <w:sz w:val="20"/>
          <w:szCs w:val="20"/>
          <w:color w:val="auto"/>
        </w:rPr>
      </w:pPr>
      <w:r>
        <w:rPr>
          <w:rFonts w:ascii="Arial" w:cs="Arial" w:eastAsia="Arial" w:hAnsi="Arial"/>
          <w:sz w:val="19"/>
          <w:szCs w:val="19"/>
          <w:color w:val="auto"/>
        </w:rPr>
        <w:t>sub-clause 10.2.1 applies to an Advance which is outstanding), then each Lender participating in the relevant Advance shall, acting reasonably, certify an alternative basis for maintaining its participation in 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 Advance. Each alternative basis so certified shall be binding on the Company and the certifying Lender and treated as part of this Agreement and the relevant Facility Agreement.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Break Costs</w:t>
      </w:r>
    </w:p>
    <w:p>
      <w:pPr>
        <w:spacing w:after="0" w:line="226"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21"/>
          <w:szCs w:val="21"/>
          <w:color w:val="auto"/>
        </w:rPr>
        <w:t>The Company shall, within three Business Days of demand by a Senior Secured Creditor, pay to that Senior Secured Creditor its Break Costs attributable to all or any part of an Advance or Unpaid Sum being paid by the Company on a day other than an Interest Payment Date for that Advance or Unpaid Sum.</w:t>
      </w:r>
    </w:p>
    <w:p>
      <w:pPr>
        <w:spacing w:after="0" w:line="168"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22"/>
          <w:szCs w:val="22"/>
          <w:color w:val="auto"/>
        </w:rPr>
        <w:t>Each Lender shall, as soon as reasonably practicable after a demand by the Intercreditor Agent or the Company, provide a certificate confirming the amount and providing reasonable supporting evidence of its Break Costs for any Interest Period in which they accrue.</w:t>
      </w:r>
    </w:p>
    <w:p>
      <w:pPr>
        <w:spacing w:after="0" w:line="180"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22"/>
          <w:szCs w:val="22"/>
          <w:color w:val="auto"/>
        </w:rPr>
      </w:pPr>
      <w:r>
        <w:rPr>
          <w:rFonts w:ascii="Arial" w:cs="Arial" w:eastAsia="Arial" w:hAnsi="Arial"/>
          <w:sz w:val="22"/>
          <w:szCs w:val="22"/>
          <w:b w:val="1"/>
          <w:bCs w:val="1"/>
          <w:color w:val="auto"/>
        </w:rPr>
        <w:t>TAX GROSS UP AND INDEMNITIES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Construction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Unless a contrary indication appears, in this Clause 11 a reference to "determines" or "determined" means a determination made in the absolute discretion of the Person making the determination.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b w:val="1"/>
          <w:bCs w:val="1"/>
          <w:color w:val="auto"/>
        </w:rPr>
        <w:t>Tax gross-up</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22"/>
          <w:szCs w:val="22"/>
          <w:color w:val="auto"/>
        </w:rPr>
        <w:t>The Company shall make all payments to be made by it under the Senior Finance Documents without any Tax Deduction, unless a Tax Deduction is required by law.</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21"/>
          <w:szCs w:val="21"/>
          <w:color w:val="auto"/>
        </w:rPr>
        <w:t>The Company or a Senior Secured Creditor shall promptly upon becoming aware that it must make a Tax Deduction (or that there is any change in the rate or the basis of a Tax Deduction) notify the Intercreditor Agent accordingly. Similarly, a Senior Secured Creditor shall notify the Intercreditor Agent on becoming so aware in respect of a payment payable to that Senior Secured Creditor. If the Intercreditor Agent receives such notification from a Senior Secured Creditor it shall promptly notify the Company.</w:t>
      </w:r>
    </w:p>
    <w:p>
      <w:pPr>
        <w:spacing w:after="0" w:line="17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22"/>
          <w:szCs w:val="22"/>
          <w:color w:val="auto"/>
        </w:rPr>
        <w:t>If a Tax Deduction is required by law to be made by the Company, the amount of the payment due from the Company shall be increased to an amount which (after making any Tax Deduction) leaves an amount equal to the amount which would have been due if no Tax Deduction had been required.</w:t>
      </w:r>
    </w:p>
    <w:p>
      <w:pPr>
        <w:spacing w:after="0" w:line="186" w:lineRule="exact"/>
        <w:rPr>
          <w:sz w:val="20"/>
          <w:szCs w:val="20"/>
          <w:color w:val="auto"/>
        </w:rPr>
      </w:pPr>
    </w:p>
    <w:p>
      <w:pPr>
        <w:jc w:val="both"/>
        <w:ind w:left="1300" w:right="20" w:hanging="647"/>
        <w:spacing w:after="0" w:line="343" w:lineRule="auto"/>
        <w:tabs>
          <w:tab w:leader="none" w:pos="128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9"/>
          <w:szCs w:val="19"/>
          <w:color w:val="auto"/>
        </w:rPr>
        <w:t>If the Company is required to make a Tax Deduction, it shall make that Tax Deduction and any payment required in connection with that Tax Deduction within the time allowed and in the minimum amount required by law.</w:t>
      </w:r>
    </w:p>
    <w:p>
      <w:pPr>
        <w:spacing w:after="0" w:line="105" w:lineRule="exact"/>
        <w:rPr>
          <w:sz w:val="20"/>
          <w:szCs w:val="20"/>
          <w:color w:val="auto"/>
        </w:rPr>
      </w:pPr>
    </w:p>
    <w:p>
      <w:pPr>
        <w:jc w:val="both"/>
        <w:ind w:left="1300" w:hanging="647"/>
        <w:spacing w:after="0" w:line="279" w:lineRule="auto"/>
        <w:rPr>
          <w:sz w:val="20"/>
          <w:szCs w:val="20"/>
          <w:color w:val="auto"/>
        </w:rPr>
      </w:pPr>
      <w:r>
        <w:rPr>
          <w:rFonts w:ascii="Arial" w:cs="Arial" w:eastAsia="Arial" w:hAnsi="Arial"/>
          <w:sz w:val="17"/>
          <w:szCs w:val="17"/>
          <w:color w:val="auto"/>
        </w:rPr>
        <w:t xml:space="preserve">11.2.10 </w:t>
      </w:r>
      <w:r>
        <w:rPr>
          <w:rFonts w:ascii="Arial" w:cs="Arial" w:eastAsia="Arial" w:hAnsi="Arial"/>
          <w:sz w:val="20"/>
          <w:szCs w:val="20"/>
          <w:color w:val="auto"/>
        </w:rPr>
        <w:t>Within 30 days of making either a Tax Deduction or any payment required in connection with that Tax Deduction,</w:t>
      </w:r>
      <w:r>
        <w:rPr>
          <w:rFonts w:ascii="Arial" w:cs="Arial" w:eastAsia="Arial" w:hAnsi="Arial"/>
          <w:sz w:val="17"/>
          <w:szCs w:val="17"/>
          <w:color w:val="auto"/>
        </w:rPr>
        <w:t xml:space="preserve"> </w:t>
      </w:r>
      <w:r>
        <w:rPr>
          <w:rFonts w:ascii="Arial" w:cs="Arial" w:eastAsia="Arial" w:hAnsi="Arial"/>
          <w:sz w:val="20"/>
          <w:szCs w:val="20"/>
          <w:color w:val="auto"/>
        </w:rPr>
        <w:t>the Company shall deliver to the Intercreditor Agent the payment evidence reasonably satisfactory to the relevant Senior Secured Creditor that the Tax Deduction has been made or (as applicable) any appropriate payment paid to the relevant taxing authority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Company shall not be obliged to provide any such evidence from a Governmental Authority to the extent that it is not provided by such Governmental Authority).</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color w:val="auto"/>
        </w:rPr>
        <w:t>Tax indemnity</w:t>
      </w:r>
    </w:p>
    <w:p>
      <w:pPr>
        <w:spacing w:after="0" w:line="22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9"/>
          <w:szCs w:val="19"/>
          <w:color w:val="auto"/>
        </w:rPr>
        <w:t>The Company shall (within fifteen days of demand by the Intercreditor Agent) pay to a Senior Secured Creditor an amount equal to the loss, liability or cost which that Senior Secured Creditor determines has been (directly or indirectly) suffered for or on account of Tax by that Senior Secured Creditor in respect of a Senior Finance Document including Tax arising on payment of any premia or other sums payable on an Ancillary Finance Document whether or not such payment is required to be made by such Senior Secured Creditor.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9"/>
          <w:szCs w:val="19"/>
          <w:color w:val="auto"/>
        </w:rPr>
        <w:t>Sub-clause 11.3.1 above shall not apply:</w:t>
      </w:r>
    </w:p>
    <w:p>
      <w:pPr>
        <w:spacing w:after="0" w:line="254" w:lineRule="exact"/>
        <w:rPr>
          <w:sz w:val="20"/>
          <w:szCs w:val="20"/>
          <w:color w:val="auto"/>
        </w:rPr>
      </w:pPr>
    </w:p>
    <w:p>
      <w:pPr>
        <w:ind w:left="1960" w:hanging="655"/>
        <w:spacing w:after="0"/>
        <w:tabs>
          <w:tab w:leader="none" w:pos="196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with respect to any Tax assessed on a Senior Secured Creditor:</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under the law of the jurisdiction in which that Senior Secured Creditor is incorporated or, if different, the jurisdiction (or jurisdictions) in which that Senior Secured Creditor is treated as resident for tax purposes; or</w:t>
      </w:r>
    </w:p>
    <w:p>
      <w:pPr>
        <w:spacing w:after="0" w:line="185"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under the law of the jurisdiction in which that Senior Secured Creditor's Facility Office is located in respect of amounts received or receivable in that jurisdiction,</w:t>
      </w:r>
    </w:p>
    <w:p>
      <w:pPr>
        <w:sectPr>
          <w:pgSz w:w="11900" w:h="16838" w:orient="portrait"/>
          <w:cols w:equalWidth="0" w:num="1">
            <w:col w:w="11420"/>
          </w:cols>
          <w:pgMar w:left="240" w:top="132" w:right="239" w:bottom="0" w:gutter="0" w:footer="0" w:header="0"/>
        </w:sectPr>
      </w:pPr>
    </w:p>
    <w:bookmarkStart w:id="168" w:name="page169"/>
    <w:bookmarkEnd w:id="168"/>
    <w:p>
      <w:pPr>
        <w:ind w:left="1960"/>
        <w:spacing w:after="0" w:line="263" w:lineRule="auto"/>
        <w:rPr>
          <w:sz w:val="20"/>
          <w:szCs w:val="20"/>
          <w:color w:val="auto"/>
        </w:rPr>
      </w:pPr>
      <w:r>
        <w:rPr>
          <w:rFonts w:ascii="Arial" w:cs="Arial" w:eastAsia="Arial" w:hAnsi="Arial"/>
          <w:sz w:val="22"/>
          <w:szCs w:val="22"/>
          <w:color w:val="auto"/>
        </w:rPr>
        <w:t>if that Tax is imposed on or calculated by reference to the net income received or receivable (but not any sum deemed to be received or receivable) by that Senior Secured Creditor; or</w:t>
      </w:r>
    </w:p>
    <w:p>
      <w:pPr>
        <w:spacing w:after="0" w:line="175" w:lineRule="exact"/>
        <w:rPr>
          <w:sz w:val="20"/>
          <w:szCs w:val="20"/>
          <w:color w:val="auto"/>
        </w:rPr>
      </w:pPr>
    </w:p>
    <w:p>
      <w:pPr>
        <w:ind w:left="1960" w:hanging="655"/>
        <w:spacing w:after="0" w:line="263" w:lineRule="auto"/>
        <w:tabs>
          <w:tab w:leader="none" w:pos="19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to the extent a loss, liability or cost is compensated for by an increased payment under Clause 11.2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gross-up</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11.3.10 </w:t>
      </w:r>
      <w:r>
        <w:rPr>
          <w:rFonts w:ascii="Arial" w:cs="Arial" w:eastAsia="Arial" w:hAnsi="Arial"/>
          <w:sz w:val="21"/>
          <w:szCs w:val="21"/>
          <w:color w:val="auto"/>
        </w:rPr>
        <w:t>A Senior Secured Creditor making, or intending to make a claim under sub-clause 11.3.1 above shall promptly</w:t>
      </w:r>
      <w:r>
        <w:rPr>
          <w:rFonts w:ascii="Arial" w:cs="Arial" w:eastAsia="Arial" w:hAnsi="Arial"/>
          <w:sz w:val="18"/>
          <w:szCs w:val="18"/>
          <w:color w:val="auto"/>
        </w:rPr>
        <w:t xml:space="preserve"> </w:t>
      </w:r>
      <w:r>
        <w:rPr>
          <w:rFonts w:ascii="Arial" w:cs="Arial" w:eastAsia="Arial" w:hAnsi="Arial"/>
          <w:sz w:val="21"/>
          <w:szCs w:val="21"/>
          <w:color w:val="auto"/>
        </w:rPr>
        <w:t>notify the Intercreditor Agent of the event which shall give, or has given, rise to the claim, following which the Intercreditor Agent shall promptly notify the Company.</w:t>
      </w:r>
    </w:p>
    <w:p>
      <w:pPr>
        <w:spacing w:after="0" w:line="168" w:lineRule="exact"/>
        <w:rPr>
          <w:sz w:val="20"/>
          <w:szCs w:val="20"/>
          <w:color w:val="auto"/>
        </w:rPr>
      </w:pPr>
    </w:p>
    <w:p>
      <w:pPr>
        <w:jc w:val="both"/>
        <w:ind w:left="1300" w:right="20" w:hanging="647"/>
        <w:spacing w:after="0" w:line="287" w:lineRule="auto"/>
        <w:rPr>
          <w:sz w:val="20"/>
          <w:szCs w:val="20"/>
          <w:color w:val="auto"/>
        </w:rPr>
      </w:pPr>
      <w:r>
        <w:rPr>
          <w:rFonts w:ascii="Arial" w:cs="Arial" w:eastAsia="Arial" w:hAnsi="Arial"/>
          <w:sz w:val="18"/>
          <w:szCs w:val="18"/>
          <w:color w:val="auto"/>
        </w:rPr>
        <w:t xml:space="preserve">11.3.11 </w:t>
      </w:r>
      <w:r>
        <w:rPr>
          <w:rFonts w:ascii="Arial" w:cs="Arial" w:eastAsia="Arial" w:hAnsi="Arial"/>
          <w:sz w:val="21"/>
          <w:szCs w:val="21"/>
          <w:color w:val="auto"/>
        </w:rPr>
        <w:t>A Senior Secured Creditor shall, on receiving a payment from the Company under this Clause 11.3, notify the</w:t>
      </w:r>
      <w:r>
        <w:rPr>
          <w:rFonts w:ascii="Arial" w:cs="Arial" w:eastAsia="Arial" w:hAnsi="Arial"/>
          <w:sz w:val="18"/>
          <w:szCs w:val="18"/>
          <w:color w:val="auto"/>
        </w:rPr>
        <w:t xml:space="preserve"> </w:t>
      </w:r>
      <w:r>
        <w:rPr>
          <w:rFonts w:ascii="Arial" w:cs="Arial" w:eastAsia="Arial" w:hAnsi="Arial"/>
          <w:sz w:val="21"/>
          <w:szCs w:val="21"/>
          <w:color w:val="auto"/>
        </w:rPr>
        <w:t>Intercreditor Agent.</w:t>
      </w:r>
    </w:p>
    <w:p>
      <w:pPr>
        <w:spacing w:after="0" w:line="152"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11.3.12 </w:t>
      </w:r>
      <w:r>
        <w:rPr>
          <w:rFonts w:ascii="Arial" w:cs="Arial" w:eastAsia="Arial" w:hAnsi="Arial"/>
          <w:sz w:val="21"/>
          <w:szCs w:val="21"/>
          <w:color w:val="auto"/>
        </w:rPr>
        <w:t>Each Senior Secured Creditor shall, as soon as practicable after a demand by the Intercreditor Agent, provide a</w:t>
      </w:r>
      <w:r>
        <w:rPr>
          <w:rFonts w:ascii="Arial" w:cs="Arial" w:eastAsia="Arial" w:hAnsi="Arial"/>
          <w:sz w:val="18"/>
          <w:szCs w:val="18"/>
          <w:color w:val="auto"/>
        </w:rPr>
        <w:t xml:space="preserve"> </w:t>
      </w:r>
      <w:r>
        <w:rPr>
          <w:rFonts w:ascii="Arial" w:cs="Arial" w:eastAsia="Arial" w:hAnsi="Arial"/>
          <w:sz w:val="21"/>
          <w:szCs w:val="21"/>
          <w:color w:val="auto"/>
        </w:rPr>
        <w:t>certificate confirming the amount of the loss, liability or cost referred to in sub-clause 11.3.1 above and the basis thereof.</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Tax Credit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Company makes a Tax Payment and the relevant Senior Secured Creditor determines that: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9"/>
          <w:szCs w:val="19"/>
          <w:color w:val="auto"/>
        </w:rPr>
        <w:t>a Tax Credit is attributable to that Tax Payment;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9"/>
          <w:szCs w:val="19"/>
          <w:color w:val="auto"/>
        </w:rPr>
        <w:t>that Senior Secured Creditor has obtained, utilised and retained that Tax Credit,</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Stamp taxes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180"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22"/>
          <w:szCs w:val="22"/>
          <w:color w:val="auto"/>
        </w:rPr>
      </w:pPr>
      <w:r>
        <w:rPr>
          <w:rFonts w:ascii="Arial" w:cs="Arial" w:eastAsia="Arial" w:hAnsi="Arial"/>
          <w:sz w:val="22"/>
          <w:szCs w:val="22"/>
          <w:b w:val="1"/>
          <w:bCs w:val="1"/>
          <w:color w:val="auto"/>
        </w:rPr>
        <w:t>INCREASED COSTS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b w:val="1"/>
          <w:bCs w:val="1"/>
          <w:color w:val="auto"/>
        </w:rPr>
        <w:t>Increased costs</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12.1.11 </w:t>
      </w:r>
      <w:r>
        <w:rPr>
          <w:rFonts w:ascii="Arial" w:cs="Arial" w:eastAsia="Arial" w:hAnsi="Arial"/>
          <w:sz w:val="21"/>
          <w:szCs w:val="21"/>
          <w:color w:val="auto"/>
        </w:rPr>
        <w:t>Subject to Clause 12.3 (</w:t>
      </w:r>
      <w:r>
        <w:rPr>
          <w:rFonts w:ascii="Arial" w:cs="Arial" w:eastAsia="Arial" w:hAnsi="Arial"/>
          <w:sz w:val="21"/>
          <w:szCs w:val="21"/>
          <w:i w:val="1"/>
          <w:iCs w:val="1"/>
          <w:color w:val="auto"/>
        </w:rPr>
        <w:t>Exceptions</w:t>
      </w:r>
      <w:r>
        <w:rPr>
          <w:rFonts w:ascii="Arial" w:cs="Arial" w:eastAsia="Arial" w:hAnsi="Arial"/>
          <w:sz w:val="21"/>
          <w:szCs w:val="21"/>
          <w:color w:val="auto"/>
        </w:rPr>
        <w:t>), the Company shall, within fifteen days of a demand by the Intercreditor Agent,</w:t>
      </w:r>
      <w:r>
        <w:rPr>
          <w:rFonts w:ascii="Arial" w:cs="Arial" w:eastAsia="Arial" w:hAnsi="Arial"/>
          <w:sz w:val="18"/>
          <w:szCs w:val="18"/>
          <w:color w:val="auto"/>
        </w:rPr>
        <w:t xml:space="preserve"> </w:t>
      </w:r>
      <w:r>
        <w:rPr>
          <w:rFonts w:ascii="Arial" w:cs="Arial" w:eastAsia="Arial" w:hAnsi="Arial"/>
          <w:sz w:val="21"/>
          <w:szCs w:val="21"/>
          <w:color w:val="auto"/>
        </w:rPr>
        <w:t>pay for the account of a Lender the amount of any Increased Costs incurred by that Lender or any Affiliate of that Lender as a result of:</w:t>
      </w:r>
    </w:p>
    <w:p>
      <w:pPr>
        <w:spacing w:after="0" w:line="168" w:lineRule="exact"/>
        <w:rPr>
          <w:sz w:val="20"/>
          <w:szCs w:val="20"/>
          <w:color w:val="auto"/>
        </w:rPr>
      </w:pPr>
    </w:p>
    <w:p>
      <w:pPr>
        <w:ind w:left="1960" w:right="20" w:hanging="655"/>
        <w:spacing w:after="0" w:line="263" w:lineRule="auto"/>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introduction of or change in (or in the interpretation, administration or application of) any law or regulation after the Fifth Amendment Signing Date;</w:t>
      </w:r>
    </w:p>
    <w:p>
      <w:pPr>
        <w:spacing w:after="0" w:line="174" w:lineRule="exact"/>
        <w:rPr>
          <w:rFonts w:ascii="Arial" w:cs="Arial" w:eastAsia="Arial" w:hAnsi="Arial"/>
          <w:sz w:val="22"/>
          <w:szCs w:val="22"/>
          <w:color w:val="auto"/>
        </w:rPr>
      </w:pPr>
    </w:p>
    <w:p>
      <w:pPr>
        <w:ind w:left="1960" w:hanging="655"/>
        <w:spacing w:after="0" w:line="343" w:lineRule="auto"/>
        <w:tabs>
          <w:tab w:leader="none" w:pos="196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compliance with any request or requirement relating to the maintenance of capital or any other request from or requirement of any central bank or other fiscal, monetary, regulatory or other authority;</w:t>
      </w:r>
    </w:p>
    <w:p>
      <w:pPr>
        <w:spacing w:after="0" w:line="104"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implementation or application of, or compliance with, Basel III or any law or regulation that implements or applies Basel III; or</w:t>
      </w:r>
    </w:p>
    <w:p>
      <w:pPr>
        <w:spacing w:after="0" w:line="174"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implementation or application of, or compliance with, the Dodd-Frank Wall Street Reform and Consumer Protection Act of the United States of America (whether enacted, adopted or issued before, on or after the date of this Agreement) and/or all requests, rules, guidelines or directives in connection therewith (in each case whether enacted, adopted or issued before, on or after the date of this Agreement) and all amendments thereto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12.1.12 </w:t>
      </w:r>
      <w:r>
        <w:rPr>
          <w:rFonts w:ascii="Arial" w:cs="Arial" w:eastAsia="Arial" w:hAnsi="Arial"/>
          <w:sz w:val="21"/>
          <w:szCs w:val="21"/>
          <w:color w:val="auto"/>
        </w:rPr>
        <w:t>In this Agreement:</w:t>
      </w:r>
    </w:p>
    <w:p>
      <w:pPr>
        <w:spacing w:after="0" w:line="225" w:lineRule="exact"/>
        <w:rPr>
          <w:sz w:val="20"/>
          <w:szCs w:val="20"/>
          <w:color w:val="auto"/>
        </w:rPr>
      </w:pPr>
    </w:p>
    <w:p>
      <w:pPr>
        <w:ind w:left="1960" w:hanging="655"/>
        <w:spacing w:after="0"/>
        <w:tabs>
          <w:tab w:leader="none" w:pos="19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 reduction in the rate of return from a Facility or on a Lender's (or its Affiliate's) overall capital (including as a result of any reduction in the rate of return on capital brought about by more capital being required to be allocated by such Lender or Affiliate);</w:t>
      </w:r>
    </w:p>
    <w:p>
      <w:pPr>
        <w:spacing w:after="0" w:line="185" w:lineRule="exact"/>
        <w:rPr>
          <w:rFonts w:ascii="Arial" w:cs="Arial" w:eastAsia="Arial" w:hAnsi="Arial"/>
          <w:sz w:val="22"/>
          <w:szCs w:val="22"/>
          <w:color w:val="auto"/>
        </w:rPr>
      </w:pPr>
    </w:p>
    <w:p>
      <w:pPr>
        <w:ind w:left="2600" w:hanging="647"/>
        <w:spacing w:after="0"/>
        <w:tabs>
          <w:tab w:leader="none" w:pos="260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an additional or increased cost; or</w:t>
      </w:r>
    </w:p>
    <w:p>
      <w:pPr>
        <w:sectPr>
          <w:pgSz w:w="11900" w:h="16838" w:orient="portrait"/>
          <w:cols w:equalWidth="0" w:num="1">
            <w:col w:w="11420"/>
          </w:cols>
          <w:pgMar w:left="240" w:top="240" w:right="239" w:bottom="0" w:gutter="0" w:footer="0" w:header="0"/>
        </w:sectPr>
      </w:pPr>
    </w:p>
    <w:bookmarkStart w:id="169" w:name="page170"/>
    <w:bookmarkEnd w:id="169"/>
    <w:p>
      <w:pPr>
        <w:ind w:left="2600" w:hanging="647"/>
        <w:spacing w:after="0"/>
        <w:tabs>
          <w:tab w:leader="none" w:pos="260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 reduction of any amount due and payable under any Senior Finance Document,</w:t>
      </w:r>
    </w:p>
    <w:p>
      <w:pPr>
        <w:spacing w:after="0" w:line="22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which is incurred or suffered by a Lender or any of its Affiliates to the extent that it is attributable to that Lender's having entered into or maintaining its commitment or funding or performing its obligations under any Senior Finance Document; and</w:t>
      </w:r>
    </w:p>
    <w:p>
      <w:pPr>
        <w:spacing w:after="0" w:line="180" w:lineRule="exact"/>
        <w:rPr>
          <w:sz w:val="20"/>
          <w:szCs w:val="20"/>
          <w:color w:val="auto"/>
        </w:rPr>
      </w:pPr>
    </w:p>
    <w:p>
      <w:pPr>
        <w:ind w:left="1960" w:hanging="655"/>
        <w:spacing w:after="0"/>
        <w:tabs>
          <w:tab w:leader="none" w:pos="196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III</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jc w:val="both"/>
        <w:ind w:left="2600" w:hanging="647"/>
        <w:spacing w:after="0" w:line="297" w:lineRule="auto"/>
        <w:tabs>
          <w:tab w:leader="none" w:pos="260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147" w:lineRule="exact"/>
        <w:rPr>
          <w:rFonts w:ascii="Arial" w:cs="Arial" w:eastAsia="Arial" w:hAnsi="Arial"/>
          <w:sz w:val="19"/>
          <w:szCs w:val="19"/>
          <w:color w:val="auto"/>
        </w:rPr>
      </w:pPr>
    </w:p>
    <w:p>
      <w:pPr>
        <w:ind w:left="2600" w:right="20" w:hanging="647"/>
        <w:spacing w:after="0" w:line="263" w:lineRule="auto"/>
        <w:tabs>
          <w:tab w:leader="none" w:pos="260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any further guidance or standards published by the Basel Committee on Banking Supervision relating to "Basel III".</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b w:val="1"/>
          <w:bCs w:val="1"/>
          <w:color w:val="auto"/>
        </w:rPr>
        <w:t>Increased cost claims</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18"/>
          <w:szCs w:val="18"/>
          <w:color w:val="auto"/>
        </w:rPr>
        <w:t xml:space="preserve">12.2.13 </w:t>
      </w:r>
      <w:r>
        <w:rPr>
          <w:rFonts w:ascii="Arial" w:cs="Arial" w:eastAsia="Arial" w:hAnsi="Arial"/>
          <w:sz w:val="21"/>
          <w:szCs w:val="21"/>
          <w:color w:val="auto"/>
        </w:rPr>
        <w:t>When a Senior Secured Creditor intends to make a claim pursuant to Clause 12.1 (</w:t>
      </w:r>
      <w:r>
        <w:rPr>
          <w:rFonts w:ascii="Arial" w:cs="Arial" w:eastAsia="Arial" w:hAnsi="Arial"/>
          <w:sz w:val="21"/>
          <w:szCs w:val="21"/>
          <w:i w:val="1"/>
          <w:iCs w:val="1"/>
          <w:color w:val="auto"/>
        </w:rPr>
        <w:t>Increased costs</w:t>
      </w:r>
      <w:r>
        <w:rPr>
          <w:rFonts w:ascii="Arial" w:cs="Arial" w:eastAsia="Arial" w:hAnsi="Arial"/>
          <w:sz w:val="21"/>
          <w:szCs w:val="21"/>
          <w:color w:val="auto"/>
        </w:rPr>
        <w:t>), it shall notify the</w:t>
      </w:r>
      <w:r>
        <w:rPr>
          <w:rFonts w:ascii="Arial" w:cs="Arial" w:eastAsia="Arial" w:hAnsi="Arial"/>
          <w:sz w:val="18"/>
          <w:szCs w:val="18"/>
          <w:color w:val="auto"/>
        </w:rPr>
        <w:t xml:space="preserve"> </w:t>
      </w:r>
      <w:r>
        <w:rPr>
          <w:rFonts w:ascii="Arial" w:cs="Arial" w:eastAsia="Arial" w:hAnsi="Arial"/>
          <w:sz w:val="21"/>
          <w:szCs w:val="21"/>
          <w:color w:val="auto"/>
        </w:rPr>
        <w:t>Intercreditor Agent of the event giving rise to the claim, following which the Intercreditor Agent shall promptly notify the Company.</w:t>
      </w:r>
    </w:p>
    <w:p>
      <w:pPr>
        <w:spacing w:after="0" w:line="168"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12.2.14 </w:t>
      </w:r>
      <w:r>
        <w:rPr>
          <w:rFonts w:ascii="Arial" w:cs="Arial" w:eastAsia="Arial" w:hAnsi="Arial"/>
          <w:sz w:val="21"/>
          <w:szCs w:val="21"/>
          <w:color w:val="auto"/>
        </w:rPr>
        <w:t>Each Senior Secured Creditor shall, as soon as practicable after a demand by the Intercreditor Agent, provide a</w:t>
      </w:r>
      <w:r>
        <w:rPr>
          <w:rFonts w:ascii="Arial" w:cs="Arial" w:eastAsia="Arial" w:hAnsi="Arial"/>
          <w:sz w:val="18"/>
          <w:szCs w:val="18"/>
          <w:color w:val="auto"/>
        </w:rPr>
        <w:t xml:space="preserve"> </w:t>
      </w:r>
      <w:r>
        <w:rPr>
          <w:rFonts w:ascii="Arial" w:cs="Arial" w:eastAsia="Arial" w:hAnsi="Arial"/>
          <w:sz w:val="21"/>
          <w:szCs w:val="21"/>
          <w:color w:val="auto"/>
        </w:rPr>
        <w:t>certificate confirming the amount of its Increased Costs and the basis thereof.</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b w:val="1"/>
          <w:bCs w:val="1"/>
          <w:color w:val="auto"/>
        </w:rPr>
        <w:t>Exceptions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Clause 12.1 (</w:t>
      </w:r>
      <w:r>
        <w:rPr>
          <w:rFonts w:ascii="Arial" w:cs="Arial" w:eastAsia="Arial" w:hAnsi="Arial"/>
          <w:sz w:val="22"/>
          <w:szCs w:val="22"/>
          <w:i w:val="1"/>
          <w:iCs w:val="1"/>
          <w:color w:val="auto"/>
        </w:rPr>
        <w:t>Increased costs</w:t>
      </w:r>
      <w:r>
        <w:rPr>
          <w:rFonts w:ascii="Arial" w:cs="Arial" w:eastAsia="Arial" w:hAnsi="Arial"/>
          <w:sz w:val="22"/>
          <w:szCs w:val="22"/>
          <w:color w:val="auto"/>
        </w:rPr>
        <w:t>) does not apply to the extent any Increased Cost is:</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12.3.3</w:t>
      </w:r>
      <w:r>
        <w:rPr>
          <w:sz w:val="20"/>
          <w:szCs w:val="20"/>
          <w:color w:val="auto"/>
        </w:rPr>
        <w:tab/>
      </w:r>
      <w:r>
        <w:rPr>
          <w:rFonts w:ascii="Arial" w:cs="Arial" w:eastAsia="Arial" w:hAnsi="Arial"/>
          <w:sz w:val="22"/>
          <w:szCs w:val="22"/>
          <w:color w:val="auto"/>
        </w:rPr>
        <w:t>attributable to a Tax Deduction required by law to be made by the Company and compensated for by payment under Clause 11 (</w:t>
      </w:r>
      <w:r>
        <w:rPr>
          <w:rFonts w:ascii="Arial" w:cs="Arial" w:eastAsia="Arial" w:hAnsi="Arial"/>
          <w:sz w:val="22"/>
          <w:szCs w:val="22"/>
          <w:i w:val="1"/>
          <w:iCs w:val="1"/>
          <w:color w:val="auto"/>
        </w:rPr>
        <w:t>Tax Gross Up and Indemnities</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12.3.4</w:t>
      </w:r>
      <w:r>
        <w:rPr>
          <w:sz w:val="20"/>
          <w:szCs w:val="20"/>
          <w:color w:val="auto"/>
        </w:rPr>
        <w:tab/>
      </w:r>
      <w:r>
        <w:rPr>
          <w:rFonts w:ascii="Arial" w:cs="Arial" w:eastAsia="Arial" w:hAnsi="Arial"/>
          <w:sz w:val="22"/>
          <w:szCs w:val="22"/>
          <w:color w:val="auto"/>
        </w:rPr>
        <w:t>compensated for by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(or would have been compensated for under Clause 11.3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indemnity</w:t>
      </w:r>
      <w:r>
        <w:rPr>
          <w:rFonts w:ascii="Arial" w:cs="Arial" w:eastAsia="Arial" w:hAnsi="Arial"/>
          <w:sz w:val="22"/>
          <w:szCs w:val="22"/>
          <w:color w:val="auto"/>
        </w:rPr>
        <w:t>) but was not so compensated solely because one of the exclusions in sub-clause 11.3.2 of Clause 11.3 (</w:t>
      </w:r>
      <w:r>
        <w:rPr>
          <w:rFonts w:ascii="Arial" w:cs="Arial" w:eastAsia="Arial" w:hAnsi="Arial"/>
          <w:sz w:val="22"/>
          <w:szCs w:val="22"/>
          <w:i w:val="1"/>
          <w:iCs w:val="1"/>
          <w:color w:val="auto"/>
        </w:rPr>
        <w:t>Tax indemnity</w:t>
      </w:r>
      <w:r>
        <w:rPr>
          <w:rFonts w:ascii="Arial" w:cs="Arial" w:eastAsia="Arial" w:hAnsi="Arial"/>
          <w:sz w:val="22"/>
          <w:szCs w:val="22"/>
          <w:color w:val="auto"/>
        </w:rPr>
        <w:t>) applied); or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12.3.5</w:t>
      </w:r>
      <w:r>
        <w:rPr>
          <w:sz w:val="20"/>
          <w:szCs w:val="20"/>
          <w:color w:val="auto"/>
        </w:rPr>
        <w:tab/>
      </w:r>
      <w:r>
        <w:rPr>
          <w:rFonts w:ascii="Arial" w:cs="Arial" w:eastAsia="Arial" w:hAnsi="Arial"/>
          <w:sz w:val="19"/>
          <w:szCs w:val="19"/>
          <w:color w:val="auto"/>
        </w:rPr>
        <w:t>attributable to the wilful breach by the relevant Senior Secured Creditor or their Affiliates of any law or regulation.</w:t>
      </w:r>
    </w:p>
    <w:p>
      <w:pPr>
        <w:spacing w:after="0" w:line="248"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22"/>
          <w:szCs w:val="22"/>
          <w:color w:val="auto"/>
        </w:rPr>
      </w:pPr>
      <w:r>
        <w:rPr>
          <w:rFonts w:ascii="Arial" w:cs="Arial" w:eastAsia="Arial" w:hAnsi="Arial"/>
          <w:sz w:val="22"/>
          <w:szCs w:val="22"/>
          <w:b w:val="1"/>
          <w:bCs w:val="1"/>
          <w:color w:val="auto"/>
        </w:rPr>
        <w:t>CURRENCY AND OTHER INDEMNITIES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Currency Indemnity</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any Senior Secured Creditor receives an amount in respect of the Company's liability to that Senior Secured Creditor under any Senior Finance Document or if that liability is converted into a claim, proof, judgment or order in a currency other than the currency (the "</w:t>
      </w:r>
      <w:r>
        <w:rPr>
          <w:rFonts w:ascii="Arial" w:cs="Arial" w:eastAsia="Arial" w:hAnsi="Arial"/>
          <w:sz w:val="22"/>
          <w:szCs w:val="22"/>
          <w:b w:val="1"/>
          <w:bCs w:val="1"/>
          <w:color w:val="auto"/>
        </w:rPr>
        <w:t>contractual currency</w:t>
      </w:r>
      <w:r>
        <w:rPr>
          <w:rFonts w:ascii="Arial" w:cs="Arial" w:eastAsia="Arial" w:hAnsi="Arial"/>
          <w:sz w:val="22"/>
          <w:szCs w:val="22"/>
          <w:color w:val="auto"/>
        </w:rPr>
        <w:t>") in which the amount is expressed to be payable under that Senior Finance Document:</w:t>
      </w:r>
    </w:p>
    <w:p>
      <w:pPr>
        <w:spacing w:after="0" w:line="188"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13.1.15 </w:t>
      </w:r>
      <w:r>
        <w:rPr>
          <w:rFonts w:ascii="Arial" w:cs="Arial" w:eastAsia="Arial" w:hAnsi="Arial"/>
          <w:sz w:val="21"/>
          <w:szCs w:val="21"/>
          <w:color w:val="auto"/>
        </w:rPr>
        <w:t>the Company shall indemnify that Senior Secured Creditor as an independent obligation against any costs, loss or</w:t>
      </w:r>
      <w:r>
        <w:rPr>
          <w:rFonts w:ascii="Arial" w:cs="Arial" w:eastAsia="Arial" w:hAnsi="Arial"/>
          <w:sz w:val="18"/>
          <w:szCs w:val="18"/>
          <w:color w:val="auto"/>
        </w:rPr>
        <w:t xml:space="preserve"> </w:t>
      </w:r>
      <w:r>
        <w:rPr>
          <w:rFonts w:ascii="Arial" w:cs="Arial" w:eastAsia="Arial" w:hAnsi="Arial"/>
          <w:sz w:val="21"/>
          <w:szCs w:val="21"/>
          <w:color w:val="auto"/>
        </w:rPr>
        <w:t>liability arising out of or as a result of the conversion; and</w:t>
      </w:r>
    </w:p>
    <w:p>
      <w:pPr>
        <w:spacing w:after="0" w:line="15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18"/>
          <w:szCs w:val="18"/>
          <w:color w:val="auto"/>
        </w:rPr>
        <w:t xml:space="preserve">13.1.16 </w:t>
      </w:r>
      <w:r>
        <w:rPr>
          <w:rFonts w:ascii="Arial" w:cs="Arial" w:eastAsia="Arial" w:hAnsi="Arial"/>
          <w:sz w:val="21"/>
          <w:szCs w:val="21"/>
          <w:color w:val="auto"/>
        </w:rPr>
        <w:t>if the amount received by that Senior Secured Creditor, when converted into the contractual currency at a market</w:t>
      </w:r>
      <w:r>
        <w:rPr>
          <w:rFonts w:ascii="Arial" w:cs="Arial" w:eastAsia="Arial" w:hAnsi="Arial"/>
          <w:sz w:val="18"/>
          <w:szCs w:val="18"/>
          <w:color w:val="auto"/>
        </w:rPr>
        <w:t xml:space="preserve"> </w:t>
      </w:r>
      <w:r>
        <w:rPr>
          <w:rFonts w:ascii="Arial" w:cs="Arial" w:eastAsia="Arial" w:hAnsi="Arial"/>
          <w:sz w:val="21"/>
          <w:szCs w:val="21"/>
          <w:color w:val="auto"/>
        </w:rPr>
        <w:t>rate in the usual course of its business is less than the amount owed in the contractual currency and such is specified to the Company in reasonable detail, the Company shall, within 3 Business Days of its receipt of a written demand by such Senior Secured Creditor, pay to that Senior Secured Creditor an amount in the contractual currency equal to the deficit.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Other Indemnities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shall, within fifteen days of demand, indemnify each Senior Secured Creditor against any cost, loss or liability incurred by that Senior Secured Creditor as a result 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13.2.6</w:t>
      </w:r>
      <w:r>
        <w:rPr>
          <w:sz w:val="20"/>
          <w:szCs w:val="20"/>
          <w:color w:val="auto"/>
        </w:rPr>
        <w:tab/>
      </w:r>
      <w:r>
        <w:rPr>
          <w:rFonts w:ascii="Arial" w:cs="Arial" w:eastAsia="Arial" w:hAnsi="Arial"/>
          <w:sz w:val="19"/>
          <w:szCs w:val="19"/>
          <w:color w:val="auto"/>
        </w:rPr>
        <w:t>the occurrence of any Event of Default;</w:t>
      </w:r>
    </w:p>
    <w:p>
      <w:pPr>
        <w:spacing w:after="0" w:line="254"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13.2.7</w:t>
      </w:r>
      <w:r>
        <w:rPr>
          <w:sz w:val="20"/>
          <w:szCs w:val="20"/>
          <w:color w:val="auto"/>
        </w:rPr>
        <w:tab/>
      </w:r>
      <w:r>
        <w:rPr>
          <w:rFonts w:ascii="Arial" w:cs="Arial" w:eastAsia="Arial" w:hAnsi="Arial"/>
          <w:sz w:val="21"/>
          <w:szCs w:val="21"/>
          <w:color w:val="auto"/>
        </w:rPr>
        <w:t>funding, or making arrangements to fund, its participation in an Advance requested by the Company in an Advance Request but not made by reason of the operation of any one or more of the provisions of the Senior Finance Documents (other than by reason of default or negligence by that Senior Secured Creditor alone);</w:t>
      </w:r>
    </w:p>
    <w:p>
      <w:pPr>
        <w:sectPr>
          <w:pgSz w:w="11900" w:h="16838" w:orient="portrait"/>
          <w:cols w:equalWidth="0" w:num="1">
            <w:col w:w="11420"/>
          </w:cols>
          <w:pgMar w:left="240" w:top="186" w:right="239" w:bottom="0" w:gutter="0" w:footer="0" w:header="0"/>
        </w:sectPr>
      </w:pPr>
    </w:p>
    <w:bookmarkStart w:id="170" w:name="page171"/>
    <w:bookmarkEnd w:id="170"/>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13.2.8</w:t>
      </w:r>
      <w:r>
        <w:rPr>
          <w:sz w:val="20"/>
          <w:szCs w:val="20"/>
          <w:color w:val="auto"/>
        </w:rPr>
        <w:tab/>
      </w:r>
      <w:r>
        <w:rPr>
          <w:rFonts w:ascii="Arial" w:cs="Arial" w:eastAsia="Arial" w:hAnsi="Arial"/>
          <w:sz w:val="22"/>
          <w:szCs w:val="22"/>
          <w:color w:val="auto"/>
        </w:rPr>
        <w:t>an Advance (or part of an Advance) not being prepaid in accordance with a notice of prepayment given by the Company; and</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13.2.9</w:t>
      </w:r>
      <w:r>
        <w:rPr>
          <w:sz w:val="20"/>
          <w:szCs w:val="20"/>
          <w:color w:val="auto"/>
        </w:rPr>
        <w:tab/>
      </w:r>
      <w:r>
        <w:rPr>
          <w:rFonts w:ascii="Arial" w:cs="Arial" w:eastAsia="Arial" w:hAnsi="Arial"/>
          <w:sz w:val="22"/>
          <w:szCs w:val="22"/>
          <w:color w:val="auto"/>
        </w:rPr>
        <w:t>any claim concerning Wynn Macau or the Cotai Project (including, in each case, its participation therein) to the extent that loss or liability is suffered or incurred by that Senior Secured Creditor (other than by reason of default or negligence by a Senior Secured Creditor),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prior to the delivery of an Enforcement Notice, any such cost, loss or liability shall be reasonable.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Indemnity to the Agents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Company shall, within fifteen days of demand, indemnify each of the Agents against any cost, loss or liability incurred by such Agent (acting reasonably) as a result 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9"/>
          <w:szCs w:val="19"/>
          <w:color w:val="auto"/>
        </w:rPr>
        <w:t>investigating any event which it reasonably believes is a Default; or</w:t>
      </w:r>
    </w:p>
    <w:p>
      <w:pPr>
        <w:spacing w:after="0" w:line="25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22"/>
          <w:szCs w:val="22"/>
          <w:color w:val="auto"/>
        </w:rPr>
        <w:t>acting or relying on any notice, request or instruction which it reasonably believes to be genuine, correct and appropriately authorised,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prior to the delivery of an Enforcement Notice, any such cost, loss or liability shall be reasonable.</w:t>
      </w:r>
    </w:p>
    <w:p>
      <w:pPr>
        <w:spacing w:after="0" w:line="225"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22"/>
          <w:szCs w:val="22"/>
          <w:color w:val="auto"/>
        </w:rPr>
      </w:pPr>
      <w:r>
        <w:rPr>
          <w:rFonts w:ascii="Arial" w:cs="Arial" w:eastAsia="Arial" w:hAnsi="Arial"/>
          <w:sz w:val="22"/>
          <w:szCs w:val="22"/>
          <w:b w:val="1"/>
          <w:bCs w:val="1"/>
          <w:color w:val="auto"/>
        </w:rPr>
        <w:t>ILLEGALITY</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185" w:lineRule="exact"/>
        <w:rPr>
          <w:rFonts w:ascii="Arial" w:cs="Arial" w:eastAsia="Arial" w:hAnsi="Arial"/>
          <w:sz w:val="22"/>
          <w:szCs w:val="22"/>
          <w:color w:val="auto"/>
        </w:rPr>
      </w:pPr>
    </w:p>
    <w:p>
      <w:pPr>
        <w:ind w:left="1300" w:hanging="648"/>
        <w:spacing w:after="0" w:line="287" w:lineRule="auto"/>
        <w:rPr>
          <w:rFonts w:ascii="Arial" w:cs="Arial" w:eastAsia="Arial" w:hAnsi="Arial"/>
          <w:sz w:val="22"/>
          <w:szCs w:val="22"/>
          <w:color w:val="auto"/>
        </w:rPr>
      </w:pPr>
      <w:r>
        <w:rPr>
          <w:rFonts w:ascii="Arial" w:cs="Arial" w:eastAsia="Arial" w:hAnsi="Arial"/>
          <w:sz w:val="18"/>
          <w:szCs w:val="18"/>
          <w:color w:val="auto"/>
        </w:rPr>
        <w:t xml:space="preserve">14.1.10 </w:t>
      </w:r>
      <w:r>
        <w:rPr>
          <w:rFonts w:ascii="Arial" w:cs="Arial" w:eastAsia="Arial" w:hAnsi="Arial"/>
          <w:sz w:val="21"/>
          <w:szCs w:val="21"/>
          <w:color w:val="auto"/>
        </w:rPr>
        <w:t>that Lender shall promptly notify the Company through the Intercreditor Agent and the relevant Facility Agent upon</w:t>
      </w:r>
      <w:r>
        <w:rPr>
          <w:rFonts w:ascii="Arial" w:cs="Arial" w:eastAsia="Arial" w:hAnsi="Arial"/>
          <w:sz w:val="18"/>
          <w:szCs w:val="18"/>
          <w:color w:val="auto"/>
        </w:rPr>
        <w:t xml:space="preserve"> </w:t>
      </w:r>
      <w:r>
        <w:rPr>
          <w:rFonts w:ascii="Arial" w:cs="Arial" w:eastAsia="Arial" w:hAnsi="Arial"/>
          <w:sz w:val="21"/>
          <w:szCs w:val="21"/>
          <w:color w:val="auto"/>
        </w:rPr>
        <w:t>becoming aware of that event; and</w:t>
      </w:r>
    </w:p>
    <w:p>
      <w:pPr>
        <w:spacing w:after="0" w:line="15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8"/>
          <w:szCs w:val="18"/>
          <w:color w:val="auto"/>
        </w:rPr>
        <w:t xml:space="preserve">14.1.11 </w:t>
      </w:r>
      <w:r>
        <w:rPr>
          <w:rFonts w:ascii="Arial" w:cs="Arial" w:eastAsia="Arial" w:hAnsi="Arial"/>
          <w:sz w:val="21"/>
          <w:szCs w:val="21"/>
          <w:color w:val="auto"/>
        </w:rPr>
        <w:t>by the latest date necessary to ensure compliance with the relevant law or regulation:</w:t>
      </w:r>
    </w:p>
    <w:p>
      <w:pPr>
        <w:spacing w:after="0" w:line="231"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if the relevant Facility Agent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that Lender's undrawn Available Commitment (or such lesser amount if permitted by the relevant law or regulation) shall be cancelled.</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19"/>
        </w:numPr>
        <w:rPr>
          <w:rFonts w:ascii="Arial" w:cs="Arial" w:eastAsia="Arial" w:hAnsi="Arial"/>
          <w:sz w:val="22"/>
          <w:szCs w:val="22"/>
          <w:color w:val="auto"/>
        </w:rPr>
      </w:pPr>
      <w:r>
        <w:rPr>
          <w:rFonts w:ascii="Arial" w:cs="Arial" w:eastAsia="Arial" w:hAnsi="Arial"/>
          <w:sz w:val="22"/>
          <w:szCs w:val="22"/>
          <w:b w:val="1"/>
          <w:bCs w:val="1"/>
          <w:color w:val="auto"/>
        </w:rPr>
        <w:t>MITIGATION BY THE SENIOR SECURED CREDITORS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Mitigation</w:t>
      </w:r>
    </w:p>
    <w:p>
      <w:pPr>
        <w:spacing w:after="0" w:line="22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9"/>
          <w:szCs w:val="19"/>
          <w:color w:val="auto"/>
        </w:rPr>
        <w:t>Each Lender shall, in consultation with the Company, take all reasonable steps to mitigate or remove any circumstances which arise and which would result in any amount becoming payable under or pursuant to, or cancelled pursuant to, any of Clause 10 (</w:t>
      </w:r>
      <w:r>
        <w:rPr>
          <w:rFonts w:ascii="Arial" w:cs="Arial" w:eastAsia="Arial" w:hAnsi="Arial"/>
          <w:sz w:val="19"/>
          <w:szCs w:val="19"/>
          <w:i w:val="1"/>
          <w:iCs w:val="1"/>
          <w:color w:val="auto"/>
        </w:rPr>
        <w:t>Changes to the calculation of interest</w:t>
      </w:r>
      <w:r>
        <w:rPr>
          <w:rFonts w:ascii="Arial" w:cs="Arial" w:eastAsia="Arial" w:hAnsi="Arial"/>
          <w:sz w:val="19"/>
          <w:szCs w:val="19"/>
          <w:color w:val="auto"/>
        </w:rPr>
        <w:t>), Clause 11 (</w:t>
      </w:r>
      <w:r>
        <w:rPr>
          <w:rFonts w:ascii="Arial" w:cs="Arial" w:eastAsia="Arial" w:hAnsi="Arial"/>
          <w:sz w:val="19"/>
          <w:szCs w:val="19"/>
          <w:i w:val="1"/>
          <w:iCs w:val="1"/>
          <w:color w:val="auto"/>
        </w:rPr>
        <w:t>Tax Gross Up and</w:t>
      </w:r>
      <w:r>
        <w:rPr>
          <w:rFonts w:ascii="Arial" w:cs="Arial" w:eastAsia="Arial" w:hAnsi="Arial"/>
          <w:sz w:val="19"/>
          <w:szCs w:val="19"/>
          <w:color w:val="auto"/>
        </w:rPr>
        <w:t xml:space="preserve"> </w:t>
      </w:r>
      <w:r>
        <w:rPr>
          <w:rFonts w:ascii="Arial" w:cs="Arial" w:eastAsia="Arial" w:hAnsi="Arial"/>
          <w:sz w:val="19"/>
          <w:szCs w:val="19"/>
          <w:i w:val="1"/>
          <w:iCs w:val="1"/>
          <w:color w:val="auto"/>
        </w:rPr>
        <w:t>Indemnities</w:t>
      </w:r>
      <w:r>
        <w:rPr>
          <w:rFonts w:ascii="Arial" w:cs="Arial" w:eastAsia="Arial" w:hAnsi="Arial"/>
          <w:sz w:val="19"/>
          <w:szCs w:val="19"/>
          <w:color w:val="auto"/>
        </w:rPr>
        <w:t>), Clause 12 (</w:t>
      </w:r>
      <w:r>
        <w:rPr>
          <w:rFonts w:ascii="Arial" w:cs="Arial" w:eastAsia="Arial" w:hAnsi="Arial"/>
          <w:sz w:val="19"/>
          <w:szCs w:val="19"/>
          <w:i w:val="1"/>
          <w:iCs w:val="1"/>
          <w:color w:val="auto"/>
        </w:rPr>
        <w:t>Increased Costs</w:t>
      </w:r>
      <w:r>
        <w:rPr>
          <w:rFonts w:ascii="Arial" w:cs="Arial" w:eastAsia="Arial" w:hAnsi="Arial"/>
          <w:sz w:val="19"/>
          <w:szCs w:val="19"/>
          <w:color w:val="auto"/>
        </w:rPr>
        <w:t>) or Clause 14 (</w:t>
      </w:r>
      <w:r>
        <w:rPr>
          <w:rFonts w:ascii="Arial" w:cs="Arial" w:eastAsia="Arial" w:hAnsi="Arial"/>
          <w:sz w:val="19"/>
          <w:szCs w:val="19"/>
          <w:i w:val="1"/>
          <w:iCs w:val="1"/>
          <w:color w:val="auto"/>
        </w:rPr>
        <w:t>Illegality</w:t>
      </w:r>
      <w:r>
        <w:rPr>
          <w:rFonts w:ascii="Arial" w:cs="Arial" w:eastAsia="Arial" w:hAnsi="Arial"/>
          <w:sz w:val="19"/>
          <w:szCs w:val="19"/>
          <w:color w:val="auto"/>
        </w:rPr>
        <w:t>) including (but not limited to) transferring its</w:t>
      </w:r>
      <w:r>
        <w:rPr>
          <w:rFonts w:ascii="Arial" w:cs="Arial" w:eastAsia="Arial" w:hAnsi="Arial"/>
          <w:sz w:val="19"/>
          <w:szCs w:val="19"/>
          <w:i w:val="1"/>
          <w:iCs w:val="1"/>
          <w:color w:val="auto"/>
        </w:rPr>
        <w:t xml:space="preserve"> </w:t>
      </w:r>
      <w:r>
        <w:rPr>
          <w:rFonts w:ascii="Arial" w:cs="Arial" w:eastAsia="Arial" w:hAnsi="Arial"/>
          <w:sz w:val="19"/>
          <w:szCs w:val="19"/>
          <w:color w:val="auto"/>
        </w:rPr>
        <w:t>rights and obligations under the Senior Finance Documents to another Affiliate or Facility Office.</w:t>
      </w:r>
    </w:p>
    <w:p>
      <w:pPr>
        <w:spacing w:after="0" w:line="14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15.1.7</w:t>
      </w:r>
      <w:r>
        <w:rPr>
          <w:sz w:val="20"/>
          <w:szCs w:val="20"/>
          <w:color w:val="auto"/>
        </w:rPr>
        <w:tab/>
      </w:r>
      <w:r>
        <w:rPr>
          <w:rFonts w:ascii="Arial" w:cs="Arial" w:eastAsia="Arial" w:hAnsi="Arial"/>
          <w:sz w:val="22"/>
          <w:szCs w:val="22"/>
          <w:color w:val="auto"/>
        </w:rPr>
        <w:t>Sub-clause 15.1.1 above does not in any way limit the obligations of any Obligor under the Senior Finance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Indemnity by Company</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22"/>
          <w:szCs w:val="22"/>
          <w:color w:val="auto"/>
        </w:rPr>
        <w:t>The Company shall indemnify each Senior Secured Creditor for all costs and expenses reasonably incurred by that Senior Secured Creditor as a result of steps taken by it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22"/>
          <w:szCs w:val="22"/>
          <w:color w:val="auto"/>
        </w:rPr>
        <w:t>A Senior Secured Creditor is not obliged to take any steps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 if, in the opinion of that Senior Secured Creditor (acting reasonably), to do so might be prejudicial to it.</w:t>
      </w:r>
    </w:p>
    <w:p>
      <w:pPr>
        <w:spacing w:after="0" w:line="169"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22"/>
          <w:szCs w:val="22"/>
          <w:color w:val="auto"/>
        </w:rPr>
      </w:pPr>
      <w:r>
        <w:rPr>
          <w:rFonts w:ascii="Arial" w:cs="Arial" w:eastAsia="Arial" w:hAnsi="Arial"/>
          <w:sz w:val="22"/>
          <w:szCs w:val="22"/>
          <w:b w:val="1"/>
          <w:bCs w:val="1"/>
          <w:color w:val="auto"/>
        </w:rPr>
        <w:t>FEES, COSTS AND EXPENSES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8"/>
          <w:szCs w:val="18"/>
          <w:b w:val="1"/>
          <w:bCs w:val="1"/>
          <w:color w:val="auto"/>
        </w:rPr>
        <w:t>Agency Fees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Company shall pay to each Agent for its own account a fee in amounts and on dates separately agreed between that Agent and the Company in the relevant Fee Letter.</w:t>
      </w:r>
    </w:p>
    <w:p>
      <w:pPr>
        <w:sectPr>
          <w:pgSz w:w="11900" w:h="16838" w:orient="portrait"/>
          <w:cols w:equalWidth="0" w:num="1">
            <w:col w:w="11420"/>
          </w:cols>
          <w:pgMar w:left="240" w:top="172" w:right="239" w:bottom="0" w:gutter="0" w:footer="0" w:header="0"/>
        </w:sectPr>
      </w:pPr>
    </w:p>
    <w:bookmarkStart w:id="171" w:name="page172"/>
    <w:bookmarkEnd w:id="171"/>
    <w:p>
      <w:pPr>
        <w:spacing w:after="0"/>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b w:val="1"/>
          <w:bCs w:val="1"/>
          <w:color w:val="auto"/>
        </w:rPr>
        <w:t>Transaction expenses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9"/>
          <w:szCs w:val="19"/>
          <w:color w:val="auto"/>
        </w:rPr>
        <w:t>this Agreement, the other Senior Finance Documents and any other documents referred to herein or therein; and</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9"/>
          <w:szCs w:val="19"/>
          <w:color w:val="auto"/>
        </w:rPr>
        <w:t>any other Senior Finance Documents executed after the Fifth Amendment Signing Date,</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accordance with, in the case of any fees, costs and expenses of the legal advisers appointed on or prior to the Fifth Amendment Signing Date, the appointment or engagement letters (if any) executed by the Company on or prior to the Fifth Amendment Signing Date.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8"/>
          <w:szCs w:val="18"/>
          <w:b w:val="1"/>
          <w:bCs w:val="1"/>
          <w:color w:val="auto"/>
        </w:rPr>
        <w:t>Amendment costs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the Company or any other Obligor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8"/>
          <w:szCs w:val="18"/>
          <w:b w:val="1"/>
          <w:bCs w:val="1"/>
          <w:color w:val="auto"/>
        </w:rPr>
        <w:t>Enforcement costs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prior to the delivery of an Enforcement Notice, such costs and expenses shall be reasonable.</w:t>
      </w:r>
    </w:p>
    <w:p>
      <w:pPr>
        <w:spacing w:after="0" w:line="182"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b w:val="1"/>
          <w:bCs w:val="1"/>
          <w:color w:val="auto"/>
        </w:rPr>
        <w:t>Matters represented</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Company makes the representations and warranties set out in Schedule 4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to each Senior Secured Creditor as at each of the dates specified in Clause 17.2 (</w:t>
      </w:r>
      <w:r>
        <w:rPr>
          <w:rFonts w:ascii="Arial" w:cs="Arial" w:eastAsia="Arial" w:hAnsi="Arial"/>
          <w:sz w:val="22"/>
          <w:szCs w:val="22"/>
          <w:i w:val="1"/>
          <w:iCs w:val="1"/>
          <w:color w:val="auto"/>
        </w:rPr>
        <w:t>Timing</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b w:val="1"/>
          <w:bCs w:val="1"/>
          <w:color w:val="auto"/>
        </w:rPr>
        <w:t>Timing</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17.2.1</w:t>
      </w:r>
      <w:r>
        <w:rPr>
          <w:sz w:val="20"/>
          <w:szCs w:val="20"/>
          <w:color w:val="auto"/>
        </w:rPr>
        <w:tab/>
      </w:r>
      <w:r>
        <w:rPr>
          <w:rFonts w:ascii="Arial" w:cs="Arial" w:eastAsia="Arial" w:hAnsi="Arial"/>
          <w:sz w:val="22"/>
          <w:szCs w:val="22"/>
          <w:color w:val="auto"/>
        </w:rPr>
        <w:t>Each of the representations and warranties set out in Schedule 4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are deemed to be made by the Company (by reference to the facts and circumstances then existing) on the Fifth Amendment Signing Date.</w:t>
      </w:r>
    </w:p>
    <w:p>
      <w:pPr>
        <w:spacing w:after="0" w:line="18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9"/>
          <w:szCs w:val="19"/>
          <w:color w:val="auto"/>
        </w:rPr>
        <w:t>Unless otherwise stated to have been made as of a specific date, each of the representations and warranties set out in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is made by the Company (with reference to the facts and circumstances then existing) on the Fifth Amendment Effective Date and (other than the representations and warranties set out in paragraphs 10.5 (</w:t>
      </w:r>
      <w:r>
        <w:rPr>
          <w:rFonts w:ascii="Arial" w:cs="Arial" w:eastAsia="Arial" w:hAnsi="Arial"/>
          <w:sz w:val="19"/>
          <w:szCs w:val="19"/>
          <w:i w:val="1"/>
          <w:iCs w:val="1"/>
          <w:color w:val="auto"/>
        </w:rPr>
        <w:t>Taxes</w:t>
      </w:r>
      <w:r>
        <w:rPr>
          <w:rFonts w:ascii="Arial" w:cs="Arial" w:eastAsia="Arial" w:hAnsi="Arial"/>
          <w:sz w:val="19"/>
          <w:szCs w:val="19"/>
          <w:color w:val="auto"/>
        </w:rPr>
        <w:t>), 21.1 to 21.6 (inclusive) (</w:t>
      </w:r>
      <w:r>
        <w:rPr>
          <w:rFonts w:ascii="Arial" w:cs="Arial" w:eastAsia="Arial" w:hAnsi="Arial"/>
          <w:sz w:val="19"/>
          <w:szCs w:val="19"/>
          <w:i w:val="1"/>
          <w:iCs w:val="1"/>
          <w:color w:val="auto"/>
        </w:rPr>
        <w:t>Subsidiaries and Beneficial Interest</w:t>
      </w:r>
      <w:r>
        <w:rPr>
          <w:rFonts w:ascii="Arial" w:cs="Arial" w:eastAsia="Arial" w:hAnsi="Arial"/>
          <w:sz w:val="19"/>
          <w:szCs w:val="19"/>
          <w:color w:val="auto"/>
        </w:rPr>
        <w:t>) and 36 (</w:t>
      </w:r>
      <w:r>
        <w:rPr>
          <w:rFonts w:ascii="Arial" w:cs="Arial" w:eastAsia="Arial" w:hAnsi="Arial"/>
          <w:sz w:val="19"/>
          <w:szCs w:val="19"/>
          <w:i w:val="1"/>
          <w:iCs w:val="1"/>
          <w:color w:val="auto"/>
        </w:rPr>
        <w:t>Wynn Asia 2</w:t>
      </w:r>
      <w:r>
        <w:rPr>
          <w:rFonts w:ascii="Arial" w:cs="Arial" w:eastAsia="Arial" w:hAnsi="Arial"/>
          <w:sz w:val="19"/>
          <w:szCs w:val="19"/>
          <w:color w:val="auto"/>
        </w:rPr>
        <w:t>) of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is deemed to be repeated by the Company on each subsequent Advance Date (with reference to the facts and circumstances then existing),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9"/>
          <w:szCs w:val="19"/>
          <w:i w:val="1"/>
          <w:iCs w:val="1"/>
          <w:color w:val="auto"/>
        </w:rPr>
        <w:t>Designation</w:t>
      </w:r>
      <w:r>
        <w:rPr>
          <w:rFonts w:ascii="Arial" w:cs="Arial" w:eastAsia="Arial" w:hAnsi="Arial"/>
          <w:sz w:val="19"/>
          <w:szCs w:val="19"/>
          <w:color w:val="auto"/>
        </w:rPr>
        <w:t>) of the Common Terms Agreement Fifth Amendment Agreement or by the Common Terms Agreement Fifth Amendment Agreement included, to the extent relevant, such document and the Senior Finance Document as so amended, acknowledged, confirmed, consolidated, novated, restated, replaced or supplemented.</w:t>
      </w:r>
    </w:p>
    <w:p>
      <w:pPr>
        <w:spacing w:after="0" w:line="149"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COVENANTS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b w:val="1"/>
          <w:bCs w:val="1"/>
          <w:color w:val="auto"/>
        </w:rPr>
        <w:t>Content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undertakes to each of the Senior Secured Creditors that it shall comply with the covenants set out in Schedule</w:t>
      </w:r>
    </w:p>
    <w:p>
      <w:pPr>
        <w:spacing w:after="0" w:line="56" w:lineRule="exact"/>
        <w:rPr>
          <w:sz w:val="20"/>
          <w:szCs w:val="20"/>
          <w:color w:val="auto"/>
        </w:rPr>
      </w:pPr>
    </w:p>
    <w:p>
      <w:pPr>
        <w:ind w:left="820" w:hanging="164"/>
        <w:spacing w:after="0"/>
        <w:tabs>
          <w:tab w:leader="none" w:pos="8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18.2   </w:t>
      </w:r>
      <w:r>
        <w:rPr>
          <w:rFonts w:ascii="Arial" w:cs="Arial" w:eastAsia="Arial" w:hAnsi="Arial"/>
          <w:sz w:val="22"/>
          <w:szCs w:val="22"/>
          <w:b w:val="1"/>
          <w:bCs w:val="1"/>
          <w:color w:val="auto"/>
        </w:rPr>
        <w:t>Duration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covenants in Schedule 5 (</w:t>
      </w:r>
      <w:r>
        <w:rPr>
          <w:rFonts w:ascii="Arial" w:cs="Arial" w:eastAsia="Arial" w:hAnsi="Arial"/>
          <w:sz w:val="22"/>
          <w:szCs w:val="22"/>
          <w:i w:val="1"/>
          <w:iCs w:val="1"/>
          <w:color w:val="auto"/>
        </w:rPr>
        <w:t>Covenants</w:t>
      </w:r>
      <w:r>
        <w:rPr>
          <w:rFonts w:ascii="Arial" w:cs="Arial" w:eastAsia="Arial" w:hAnsi="Arial"/>
          <w:sz w:val="22"/>
          <w:szCs w:val="22"/>
          <w:color w:val="auto"/>
        </w:rPr>
        <w:t>) shall remain in force from the Fifth Amendment Signing Date until the Senior Secured Indebtedness has been fully discharged.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b w:val="1"/>
          <w:bCs w:val="1"/>
          <w:color w:val="auto"/>
        </w:rPr>
        <w:t>Permitted Cotai Reorganisation; Release of Palo Security</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19"/>
          <w:szCs w:val="19"/>
          <w:color w:val="auto"/>
        </w:rPr>
        <w:t>Notwithstanding any other provision of this Agreement or the other Senior Finance Documents to the contrary, the</w:t>
      </w:r>
    </w:p>
    <w:p>
      <w:pPr>
        <w:sectPr>
          <w:pgSz w:w="11900" w:h="16838" w:orient="portrait"/>
          <w:cols w:equalWidth="0" w:num="1">
            <w:col w:w="11420"/>
          </w:cols>
          <w:pgMar w:left="240" w:top="126" w:right="239" w:bottom="0" w:gutter="0" w:footer="0" w:header="0"/>
        </w:sectPr>
      </w:pPr>
    </w:p>
    <w:bookmarkStart w:id="172" w:name="page173"/>
    <w:bookmarkEnd w:id="172"/>
    <w:p>
      <w:pPr>
        <w:jc w:val="both"/>
        <w:ind w:left="1300"/>
        <w:spacing w:after="0" w:line="263" w:lineRule="auto"/>
        <w:rPr>
          <w:sz w:val="20"/>
          <w:szCs w:val="20"/>
          <w:color w:val="auto"/>
        </w:rPr>
      </w:pPr>
      <w:r>
        <w:rPr>
          <w:rFonts w:ascii="Arial" w:cs="Arial" w:eastAsia="Arial" w:hAnsi="Arial"/>
          <w:sz w:val="21"/>
          <w:szCs w:val="21"/>
          <w:color w:val="auto"/>
        </w:rPr>
        <w:t>Company shall be permitted to undertake a Permitted Cotai Reorganisation. If, for the purposes of carrying out such Permitted Cotai Reorganisation, where Palo has created a Lien over any of its assets or business under the Palo Security Documents (save for the Palo Share Pledge) in favour of the Security Agent and such Lien is required (in order to effect such Permitted Cotai Reorganisation) to be released, the Security Agent shall, at the cost and request of the Company, promptly release such Liens.</w:t>
      </w:r>
    </w:p>
    <w:p>
      <w:pPr>
        <w:spacing w:after="0" w:line="17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22"/>
          <w:szCs w:val="22"/>
          <w:color w:val="auto"/>
        </w:rPr>
        <w:t>The Company may, in writing to the Intercreditor Agent, request that Palo be the subject of a voluntary liquidation, winding up or dissolution (or similar action) after a Permitted Cotai Reorganisation. Such written request from the Company shall also confirm that Palo has no (and shall not have any) assets, no Default is continuing or would result from such voluntary liquidation, winding up or dissolution (or similar action) and any payments or assets to be distributed as a result of such voluntary liquidation, winding up or dissolution (or similar action) shall be distributed to the Company.</w:t>
      </w:r>
    </w:p>
    <w:p>
      <w:pPr>
        <w:spacing w:after="0" w:line="19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18.3.3</w:t>
      </w:r>
      <w:r>
        <w:rPr>
          <w:sz w:val="20"/>
          <w:szCs w:val="20"/>
          <w:color w:val="auto"/>
        </w:rPr>
        <w:tab/>
      </w:r>
      <w:r>
        <w:rPr>
          <w:rFonts w:ascii="Arial" w:cs="Arial" w:eastAsia="Arial" w:hAnsi="Arial"/>
          <w:sz w:val="21"/>
          <w:szCs w:val="21"/>
          <w:color w:val="auto"/>
        </w:rPr>
        <w:t>Palo may, following such written request, be the subject of such voluntary liquidation, winding up or dissolution (or similar action) if the Intercreditor Agent confirms in writing that it is satisfied that the matters contemplated by paragraphs (i) to (iv) (inclusive) of the definition of "Permitted Cotai Reorganisation"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have occurred in a form and substance satisfactory to it (acting reasonably) and that no payment is due from Palo pursuant to the Guarantee or any Palo Security Document.</w:t>
      </w:r>
    </w:p>
    <w:p>
      <w:pPr>
        <w:spacing w:after="0" w:line="17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18.3.4</w:t>
      </w:r>
      <w:r>
        <w:rPr>
          <w:sz w:val="20"/>
          <w:szCs w:val="20"/>
          <w:color w:val="auto"/>
        </w:rPr>
        <w:tab/>
      </w:r>
      <w:r>
        <w:rPr>
          <w:rFonts w:ascii="Arial" w:cs="Arial" w:eastAsia="Arial" w:hAnsi="Arial"/>
          <w:sz w:val="22"/>
          <w:szCs w:val="22"/>
          <w:color w:val="auto"/>
        </w:rPr>
        <w:t>If Palo is or is proposed to be, pursuant to Clause 18.3.3 above, the subject of such voluntary liquidation, winding up or dissolution (or similar action) then:</w:t>
      </w:r>
    </w:p>
    <w:p>
      <w:pPr>
        <w:spacing w:after="0" w:line="175" w:lineRule="exact"/>
        <w:rPr>
          <w:sz w:val="20"/>
          <w:szCs w:val="20"/>
          <w:color w:val="auto"/>
        </w:rPr>
      </w:pPr>
    </w:p>
    <w:p>
      <w:pPr>
        <w:jc w:val="both"/>
        <w:ind w:left="1960" w:hanging="655"/>
        <w:spacing w:after="0" w:line="246" w:lineRule="auto"/>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where Palo has created a Lien over any of its assets or business under the Security Documents in favour of the Security Agent, or any Lien in favour of the Security Agent was created over the shares (or equivalent) of Palo, the Security Agent shall, at the cost and request of the Company, promptly release such Liens and the Security Agent (and/or, as required, the Intercreditor Agent) shall promptly release Palo from its obligations under the Senior Finance Documents (including, without limitation, any obligations Palo has as an Obligor) and Palo shall, upon such release occurring, no longer be an Obligor for the purposes of the Senior Finance Documents;</w:t>
      </w:r>
    </w:p>
    <w:p>
      <w:pPr>
        <w:spacing w:after="0" w:line="197"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releases referred to in paragraph (a) above shall not become effective until the date of such voluntary liquidation, winding up or dissolution (or similar action); and</w:t>
      </w:r>
    </w:p>
    <w:p>
      <w:pPr>
        <w:spacing w:after="0" w:line="174"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if such voluntary liquidation, winding up or dissolution (or similar action) does not occur in respect of Palo, the releases referred to in paragraph (a) above shall have no effect and the obligations of Palo under the Senior Finance Documents (including, without limitation, its obligations as an Obligor) and the Liens created or intended to be created by or over Palo shall continue in such force and effect (and Palo shall continue to be an Obligor for the purposes of the Senior Finance Documents) as if those releases had not been effected.</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b w:val="1"/>
          <w:bCs w:val="1"/>
          <w:color w:val="auto"/>
        </w:rPr>
        <w:t>Release of Security over the Existing Executive Director Shares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the Existing Executive Director Shares are (or are proposed) to be cancelled in connection with an Executive Director Substitution then:</w:t>
      </w:r>
    </w:p>
    <w:p>
      <w:pPr>
        <w:spacing w:after="0" w:line="175"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18"/>
          <w:szCs w:val="18"/>
          <w:color w:val="auto"/>
        </w:rPr>
        <w:t>18.4.1</w:t>
      </w:r>
      <w:r>
        <w:rPr>
          <w:sz w:val="20"/>
          <w:szCs w:val="20"/>
          <w:color w:val="auto"/>
        </w:rPr>
        <w:tab/>
      </w:r>
      <w:r>
        <w:rPr>
          <w:rFonts w:ascii="Arial" w:cs="Arial" w:eastAsia="Arial" w:hAnsi="Arial"/>
          <w:sz w:val="19"/>
          <w:szCs w:val="19"/>
          <w:color w:val="auto"/>
        </w:rPr>
        <w:t>where there is a Lien over such Existing Executive Director Shares under the Security Documents in favour of the Security Agent, the Security Agent shall, at the cost and request of the Company, promptly release such Liens;</w:t>
      </w:r>
    </w:p>
    <w:p>
      <w:pPr>
        <w:spacing w:after="0" w:line="10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18.4.2</w:t>
      </w:r>
      <w:r>
        <w:rPr>
          <w:sz w:val="20"/>
          <w:szCs w:val="20"/>
          <w:color w:val="auto"/>
        </w:rPr>
        <w:tab/>
      </w:r>
      <w:r>
        <w:rPr>
          <w:rFonts w:ascii="Arial" w:cs="Arial" w:eastAsia="Arial" w:hAnsi="Arial"/>
          <w:sz w:val="22"/>
          <w:szCs w:val="22"/>
          <w:color w:val="auto"/>
        </w:rPr>
        <w:t>the releases referred to in Clause 18.4.1 above shall not become effective until immediately prior to the cancellation of such Existing Executive Director Shares; and</w:t>
      </w:r>
    </w:p>
    <w:p>
      <w:pPr>
        <w:spacing w:after="0" w:line="175"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18.4.3</w:t>
      </w:r>
      <w:r>
        <w:rPr>
          <w:sz w:val="20"/>
          <w:szCs w:val="20"/>
          <w:color w:val="auto"/>
        </w:rPr>
        <w:tab/>
      </w:r>
      <w:r>
        <w:rPr>
          <w:rFonts w:ascii="Arial" w:cs="Arial" w:eastAsia="Arial" w:hAnsi="Arial"/>
          <w:sz w:val="21"/>
          <w:szCs w:val="21"/>
          <w:color w:val="auto"/>
        </w:rPr>
        <w:t>if such cancellation of the Existing Executive Director Shares does not occur, the releases referred to in Clause 18.4.1 above shall have no effect and the Liens created or intended to be created over such Existing Executive Director Shares shall continue in such force and effect as if those releases had not been effected.</w:t>
      </w:r>
    </w:p>
    <w:p>
      <w:pPr>
        <w:spacing w:after="0" w:line="162"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22"/>
          <w:szCs w:val="22"/>
          <w:color w:val="auto"/>
        </w:rPr>
      </w:pPr>
      <w:r>
        <w:rPr>
          <w:rFonts w:ascii="Arial" w:cs="Arial" w:eastAsia="Arial" w:hAnsi="Arial"/>
          <w:sz w:val="22"/>
          <w:szCs w:val="22"/>
          <w:b w:val="1"/>
          <w:bCs w:val="1"/>
          <w:color w:val="auto"/>
        </w:rPr>
        <w:t>EVENTS OF DEFAULT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events set out in Schedule 10 (</w:t>
      </w:r>
      <w:r>
        <w:rPr>
          <w:rFonts w:ascii="Arial" w:cs="Arial" w:eastAsia="Arial" w:hAnsi="Arial"/>
          <w:sz w:val="22"/>
          <w:szCs w:val="22"/>
          <w:i w:val="1"/>
          <w:iCs w:val="1"/>
          <w:color w:val="auto"/>
        </w:rPr>
        <w:t>Events of Default</w:t>
      </w:r>
      <w:r>
        <w:rPr>
          <w:rFonts w:ascii="Arial" w:cs="Arial" w:eastAsia="Arial" w:hAnsi="Arial"/>
          <w:sz w:val="22"/>
          <w:szCs w:val="22"/>
          <w:color w:val="auto"/>
        </w:rPr>
        <w:t>) is an Event of Default.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b w:val="1"/>
          <w:bCs w:val="1"/>
          <w:color w:val="auto"/>
        </w:rPr>
        <w:t>Remedies following an Event of Default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19.2.5</w:t>
      </w:r>
      <w:r>
        <w:rPr>
          <w:sz w:val="20"/>
          <w:szCs w:val="20"/>
          <w:color w:val="auto"/>
        </w:rPr>
        <w:tab/>
      </w:r>
      <w:r>
        <w:rPr>
          <w:rFonts w:ascii="Arial" w:cs="Arial" w:eastAsia="Arial" w:hAnsi="Arial"/>
          <w:sz w:val="21"/>
          <w:szCs w:val="21"/>
          <w:color w:val="auto"/>
        </w:rPr>
        <w:t>declare that the Available Commitments under any of the Facility Agreements be cancelled or suspended,</w:t>
      </w:r>
    </w:p>
    <w:p>
      <w:pPr>
        <w:sectPr>
          <w:pgSz w:w="11900" w:h="16838" w:orient="portrait"/>
          <w:cols w:equalWidth="0" w:num="1">
            <w:col w:w="11420"/>
          </w:cols>
          <w:pgMar w:left="240" w:top="132" w:right="239" w:bottom="0" w:gutter="0" w:footer="0" w:header="0"/>
        </w:sectPr>
      </w:pPr>
    </w:p>
    <w:bookmarkStart w:id="173" w:name="page174"/>
    <w:bookmarkEnd w:id="173"/>
    <w:p>
      <w:pPr>
        <w:ind w:left="1300"/>
        <w:spacing w:after="0"/>
        <w:rPr>
          <w:sz w:val="20"/>
          <w:szCs w:val="20"/>
          <w:color w:val="auto"/>
        </w:rPr>
      </w:pPr>
      <w:r>
        <w:rPr>
          <w:rFonts w:ascii="Arial" w:cs="Arial" w:eastAsia="Arial" w:hAnsi="Arial"/>
          <w:sz w:val="22"/>
          <w:szCs w:val="22"/>
          <w:color w:val="auto"/>
        </w:rPr>
        <w:t>whereupon they shall be cancelled or suspended;</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19.2.6</w:t>
      </w:r>
      <w:r>
        <w:rPr>
          <w:sz w:val="20"/>
          <w:szCs w:val="20"/>
          <w:color w:val="auto"/>
        </w:rPr>
        <w:tab/>
      </w:r>
      <w:r>
        <w:rPr>
          <w:rFonts w:ascii="Arial" w:cs="Arial" w:eastAsia="Arial" w:hAnsi="Arial"/>
          <w:sz w:val="22"/>
          <w:szCs w:val="22"/>
          <w:color w:val="auto"/>
        </w:rPr>
        <w:t>declare that all or any part of the Advances, together with accrued interest, and all other amounts accrued or outstanding under the Senior Finance Documents be immediately due and payable, whereupon they shall become immediately due and payable;</w:t>
      </w:r>
    </w:p>
    <w:p>
      <w:pPr>
        <w:spacing w:after="0" w:line="18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19.2.7</w:t>
      </w:r>
      <w:r>
        <w:rPr>
          <w:sz w:val="20"/>
          <w:szCs w:val="20"/>
          <w:color w:val="auto"/>
        </w:rPr>
        <w:tab/>
      </w:r>
      <w:r>
        <w:rPr>
          <w:rFonts w:ascii="Arial" w:cs="Arial" w:eastAsia="Arial" w:hAnsi="Arial"/>
          <w:sz w:val="22"/>
          <w:szCs w:val="22"/>
          <w:color w:val="auto"/>
        </w:rPr>
        <w:t>declare that all or part of the Advances be payable on demand, whereupon they shall immediately become payable on demand by the Intercreditor Agent;</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19.2.8</w:t>
      </w:r>
      <w:r>
        <w:rPr>
          <w:sz w:val="20"/>
          <w:szCs w:val="20"/>
          <w:color w:val="auto"/>
        </w:rPr>
        <w:tab/>
      </w:r>
      <w:r>
        <w:rPr>
          <w:rFonts w:ascii="Arial" w:cs="Arial" w:eastAsia="Arial" w:hAnsi="Arial"/>
          <w:sz w:val="22"/>
          <w:szCs w:val="22"/>
          <w:color w:val="auto"/>
        </w:rPr>
        <w:t>notify the Security Agent that an Event of Default has occurred and is continuing and instruct the Security Agent to issue an Enforcement Notice;</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19.2.9</w:t>
      </w:r>
      <w:r>
        <w:rPr>
          <w:sz w:val="20"/>
          <w:szCs w:val="20"/>
          <w:color w:val="auto"/>
        </w:rPr>
        <w:tab/>
      </w:r>
      <w:r>
        <w:rPr>
          <w:rFonts w:ascii="Arial" w:cs="Arial" w:eastAsia="Arial" w:hAnsi="Arial"/>
          <w:sz w:val="22"/>
          <w:szCs w:val="22"/>
          <w:color w:val="auto"/>
        </w:rPr>
        <w:t>following the issue of an Enforcement Notice, require the Security Agent to take action to enforce all or any part of the Security or all or any of the Shareholder Guarantees (subject to the expiration of any cure periods contained therein), whereupon any such action shall be taken;</w:t>
      </w:r>
    </w:p>
    <w:p>
      <w:pPr>
        <w:spacing w:after="0" w:line="18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19.2.10 </w:t>
      </w:r>
      <w:r>
        <w:rPr>
          <w:rFonts w:ascii="Arial" w:cs="Arial" w:eastAsia="Arial" w:hAnsi="Arial"/>
          <w:sz w:val="21"/>
          <w:szCs w:val="21"/>
          <w:color w:val="auto"/>
        </w:rPr>
        <w:t>following the issue of an Enforcement Notice, instruct the Security Agent to require the perfection of the Liens</w:t>
      </w:r>
      <w:r>
        <w:rPr>
          <w:rFonts w:ascii="Arial" w:cs="Arial" w:eastAsia="Arial" w:hAnsi="Arial"/>
          <w:sz w:val="18"/>
          <w:szCs w:val="18"/>
          <w:color w:val="auto"/>
        </w:rPr>
        <w:t xml:space="preserve"> </w:t>
      </w:r>
      <w:r>
        <w:rPr>
          <w:rFonts w:ascii="Arial" w:cs="Arial" w:eastAsia="Arial" w:hAnsi="Arial"/>
          <w:sz w:val="21"/>
          <w:szCs w:val="21"/>
          <w:color w:val="auto"/>
        </w:rPr>
        <w:t>granted pursuant to the Land Security Assignment and the Assignment of Rights;</w:t>
      </w:r>
    </w:p>
    <w:p>
      <w:pPr>
        <w:spacing w:after="0" w:line="152"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8"/>
          <w:szCs w:val="18"/>
          <w:color w:val="auto"/>
        </w:rPr>
        <w:t xml:space="preserve">19.2.11 </w:t>
      </w:r>
      <w:r>
        <w:rPr>
          <w:rFonts w:ascii="Arial" w:cs="Arial" w:eastAsia="Arial" w:hAnsi="Arial"/>
          <w:sz w:val="21"/>
          <w:szCs w:val="21"/>
          <w:color w:val="auto"/>
        </w:rPr>
        <w:t>following the issue of an Enforcement Notice, give (or require the Security Agent to give) notices regarding the</w:t>
      </w:r>
      <w:r>
        <w:rPr>
          <w:rFonts w:ascii="Arial" w:cs="Arial" w:eastAsia="Arial" w:hAnsi="Arial"/>
          <w:sz w:val="18"/>
          <w:szCs w:val="18"/>
          <w:color w:val="auto"/>
        </w:rPr>
        <w:t xml:space="preserve"> </w:t>
      </w:r>
      <w:r>
        <w:rPr>
          <w:rFonts w:ascii="Arial" w:cs="Arial" w:eastAsia="Arial" w:hAnsi="Arial"/>
          <w:sz w:val="21"/>
          <w:szCs w:val="21"/>
          <w:color w:val="auto"/>
        </w:rPr>
        <w:t>payment of insurance proceeds in accordance with the terms of the Senior Finance Documents;</w:t>
      </w:r>
    </w:p>
    <w:p>
      <w:pPr>
        <w:spacing w:after="0" w:line="152" w:lineRule="exact"/>
        <w:rPr>
          <w:sz w:val="20"/>
          <w:szCs w:val="20"/>
          <w:color w:val="auto"/>
        </w:rPr>
      </w:pPr>
    </w:p>
    <w:p>
      <w:pPr>
        <w:jc w:val="both"/>
        <w:ind w:left="1300" w:right="20" w:hanging="647"/>
        <w:spacing w:after="0" w:line="271" w:lineRule="auto"/>
        <w:rPr>
          <w:sz w:val="20"/>
          <w:szCs w:val="20"/>
          <w:color w:val="auto"/>
        </w:rPr>
      </w:pPr>
      <w:r>
        <w:rPr>
          <w:rFonts w:ascii="Arial" w:cs="Arial" w:eastAsia="Arial" w:hAnsi="Arial"/>
          <w:sz w:val="18"/>
          <w:szCs w:val="18"/>
          <w:color w:val="auto"/>
        </w:rPr>
        <w:t xml:space="preserve">19.2.12 </w:t>
      </w:r>
      <w:r>
        <w:rPr>
          <w:rFonts w:ascii="Arial" w:cs="Arial" w:eastAsia="Arial" w:hAnsi="Arial"/>
          <w:sz w:val="21"/>
          <w:szCs w:val="21"/>
          <w:color w:val="auto"/>
        </w:rPr>
        <w:t>following the issue of an Enforcement Notice, give (or require the Security Agent to give) notice to any Account</w:t>
      </w:r>
      <w:r>
        <w:rPr>
          <w:rFonts w:ascii="Arial" w:cs="Arial" w:eastAsia="Arial" w:hAnsi="Arial"/>
          <w:sz w:val="18"/>
          <w:szCs w:val="18"/>
          <w:color w:val="auto"/>
        </w:rPr>
        <w:t xml:space="preserve"> </w:t>
      </w:r>
      <w:r>
        <w:rPr>
          <w:rFonts w:ascii="Arial" w:cs="Arial" w:eastAsia="Arial" w:hAnsi="Arial"/>
          <w:sz w:val="21"/>
          <w:szCs w:val="21"/>
          <w:color w:val="auto"/>
        </w:rPr>
        <w:t>Bank in relation to the operation of the Accounts in accordance with paragraph 3.3 (</w:t>
      </w:r>
      <w:r>
        <w:rPr>
          <w:rFonts w:ascii="Arial" w:cs="Arial" w:eastAsia="Arial" w:hAnsi="Arial"/>
          <w:sz w:val="21"/>
          <w:szCs w:val="21"/>
          <w:i w:val="1"/>
          <w:iCs w:val="1"/>
          <w:color w:val="auto"/>
        </w:rPr>
        <w:t>Default</w:t>
      </w:r>
      <w:r>
        <w:rPr>
          <w:rFonts w:ascii="Arial" w:cs="Arial" w:eastAsia="Arial" w:hAnsi="Arial"/>
          <w:sz w:val="21"/>
          <w:szCs w:val="21"/>
          <w:color w:val="auto"/>
        </w:rPr>
        <w:t>) of Schedule 6 (</w:t>
      </w:r>
      <w:r>
        <w:rPr>
          <w:rFonts w:ascii="Arial" w:cs="Arial" w:eastAsia="Arial" w:hAnsi="Arial"/>
          <w:sz w:val="21"/>
          <w:szCs w:val="21"/>
          <w:i w:val="1"/>
          <w:iCs w:val="1"/>
          <w:color w:val="auto"/>
        </w:rPr>
        <w:t>Accounts</w:t>
      </w:r>
      <w:r>
        <w:rPr>
          <w:rFonts w:ascii="Arial" w:cs="Arial" w:eastAsia="Arial" w:hAnsi="Arial"/>
          <w:sz w:val="21"/>
          <w:szCs w:val="21"/>
          <w:color w:val="auto"/>
        </w:rPr>
        <w:t>); and/or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19.2.13 </w:t>
      </w:r>
      <w:r>
        <w:rPr>
          <w:rFonts w:ascii="Arial" w:cs="Arial" w:eastAsia="Arial" w:hAnsi="Arial"/>
          <w:sz w:val="21"/>
          <w:szCs w:val="21"/>
          <w:color w:val="auto"/>
        </w:rPr>
        <w:t>exercise any or all other remedies available at law not inconsistent with the foregoing,</w:t>
      </w:r>
    </w:p>
    <w:p>
      <w:pPr>
        <w:spacing w:after="0" w:line="231"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foregoing shall not in any way affect the Intercreditor Agent's or the Security Agent's right to separately</w:t>
      </w:r>
      <w:r>
        <w:rPr>
          <w:rFonts w:ascii="Arial" w:cs="Arial" w:eastAsia="Arial" w:hAnsi="Arial"/>
          <w:sz w:val="22"/>
          <w:szCs w:val="22"/>
          <w:i w:val="1"/>
          <w:iCs w:val="1"/>
          <w:color w:val="auto"/>
        </w:rPr>
        <w:t xml:space="preserve"> </w:t>
      </w:r>
      <w:r>
        <w:rPr>
          <w:rFonts w:ascii="Arial" w:cs="Arial" w:eastAsia="Arial" w:hAnsi="Arial"/>
          <w:sz w:val="22"/>
          <w:szCs w:val="22"/>
          <w:color w:val="auto"/>
        </w:rPr>
        <w:t>enforce its rights under the Senior Finance Documents.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b w:val="1"/>
          <w:bCs w:val="1"/>
          <w:color w:val="auto"/>
        </w:rPr>
        <w:t>Remedies following an Executive Director Event</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Without prejudice to Clause 19.2 (</w:t>
      </w:r>
      <w:r>
        <w:rPr>
          <w:rFonts w:ascii="Arial" w:cs="Arial" w:eastAsia="Arial" w:hAnsi="Arial"/>
          <w:sz w:val="19"/>
          <w:szCs w:val="19"/>
          <w:i w:val="1"/>
          <w:iCs w:val="1"/>
          <w:color w:val="auto"/>
        </w:rPr>
        <w:t>Remedies following an Event of Default</w:t>
      </w:r>
      <w:r>
        <w:rPr>
          <w:rFonts w:ascii="Arial" w:cs="Arial" w:eastAsia="Arial" w:hAnsi="Arial"/>
          <w:sz w:val="19"/>
          <w:szCs w:val="19"/>
          <w:color w:val="auto"/>
        </w:rPr>
        <w:t>) or in any way affecting the Intercreditor Agent's or the Security Agent's right to separately enforce its rights under the Senior Finance Documents, upon the occurrence of an Executive Director Event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Executive Director Share Pledge.</w:t>
      </w:r>
    </w:p>
    <w:p>
      <w:pPr>
        <w:spacing w:after="0" w:line="141"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22"/>
          <w:szCs w:val="22"/>
          <w:color w:val="auto"/>
        </w:rPr>
      </w:pPr>
      <w:r>
        <w:rPr>
          <w:rFonts w:ascii="Arial" w:cs="Arial" w:eastAsia="Arial" w:hAnsi="Arial"/>
          <w:sz w:val="22"/>
          <w:szCs w:val="22"/>
          <w:b w:val="1"/>
          <w:bCs w:val="1"/>
          <w:color w:val="auto"/>
        </w:rPr>
        <w:t>APPLICATION OF ENFORCEMENT PROCEEDS</w:t>
      </w:r>
    </w:p>
    <w:p>
      <w:pPr>
        <w:spacing w:after="0" w:line="225" w:lineRule="exact"/>
        <w:rPr>
          <w:rFonts w:ascii="Arial" w:cs="Arial" w:eastAsia="Arial" w:hAnsi="Arial"/>
          <w:sz w:val="22"/>
          <w:szCs w:val="22"/>
          <w:color w:val="auto"/>
        </w:rPr>
      </w:pPr>
    </w:p>
    <w:p>
      <w:pPr>
        <w:jc w:val="both"/>
        <w:ind w:left="660" w:right="20"/>
        <w:spacing w:after="0" w:line="253" w:lineRule="auto"/>
        <w:rPr>
          <w:rFonts w:ascii="Arial" w:cs="Arial" w:eastAsia="Arial" w:hAnsi="Arial"/>
          <w:sz w:val="22"/>
          <w:szCs w:val="22"/>
          <w:color w:val="auto"/>
        </w:rPr>
      </w:pPr>
      <w:r>
        <w:rPr>
          <w:rFonts w:ascii="Arial" w:cs="Arial" w:eastAsia="Arial" w:hAnsi="Arial"/>
          <w:sz w:val="22"/>
          <w:szCs w:val="22"/>
          <w:color w:val="auto"/>
        </w:rPr>
        <w:t>After delivery of an Enforcement Notice and notwithstanding the provisions of Schedule 6 (</w:t>
      </w:r>
      <w:r>
        <w:rPr>
          <w:rFonts w:ascii="Arial" w:cs="Arial" w:eastAsia="Arial" w:hAnsi="Arial"/>
          <w:sz w:val="22"/>
          <w:szCs w:val="22"/>
          <w:i w:val="1"/>
          <w:iCs w:val="1"/>
          <w:color w:val="auto"/>
        </w:rPr>
        <w:t>Accounts</w:t>
      </w:r>
      <w:r>
        <w:rPr>
          <w:rFonts w:ascii="Arial" w:cs="Arial" w:eastAsia="Arial" w:hAnsi="Arial"/>
          <w:sz w:val="22"/>
          <w:szCs w:val="22"/>
          <w:color w:val="auto"/>
        </w:rPr>
        <w:t>), all Enforcement Proceeds shall be applied in accordance with the Deed of Appointment and Priority and Clause 33.6 (</w:t>
      </w:r>
      <w:r>
        <w:rPr>
          <w:rFonts w:ascii="Arial" w:cs="Arial" w:eastAsia="Arial" w:hAnsi="Arial"/>
          <w:sz w:val="22"/>
          <w:szCs w:val="22"/>
          <w:i w:val="1"/>
          <w:iCs w:val="1"/>
          <w:color w:val="auto"/>
        </w:rPr>
        <w:t>Application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Enforcement Proceeds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26"/>
        </w:numPr>
        <w:rPr>
          <w:rFonts w:ascii="Arial" w:cs="Arial" w:eastAsia="Arial" w:hAnsi="Arial"/>
          <w:sz w:val="22"/>
          <w:szCs w:val="22"/>
          <w:color w:val="auto"/>
        </w:rPr>
      </w:pPr>
      <w:r>
        <w:rPr>
          <w:rFonts w:ascii="Arial" w:cs="Arial" w:eastAsia="Arial" w:hAnsi="Arial"/>
          <w:sz w:val="22"/>
          <w:szCs w:val="22"/>
          <w:b w:val="1"/>
          <w:bCs w:val="1"/>
          <w:color w:val="auto"/>
        </w:rPr>
        <w:t>CHANGES TO THE PARTIES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Binding Agreement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shall be binding upon and enure to the benefit of each party hereto and its or any subsequent successors and transferees.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Assignment and Transfer by the Company or the GCLAs</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22"/>
          <w:szCs w:val="22"/>
          <w:color w:val="auto"/>
        </w:rPr>
        <w:t>The Company may not assign, transfer, novate or dispose of any of its rights or obligations under this Agreement or the other Senior Finance Documents.</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22"/>
          <w:szCs w:val="22"/>
          <w:color w:val="auto"/>
        </w:rPr>
        <w:t>The GCLAs may not assign or transfer its rights and/or obligations under this Agreement without the prior written consent of the Company.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Assignment and Transfer by Agents</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w:t>
      </w:r>
    </w:p>
    <w:p>
      <w:pPr>
        <w:sectPr>
          <w:pgSz w:w="11900" w:h="16838" w:orient="portrait"/>
          <w:cols w:equalWidth="0" w:num="1">
            <w:col w:w="11420"/>
          </w:cols>
          <w:pgMar w:left="240" w:top="132" w:right="239" w:bottom="0" w:gutter="0" w:footer="0" w:header="0"/>
        </w:sectPr>
      </w:pPr>
    </w:p>
    <w:bookmarkStart w:id="174" w:name="page175"/>
    <w:bookmarkEnd w:id="174"/>
    <w:p>
      <w:pPr>
        <w:jc w:val="both"/>
        <w:ind w:left="660"/>
        <w:spacing w:after="0" w:line="343" w:lineRule="auto"/>
        <w:rPr>
          <w:sz w:val="20"/>
          <w:szCs w:val="20"/>
          <w:color w:val="auto"/>
        </w:rPr>
      </w:pPr>
      <w:r>
        <w:rPr>
          <w:rFonts w:ascii="Arial" w:cs="Arial" w:eastAsia="Arial" w:hAnsi="Arial"/>
          <w:sz w:val="19"/>
          <w:szCs w:val="19"/>
          <w:color w:val="auto"/>
        </w:rPr>
        <w:t>which is hereby conferred on the Intercreditor Agent) and promptly delivered by the Intercreditor Agent to the Security Agent) and enters into such other acknowledgements as may be necessary or desirable to protect the Security.</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Assignment and Transfer by Lenders</w:t>
      </w:r>
    </w:p>
    <w:p>
      <w:pPr>
        <w:spacing w:after="0" w:line="22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21.4.1</w:t>
      </w:r>
      <w:r>
        <w:rPr>
          <w:sz w:val="20"/>
          <w:szCs w:val="20"/>
          <w:color w:val="auto"/>
        </w:rPr>
        <w:tab/>
      </w:r>
      <w:r>
        <w:rPr>
          <w:rFonts w:ascii="Arial" w:cs="Arial" w:eastAsia="Arial" w:hAnsi="Arial"/>
          <w:sz w:val="22"/>
          <w:szCs w:val="22"/>
          <w:color w:val="auto"/>
        </w:rPr>
        <w:t>Subject to the provisions of the Facility Agreement to which it is a party and execution and delivery by the assignee or Transferee of a Finance Party Accession Undertaking, any Lender may, at any time, assign in accordance with Clause 21.5 (</w:t>
      </w:r>
      <w:r>
        <w:rPr>
          <w:rFonts w:ascii="Arial" w:cs="Arial" w:eastAsia="Arial" w:hAnsi="Arial"/>
          <w:sz w:val="22"/>
          <w:szCs w:val="22"/>
          <w:i w:val="1"/>
          <w:iCs w:val="1"/>
          <w:color w:val="auto"/>
        </w:rPr>
        <w:t>Assignments by Lenders</w:t>
      </w:r>
      <w:r>
        <w:rPr>
          <w:rFonts w:ascii="Arial" w:cs="Arial" w:eastAsia="Arial" w:hAnsi="Arial"/>
          <w:sz w:val="22"/>
          <w:szCs w:val="22"/>
          <w:color w:val="auto"/>
        </w:rPr>
        <w:t>) all or any of its rights and benefits under the Senior Finance Documents or transfer in accordance with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all or any of its rights, benefits and obligations under the Senior Finance Documents to:</w:t>
      </w:r>
    </w:p>
    <w:p>
      <w:pPr>
        <w:spacing w:after="0" w:line="192" w:lineRule="exact"/>
        <w:rPr>
          <w:sz w:val="20"/>
          <w:szCs w:val="20"/>
          <w:color w:val="auto"/>
        </w:rPr>
      </w:pPr>
    </w:p>
    <w:p>
      <w:pPr>
        <w:ind w:left="1960" w:hanging="655"/>
        <w:spacing w:after="0"/>
        <w:tabs>
          <w:tab w:leader="none" w:pos="19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another Lender or an Affiliate of a Lender;</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commercial bank;</w:t>
      </w:r>
    </w:p>
    <w:p>
      <w:pPr>
        <w:spacing w:after="0" w:line="219" w:lineRule="exact"/>
        <w:rPr>
          <w:rFonts w:ascii="Arial" w:cs="Arial" w:eastAsia="Arial" w:hAnsi="Arial"/>
          <w:sz w:val="22"/>
          <w:szCs w:val="22"/>
          <w:color w:val="auto"/>
        </w:rPr>
      </w:pPr>
    </w:p>
    <w:p>
      <w:pPr>
        <w:ind w:left="1960" w:hanging="655"/>
        <w:spacing w:after="0" w:line="343" w:lineRule="auto"/>
        <w:tabs>
          <w:tab w:leader="none" w:pos="196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any other bank or financial institution or trust, fund or other entity which is regularly engaged in or established for the purpose of making, purchasing or investing in loans, securities or other financial assets;</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 the case of a Permitted Loan Repurchase, the Company; or</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other entity with the consent of the Company (such consent not to be unreasonably withheld or delayed and which consent shall not be required in respect of any assignment or transfer after the occurrence of an Event of Default which is continuing),</w:t>
      </w:r>
    </w:p>
    <w:p>
      <w:pPr>
        <w:spacing w:after="0" w:line="18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all transactional costs (including any stamp duties, transfer taxes and any costs attributable to any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of Security) of such assignment or transfer shall be borne by the relevant Lender or assignee or Transferee except for:</w:t>
      </w:r>
    </w:p>
    <w:p>
      <w:pPr>
        <w:spacing w:after="0" w:line="186" w:lineRule="exact"/>
        <w:rPr>
          <w:sz w:val="20"/>
          <w:szCs w:val="20"/>
          <w:color w:val="auto"/>
        </w:rPr>
      </w:pPr>
    </w:p>
    <w:p>
      <w:pPr>
        <w:ind w:left="1960" w:hanging="655"/>
        <w:spacing w:after="0" w:line="287" w:lineRule="auto"/>
        <w:tabs>
          <w:tab w:leader="none" w:pos="196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any transfer in connection with the syndication of the Facilities, all such costs of which (including those set forth in Clause 21.7 (</w:t>
      </w:r>
      <w:r>
        <w:rPr>
          <w:rFonts w:ascii="Arial" w:cs="Arial" w:eastAsia="Arial" w:hAnsi="Arial"/>
          <w:sz w:val="21"/>
          <w:szCs w:val="21"/>
          <w:i w:val="1"/>
          <w:iCs w:val="1"/>
          <w:color w:val="auto"/>
        </w:rPr>
        <w:t>Assignment and Transfer Fees</w:t>
      </w:r>
      <w:r>
        <w:rPr>
          <w:rFonts w:ascii="Arial" w:cs="Arial" w:eastAsia="Arial" w:hAnsi="Arial"/>
          <w:sz w:val="21"/>
          <w:szCs w:val="21"/>
          <w:color w:val="auto"/>
        </w:rPr>
        <w:t>)) shall be borne by the Company; and</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any transfer contemplated by the Pre-Amendment Global Transfer Agreement or the Post-Amendment Global Transfer Agreement, all such costs of which shall be borne by the Company.</w:t>
      </w:r>
    </w:p>
    <w:p>
      <w:pPr>
        <w:spacing w:after="0" w:line="17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21.4.2</w:t>
      </w:r>
      <w:r>
        <w:rPr>
          <w:sz w:val="20"/>
          <w:szCs w:val="20"/>
          <w:color w:val="auto"/>
        </w:rPr>
        <w:tab/>
      </w:r>
      <w:r>
        <w:rPr>
          <w:rFonts w:ascii="Arial" w:cs="Arial" w:eastAsia="Arial" w:hAnsi="Arial"/>
          <w:sz w:val="22"/>
          <w:szCs w:val="22"/>
          <w:color w:val="auto"/>
        </w:rPr>
        <w:t>Any assignment or transfer of a Lender's participations in Advances outstanding or, as the case may be, Available Commitments under:</w:t>
      </w:r>
    </w:p>
    <w:p>
      <w:pPr>
        <w:spacing w:after="0" w:line="175" w:lineRule="exact"/>
        <w:rPr>
          <w:sz w:val="20"/>
          <w:szCs w:val="20"/>
          <w:color w:val="auto"/>
        </w:rPr>
      </w:pPr>
    </w:p>
    <w:p>
      <w:pPr>
        <w:ind w:left="1960" w:hanging="655"/>
        <w:spacing w:after="0" w:line="287" w:lineRule="auto"/>
        <w:tabs>
          <w:tab w:leader="none" w:pos="196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Term Facility shall be in a minimum amount of USD1,000,000 or its equivalent or, if less, equal to the aggregate of such Lender's participations or Available Commitments under such Facility; or</w:t>
      </w:r>
    </w:p>
    <w:p>
      <w:pPr>
        <w:spacing w:after="0" w:line="151" w:lineRule="exact"/>
        <w:rPr>
          <w:rFonts w:ascii="Arial" w:cs="Arial" w:eastAsia="Arial" w:hAnsi="Arial"/>
          <w:sz w:val="21"/>
          <w:szCs w:val="21"/>
          <w:color w:val="auto"/>
        </w:rPr>
      </w:pPr>
    </w:p>
    <w:p>
      <w:pPr>
        <w:ind w:left="1960" w:hanging="655"/>
        <w:spacing w:after="0" w:line="287" w:lineRule="auto"/>
        <w:tabs>
          <w:tab w:leader="none" w:pos="196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a Revolving Credit Facility shall be in a minimum amount of USD1,000,000 or its equivalent or, if less, equal to the aggregate of such Lender's participations or Available Commitments under such Facility.</w:t>
      </w:r>
    </w:p>
    <w:p>
      <w:pPr>
        <w:spacing w:after="0" w:line="15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22"/>
          <w:szCs w:val="22"/>
          <w:color w:val="auto"/>
        </w:rPr>
        <w:t>Each assignee or Transferee, by executing a Finance Party Accession Undertaking (including, without limitation, the Pre-Amendment Global Transfer Agreement and the Post-Amendment Global Transfer Agreement), confirms, for the avoidance of doubt, that the Intercreditor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assigning or transferring Lender would have been had it remained a Lender.</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Assignments by Lenders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any Lender assigns all or any of its rights and benefits under the Senior Finance Documents in accordance with</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Clause 21.4 (</w:t>
      </w:r>
      <w:r>
        <w:rPr>
          <w:rFonts w:ascii="Arial" w:cs="Arial" w:eastAsia="Arial" w:hAnsi="Arial"/>
          <w:sz w:val="22"/>
          <w:szCs w:val="22"/>
          <w:i w:val="1"/>
          <w:iCs w:val="1"/>
          <w:color w:val="auto"/>
        </w:rPr>
        <w:t>Assignment and Transfer by Lenders</w:t>
      </w:r>
      <w:r>
        <w:rPr>
          <w:rFonts w:ascii="Arial" w:cs="Arial" w:eastAsia="Arial" w:hAnsi="Arial"/>
          <w:sz w:val="22"/>
          <w:szCs w:val="22"/>
          <w:color w:val="auto"/>
        </w:rPr>
        <w:t>), then, unless and until the assignee has delivered:</w:t>
      </w:r>
    </w:p>
    <w:p>
      <w:pPr>
        <w:spacing w:after="0" w:line="202" w:lineRule="exact"/>
        <w:rPr>
          <w:sz w:val="20"/>
          <w:szCs w:val="20"/>
          <w:color w:val="auto"/>
        </w:rPr>
      </w:pPr>
    </w:p>
    <w:p>
      <w:pPr>
        <w:jc w:val="both"/>
        <w:ind w:left="980" w:hanging="324"/>
        <w:spacing w:after="0" w:line="248" w:lineRule="auto"/>
        <w:tabs>
          <w:tab w:leader="none" w:pos="9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Term Facility Lender, Additional Lender or Revolving Credit Facility Lender (as the case may be); and</w:t>
      </w:r>
    </w:p>
    <w:p>
      <w:pPr>
        <w:spacing w:after="0" w:line="192" w:lineRule="exact"/>
        <w:rPr>
          <w:rFonts w:ascii="Arial" w:cs="Arial" w:eastAsia="Arial" w:hAnsi="Arial"/>
          <w:sz w:val="22"/>
          <w:szCs w:val="22"/>
          <w:color w:val="auto"/>
        </w:rPr>
      </w:pPr>
    </w:p>
    <w:p>
      <w:pPr>
        <w:jc w:val="both"/>
        <w:ind w:left="980" w:hanging="324"/>
        <w:spacing w:after="0" w:line="312" w:lineRule="auto"/>
        <w:tabs>
          <w:tab w:leader="none" w:pos="98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ectPr>
          <w:pgSz w:w="11900" w:h="16838" w:orient="portrait"/>
          <w:cols w:equalWidth="0" w:num="1">
            <w:col w:w="11420"/>
          </w:cols>
          <w:pgMar w:left="240" w:top="132" w:right="239" w:bottom="110" w:gutter="0" w:footer="0" w:header="0"/>
        </w:sectPr>
      </w:pPr>
    </w:p>
    <w:bookmarkStart w:id="175" w:name="page176"/>
    <w:bookmarkEnd w:id="175"/>
    <w:p>
      <w:pPr>
        <w:spacing w:after="0" w:line="79"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(whereupon such assignee shall become a party hereto as a "Lender" or thereto as a "Term Facility Lender", "Additional Lender" or "Revolving Credit Facility Lender"), the Company and the Senior Secured Creditors shall not be obliged to recognise such assignee as having the rights against each of them which it would have had if it had been such a party hereto or thereto. This Clause 21.5 shall not apply to the Company's acquisition of an Advance pursuant to a Permitted Loan Repurchase.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Transfers by Lenders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Except in the case of a Permitted Loan Repurchase, 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22"/>
          <w:szCs w:val="22"/>
          <w:i w:val="1"/>
          <w:iCs w:val="1"/>
          <w:color w:val="auto"/>
        </w:rPr>
        <w:t>Assignment and Transfer by Lenders</w:t>
      </w:r>
      <w:r>
        <w:rPr>
          <w:rFonts w:ascii="Arial" w:cs="Arial" w:eastAsia="Arial" w:hAnsi="Arial"/>
          <w:sz w:val="22"/>
          <w:szCs w:val="22"/>
          <w:color w:val="auto"/>
        </w:rPr>
        <w:t>), then such transfer shall only be effective if the procedure set out in this Clause 21.6 is complied with. Such transfer shall be effected by the delivery to the Intercreditor Agent (which the Intercreditor Agent shall promptly copy to the Company and the other Senior Secured Creditors) of:</w:t>
      </w:r>
    </w:p>
    <w:p>
      <w:pPr>
        <w:spacing w:after="0" w:line="194" w:lineRule="exact"/>
        <w:rPr>
          <w:sz w:val="20"/>
          <w:szCs w:val="20"/>
          <w:color w:val="auto"/>
        </w:rPr>
      </w:pPr>
    </w:p>
    <w:p>
      <w:pPr>
        <w:jc w:val="both"/>
        <w:ind w:left="980" w:hanging="324"/>
        <w:spacing w:after="0" w:line="253" w:lineRule="auto"/>
        <w:tabs>
          <w:tab w:leader="none" w:pos="98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185"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duly completed Finance Party Accession Undertaking executed by such Lender, the relevant Transferee,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8"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134" w:lineRule="exact"/>
        <w:rPr>
          <w:sz w:val="20"/>
          <w:szCs w:val="20"/>
          <w:color w:val="auto"/>
        </w:rPr>
      </w:pPr>
    </w:p>
    <w:p>
      <w:pPr>
        <w:jc w:val="both"/>
        <w:ind w:left="1300" w:hanging="647"/>
        <w:spacing w:after="0" w:line="294" w:lineRule="auto"/>
        <w:rPr>
          <w:sz w:val="20"/>
          <w:szCs w:val="20"/>
          <w:color w:val="auto"/>
        </w:rPr>
      </w:pPr>
      <w:r>
        <w:rPr>
          <w:rFonts w:ascii="Arial" w:cs="Arial" w:eastAsia="Arial" w:hAnsi="Arial"/>
          <w:sz w:val="19"/>
          <w:szCs w:val="19"/>
          <w:color w:val="auto"/>
        </w:rPr>
        <w:t>21.6.1 to the extent that in such Novation Certificate the Lender party thereto seeks to transfer by novation its rights, benefits and obligations under this Agreement and the corresponding rights, benefits and obligations under the other Senior Finance Documents, the Company and such Lender shall be released from further obligations towards one another under this Agreement and the corresponding rights, benefits and/or obligations under the other Senior Finance Documents and their respective rights against one another shall be cancelled (such rights and obligations being referred to in this Clause 21.6 as "</w:t>
      </w:r>
      <w:r>
        <w:rPr>
          <w:rFonts w:ascii="Arial" w:cs="Arial" w:eastAsia="Arial" w:hAnsi="Arial"/>
          <w:sz w:val="19"/>
          <w:szCs w:val="19"/>
          <w:b w:val="1"/>
          <w:bCs w:val="1"/>
          <w:color w:val="auto"/>
        </w:rPr>
        <w:t>discharged rights and obligations</w:t>
      </w:r>
      <w:r>
        <w:rPr>
          <w:rFonts w:ascii="Arial" w:cs="Arial" w:eastAsia="Arial" w:hAnsi="Arial"/>
          <w:sz w:val="19"/>
          <w:szCs w:val="19"/>
          <w:color w:val="auto"/>
        </w:rPr>
        <w:t>");</w:t>
      </w:r>
    </w:p>
    <w:p>
      <w:pPr>
        <w:spacing w:after="0" w:line="150"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21.6.2 each of the Company and the Transferee shall assume obligations towards one another and/or acquire rights against one another which differ from such discharged rights and obligations only insofar the Company and such Transferee have assumed and/or acquired the same in place of such other party and such Lender;</w:t>
      </w:r>
    </w:p>
    <w:p>
      <w:pPr>
        <w:spacing w:after="0" w:line="168" w:lineRule="exact"/>
        <w:rPr>
          <w:sz w:val="20"/>
          <w:szCs w:val="20"/>
          <w:color w:val="auto"/>
        </w:rPr>
      </w:pPr>
    </w:p>
    <w:p>
      <w:pPr>
        <w:jc w:val="both"/>
        <w:ind w:left="1300" w:hanging="647"/>
        <w:spacing w:after="0" w:line="261" w:lineRule="auto"/>
        <w:rPr>
          <w:sz w:val="20"/>
          <w:szCs w:val="20"/>
          <w:color w:val="auto"/>
        </w:rPr>
      </w:pPr>
      <w:r>
        <w:rPr>
          <w:rFonts w:ascii="Arial" w:cs="Arial" w:eastAsia="Arial" w:hAnsi="Arial"/>
          <w:sz w:val="21"/>
          <w:szCs w:val="21"/>
          <w:color w:val="auto"/>
        </w:rPr>
        <w:t>21.6.3 the Agents, the GCLAs, such Transferee and the other Lenders shall acquire the same rights and benefits and assume the same obligations between themselves as they would have acquired and assumed had such Transferee been an original party to this Agreement and the other relevant Senior Finance Documents as a Lender with the rights, benefits and/or obligations acquired or assumed by it as a result of such transfer and to that extent the Agents, the GCLAs and the relevant Lender shall each be released from further obligations to each other under this Agreement and the other relevant Senior Finance Documents; and</w:t>
      </w:r>
    </w:p>
    <w:p>
      <w:pPr>
        <w:spacing w:after="0" w:line="18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21.6.4 such Transferee shall become a party hereto as a "Lender" and to the relevant Facility Agreement as a "Term Facility Lender", "Additional Lender" or "Revolving Credit Facility Lender" (as the case may be).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Assignment and Transfer Fees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On the date upon which an assignment takes effect pursuant to Clause 21.5 (</w:t>
      </w:r>
      <w:r>
        <w:rPr>
          <w:rFonts w:ascii="Arial" w:cs="Arial" w:eastAsia="Arial" w:hAnsi="Arial"/>
          <w:sz w:val="22"/>
          <w:szCs w:val="22"/>
          <w:i w:val="1"/>
          <w:iCs w:val="1"/>
          <w:color w:val="auto"/>
        </w:rPr>
        <w:t>Assignments by Lenders</w:t>
      </w:r>
      <w:r>
        <w:rPr>
          <w:rFonts w:ascii="Arial" w:cs="Arial" w:eastAsia="Arial" w:hAnsi="Arial"/>
          <w:sz w:val="22"/>
          <w:szCs w:val="22"/>
          <w:color w:val="auto"/>
        </w:rPr>
        <w:t>) or a transfer takes effect pursuant to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the relevant assignee or Transferee shall pay to the Intercreditor Agent for its own account a fee of USD2,000.</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Disclosure of Information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Senior Secured Creditor may disclose to any of its Affiliates and any other Person:</w:t>
      </w:r>
    </w:p>
    <w:p>
      <w:pPr>
        <w:spacing w:after="0" w:line="220"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21"/>
          <w:szCs w:val="21"/>
          <w:color w:val="auto"/>
        </w:rPr>
        <w:t>21.8.1 to (or through) whom such Senior Secured Creditor assigns or transfers (or may potentially assign or transfer) all or any of its rights, benefits and obligations in accordance with the Senior Finance Documents;</w:t>
      </w:r>
    </w:p>
    <w:p>
      <w:pPr>
        <w:spacing w:after="0" w:line="152"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21.8.2 in the case of a Lender, with (or through) whom such Lender enters into (or may potentially enter into) any sub-participation in relation to the Senior Finance Documents or any Obligor;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21.8.3 to whom information may be required to be disclosed by any applicable law or pursuant to any regulatory or stock exchange requirement;</w:t>
      </w:r>
    </w:p>
    <w:p>
      <w:pPr>
        <w:sectPr>
          <w:pgSz w:w="11900" w:h="16917" w:orient="portrait"/>
          <w:cols w:equalWidth="0" w:num="1">
            <w:col w:w="11420"/>
          </w:cols>
          <w:pgMar w:left="240" w:top="132" w:right="239" w:bottom="0" w:gutter="0" w:footer="0" w:header="0"/>
        </w:sectPr>
      </w:pPr>
    </w:p>
    <w:bookmarkStart w:id="176" w:name="page177"/>
    <w:bookmarkEnd w:id="176"/>
    <w:p>
      <w:pPr>
        <w:jc w:val="both"/>
        <w:ind w:left="660"/>
        <w:spacing w:after="0" w:line="263" w:lineRule="auto"/>
        <w:rPr>
          <w:sz w:val="20"/>
          <w:szCs w:val="20"/>
          <w:color w:val="auto"/>
        </w:rPr>
      </w:pPr>
      <w:r>
        <w:rPr>
          <w:rFonts w:ascii="Arial" w:cs="Arial" w:eastAsia="Arial" w:hAnsi="Arial"/>
          <w:sz w:val="21"/>
          <w:szCs w:val="21"/>
          <w:color w:val="auto"/>
        </w:rPr>
        <w:t xml:space="preserve">such information about any Obligor, Wynn Macau, the Cotai Project and the Senior Finance Documents as such Senior Secured Creditor may consider appropriate,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Person to whom such information is provided under sub-clause 21.8.1 or 21.8.2 first enters into a Confidentiality Undertaking (or, in the case of the Security Agent, the confidentiality undertaking referred to in clause 18.9 (</w:t>
      </w:r>
      <w:r>
        <w:rPr>
          <w:rFonts w:ascii="Arial" w:cs="Arial" w:eastAsia="Arial" w:hAnsi="Arial"/>
          <w:sz w:val="21"/>
          <w:szCs w:val="21"/>
          <w:i w:val="1"/>
          <w:iCs w:val="1"/>
          <w:color w:val="auto"/>
        </w:rPr>
        <w:t>Disclosure of Information by Security Agent</w:t>
      </w:r>
      <w:r>
        <w:rPr>
          <w:rFonts w:ascii="Arial" w:cs="Arial" w:eastAsia="Arial" w:hAnsi="Arial"/>
          <w:sz w:val="21"/>
          <w:szCs w:val="21"/>
          <w:color w:val="auto"/>
        </w:rPr>
        <w:t>) of the Deed of Appointment and Priority) and that the Company has received a copy of such signed undertaking.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b w:val="1"/>
          <w:bCs w:val="1"/>
          <w:color w:val="auto"/>
        </w:rPr>
        <w:t>Change of Facility Office</w:t>
      </w:r>
    </w:p>
    <w:p>
      <w:pPr>
        <w:spacing w:after="0" w:line="22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 xml:space="preserve">Any Lender may change its Facility Office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shall have no liability (or no increase in liability) under Clause 11 (</w:t>
      </w:r>
      <w:r>
        <w:rPr>
          <w:rFonts w:ascii="Arial" w:cs="Arial" w:eastAsia="Arial" w:hAnsi="Arial"/>
          <w:sz w:val="22"/>
          <w:szCs w:val="22"/>
          <w:i w:val="1"/>
          <w:iCs w:val="1"/>
          <w:color w:val="auto"/>
        </w:rPr>
        <w:t>Tax gross-up and Indemnities</w:t>
      </w:r>
      <w:r>
        <w:rPr>
          <w:rFonts w:ascii="Arial" w:cs="Arial" w:eastAsia="Arial" w:hAnsi="Arial"/>
          <w:sz w:val="22"/>
          <w:szCs w:val="22"/>
          <w:color w:val="auto"/>
        </w:rPr>
        <w:t>) or Clause 12 (</w:t>
      </w:r>
      <w:r>
        <w:rPr>
          <w:rFonts w:ascii="Arial" w:cs="Arial" w:eastAsia="Arial" w:hAnsi="Arial"/>
          <w:sz w:val="22"/>
          <w:szCs w:val="22"/>
          <w:i w:val="1"/>
          <w:iCs w:val="1"/>
          <w:color w:val="auto"/>
        </w:rPr>
        <w:t>Increased costs</w:t>
      </w:r>
      <w:r>
        <w:rPr>
          <w:rFonts w:ascii="Arial" w:cs="Arial" w:eastAsia="Arial" w:hAnsi="Arial"/>
          <w:sz w:val="22"/>
          <w:szCs w:val="22"/>
          <w:color w:val="auto"/>
        </w:rPr>
        <w:t>) which would not exist as at the date of such change but for such change, unless such change was requested by the Company pursuant to Clause 15 (</w:t>
      </w:r>
      <w:r>
        <w:rPr>
          <w:rFonts w:ascii="Arial" w:cs="Arial" w:eastAsia="Arial" w:hAnsi="Arial"/>
          <w:sz w:val="22"/>
          <w:szCs w:val="22"/>
          <w:i w:val="1"/>
          <w:iCs w:val="1"/>
          <w:color w:val="auto"/>
        </w:rPr>
        <w:t>Mitigation by the</w:t>
      </w:r>
      <w:r>
        <w:rPr>
          <w:rFonts w:ascii="Arial" w:cs="Arial" w:eastAsia="Arial" w:hAnsi="Arial"/>
          <w:sz w:val="22"/>
          <w:szCs w:val="22"/>
          <w:color w:val="auto"/>
        </w:rPr>
        <w:t xml:space="preserve"> </w:t>
      </w:r>
      <w:r>
        <w:rPr>
          <w:rFonts w:ascii="Arial" w:cs="Arial" w:eastAsia="Arial" w:hAnsi="Arial"/>
          <w:sz w:val="22"/>
          <w:szCs w:val="22"/>
          <w:i w:val="1"/>
          <w:iCs w:val="1"/>
          <w:color w:val="auto"/>
        </w:rPr>
        <w:t>Senior Secured Creditors</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21.10  </w:t>
      </w:r>
      <w:r>
        <w:rPr>
          <w:rFonts w:ascii="Arial" w:cs="Arial" w:eastAsia="Arial" w:hAnsi="Arial"/>
          <w:sz w:val="22"/>
          <w:szCs w:val="22"/>
          <w:b w:val="1"/>
          <w:bCs w:val="1"/>
          <w:color w:val="auto"/>
        </w:rPr>
        <w:t>Permitted Loan Repurchases</w:t>
      </w:r>
    </w:p>
    <w:p>
      <w:pPr>
        <w:spacing w:after="0" w:line="226" w:lineRule="exact"/>
        <w:rPr>
          <w:sz w:val="20"/>
          <w:szCs w:val="20"/>
          <w:color w:val="auto"/>
        </w:rPr>
      </w:pPr>
    </w:p>
    <w:p>
      <w:pPr>
        <w:jc w:val="both"/>
        <w:ind w:left="1300" w:hanging="647"/>
        <w:spacing w:after="0" w:line="290" w:lineRule="auto"/>
        <w:rPr>
          <w:sz w:val="20"/>
          <w:szCs w:val="20"/>
          <w:color w:val="auto"/>
        </w:rPr>
      </w:pPr>
      <w:r>
        <w:rPr>
          <w:rFonts w:ascii="Arial" w:cs="Arial" w:eastAsia="Arial" w:hAnsi="Arial"/>
          <w:sz w:val="19"/>
          <w:szCs w:val="19"/>
          <w:color w:val="auto"/>
        </w:rPr>
        <w:t>21.10.1Notwithstanding anything to the contrary contained in this Agreement or the other Senior Finance Documents, the Company shall be permitted to acquire Advances pursuant to a Permitted Loan Repurchase (including through Open Market Purchases), so long as any Advances so acquired are cancelled and retired immediately upon such Permitted Loan Repurchase becoming effective, the consideration for such Permitted Loan Repurchase is not funded from any Advance (or the proceeds thereof) and where such Permitted Loan Repurchase is made by way of Open Market Purchase, no Event of Default has occurred and is continuing or might reasonably be expected to occur as a result of such Permitted Loan Repurchase. For all purposes under this Agreement and the other Senior Finance Documents, upon a Permitted Loan Repurchase becoming effective:</w:t>
      </w:r>
    </w:p>
    <w:p>
      <w:pPr>
        <w:spacing w:after="0" w:line="157" w:lineRule="exact"/>
        <w:rPr>
          <w:sz w:val="20"/>
          <w:szCs w:val="20"/>
          <w:color w:val="auto"/>
        </w:rPr>
      </w:pPr>
    </w:p>
    <w:p>
      <w:pPr>
        <w:ind w:left="1960" w:hanging="655"/>
        <w:spacing w:after="0"/>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any Advances acquired by the Company pursuant to such Permitted Loan Repurchase:</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shall be deemed not to be outstanding and to have no principal amount (or any other amount owing in respect thereof);</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shall be deemed to be automatically cancelled and retired without any further action by the Company, the Intercreditor Agent, the Lenders or any other Person; and</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shall be deemed not to constitute payments (or prepayments) of Advances for any purpose hereunder;</w:t>
      </w:r>
    </w:p>
    <w:p>
      <w:pPr>
        <w:spacing w:after="0" w:line="254" w:lineRule="exact"/>
        <w:rPr>
          <w:rFonts w:ascii="Arial" w:cs="Arial" w:eastAsia="Arial" w:hAnsi="Arial"/>
          <w:sz w:val="19"/>
          <w:szCs w:val="19"/>
          <w:color w:val="auto"/>
        </w:rPr>
      </w:pPr>
    </w:p>
    <w:p>
      <w:pPr>
        <w:ind w:left="1960" w:hanging="655"/>
        <w:spacing w:after="0" w:line="343" w:lineRule="auto"/>
        <w:tabs>
          <w:tab w:leader="none" w:pos="196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for the purposes of testing compliance with the financial covenants in paragraph 1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any impact of such Permitted Loan Repurchase on EBITDA shall be ignored;</w:t>
      </w:r>
    </w:p>
    <w:p>
      <w:pPr>
        <w:spacing w:after="0" w:line="10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for the avoidance of doubt and without otherwise limiting the definition or interpretation of "Permitted Business", the Company shall be deemed not to be in breach of paragraph 14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solely by virtue of carrying out a Permitted Loan Repurchase;</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Clause 25 (</w:t>
      </w:r>
      <w:r>
        <w:rPr>
          <w:rFonts w:ascii="Arial" w:cs="Arial" w:eastAsia="Arial" w:hAnsi="Arial"/>
          <w:sz w:val="22"/>
          <w:szCs w:val="22"/>
          <w:i w:val="1"/>
          <w:iCs w:val="1"/>
          <w:color w:val="auto"/>
        </w:rPr>
        <w:t>Sharing Among The Senior Secured Creditors</w:t>
      </w:r>
      <w:r>
        <w:rPr>
          <w:rFonts w:ascii="Arial" w:cs="Arial" w:eastAsia="Arial" w:hAnsi="Arial"/>
          <w:sz w:val="22"/>
          <w:szCs w:val="22"/>
          <w:color w:val="auto"/>
        </w:rPr>
        <w:t>) shall not be applicable to the consideration paid under such Permitted Loan Repurchase;</w:t>
      </w:r>
    </w:p>
    <w:p>
      <w:pPr>
        <w:spacing w:after="0" w:line="174"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no Obligor shall be permitted to receive any payment or prepayment under this Agreement which is payable to any Lender by virtue of the Company having made a Permitted Loan Repurchase; and</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Company shall not be permitted to sell, transfer or otherwise dispose of the subject matter of such Permitted Loan Repurchase.</w:t>
      </w:r>
    </w:p>
    <w:p>
      <w:pPr>
        <w:spacing w:after="0" w:line="175"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21.10.2The Company shall take such actions and execute such documents and agreements as may be reasonably requested by the Intercreditor Agent to further evidence the cancellation and retirement referred to in Clause 21.10.1 above.</w:t>
      </w:r>
    </w:p>
    <w:p>
      <w:pPr>
        <w:spacing w:after="0" w:line="10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21.10.3The Company shall promptly notify the Intercreditor Agent of any Permitted Loan Repurchase made by way of an Open Market Purchase and the identity of the Facilities to which they relate. The Intercreditor Agent shall disclose such information to any Lender that requests the same.</w:t>
      </w:r>
    </w:p>
    <w:p>
      <w:pPr>
        <w:spacing w:after="0" w:line="186"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1"/>
          <w:szCs w:val="21"/>
          <w:color w:val="auto"/>
        </w:rPr>
        <w:t>21.10.4For so long as the Company beneficially owns or has any Voting Entitlements following a Permitted Loan Repurchase, those Voting Entitlements shall be deemed to be zero and the Company shall be deemed not to be a Lender. The Company agrees that, following a Permitted Loan Repurchase by it, it shall not, in relation to any meeting or conference call to which all the Lenders are invited to attend or participate, attend or participate in the same or be entitled to receive the agenda or any minutes of the same and it shall not be entitled to receive any report or other document prepared at the request of, or on the instructions of, the Intercreditor Agent or one or more of the Lenders or any other Secured Party or Secured Parties.</w:t>
      </w:r>
    </w:p>
    <w:p>
      <w:pPr>
        <w:sectPr>
          <w:pgSz w:w="11900" w:h="16838" w:orient="portrait"/>
          <w:cols w:equalWidth="0" w:num="1">
            <w:col w:w="11420"/>
          </w:cols>
          <w:pgMar w:left="240" w:top="321" w:right="239" w:bottom="144" w:gutter="0" w:footer="0" w:header="0"/>
        </w:sectPr>
      </w:pPr>
    </w:p>
    <w:bookmarkStart w:id="177" w:name="page178"/>
    <w:bookmarkEnd w:id="177"/>
    <w:p>
      <w:pPr>
        <w:ind w:left="660" w:hanging="652"/>
        <w:spacing w:after="0"/>
        <w:tabs>
          <w:tab w:leader="none" w:pos="660" w:val="left"/>
        </w:tabs>
        <w:numPr>
          <w:ilvl w:val="0"/>
          <w:numId w:val="233"/>
        </w:numPr>
        <w:rPr>
          <w:rFonts w:ascii="Arial" w:cs="Arial" w:eastAsia="Arial" w:hAnsi="Arial"/>
          <w:sz w:val="22"/>
          <w:szCs w:val="22"/>
          <w:color w:val="auto"/>
        </w:rPr>
      </w:pPr>
      <w:r>
        <w:rPr>
          <w:rFonts w:ascii="Arial" w:cs="Arial" w:eastAsia="Arial" w:hAnsi="Arial"/>
          <w:sz w:val="22"/>
          <w:szCs w:val="22"/>
          <w:b w:val="1"/>
          <w:bCs w:val="1"/>
          <w:color w:val="auto"/>
        </w:rPr>
        <w:t>HEDGING COUNTERPARTIES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7"/>
          <w:szCs w:val="17"/>
          <w:b w:val="1"/>
          <w:bCs w:val="1"/>
          <w:color w:val="auto"/>
        </w:rPr>
        <w:t>Accession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176" w:lineRule="exact"/>
        <w:rPr>
          <w:sz w:val="20"/>
          <w:szCs w:val="20"/>
          <w:color w:val="auto"/>
        </w:rPr>
      </w:pPr>
    </w:p>
    <w:p>
      <w:pPr>
        <w:ind w:left="980" w:hanging="324"/>
        <w:spacing w:after="0"/>
        <w:tabs>
          <w:tab w:leader="none" w:pos="9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Hedging Counterparty's Deed of Accession executed by the assignee or transferee; and</w:t>
      </w:r>
    </w:p>
    <w:p>
      <w:pPr>
        <w:spacing w:after="0" w:line="219"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b w:val="1"/>
          <w:bCs w:val="1"/>
          <w:color w:val="auto"/>
        </w:rPr>
        <w:t>Interest in the Security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22"/>
          <w:szCs w:val="22"/>
          <w:i w:val="1"/>
          <w:iCs w:val="1"/>
          <w:color w:val="auto"/>
        </w:rPr>
        <w:t>Application of Enforcement Proceeds</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b w:val="1"/>
          <w:bCs w:val="1"/>
          <w:color w:val="auto"/>
        </w:rPr>
        <w:t>Voting rights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22.3.1 each Hedging Counterparty shall have the right to participate in all Decisions after the occurrence of a Hedging Voting Right Event in relation to such Hedging Counterparty that is continuing; and</w:t>
      </w:r>
    </w:p>
    <w:p>
      <w:pPr>
        <w:spacing w:after="0" w:line="175"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22.3.2 the consent of all Hedging Counterparties shall be required for any change to the matters referred to in paragraphs (a), (b), (f), (g), (h), (i) and (j) in the definition of "Fundamental Term"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and for any amendment to Clause 33.6 (</w:t>
      </w:r>
      <w:r>
        <w:rPr>
          <w:rFonts w:ascii="Arial" w:cs="Arial" w:eastAsia="Arial" w:hAnsi="Arial"/>
          <w:sz w:val="21"/>
          <w:szCs w:val="21"/>
          <w:i w:val="1"/>
          <w:iCs w:val="1"/>
          <w:color w:val="auto"/>
        </w:rPr>
        <w:t>Application of Enforcement Proceeds</w:t>
      </w:r>
      <w:r>
        <w:rPr>
          <w:rFonts w:ascii="Arial" w:cs="Arial" w:eastAsia="Arial" w:hAnsi="Arial"/>
          <w:sz w:val="21"/>
          <w:szCs w:val="21"/>
          <w:color w:val="auto"/>
        </w:rPr>
        <w:t>) and this Clause 22.</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b w:val="1"/>
          <w:bCs w:val="1"/>
          <w:color w:val="auto"/>
        </w:rPr>
        <w:t>Restrictions on Amendment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Each Hedging Counterparty agrees that, except with the prior written consent of the Intercreditor Agent, no amendment may be made to a Hedging Agreement to an extent which would result in:</w:t>
      </w:r>
    </w:p>
    <w:p>
      <w:pPr>
        <w:sectPr>
          <w:pgSz w:w="11900" w:h="16838" w:orient="portrait"/>
          <w:cols w:equalWidth="0" w:num="1">
            <w:col w:w="11420"/>
          </w:cols>
          <w:pgMar w:left="240" w:top="626" w:right="239" w:bottom="1440" w:gutter="0" w:footer="0" w:header="0"/>
        </w:sectPr>
      </w:pPr>
    </w:p>
    <w:bookmarkStart w:id="178" w:name="page179"/>
    <w:bookmarkEnd w:id="178"/>
    <w:p>
      <w:pPr>
        <w:spacing w:after="0" w:line="10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22.4.1 any payment under that Hedging Agreement being required to be made by the Company on any date other than the dates originally provided for in that Hedging Agreement;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22.4.2 the Company becoming liable to make an additional payment under any Hedging Agreement which liability does not arise from the original provisions of that Hedging Agreement; or</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22.4.3 the Company becoming liable to make any payment under that Hedging Agreement in any currency other than in the currency provided for under the original provisions of that Hedging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b w:val="1"/>
          <w:bCs w:val="1"/>
          <w:color w:val="auto"/>
        </w:rPr>
        <w:t>Restrictions on Termination</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21"/>
          <w:szCs w:val="21"/>
          <w:i w:val="1"/>
          <w:iCs w:val="1"/>
          <w:color w:val="auto"/>
        </w:rPr>
        <w:t>Hedging Arrangements</w:t>
      </w:r>
      <w:r>
        <w:rPr>
          <w:rFonts w:ascii="Arial" w:cs="Arial" w:eastAsia="Arial" w:hAnsi="Arial"/>
          <w:sz w:val="21"/>
          <w:szCs w:val="21"/>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b w:val="1"/>
          <w:bCs w:val="1"/>
          <w:color w:val="auto"/>
        </w:rPr>
        <w:t>Termination at request of Intercreditor Agent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After a notice has been given by the Intercreditor Agent pursuant to sub-clause 19.2.2 of Clause 19.2 (</w:t>
      </w:r>
      <w:r>
        <w:rPr>
          <w:rFonts w:ascii="Arial" w:cs="Arial" w:eastAsia="Arial" w:hAnsi="Arial"/>
          <w:sz w:val="22"/>
          <w:szCs w:val="22"/>
          <w:i w:val="1"/>
          <w:iCs w:val="1"/>
          <w:color w:val="auto"/>
        </w:rPr>
        <w:t>Remedies following</w:t>
      </w:r>
      <w:r>
        <w:rPr>
          <w:rFonts w:ascii="Arial" w:cs="Arial" w:eastAsia="Arial" w:hAnsi="Arial"/>
          <w:sz w:val="22"/>
          <w:szCs w:val="22"/>
          <w:color w:val="auto"/>
        </w:rPr>
        <w:t xml:space="preserve"> </w:t>
      </w:r>
      <w:r>
        <w:rPr>
          <w:rFonts w:ascii="Arial" w:cs="Arial" w:eastAsia="Arial" w:hAnsi="Arial"/>
          <w:sz w:val="22"/>
          <w:szCs w:val="22"/>
          <w:i w:val="1"/>
          <w:iCs w:val="1"/>
          <w:color w:val="auto"/>
        </w:rPr>
        <w:t>an Event of Default</w:t>
      </w:r>
      <w:r>
        <w:rPr>
          <w:rFonts w:ascii="Arial" w:cs="Arial" w:eastAsia="Arial" w:hAnsi="Arial"/>
          <w:sz w:val="22"/>
          <w:szCs w:val="22"/>
          <w:color w:val="auto"/>
        </w:rPr>
        <w:t>), a Hedging Counterparty shall, at the written request of the Intercreditor Agent, terminate the hedging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facility or close out any hedging transaction under the Hedging Agreement to which it is party in accordance with the terms of such Hedging Agreement.</w:t>
      </w:r>
    </w:p>
    <w:p>
      <w:pPr>
        <w:spacing w:after="0" w:line="182"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22"/>
          <w:szCs w:val="22"/>
          <w:color w:val="auto"/>
        </w:rPr>
      </w:pPr>
      <w:r>
        <w:rPr>
          <w:rFonts w:ascii="Arial" w:cs="Arial" w:eastAsia="Arial" w:hAnsi="Arial"/>
          <w:sz w:val="22"/>
          <w:szCs w:val="22"/>
          <w:b w:val="1"/>
          <w:bCs w:val="1"/>
          <w:color w:val="auto"/>
        </w:rPr>
        <w:t>AGENTS AND GLOBAL COORDINATING LEAD ARRANGERS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b w:val="1"/>
          <w:bCs w:val="1"/>
          <w:color w:val="auto"/>
        </w:rPr>
        <w:t>Appointment and duties of the Agents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23.1.1 Each of:</w:t>
      </w:r>
    </w:p>
    <w:p>
      <w:pPr>
        <w:spacing w:after="0" w:line="220" w:lineRule="exact"/>
        <w:rPr>
          <w:sz w:val="20"/>
          <w:szCs w:val="20"/>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Senior Secured Creditors appoints the Intercreditor Agent;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Term Facility Lenders appoints the Term Facility Agent;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Revolving Credit Facility Lenders appoints the Revolving Credit Facility Agent; and</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Additional Lenders under each Additional Lender Facility Agreement appoint the applicable Additional Facility Agent as facility agent for those Additional Lenders (or its successor approved in accordance with this Agreement),</w:t>
      </w:r>
    </w:p>
    <w:p>
      <w:pPr>
        <w:spacing w:after="0" w:line="18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to act as its agent under and in connection with the Senior Finance Documents and irrevocably authorises it on its behalf to perform the duties and to exercise the rights, powers and discretions that are specifically delegated to it under or in connection with the Senior Finance Documents, together with any other incidental rights, powers and discretions.</w:t>
      </w:r>
    </w:p>
    <w:p>
      <w:pPr>
        <w:spacing w:after="0" w:line="188"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23.1.2 None of the Agents may begin any legal action or proceeding in the name of a Senior Secured Creditor (other than itself) without that Senior Secured Creditor's consent.</w:t>
      </w:r>
    </w:p>
    <w:p>
      <w:pPr>
        <w:spacing w:after="0" w:line="175"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23.1.3 Each Agent has only those duties which are expressly specified in the Senior Finance Documents, and those duties are solely of a mechanical and administrative nature.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Relationship</w:t>
      </w:r>
    </w:p>
    <w:p>
      <w:pPr>
        <w:spacing w:after="0" w:line="22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23.2.3 The relationship between each Agent and the relevant Senior Secured Creditors is that of principal and agent only. Nothing in this Agreement constitutes any Agent as trustee or fiduciary for any other Person and no Agent need hold in trust any moneys paid to it for a Person or be liable to account for interest on those moneys except to the extent expressly stated in a Senior Finance Document.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23.2.4 No Agent shall in any respect be the agent of the Company by virtue of this Agreement.</w:t>
      </w:r>
    </w:p>
    <w:p>
      <w:pPr>
        <w:spacing w:after="0" w:line="220"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23.2.5 No Agent shall be liable to the Company for any breach by any other Senior Secured Creditor of any Senior Finance Document or be liable to any other Senior Secured Creditor for any breach by the Company of the Senior Finance Documents.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b w:val="1"/>
          <w:bCs w:val="1"/>
          <w:color w:val="auto"/>
        </w:rPr>
        <w:t>Role of the GCLAs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Except as specifically provided in the Senior Finance Documents, none of the GCLAs has any obligations of any kind to any other party to a Senior Finance Document under or in connection with any Senior Finance Document.</w:t>
      </w:r>
    </w:p>
    <w:p>
      <w:pPr>
        <w:sectPr>
          <w:pgSz w:w="11900" w:h="16940" w:orient="portrait"/>
          <w:cols w:equalWidth="0" w:num="1">
            <w:col w:w="11420"/>
          </w:cols>
          <w:pgMar w:left="240" w:top="631" w:right="239" w:bottom="0" w:gutter="0" w:footer="0" w:header="0"/>
        </w:sectPr>
      </w:pPr>
    </w:p>
    <w:bookmarkStart w:id="179" w:name="page180"/>
    <w:bookmarkEnd w:id="179"/>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b w:val="1"/>
          <w:bCs w:val="1"/>
          <w:color w:val="auto"/>
        </w:rPr>
        <w:t>Delegation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Agent may act through its personnel and agents.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b w:val="1"/>
          <w:bCs w:val="1"/>
          <w:color w:val="auto"/>
        </w:rPr>
        <w:t>Instructions</w:t>
      </w:r>
    </w:p>
    <w:p>
      <w:pPr>
        <w:spacing w:after="0" w:line="22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23.5.1 Unless otherwise expressly provided in the Senior Finance Documents, the Intercreditor Agent shall act (and shall be fully protected if it so acts) in accordance with the instructions of the Required Lenders in connection with the exercise of any right, power or discretion under or in connection with the Senior Finance Documents.</w:t>
      </w:r>
    </w:p>
    <w:p>
      <w:pPr>
        <w:spacing w:after="0" w:line="168"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23.5.2 Each Facility Agent shall be fully protected if it acts in accordance with the instructions of its Lending Group in connection with the exercise of any right, power or discretion under or in connection with any matter not expressly provided for in the Senior Finance Documents.</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23.5.3 In the absence of such instructions each Agent may act, subject to the terms of the Senior Finance Documents, as that Agent, in its sole discretion, considers to be in the best interests of all the Senior Secured Creditors or, in the case of each Facility Agent, its Lending Group.</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8"/>
          <w:szCs w:val="18"/>
          <w:b w:val="1"/>
          <w:bCs w:val="1"/>
          <w:color w:val="auto"/>
        </w:rPr>
        <w:t>Discretions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 provision of the Senior Finance Documents, each Agent may:</w:t>
      </w:r>
    </w:p>
    <w:p>
      <w:pPr>
        <w:spacing w:after="0" w:line="220"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23.6.4 assume, unless it has, in its capacity as Agent, received written notice to the contrary from any other Party, that (a) any representation made or deemed to be made by an Obligor in connection with the Senior Finance Documents is true, (b) no Default has occurred, (c) no Obligor is in breach of or default under its obligations under the Senior Finance Documents and (d) any right, power, authority or discretion vested in the Senior Finance Documents upon the Required Lenders, a Lending Group, the Lenders or any other Person or group of Persons has not been exercised;</w:t>
      </w:r>
    </w:p>
    <w:p>
      <w:pPr>
        <w:spacing w:after="0" w:line="194"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23.6.5 assume that (a) the Facility Office of each Lender is that notified to it by such Lender in writing and (b) the information provided by each Lender pursuant to Clause 29 (</w:t>
      </w:r>
      <w:r>
        <w:rPr>
          <w:rFonts w:ascii="Arial" w:cs="Arial" w:eastAsia="Arial" w:hAnsi="Arial"/>
          <w:sz w:val="22"/>
          <w:szCs w:val="22"/>
          <w:i w:val="1"/>
          <w:iCs w:val="1"/>
          <w:color w:val="auto"/>
        </w:rPr>
        <w:t>Notices</w:t>
      </w:r>
      <w:r>
        <w:rPr>
          <w:rFonts w:ascii="Arial" w:cs="Arial" w:eastAsia="Arial" w:hAnsi="Arial"/>
          <w:sz w:val="22"/>
          <w:szCs w:val="22"/>
          <w:color w:val="auto"/>
        </w:rPr>
        <w:t>) is true and correct in all respects until it has received from such Lender notice of a change to the Facility Office or any such information and act upon any such notice until the same is superseded by a further notice;</w:t>
      </w:r>
    </w:p>
    <w:p>
      <w:pPr>
        <w:spacing w:after="0" w:line="188"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21"/>
          <w:szCs w:val="21"/>
          <w:color w:val="auto"/>
        </w:rPr>
        <w:t>23.6.6 engage and pay for the advice or services of any lawyers, accountants, surveyors or other experts whose advice or services may to it seem necessary, expedient or desirable and rely upon any advice so obtained;</w:t>
      </w:r>
    </w:p>
    <w:p>
      <w:pPr>
        <w:spacing w:after="0" w:line="15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23.6.7 rely as to any matters of fact which might reasonably be expected to be within the knowledge of an Obligor upon a certificate signed by or on behalf of such Obligor;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23.6.8 rely upon any communication or document believed by it to be genuine;</w:t>
      </w:r>
    </w:p>
    <w:p>
      <w:pPr>
        <w:spacing w:after="0" w:line="220" w:lineRule="exact"/>
        <w:rPr>
          <w:sz w:val="20"/>
          <w:szCs w:val="20"/>
          <w:color w:val="auto"/>
        </w:rPr>
      </w:pPr>
    </w:p>
    <w:p>
      <w:pPr>
        <w:jc w:val="both"/>
        <w:ind w:left="1300" w:right="20" w:hanging="647"/>
        <w:spacing w:after="0" w:line="312" w:lineRule="auto"/>
        <w:rPr>
          <w:sz w:val="20"/>
          <w:szCs w:val="20"/>
          <w:color w:val="auto"/>
        </w:rPr>
      </w:pPr>
      <w:r>
        <w:rPr>
          <w:rFonts w:ascii="Arial" w:cs="Arial" w:eastAsia="Arial" w:hAnsi="Arial"/>
          <w:sz w:val="19"/>
          <w:szCs w:val="19"/>
          <w:color w:val="auto"/>
        </w:rPr>
        <w:t>23.6.9 refrain from exercising any right, power or discretion vested in it as Agent under the Senior Finance Documents unless and until instructed as described in Clause 23.5 (</w:t>
      </w:r>
      <w:r>
        <w:rPr>
          <w:rFonts w:ascii="Arial" w:cs="Arial" w:eastAsia="Arial" w:hAnsi="Arial"/>
          <w:sz w:val="19"/>
          <w:szCs w:val="19"/>
          <w:i w:val="1"/>
          <w:iCs w:val="1"/>
          <w:color w:val="auto"/>
        </w:rPr>
        <w:t>Instructions</w:t>
      </w:r>
      <w:r>
        <w:rPr>
          <w:rFonts w:ascii="Arial" w:cs="Arial" w:eastAsia="Arial" w:hAnsi="Arial"/>
          <w:sz w:val="19"/>
          <w:szCs w:val="19"/>
          <w:color w:val="auto"/>
        </w:rPr>
        <w:t>) as to whether or not such right, power or discretion is to be exercised and, if it is to be exercised, as to the manner in which it should be exercised;</w:t>
      </w:r>
    </w:p>
    <w:p>
      <w:pPr>
        <w:spacing w:after="0" w:line="134" w:lineRule="exact"/>
        <w:rPr>
          <w:sz w:val="20"/>
          <w:szCs w:val="20"/>
          <w:color w:val="auto"/>
        </w:rPr>
      </w:pPr>
    </w:p>
    <w:p>
      <w:pPr>
        <w:jc w:val="both"/>
        <w:ind w:left="1300" w:right="20" w:hanging="647"/>
        <w:spacing w:after="0" w:line="265" w:lineRule="auto"/>
        <w:rPr>
          <w:sz w:val="20"/>
          <w:szCs w:val="20"/>
          <w:color w:val="auto"/>
        </w:rPr>
      </w:pPr>
      <w:r>
        <w:rPr>
          <w:rFonts w:ascii="Arial" w:cs="Arial" w:eastAsia="Arial" w:hAnsi="Arial"/>
          <w:sz w:val="21"/>
          <w:szCs w:val="21"/>
          <w:color w:val="auto"/>
        </w:rPr>
        <w:t>23.6.10refrain from acting in accordance with any instructions to begin any action or proceeding arising out of or in connection with the Senior Finance Documents until it shall have received such security as it may require (whether by way of payment in advance or otherwise) for all costs, claims, losses, expenses (including legal fees) and liabilities which it shall or may expend or incur in complying with such instructions;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23.6.11refrain from acting where to do so would put it in breach of an applicable Legal Requirement;</w:t>
      </w:r>
    </w:p>
    <w:p>
      <w:pPr>
        <w:spacing w:after="0" w:line="22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23.6.12treat each Facility Agent as the duly appointed and authorised agent of the relevant Lenders until it receives written notice to the contrary from the relevant Lenders; and</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23.6.13(in the case of the Intercreditor Agent) in applying any moneys received by it under any Security Document under Clause 33.6 (</w:t>
      </w:r>
      <w:r>
        <w:rPr>
          <w:rFonts w:ascii="Arial" w:cs="Arial" w:eastAsia="Arial" w:hAnsi="Arial"/>
          <w:sz w:val="22"/>
          <w:szCs w:val="22"/>
          <w:i w:val="1"/>
          <w:iCs w:val="1"/>
          <w:color w:val="auto"/>
        </w:rPr>
        <w:t>Application of Enforcement Proceeds</w:t>
      </w:r>
      <w:r>
        <w:rPr>
          <w:rFonts w:ascii="Arial" w:cs="Arial" w:eastAsia="Arial" w:hAnsi="Arial"/>
          <w:sz w:val="22"/>
          <w:szCs w:val="22"/>
          <w:color w:val="auto"/>
        </w:rPr>
        <w:t>), rely on any certificate made by the relevant Facility Agent or Hedging Counterparty as to the identity of, and the amounts owing to, any of the Senior Secured Creditors and shall be protected in so relying.</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b w:val="1"/>
          <w:bCs w:val="1"/>
          <w:color w:val="auto"/>
        </w:rPr>
        <w:t>Agents' Obligations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23.7.1 Each Agent shall:</w:t>
      </w:r>
    </w:p>
    <w:p>
      <w:pPr>
        <w:spacing w:after="0" w:line="220" w:lineRule="exact"/>
        <w:rPr>
          <w:sz w:val="20"/>
          <w:szCs w:val="20"/>
          <w:color w:val="auto"/>
        </w:rPr>
      </w:pPr>
    </w:p>
    <w:p>
      <w:pPr>
        <w:jc w:val="both"/>
        <w:ind w:left="1960" w:hanging="655"/>
        <w:spacing w:after="0" w:line="343" w:lineRule="auto"/>
        <w:tabs>
          <w:tab w:leader="none" w:pos="196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promptly inform each Senior Secured Creditor (in the case of the Intercreditor Agent) or the Intercreditor Agent and the Lenders in its Lending Group (in the case of each Facility Agent) of the contents of any notice</w:t>
      </w:r>
    </w:p>
    <w:p>
      <w:pPr>
        <w:sectPr>
          <w:pgSz w:w="11900" w:h="17015" w:orient="portrait"/>
          <w:cols w:equalWidth="0" w:num="1">
            <w:col w:w="11420"/>
          </w:cols>
          <w:pgMar w:left="240" w:top="315" w:right="239" w:bottom="0" w:gutter="0" w:footer="0" w:header="0"/>
        </w:sectPr>
      </w:pPr>
    </w:p>
    <w:bookmarkStart w:id="180" w:name="page181"/>
    <w:bookmarkEnd w:id="180"/>
    <w:p>
      <w:pPr>
        <w:ind w:left="1960"/>
        <w:spacing w:after="0" w:line="263" w:lineRule="auto"/>
        <w:rPr>
          <w:sz w:val="20"/>
          <w:szCs w:val="20"/>
          <w:color w:val="auto"/>
        </w:rPr>
      </w:pPr>
      <w:r>
        <w:rPr>
          <w:rFonts w:ascii="Arial" w:cs="Arial" w:eastAsia="Arial" w:hAnsi="Arial"/>
          <w:sz w:val="22"/>
          <w:szCs w:val="22"/>
          <w:color w:val="auto"/>
        </w:rPr>
        <w:t>or document received by it pursuant to the terms of any Senior Finance Document in its capacity as Agent from the Security Agent or an Obligor under the Senior Finance Documents; and</w:t>
      </w:r>
    </w:p>
    <w:p>
      <w:pPr>
        <w:spacing w:after="0" w:line="175" w:lineRule="exact"/>
        <w:rPr>
          <w:sz w:val="20"/>
          <w:szCs w:val="20"/>
          <w:color w:val="auto"/>
        </w:rPr>
      </w:pPr>
    </w:p>
    <w:p>
      <w:pPr>
        <w:jc w:val="both"/>
        <w:ind w:left="1960" w:hanging="655"/>
        <w:spacing w:after="0" w:line="302" w:lineRule="auto"/>
        <w:tabs>
          <w:tab w:leader="none" w:pos="19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23.7.2 The Intercreditor Agent shall promptly inform the Security Agent of the occurrence of the Release Date.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b w:val="1"/>
          <w:bCs w:val="1"/>
          <w:color w:val="auto"/>
        </w:rPr>
        <w:t>Excluded Obligations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anything to the contrary expressed or implied herein, none of the Agents nor any of the GCLAs shall:</w:t>
      </w:r>
    </w:p>
    <w:p>
      <w:pPr>
        <w:spacing w:after="0" w:line="254"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23.8.5 be bound to enquire as to (a) whether or not any representation made or deemed to be made by an Obligor in connection with the Senior Finance Documents is true, (b) the occurrence or otherwise of any Default, (c) the performance by an Obligor of its obligations under the Senior Finance Documents or (d) any breach of or default by an Obligor of or under its obligations under the Senior Finance Documents;</w:t>
      </w:r>
    </w:p>
    <w:p>
      <w:pPr>
        <w:spacing w:after="0" w:line="188"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23.8.6 be bound to account to any Senior Secured Creditor for any sum or the profit element of any sum received by it for its own account;</w:t>
      </w:r>
    </w:p>
    <w:p>
      <w:pPr>
        <w:spacing w:after="0" w:line="175"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23.8.7 be bound to disclose to any other Person any information relating to any Obligor, any party to a Major Project Document or any of their respective related entities if (a) such Person, on providing such information, expressly stated to such Agent or, as the case may be, such GCLA, that such information was confidential or (b) such disclosure would or might in its opinion constitute a breach of any law or be otherwise actionable at the suit of any Person; or</w:t>
      </w:r>
    </w:p>
    <w:p>
      <w:pPr>
        <w:spacing w:after="0" w:line="192"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23.8.8 be under any obligations other than those for which express provision is made herein or in any other Senior Finance Document to which such Agent or GCLA is a party.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b w:val="1"/>
          <w:bCs w:val="1"/>
          <w:color w:val="auto"/>
        </w:rPr>
        <w:t>Exclusion of Liabilities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 of the Agents and the GCLAs accepts any responsibility:</w:t>
      </w:r>
    </w:p>
    <w:p>
      <w:pPr>
        <w:spacing w:after="0" w:line="220"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23.9.1 for the adequacy, accuracy and/or completeness of the Information Memorandum or any other information supplied by the Agents or the GCLAs, by an Obligor or by any other Person in connection with the Senior Finance Documents, the transactions therein contemplated or any other agreement, arrangement or document entered into, made or executed in anticipation of, pursuant to or in connection with the Senior Finance Documents;</w:t>
      </w:r>
    </w:p>
    <w:p>
      <w:pPr>
        <w:spacing w:after="0" w:line="143"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23.9.2 for the legality, validity, effectiveness, adequacy or enforceability of the Senior Finance Documents or any other agreement, arrangement or document entered into, made or executed in anticipation of, pursuant to or in connection with the Senior Finance Documents; or</w:t>
      </w:r>
    </w:p>
    <w:p>
      <w:pPr>
        <w:spacing w:after="0" w:line="186"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23.9.3 for the exercise of, or the failure to exercise, any judgement, discretion or power given to any of them by or in connection with the Senior Finance Documents or any other agreement, arrangement or document entered into, made or executed in anticipation of, pursuant to or in connection with the Senior Finance Documents.</w:t>
      </w:r>
    </w:p>
    <w:p>
      <w:pPr>
        <w:spacing w:after="0" w:line="168"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Accordingly, none of the Agents and the GCLAs shall be under any liability (whether in negligence or otherwise) in respect of such matters.</w:t>
      </w:r>
    </w:p>
    <w:p>
      <w:pPr>
        <w:spacing w:after="0" w:line="17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No party hereto (other than the applicable Agent or GCLA) may take any proceedings against any officer, employee or agent of an Agent or a GCLA in respect of any claim it might have against such Agent or such GCLA, as the case may be, or in respect of any act or omission of any kind by that officer, employee or agent (other than by reason of the fraud, gross negligence or wilful misconduct of such officer, employee or agent) in relation to any Senior Finance Document and any officer, employee or agent of such Agent or GCLA may rely on this Clause subject to Clause 1.5 (</w:t>
      </w:r>
      <w:r>
        <w:rPr>
          <w:rFonts w:ascii="Arial" w:cs="Arial" w:eastAsia="Arial" w:hAnsi="Arial"/>
          <w:sz w:val="22"/>
          <w:szCs w:val="22"/>
          <w:i w:val="1"/>
          <w:iCs w:val="1"/>
          <w:color w:val="auto"/>
        </w:rPr>
        <w:t>Third party rights</w:t>
      </w:r>
      <w:r>
        <w:rPr>
          <w:rFonts w:ascii="Arial" w:cs="Arial" w:eastAsia="Arial" w:hAnsi="Arial"/>
          <w:sz w:val="22"/>
          <w:szCs w:val="22"/>
          <w:color w:val="auto"/>
        </w:rPr>
        <w:t>) and the provisions of the Third Parties Act.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23.10  </w:t>
      </w:r>
      <w:r>
        <w:rPr>
          <w:rFonts w:ascii="Arial" w:cs="Arial" w:eastAsia="Arial" w:hAnsi="Arial"/>
          <w:sz w:val="22"/>
          <w:szCs w:val="22"/>
          <w:b w:val="1"/>
          <w:bCs w:val="1"/>
          <w:color w:val="auto"/>
        </w:rPr>
        <w:t>No Actions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23.11</w:t>
      </w:r>
      <w:r>
        <w:rPr>
          <w:sz w:val="20"/>
          <w:szCs w:val="20"/>
          <w:color w:val="auto"/>
        </w:rPr>
        <w:tab/>
      </w:r>
      <w:r>
        <w:rPr>
          <w:rFonts w:ascii="Arial" w:cs="Arial" w:eastAsia="Arial" w:hAnsi="Arial"/>
          <w:sz w:val="19"/>
          <w:szCs w:val="19"/>
          <w:b w:val="1"/>
          <w:bCs w:val="1"/>
          <w:color w:val="auto"/>
        </w:rPr>
        <w:t>Business with the Obligors</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Each Agent and GCLA may accept deposits from, lend money to and generally engage in any kind of banking or other business with any of the Obligors or their Affiliates.</w:t>
      </w:r>
    </w:p>
    <w:p>
      <w:pPr>
        <w:sectPr>
          <w:pgSz w:w="11900" w:h="16838" w:orient="portrait"/>
          <w:cols w:equalWidth="0" w:num="1">
            <w:col w:w="11420"/>
          </w:cols>
          <w:pgMar w:left="240" w:top="132" w:right="239" w:bottom="0" w:gutter="0" w:footer="0" w:header="0"/>
        </w:sectPr>
      </w:pPr>
    </w:p>
    <w:bookmarkStart w:id="181" w:name="page182"/>
    <w:bookmarkEnd w:id="181"/>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23.12  </w:t>
      </w:r>
      <w:r>
        <w:rPr>
          <w:rFonts w:ascii="Arial" w:cs="Arial" w:eastAsia="Arial" w:hAnsi="Arial"/>
          <w:sz w:val="22"/>
          <w:szCs w:val="22"/>
          <w:b w:val="1"/>
          <w:bCs w:val="1"/>
          <w:color w:val="auto"/>
        </w:rPr>
        <w:t>Resignation</w:t>
      </w:r>
    </w:p>
    <w:p>
      <w:pPr>
        <w:spacing w:after="0" w:line="226" w:lineRule="exact"/>
        <w:rPr>
          <w:sz w:val="20"/>
          <w:szCs w:val="20"/>
          <w:color w:val="auto"/>
        </w:rPr>
      </w:pPr>
    </w:p>
    <w:p>
      <w:pPr>
        <w:ind w:left="1300" w:hanging="647"/>
        <w:spacing w:after="0" w:line="343" w:lineRule="auto"/>
        <w:rPr>
          <w:sz w:val="20"/>
          <w:szCs w:val="20"/>
          <w:color w:val="auto"/>
        </w:rPr>
      </w:pPr>
      <w:r>
        <w:rPr>
          <w:rFonts w:ascii="Arial" w:cs="Arial" w:eastAsia="Arial" w:hAnsi="Arial"/>
          <w:sz w:val="19"/>
          <w:szCs w:val="19"/>
          <w:color w:val="auto"/>
        </w:rPr>
        <w:t>23.12.1An Agent may resign its appointment hereunder at any time without assigning any reason therefor by giving not less than 25 Business Days' prior notice to that effect to the Senior Secured Creditors and the Company, in which case:</w:t>
      </w:r>
    </w:p>
    <w:p>
      <w:pPr>
        <w:spacing w:after="0" w:line="105" w:lineRule="exact"/>
        <w:rPr>
          <w:sz w:val="20"/>
          <w:szCs w:val="20"/>
          <w:color w:val="auto"/>
        </w:rPr>
      </w:pPr>
    </w:p>
    <w:p>
      <w:pPr>
        <w:jc w:val="both"/>
        <w:ind w:left="1960" w:hanging="655"/>
        <w:spacing w:after="0" w:line="263" w:lineRule="auto"/>
        <w:tabs>
          <w:tab w:leader="none" w:pos="196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175" w:lineRule="exact"/>
        <w:rPr>
          <w:rFonts w:ascii="Arial" w:cs="Arial" w:eastAsia="Arial" w:hAnsi="Arial"/>
          <w:sz w:val="21"/>
          <w:szCs w:val="21"/>
          <w:color w:val="auto"/>
        </w:rPr>
      </w:pPr>
    </w:p>
    <w:p>
      <w:pPr>
        <w:jc w:val="both"/>
        <w:ind w:left="1960" w:hanging="655"/>
        <w:spacing w:after="0" w:line="297" w:lineRule="auto"/>
        <w:tabs>
          <w:tab w:leader="none" w:pos="196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147" w:lineRule="exact"/>
        <w:rPr>
          <w:sz w:val="20"/>
          <w:szCs w:val="20"/>
          <w:color w:val="auto"/>
        </w:rPr>
      </w:pPr>
    </w:p>
    <w:p>
      <w:pPr>
        <w:jc w:val="both"/>
        <w:ind w:left="1300" w:hanging="647"/>
        <w:spacing w:after="0" w:line="297" w:lineRule="auto"/>
        <w:rPr>
          <w:sz w:val="20"/>
          <w:szCs w:val="20"/>
          <w:color w:val="auto"/>
        </w:rPr>
      </w:pPr>
      <w:r>
        <w:rPr>
          <w:rFonts w:ascii="Arial" w:cs="Arial" w:eastAsia="Arial" w:hAnsi="Arial"/>
          <w:sz w:val="19"/>
          <w:szCs w:val="19"/>
          <w:color w:val="auto"/>
        </w:rPr>
        <w:t>23.12.2If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147"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23.12.3If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194" w:lineRule="exact"/>
        <w:rPr>
          <w:sz w:val="20"/>
          <w:szCs w:val="20"/>
          <w:color w:val="auto"/>
        </w:rPr>
      </w:pPr>
    </w:p>
    <w:p>
      <w:pPr>
        <w:jc w:val="both"/>
        <w:ind w:left="1300" w:hanging="647"/>
        <w:spacing w:after="0" w:line="297" w:lineRule="auto"/>
        <w:rPr>
          <w:sz w:val="20"/>
          <w:szCs w:val="20"/>
          <w:color w:val="auto"/>
        </w:rPr>
      </w:pPr>
      <w:r>
        <w:rPr>
          <w:rFonts w:ascii="Arial" w:cs="Arial" w:eastAsia="Arial" w:hAnsi="Arial"/>
          <w:sz w:val="19"/>
          <w:szCs w:val="19"/>
          <w:color w:val="auto"/>
        </w:rPr>
        <w:t>23.12.4If,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Wynn Macau and the Cotai Project.</w:t>
      </w:r>
    </w:p>
    <w:p>
      <w:pPr>
        <w:spacing w:after="0" w:line="147" w:lineRule="exact"/>
        <w:rPr>
          <w:sz w:val="20"/>
          <w:szCs w:val="20"/>
          <w:color w:val="auto"/>
        </w:rPr>
      </w:pPr>
    </w:p>
    <w:p>
      <w:pPr>
        <w:jc w:val="both"/>
        <w:ind w:left="1300" w:hanging="647"/>
        <w:spacing w:after="0" w:line="292" w:lineRule="auto"/>
        <w:rPr>
          <w:sz w:val="20"/>
          <w:szCs w:val="20"/>
          <w:color w:val="auto"/>
        </w:rPr>
      </w:pPr>
      <w:r>
        <w:rPr>
          <w:rFonts w:ascii="Arial" w:cs="Arial" w:eastAsia="Arial" w:hAnsi="Arial"/>
          <w:sz w:val="19"/>
          <w:szCs w:val="19"/>
          <w:color w:val="auto"/>
        </w:rPr>
        <w:t>23.12.5If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Company.</w:t>
      </w:r>
    </w:p>
    <w:p>
      <w:pPr>
        <w:spacing w:after="0" w:line="151" w:lineRule="exact"/>
        <w:rPr>
          <w:sz w:val="20"/>
          <w:szCs w:val="20"/>
          <w:color w:val="auto"/>
        </w:rPr>
      </w:pPr>
    </w:p>
    <w:p>
      <w:pPr>
        <w:jc w:val="both"/>
        <w:ind w:left="1300" w:hanging="647"/>
        <w:spacing w:after="0" w:line="261" w:lineRule="auto"/>
        <w:rPr>
          <w:sz w:val="20"/>
          <w:szCs w:val="20"/>
          <w:color w:val="auto"/>
        </w:rPr>
      </w:pPr>
      <w:r>
        <w:rPr>
          <w:rFonts w:ascii="Arial" w:cs="Arial" w:eastAsia="Arial" w:hAnsi="Arial"/>
          <w:sz w:val="21"/>
          <w:szCs w:val="21"/>
          <w:color w:val="auto"/>
        </w:rPr>
        <w:t xml:space="preserve">23.12.6The resignation of an Agent and the appointment of any successor Agent shall both become effective only upon the successor Agent executing an Agent's Deed of Accession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18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23.12.7The Intercreditor Agent agrees that it shall, if so requested in writing by the Required Lenders, tender its resignation in accordance with this Clause 23.12.</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23.12.8Each Facility Agent agrees that it shall, if so requested in writing by its Lending Group, tender its resignation in accordance with this Clause 23.12.</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23.12.9Upon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22"/>
          <w:szCs w:val="22"/>
          <w:i w:val="1"/>
          <w:iCs w:val="1"/>
          <w:color w:val="auto"/>
        </w:rPr>
        <w:t>Other Indemnities</w:t>
      </w:r>
      <w:r>
        <w:rPr>
          <w:rFonts w:ascii="Arial" w:cs="Arial" w:eastAsia="Arial" w:hAnsi="Arial"/>
          <w:sz w:val="22"/>
          <w:szCs w:val="22"/>
          <w:color w:val="auto"/>
        </w:rPr>
        <w:t>) and sub-clauses 23.1, 23.2, 23.5.2, 23.5.3, 23.6.10, 23.8, 23.9, 23.10 and 23.15 of this Clause 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23.13  </w:t>
      </w:r>
      <w:r>
        <w:rPr>
          <w:rFonts w:ascii="Arial" w:cs="Arial" w:eastAsia="Arial" w:hAnsi="Arial"/>
          <w:sz w:val="22"/>
          <w:szCs w:val="22"/>
          <w:b w:val="1"/>
          <w:bCs w:val="1"/>
          <w:color w:val="auto"/>
        </w:rPr>
        <w:t>Own Responsibility</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It is understood and agreed by each Senior Secured Creditor that at all times it has itself been, and shall continue to be, solely responsible for making its own independent appraisal of, and investigation into, all risks arising under or in</w:t>
      </w:r>
    </w:p>
    <w:p>
      <w:pPr>
        <w:sectPr>
          <w:pgSz w:w="11900" w:h="16920" w:orient="portrait"/>
          <w:cols w:equalWidth="0" w:num="1">
            <w:col w:w="11420"/>
          </w:cols>
          <w:pgMar w:left="240" w:top="193" w:right="239" w:bottom="0" w:gutter="0" w:footer="0" w:header="0"/>
        </w:sectPr>
      </w:pPr>
    </w:p>
    <w:bookmarkStart w:id="182" w:name="page183"/>
    <w:bookmarkEnd w:id="182"/>
    <w:p>
      <w:pPr>
        <w:ind w:left="660"/>
        <w:spacing w:after="0"/>
        <w:rPr>
          <w:sz w:val="20"/>
          <w:szCs w:val="20"/>
          <w:color w:val="auto"/>
        </w:rPr>
      </w:pPr>
      <w:r>
        <w:rPr>
          <w:rFonts w:ascii="Arial" w:cs="Arial" w:eastAsia="Arial" w:hAnsi="Arial"/>
          <w:sz w:val="22"/>
          <w:szCs w:val="22"/>
          <w:color w:val="auto"/>
        </w:rPr>
        <w:t>connection with the Senior Finance Documents including, but not limited to:</w:t>
      </w:r>
    </w:p>
    <w:p>
      <w:pPr>
        <w:spacing w:after="0" w:line="220"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23.13.1the financial condition, creditworthiness, condition, affairs, status and nature of Wynn Macau, the Cotai Project and each Obligor;</w:t>
      </w:r>
    </w:p>
    <w:p>
      <w:pPr>
        <w:spacing w:after="0" w:line="17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23.13.2the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186"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23.13.3whether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143"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23.13.4the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143"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Accordingly, each Senior Secured Creditor acknowledges to the Agents and the GCLAs that it has not relied on and shall not hereafter rely on the Agents and the GCLAs or any of them in respect of any of these matters.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23.14  </w:t>
      </w:r>
      <w:r>
        <w:rPr>
          <w:rFonts w:ascii="Arial" w:cs="Arial" w:eastAsia="Arial" w:hAnsi="Arial"/>
          <w:sz w:val="22"/>
          <w:szCs w:val="22"/>
          <w:b w:val="1"/>
          <w:bCs w:val="1"/>
          <w:color w:val="auto"/>
        </w:rPr>
        <w:t>Agency Division Separate</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23.15  </w:t>
      </w:r>
      <w:r>
        <w:rPr>
          <w:rFonts w:ascii="Arial" w:cs="Arial" w:eastAsia="Arial" w:hAnsi="Arial"/>
          <w:sz w:val="22"/>
          <w:szCs w:val="22"/>
          <w:b w:val="1"/>
          <w:bCs w:val="1"/>
          <w:color w:val="auto"/>
        </w:rPr>
        <w:t>Indemnity to Intercreditor Agent</w:t>
      </w:r>
    </w:p>
    <w:p>
      <w:pPr>
        <w:spacing w:after="0" w:line="22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23.15.1Each Senior Secured Creditor shall rateably in accordance with the proportion that the US dollar equivalent of the sum of its Available Commitments and its participations in any outstanding Advances bear to the US dollar equivalent of the aggregate of the Available Commitments and such participations of all the Senior Secured Creditors (or, if all such amounts have been reduced to zero, such proportion determined immediately prior to such reduction) for the time being, indemnify the Intercreditor Agent, within fifteen days of demand (accompanied by reasonable written certification), against cost, loss or liability incurred by the Intercreditor Agent (other than by reason of fraud, 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160"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23.15.2Clause 23.15.1 shall not apply to the extent that the Intercreditor Agent is otherwise actually indemnified or reimbursed by any party to a Senior Finance Document under any other provision of the Senior Finance Documents.</w:t>
      </w:r>
    </w:p>
    <w:p>
      <w:pPr>
        <w:spacing w:after="0" w:line="105"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21"/>
          <w:szCs w:val="21"/>
          <w:color w:val="auto"/>
        </w:rPr>
        <w:t>23.15.3Provided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Clause 23.15.1 above.</w:t>
      </w:r>
    </w:p>
    <w:p>
      <w:pPr>
        <w:spacing w:after="0" w:line="170" w:lineRule="exact"/>
        <w:rPr>
          <w:sz w:val="20"/>
          <w:szCs w:val="20"/>
          <w:color w:val="auto"/>
        </w:rPr>
      </w:pPr>
    </w:p>
    <w:p>
      <w:pPr>
        <w:ind w:left="660" w:right="4040" w:hanging="652"/>
        <w:spacing w:after="0" w:line="451" w:lineRule="auto"/>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b w:val="1"/>
          <w:bCs w:val="1"/>
          <w:color w:val="auto"/>
        </w:rPr>
        <w:t xml:space="preserve">CONDUCT OF BUSINESS BY THE SENIOR SECURED CREDITORS </w:t>
      </w:r>
      <w:r>
        <w:rPr>
          <w:rFonts w:ascii="Arial" w:cs="Arial" w:eastAsia="Arial" w:hAnsi="Arial"/>
          <w:sz w:val="22"/>
          <w:szCs w:val="22"/>
          <w:color w:val="auto"/>
        </w:rPr>
        <w:t>No provision of the Senior Finance Documents shall:</w:t>
      </w:r>
    </w:p>
    <w:p>
      <w:pPr>
        <w:ind w:left="1300" w:right="20" w:hanging="648"/>
        <w:spacing w:after="0" w:line="263" w:lineRule="auto"/>
        <w:rPr>
          <w:rFonts w:ascii="Arial" w:cs="Arial" w:eastAsia="Arial" w:hAnsi="Arial"/>
          <w:sz w:val="22"/>
          <w:szCs w:val="22"/>
          <w:color w:val="auto"/>
        </w:rPr>
      </w:pPr>
      <w:r>
        <w:rPr>
          <w:rFonts w:ascii="Arial" w:cs="Arial" w:eastAsia="Arial" w:hAnsi="Arial"/>
          <w:sz w:val="22"/>
          <w:szCs w:val="22"/>
          <w:color w:val="auto"/>
        </w:rPr>
        <w:t>24.1.6 interfere with the right of any Senior Secured Creditor to arrange its affairs (tax or otherwise) in whatever manner it thinks fit;</w:t>
      </w:r>
    </w:p>
    <w:p>
      <w:pPr>
        <w:spacing w:after="0" w:line="174" w:lineRule="exact"/>
        <w:rPr>
          <w:rFonts w:ascii="Arial" w:cs="Arial" w:eastAsia="Arial" w:hAnsi="Arial"/>
          <w:sz w:val="22"/>
          <w:szCs w:val="22"/>
          <w:color w:val="auto"/>
        </w:rPr>
      </w:pPr>
    </w:p>
    <w:p>
      <w:pPr>
        <w:jc w:val="center"/>
        <w:ind w:left="1300" w:hanging="648"/>
        <w:spacing w:after="0" w:line="343" w:lineRule="auto"/>
        <w:rPr>
          <w:rFonts w:ascii="Arial" w:cs="Arial" w:eastAsia="Arial" w:hAnsi="Arial"/>
          <w:sz w:val="22"/>
          <w:szCs w:val="22"/>
          <w:color w:val="auto"/>
        </w:rPr>
      </w:pPr>
      <w:r>
        <w:rPr>
          <w:rFonts w:ascii="Arial" w:cs="Arial" w:eastAsia="Arial" w:hAnsi="Arial"/>
          <w:sz w:val="19"/>
          <w:szCs w:val="19"/>
          <w:color w:val="auto"/>
        </w:rPr>
        <w:t>24.1.7 subject to Clause 15 (</w:t>
      </w:r>
      <w:r>
        <w:rPr>
          <w:rFonts w:ascii="Arial" w:cs="Arial" w:eastAsia="Arial" w:hAnsi="Arial"/>
          <w:sz w:val="19"/>
          <w:szCs w:val="19"/>
          <w:i w:val="1"/>
          <w:iCs w:val="1"/>
          <w:color w:val="auto"/>
        </w:rPr>
        <w:t>Mitigation by Senior Secured Creditors</w:t>
      </w:r>
      <w:r>
        <w:rPr>
          <w:rFonts w:ascii="Arial" w:cs="Arial" w:eastAsia="Arial" w:hAnsi="Arial"/>
          <w:sz w:val="19"/>
          <w:szCs w:val="19"/>
          <w:color w:val="auto"/>
        </w:rPr>
        <w:t>), oblige any Senior Secured Creditor to investigate or claim any credit, relief, remission or repayment available to it or the extent, order and manner of any claim; or</w:t>
      </w:r>
    </w:p>
    <w:p>
      <w:pPr>
        <w:spacing w:after="0" w:line="104" w:lineRule="exact"/>
        <w:rPr>
          <w:rFonts w:ascii="Arial" w:cs="Arial" w:eastAsia="Arial" w:hAnsi="Arial"/>
          <w:sz w:val="22"/>
          <w:szCs w:val="22"/>
          <w:color w:val="auto"/>
        </w:rPr>
      </w:pPr>
    </w:p>
    <w:p>
      <w:pPr>
        <w:ind w:left="1300" w:hanging="648"/>
        <w:spacing w:after="0" w:line="263" w:lineRule="auto"/>
        <w:rPr>
          <w:rFonts w:ascii="Arial" w:cs="Arial" w:eastAsia="Arial" w:hAnsi="Arial"/>
          <w:sz w:val="22"/>
          <w:szCs w:val="22"/>
          <w:color w:val="auto"/>
        </w:rPr>
      </w:pPr>
      <w:r>
        <w:rPr>
          <w:rFonts w:ascii="Arial" w:cs="Arial" w:eastAsia="Arial" w:hAnsi="Arial"/>
          <w:sz w:val="22"/>
          <w:szCs w:val="22"/>
          <w:color w:val="auto"/>
        </w:rPr>
        <w:t>24.1.8 oblige any Senior Secured Creditor to disclose any information relating to its affairs (tax or otherwise) or any computations in respect of Tax.</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b w:val="1"/>
          <w:bCs w:val="1"/>
          <w:color w:val="auto"/>
        </w:rPr>
        <w:t>SHARING AMONG THE SENIOR SECURED CREDITORS</w:t>
      </w:r>
    </w:p>
    <w:p>
      <w:pPr>
        <w:sectPr>
          <w:pgSz w:w="11900" w:h="16838" w:orient="portrait"/>
          <w:cols w:equalWidth="0" w:num="1">
            <w:col w:w="11420"/>
          </w:cols>
          <w:pgMar w:left="240" w:top="132" w:right="239" w:bottom="0" w:gutter="0" w:footer="0" w:header="0"/>
        </w:sectPr>
      </w:pPr>
    </w:p>
    <w:bookmarkStart w:id="183" w:name="page184"/>
    <w:bookmarkEnd w:id="183"/>
    <w:p>
      <w:pPr>
        <w:spacing w:after="0"/>
        <w:tabs>
          <w:tab w:leader="none" w:pos="6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b w:val="1"/>
          <w:bCs w:val="1"/>
          <w:color w:val="auto"/>
        </w:rPr>
        <w:t>Payments to Senior Secured Creditors</w:t>
      </w:r>
    </w:p>
    <w:p>
      <w:pPr>
        <w:spacing w:after="0" w:line="22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a Senior Secured Creditor (a "</w:t>
      </w:r>
      <w:r>
        <w:rPr>
          <w:rFonts w:ascii="Arial" w:cs="Arial" w:eastAsia="Arial" w:hAnsi="Arial"/>
          <w:sz w:val="22"/>
          <w:szCs w:val="22"/>
          <w:b w:val="1"/>
          <w:bCs w:val="1"/>
          <w:color w:val="auto"/>
        </w:rPr>
        <w:t>Recovering Senior Secured Creditor</w:t>
      </w:r>
      <w:r>
        <w:rPr>
          <w:rFonts w:ascii="Arial" w:cs="Arial" w:eastAsia="Arial" w:hAnsi="Arial"/>
          <w:sz w:val="22"/>
          <w:szCs w:val="22"/>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193"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25.1.4 the Recovering Senior Secured Creditor shall, within 5 Business Days, notify details of the receipt or recovery, to the Intercreditor Agent;</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25.1.5 the Intercreditor Agent shall determine whether the receipt or recovery is in excess of the amount the Recovering Senior Secured Creditor would have been paid had the receipt or recovery been received and distributed in accordance with this Agreement, without taking account of any Tax which would be imposed on that Agent in relation to the receipt, recovery or distribution; and</w:t>
      </w:r>
    </w:p>
    <w:p>
      <w:pPr>
        <w:spacing w:after="0" w:line="188"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25.1.6 the Recovering Senior Secured Creditor shall, within 10 Business Days of demand by the Intercreditor Agent, pay to the Intercreditor Agent an amount (the "</w:t>
      </w:r>
      <w:r>
        <w:rPr>
          <w:rFonts w:ascii="Arial" w:cs="Arial" w:eastAsia="Arial" w:hAnsi="Arial"/>
          <w:sz w:val="22"/>
          <w:szCs w:val="22"/>
          <w:b w:val="1"/>
          <w:bCs w:val="1"/>
          <w:color w:val="auto"/>
        </w:rPr>
        <w:t>Sharing Payment</w:t>
      </w:r>
      <w:r>
        <w:rPr>
          <w:rFonts w:ascii="Arial" w:cs="Arial" w:eastAsia="Arial" w:hAnsi="Arial"/>
          <w:sz w:val="22"/>
          <w:szCs w:val="22"/>
          <w:color w:val="auto"/>
        </w:rPr>
        <w:t>") equal to such receipt or recovery less any amount which the Intercreditor Agent determines may be retained by the Recovering Senior Secured Creditor as its share of any payment to be made, in accordance with this Agreement.</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For purposes of clarification, Permitted Loan Repurchases shall not constitute payments (or prepayments) of Advances or the recovery of any amount from an Obligor for any purpose hereunder.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b w:val="1"/>
          <w:bCs w:val="1"/>
          <w:color w:val="auto"/>
        </w:rPr>
        <w:t>Redistribution of payments</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The Intercreditor Agent shall treat the Sharing Payment as if it had been paid by the Company and distribute it between the Senior Secured Creditors (other than the Recovering Senior Secured Creditor) in accordance with this Agreement.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b w:val="1"/>
          <w:bCs w:val="1"/>
          <w:color w:val="auto"/>
        </w:rPr>
        <w:t>Recovering Senior Secured Creditor's Rights</w:t>
      </w:r>
    </w:p>
    <w:p>
      <w:pPr>
        <w:spacing w:after="0" w:line="226" w:lineRule="exact"/>
        <w:rPr>
          <w:sz w:val="20"/>
          <w:szCs w:val="20"/>
          <w:color w:val="auto"/>
        </w:rPr>
      </w:pPr>
    </w:p>
    <w:p>
      <w:pPr>
        <w:jc w:val="both"/>
        <w:ind w:left="1300" w:right="20" w:hanging="647"/>
        <w:spacing w:after="0" w:line="343" w:lineRule="auto"/>
        <w:rPr>
          <w:sz w:val="20"/>
          <w:szCs w:val="20"/>
          <w:color w:val="auto"/>
        </w:rPr>
      </w:pPr>
      <w:r>
        <w:rPr>
          <w:rFonts w:ascii="Arial" w:cs="Arial" w:eastAsia="Arial" w:hAnsi="Arial"/>
          <w:sz w:val="19"/>
          <w:szCs w:val="19"/>
          <w:color w:val="auto"/>
        </w:rPr>
        <w:t>25.3.4 On a distribution by the Intercreditor Agent under 25.2 (</w:t>
      </w:r>
      <w:r>
        <w:rPr>
          <w:rFonts w:ascii="Arial" w:cs="Arial" w:eastAsia="Arial" w:hAnsi="Arial"/>
          <w:sz w:val="19"/>
          <w:szCs w:val="19"/>
          <w:i w:val="1"/>
          <w:iCs w:val="1"/>
          <w:color w:val="auto"/>
        </w:rPr>
        <w:t>Redistribution of payments</w:t>
      </w:r>
      <w:r>
        <w:rPr>
          <w:rFonts w:ascii="Arial" w:cs="Arial" w:eastAsia="Arial" w:hAnsi="Arial"/>
          <w:sz w:val="19"/>
          <w:szCs w:val="19"/>
          <w:color w:val="auto"/>
        </w:rPr>
        <w:t>), the Recovering Senior Secured Creditor shall be subrogated to the rights of the Senior Secured Creditors which have shared in the redistribution.</w:t>
      </w:r>
    </w:p>
    <w:p>
      <w:pPr>
        <w:spacing w:after="0" w:line="105"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25.3.5 If and to the extent that the Recovering Senior Secured Creditor is not able to rely on its rights under sub-clause 25.3.1 above, the Company shall be liable to the Recovering Senior Secured Creditor for a debt equal to the Sharing Payment which is immediately due and payable.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b w:val="1"/>
          <w:bCs w:val="1"/>
          <w:color w:val="auto"/>
        </w:rPr>
        <w:t>Reversal of redistribution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any part of the Sharing Payment received or recovered by a Recovering Senior Secured Creditor becomes repayable and is repaid by such Recovering Senior Secured Creditor, then:</w:t>
      </w:r>
    </w:p>
    <w:p>
      <w:pPr>
        <w:spacing w:after="0" w:line="175"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2"/>
          <w:szCs w:val="22"/>
          <w:color w:val="auto"/>
        </w:rPr>
        <w:t>25.4.14each Senior Secured Creditor which has received a share of such Sharing Payment pursuant to Clause 25.2 (</w:t>
      </w:r>
      <w:r>
        <w:rPr>
          <w:rFonts w:ascii="Arial" w:cs="Arial" w:eastAsia="Arial" w:hAnsi="Arial"/>
          <w:sz w:val="22"/>
          <w:szCs w:val="22"/>
          <w:i w:val="1"/>
          <w:iCs w:val="1"/>
          <w:color w:val="auto"/>
        </w:rPr>
        <w:t>Redistribution of payments</w:t>
      </w:r>
      <w:r>
        <w:rPr>
          <w:rFonts w:ascii="Arial" w:cs="Arial" w:eastAsia="Arial" w:hAnsi="Arial"/>
          <w:sz w:val="22"/>
          <w:szCs w:val="22"/>
          <w:color w:val="auto"/>
        </w:rPr>
        <w:t>) shall, upon request of the Intercreditor Agent, pay to the Intercreditor Agent for account of that Recovering Senior Secured Creditor an amount equal to the appropriate part of its share of the Sharing Payment (together with an amount as is necessary to reimburse that Recovering Senior Secured Creditor for its proportion of any interest on the Sharing Payment which that Recovering Senior Secured Creditor is required to pay); and</w:t>
      </w:r>
    </w:p>
    <w:p>
      <w:pPr>
        <w:spacing w:after="0" w:line="194"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25.4.15that Recovering Senior Secured Creditor's rights of subrogation in respect of any reimbursement shall be cancelled and the Company shall be liable to the reimbursing Senior Secured Creditor for the amount so reimbursed.</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8"/>
          <w:szCs w:val="18"/>
          <w:b w:val="1"/>
          <w:bCs w:val="1"/>
          <w:color w:val="auto"/>
        </w:rPr>
        <w:t>Exceptions</w:t>
      </w:r>
    </w:p>
    <w:p>
      <w:pPr>
        <w:spacing w:after="0" w:line="22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21"/>
          <w:szCs w:val="21"/>
          <w:color w:val="auto"/>
        </w:rPr>
        <w:t>This Clause 25 shall not apply to the extent that the Recovering Senior Secured Creditor would not, after making any payment pursuant to this Clause 25, have a valid and enforceable claim against the relevant Obligor.</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19"/>
          <w:szCs w:val="19"/>
          <w:b w:val="1"/>
          <w:bCs w:val="1"/>
          <w:color w:val="auto"/>
        </w:rPr>
        <w:t>Benefit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180"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ectPr>
          <w:pgSz w:w="11900" w:h="16838" w:orient="portrait"/>
          <w:cols w:equalWidth="0" w:num="1">
            <w:col w:w="11420"/>
          </w:cols>
          <w:pgMar w:left="240" w:top="126" w:right="239" w:bottom="0" w:gutter="0" w:footer="0" w:header="0"/>
        </w:sectPr>
      </w:pPr>
    </w:p>
    <w:bookmarkStart w:id="184" w:name="page185"/>
    <w:bookmarkEnd w:id="184"/>
    <w:p>
      <w:pPr>
        <w:spacing w:after="0"/>
        <w:tabs>
          <w:tab w:leader="none" w:pos="6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b w:val="1"/>
          <w:bCs w:val="1"/>
          <w:color w:val="auto"/>
        </w:rPr>
        <w:t>Payments under the Senior Finance Documents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26.1.5 </w:t>
      </w:r>
      <w:r>
        <w:rPr>
          <w:rFonts w:ascii="Arial" w:cs="Arial" w:eastAsia="Arial" w:hAnsi="Arial"/>
          <w:sz w:val="22"/>
          <w:szCs w:val="22"/>
          <w:b w:val="1"/>
          <w:bCs w:val="1"/>
          <w:i w:val="1"/>
          <w:iCs w:val="1"/>
          <w:color w:val="auto"/>
        </w:rPr>
        <w:t>Prior to an Event of Default</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Unless and until an Event of Default has occurred and is continuing and except with respect to any payments pursuant to a Permitted Loan Repurchase:</w:t>
      </w:r>
    </w:p>
    <w:p>
      <w:pPr>
        <w:spacing w:after="0" w:line="175" w:lineRule="exact"/>
        <w:rPr>
          <w:sz w:val="20"/>
          <w:szCs w:val="20"/>
          <w:color w:val="auto"/>
        </w:rPr>
      </w:pPr>
    </w:p>
    <w:p>
      <w:pPr>
        <w:jc w:val="both"/>
        <w:ind w:left="1960" w:hanging="655"/>
        <w:spacing w:after="0" w:line="312" w:lineRule="auto"/>
        <w:tabs>
          <w:tab w:leader="none" w:pos="196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all payments to be made by the Company to or for the account of any Lender under the Facility Agreement to which that Lender is a party shall be made to the relevant Facility Agent under that Facility Agreement for the account of that Lender, in the manner stipulated in the relevant Facility Agreement; and</w:t>
      </w:r>
    </w:p>
    <w:p>
      <w:pPr>
        <w:spacing w:after="0" w:line="133"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all payments to be made by a Lender under a Facility Agreement shall be made to the relevant Facility Agent, not later than the time (if any) specified in the relevant Facility Agreement, to its account at such office or bank as it may notify to that Lender from time to time for this purpose.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26.1.6 </w:t>
      </w:r>
      <w:r>
        <w:rPr>
          <w:rFonts w:ascii="Arial" w:cs="Arial" w:eastAsia="Arial" w:hAnsi="Arial"/>
          <w:sz w:val="22"/>
          <w:szCs w:val="22"/>
          <w:b w:val="1"/>
          <w:bCs w:val="1"/>
          <w:i w:val="1"/>
          <w:iCs w:val="1"/>
          <w:color w:val="auto"/>
        </w:rPr>
        <w:t>After the occurrence of an Event of Default</w:t>
      </w:r>
    </w:p>
    <w:p>
      <w:pPr>
        <w:spacing w:after="0" w:line="2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22"/>
          <w:szCs w:val="22"/>
          <w:i w:val="1"/>
          <w:iCs w:val="1"/>
          <w:color w:val="auto"/>
        </w:rPr>
        <w:t>Prior to an Event of Default</w:t>
      </w:r>
      <w:r>
        <w:rPr>
          <w:rFonts w:ascii="Arial" w:cs="Arial" w:eastAsia="Arial" w:hAnsi="Arial"/>
          <w:sz w:val="22"/>
          <w:szCs w:val="22"/>
          <w:color w:val="auto"/>
        </w:rPr>
        <w:t>) and except with respect to any payments pursuant to a Permitted Loan Repurchase:</w:t>
      </w:r>
    </w:p>
    <w:p>
      <w:pPr>
        <w:spacing w:after="0" w:line="188" w:lineRule="exact"/>
        <w:rPr>
          <w:sz w:val="20"/>
          <w:szCs w:val="20"/>
          <w:color w:val="auto"/>
        </w:rPr>
      </w:pPr>
    </w:p>
    <w:p>
      <w:pPr>
        <w:jc w:val="both"/>
        <w:ind w:left="1960" w:hanging="655"/>
        <w:spacing w:after="0" w:line="312" w:lineRule="auto"/>
        <w:tabs>
          <w:tab w:leader="none" w:pos="196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133" w:lineRule="exact"/>
        <w:rPr>
          <w:rFonts w:ascii="Arial" w:cs="Arial" w:eastAsia="Arial" w:hAnsi="Arial"/>
          <w:sz w:val="19"/>
          <w:szCs w:val="19"/>
          <w:color w:val="auto"/>
        </w:rPr>
      </w:pPr>
    </w:p>
    <w:p>
      <w:pPr>
        <w:ind w:left="1960" w:hanging="655"/>
        <w:spacing w:after="0" w:line="343" w:lineRule="auto"/>
        <w:tabs>
          <w:tab w:leader="none" w:pos="196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all payments to be made by any Lender under any Senior Finance Document (whether pursuant to Clause 25 (</w:t>
      </w:r>
      <w:r>
        <w:rPr>
          <w:rFonts w:ascii="Arial" w:cs="Arial" w:eastAsia="Arial" w:hAnsi="Arial"/>
          <w:sz w:val="19"/>
          <w:szCs w:val="19"/>
          <w:i w:val="1"/>
          <w:iCs w:val="1"/>
          <w:color w:val="auto"/>
        </w:rPr>
        <w:t>Sharing Among the Senior Secured Creditors</w:t>
      </w:r>
      <w:r>
        <w:rPr>
          <w:rFonts w:ascii="Arial" w:cs="Arial" w:eastAsia="Arial" w:hAnsi="Arial"/>
          <w:sz w:val="19"/>
          <w:szCs w:val="19"/>
          <w:color w:val="auto"/>
        </w:rPr>
        <w:t>) or otherwise) shall be paid to the Intercreditor Agent; and</w:t>
      </w:r>
    </w:p>
    <w:p>
      <w:pPr>
        <w:spacing w:after="0" w:line="104" w:lineRule="exact"/>
        <w:rPr>
          <w:rFonts w:ascii="Arial" w:cs="Arial" w:eastAsia="Arial" w:hAnsi="Arial"/>
          <w:sz w:val="19"/>
          <w:szCs w:val="19"/>
          <w:color w:val="auto"/>
        </w:rPr>
      </w:pPr>
    </w:p>
    <w:p>
      <w:pPr>
        <w:jc w:val="both"/>
        <w:ind w:left="1960" w:hanging="655"/>
        <w:spacing w:after="0" w:line="312" w:lineRule="auto"/>
        <w:tabs>
          <w:tab w:leader="none" w:pos="196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all payments received by the Intercreditor Agent under this sub-clause 26.1.2 shall be distributed in accordance with Clause 33.6 (</w:t>
      </w:r>
      <w:r>
        <w:rPr>
          <w:rFonts w:ascii="Arial" w:cs="Arial" w:eastAsia="Arial" w:hAnsi="Arial"/>
          <w:sz w:val="19"/>
          <w:szCs w:val="19"/>
          <w:i w:val="1"/>
          <w:iCs w:val="1"/>
          <w:color w:val="auto"/>
        </w:rPr>
        <w:t>Application of Enforcement Proceeds</w:t>
      </w:r>
      <w:r>
        <w:rPr>
          <w:rFonts w:ascii="Arial" w:cs="Arial" w:eastAsia="Arial" w:hAnsi="Arial"/>
          <w:sz w:val="19"/>
          <w:szCs w:val="19"/>
          <w:color w:val="auto"/>
        </w:rPr>
        <w:t>) to the Person(s) specified therein or, where any such Person is a Lender, to the relevant Facility Agent for the account of that Lender.</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b w:val="1"/>
          <w:bCs w:val="1"/>
          <w:color w:val="auto"/>
        </w:rPr>
        <w:t>Payments by an Agent</w:t>
      </w:r>
    </w:p>
    <w:p>
      <w:pPr>
        <w:spacing w:after="0" w:line="226"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26.2.6 Save as otherwise provided herein, each payment received by an Agent as agent for or otherwise for the benefit of another Person shall, subject to Clause 26.3 (</w:t>
      </w:r>
      <w:r>
        <w:rPr>
          <w:rFonts w:ascii="Arial" w:cs="Arial" w:eastAsia="Arial" w:hAnsi="Arial"/>
          <w:sz w:val="22"/>
          <w:szCs w:val="22"/>
          <w:i w:val="1"/>
          <w:iCs w:val="1"/>
          <w:color w:val="auto"/>
        </w:rPr>
        <w:t>Distributions to an Obligor</w:t>
      </w:r>
      <w:r>
        <w:rPr>
          <w:rFonts w:ascii="Arial" w:cs="Arial" w:eastAsia="Arial" w:hAnsi="Arial"/>
          <w:sz w:val="22"/>
          <w:szCs w:val="22"/>
          <w:color w:val="auto"/>
        </w:rPr>
        <w:t>) and Clause 26.4 (</w:t>
      </w:r>
      <w:r>
        <w:rPr>
          <w:rFonts w:ascii="Arial" w:cs="Arial" w:eastAsia="Arial" w:hAnsi="Arial"/>
          <w:sz w:val="22"/>
          <w:szCs w:val="22"/>
          <w:i w:val="1"/>
          <w:iCs w:val="1"/>
          <w:color w:val="auto"/>
        </w:rPr>
        <w:t>Clawback</w:t>
      </w:r>
      <w:r>
        <w:rPr>
          <w:rFonts w:ascii="Arial" w:cs="Arial" w:eastAsia="Arial" w:hAnsi="Arial"/>
          <w:sz w:val="22"/>
          <w:szCs w:val="22"/>
          <w:color w:val="auto"/>
        </w:rPr>
        <w:t>), be made available by that Agent to the Person entitled to receive such payment for value the same day by transfer to such account of such Person with such bank in the principal financial centre of the country of the relevant currency as such Person shall have previously notified to that Agent.</w:t>
      </w:r>
    </w:p>
    <w:p>
      <w:pPr>
        <w:spacing w:after="0" w:line="192"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26.2.7 A payment shall be deemed to have been made by an Agent on the date on which it is required to be made under the Senior Finance Documents if such Agent has, on or before that date, taken steps to make that payment in accordance with the regulations or operating procedures of the clearing or settlement system used by such Agent in order to make the payment.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19"/>
          <w:szCs w:val="19"/>
          <w:b w:val="1"/>
          <w:bCs w:val="1"/>
          <w:color w:val="auto"/>
        </w:rPr>
        <w:t>Distributions to an Obligor</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Agent may (with the consent of the relevant Obligor or in accordance with Clause 27 (</w:t>
      </w:r>
      <w:r>
        <w:rPr>
          <w:rFonts w:ascii="Arial" w:cs="Arial" w:eastAsia="Arial" w:hAnsi="Arial"/>
          <w:sz w:val="22"/>
          <w:szCs w:val="22"/>
          <w:i w:val="1"/>
          <w:iCs w:val="1"/>
          <w:color w:val="auto"/>
        </w:rPr>
        <w:t>Set-off</w:t>
      </w:r>
      <w:r>
        <w:rPr>
          <w:rFonts w:ascii="Arial" w:cs="Arial" w:eastAsia="Arial" w:hAnsi="Arial"/>
          <w:sz w:val="22"/>
          <w:szCs w:val="22"/>
          <w:color w:val="auto"/>
        </w:rPr>
        <w:t>)) apply any amount received by it for that Obligor in or towards payment (on the date and in the currency and funds of receipt) of any amount due from that Obligor under the Senior Finance Documents or in or towards purchase of any amount of any currency to be so applied at a market rate of exchange in its usual course of business.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26.4</w:t>
      </w:r>
      <w:r>
        <w:rPr>
          <w:sz w:val="20"/>
          <w:szCs w:val="20"/>
          <w:color w:val="auto"/>
        </w:rPr>
        <w:tab/>
      </w:r>
      <w:r>
        <w:rPr>
          <w:rFonts w:ascii="Arial" w:cs="Arial" w:eastAsia="Arial" w:hAnsi="Arial"/>
          <w:sz w:val="19"/>
          <w:szCs w:val="19"/>
          <w:b w:val="1"/>
          <w:bCs w:val="1"/>
          <w:color w:val="auto"/>
        </w:rPr>
        <w:t>Clawback</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26.4.3 Where a sum is to be paid to an Agent under the Senior Finance Documents for another Person, that Agent is not obliged to pay that sum to that Person until it has been able to establish to its satisfaction that it has actually received that sum.</w:t>
      </w:r>
    </w:p>
    <w:p>
      <w:pPr>
        <w:spacing w:after="0" w:line="18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26.4.4 If an Agent pays an amount to another Person and it proves to be the case that that Agent had not actually received that amount, then the Person to whom that amount was paid by that Agent shall on demand refund the same to that Agent together with interest on that amount from the date of payment to the date of receipt by that Agent, calculated by that Agent to reflect its cost of funds.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26.5</w:t>
      </w:r>
      <w:r>
        <w:rPr>
          <w:sz w:val="20"/>
          <w:szCs w:val="20"/>
          <w:color w:val="auto"/>
        </w:rPr>
        <w:tab/>
      </w:r>
      <w:r>
        <w:rPr>
          <w:rFonts w:ascii="Arial" w:cs="Arial" w:eastAsia="Arial" w:hAnsi="Arial"/>
          <w:sz w:val="19"/>
          <w:szCs w:val="19"/>
          <w:b w:val="1"/>
          <w:bCs w:val="1"/>
          <w:color w:val="auto"/>
        </w:rPr>
        <w:t>No Set-off by Obligors</w:t>
      </w:r>
    </w:p>
    <w:p>
      <w:pPr>
        <w:sectPr>
          <w:pgSz w:w="11900" w:h="16838" w:orient="portrait"/>
          <w:cols w:equalWidth="0" w:num="1">
            <w:col w:w="11420"/>
          </w:cols>
          <w:pgMar w:left="240" w:top="126" w:right="239" w:bottom="202" w:gutter="0" w:footer="0" w:header="0"/>
        </w:sectPr>
      </w:pPr>
    </w:p>
    <w:bookmarkStart w:id="185" w:name="page186"/>
    <w:bookmarkEnd w:id="185"/>
    <w:p>
      <w:pPr>
        <w:jc w:val="both"/>
        <w:ind w:left="660"/>
        <w:spacing w:after="0" w:line="263" w:lineRule="auto"/>
        <w:rPr>
          <w:sz w:val="20"/>
          <w:szCs w:val="20"/>
          <w:color w:val="auto"/>
        </w:rPr>
      </w:pPr>
      <w:r>
        <w:rPr>
          <w:rFonts w:ascii="Arial" w:cs="Arial" w:eastAsia="Arial" w:hAnsi="Arial"/>
          <w:sz w:val="22"/>
          <w:szCs w:val="22"/>
          <w:color w:val="auto"/>
        </w:rPr>
        <w:t>All payments to be made by an Obligor under the Senior Finance Documents shall be calculated and be made without (and free and clear of any deduction for) set-off or counterclaim.</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26.6</w:t>
      </w:r>
      <w:r>
        <w:rPr>
          <w:sz w:val="20"/>
          <w:szCs w:val="20"/>
          <w:color w:val="auto"/>
        </w:rPr>
        <w:tab/>
      </w:r>
      <w:r>
        <w:rPr>
          <w:rFonts w:ascii="Arial" w:cs="Arial" w:eastAsia="Arial" w:hAnsi="Arial"/>
          <w:sz w:val="18"/>
          <w:szCs w:val="18"/>
          <w:b w:val="1"/>
          <w:bCs w:val="1"/>
          <w:color w:val="auto"/>
        </w:rPr>
        <w:t>Business Days</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26.6.4 Any payment which is due to be made under any Senior Finance Document on a day that is not a Business Day shall be made on the next Business Day in the calendar month (if there is one) or the preceding Business Day (if there is not).</w:t>
      </w:r>
    </w:p>
    <w:p>
      <w:pPr>
        <w:spacing w:after="0" w:line="18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26.6.5 During any extension of the due date for payment of any principal pursuant to sub-clause 26.6.1 above, interest is payable on that principal at the rate payable on the original due date.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26.7</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26.7.1 A repayment of an Advance or Unpaid Sum or a part of an Advance or Unpaid Sum shall be made in the currency in which the Advance or Unpaid Sum is denominated on its due date.</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26.7.2 Each payment of interest shall be made in the currency in which the sum in respect of which the interest is payable was denominated when that interest accrued.</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26.7.3 Each payment in respect of costs, expenses or Taxes under the Senior Finance Documents shall be made in the currency in which the costs, expenses or Taxes are incurred.</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26.7.4 Any other amount payable under any of the Senior Finance Documents is, except as otherwise provided elsewhere in the Senior Finance Documents, payable in US dollars.</w:t>
      </w:r>
    </w:p>
    <w:p>
      <w:pPr>
        <w:spacing w:after="0" w:line="169"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SET-OFF</w:t>
      </w:r>
    </w:p>
    <w:p>
      <w:pPr>
        <w:spacing w:after="0" w:line="225" w:lineRule="exact"/>
        <w:rPr>
          <w:rFonts w:ascii="Arial" w:cs="Arial" w:eastAsia="Arial" w:hAnsi="Arial"/>
          <w:sz w:val="22"/>
          <w:szCs w:val="22"/>
          <w:color w:val="auto"/>
        </w:rPr>
      </w:pPr>
    </w:p>
    <w:p>
      <w:pPr>
        <w:jc w:val="both"/>
        <w:ind w:left="660"/>
        <w:spacing w:after="0" w:line="290" w:lineRule="auto"/>
        <w:rPr>
          <w:rFonts w:ascii="Arial" w:cs="Arial" w:eastAsia="Arial" w:hAnsi="Arial"/>
          <w:sz w:val="22"/>
          <w:szCs w:val="22"/>
          <w:color w:val="auto"/>
        </w:rPr>
      </w:pPr>
      <w:r>
        <w:rPr>
          <w:rFonts w:ascii="Arial" w:cs="Arial" w:eastAsia="Arial" w:hAnsi="Arial"/>
          <w:sz w:val="19"/>
          <w:szCs w:val="19"/>
          <w:color w:val="auto"/>
        </w:rPr>
        <w:t>Without prejudice to the provisions of Schedule 6 (</w:t>
      </w:r>
      <w:r>
        <w:rPr>
          <w:rFonts w:ascii="Arial" w:cs="Arial" w:eastAsia="Arial" w:hAnsi="Arial"/>
          <w:sz w:val="19"/>
          <w:szCs w:val="19"/>
          <w:i w:val="1"/>
          <w:iCs w:val="1"/>
          <w:color w:val="auto"/>
        </w:rPr>
        <w:t>Accounts</w:t>
      </w:r>
      <w:r>
        <w:rPr>
          <w:rFonts w:ascii="Arial" w:cs="Arial" w:eastAsia="Arial" w:hAnsi="Arial"/>
          <w:sz w:val="19"/>
          <w:szCs w:val="19"/>
          <w:color w:val="auto"/>
        </w:rPr>
        <w:t>) and subject to the terms of Clause 25 (</w:t>
      </w:r>
      <w:r>
        <w:rPr>
          <w:rFonts w:ascii="Arial" w:cs="Arial" w:eastAsia="Arial" w:hAnsi="Arial"/>
          <w:sz w:val="19"/>
          <w:szCs w:val="19"/>
          <w:i w:val="1"/>
          <w:iCs w:val="1"/>
          <w:color w:val="auto"/>
        </w:rPr>
        <w:t>Sharing Among the</w:t>
      </w:r>
      <w:r>
        <w:rPr>
          <w:rFonts w:ascii="Arial" w:cs="Arial" w:eastAsia="Arial" w:hAnsi="Arial"/>
          <w:sz w:val="19"/>
          <w:szCs w:val="19"/>
          <w:color w:val="auto"/>
        </w:rPr>
        <w:t xml:space="preserve"> </w:t>
      </w:r>
      <w:r>
        <w:rPr>
          <w:rFonts w:ascii="Arial" w:cs="Arial" w:eastAsia="Arial" w:hAnsi="Arial"/>
          <w:sz w:val="19"/>
          <w:szCs w:val="19"/>
          <w:i w:val="1"/>
          <w:iCs w:val="1"/>
          <w:color w:val="auto"/>
        </w:rPr>
        <w:t>Senior Secured Creditors</w:t>
      </w:r>
      <w:r>
        <w:rPr>
          <w:rFonts w:ascii="Arial" w:cs="Arial" w:eastAsia="Arial" w:hAnsi="Arial"/>
          <w:sz w:val="19"/>
          <w:szCs w:val="19"/>
          <w:color w:val="auto"/>
        </w:rPr>
        <w:t>) and Clause 33 (</w:t>
      </w:r>
      <w:r>
        <w:rPr>
          <w:rFonts w:ascii="Arial" w:cs="Arial" w:eastAsia="Arial" w:hAnsi="Arial"/>
          <w:sz w:val="19"/>
          <w:szCs w:val="19"/>
          <w:i w:val="1"/>
          <w:iCs w:val="1"/>
          <w:color w:val="auto"/>
        </w:rPr>
        <w:t>Intercreditor Arrangements</w:t>
      </w:r>
      <w:r>
        <w:rPr>
          <w:rFonts w:ascii="Arial" w:cs="Arial" w:eastAsia="Arial" w:hAnsi="Arial"/>
          <w:sz w:val="19"/>
          <w:szCs w:val="19"/>
          <w:color w:val="auto"/>
        </w:rPr>
        <w:t>), a Senior Secured Creditor may, upon the occurrence</w:t>
      </w:r>
      <w:r>
        <w:rPr>
          <w:rFonts w:ascii="Arial" w:cs="Arial" w:eastAsia="Arial" w:hAnsi="Arial"/>
          <w:sz w:val="19"/>
          <w:szCs w:val="19"/>
          <w:i w:val="1"/>
          <w:iCs w:val="1"/>
          <w:color w:val="auto"/>
        </w:rPr>
        <w:t xml:space="preserve"> </w:t>
      </w:r>
      <w:r>
        <w:rPr>
          <w:rFonts w:ascii="Arial" w:cs="Arial" w:eastAsia="Arial" w:hAnsi="Arial"/>
          <w:sz w:val="19"/>
          <w:szCs w:val="19"/>
          <w:color w:val="auto"/>
        </w:rPr>
        <w:t>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150"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NON-RECOURSE LIABILITY</w:t>
      </w:r>
    </w:p>
    <w:p>
      <w:pPr>
        <w:spacing w:after="0" w:line="225" w:lineRule="exact"/>
        <w:rPr>
          <w:rFonts w:ascii="Arial" w:cs="Arial" w:eastAsia="Arial" w:hAnsi="Arial"/>
          <w:sz w:val="22"/>
          <w:szCs w:val="22"/>
          <w:color w:val="auto"/>
        </w:rPr>
      </w:pPr>
    </w:p>
    <w:p>
      <w:pPr>
        <w:jc w:val="both"/>
        <w:ind w:left="660"/>
        <w:spacing w:after="0" w:line="259" w:lineRule="auto"/>
        <w:rPr>
          <w:rFonts w:ascii="Arial" w:cs="Arial" w:eastAsia="Arial" w:hAnsi="Arial"/>
          <w:sz w:val="22"/>
          <w:szCs w:val="22"/>
          <w:color w:val="auto"/>
        </w:rPr>
      </w:pPr>
      <w:r>
        <w:rPr>
          <w:rFonts w:ascii="Arial" w:cs="Arial" w:eastAsia="Arial" w:hAnsi="Arial"/>
          <w:sz w:val="21"/>
          <w:szCs w:val="21"/>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ectPr>
          <w:pgSz w:w="11900" w:h="16838" w:orient="portrait"/>
          <w:cols w:equalWidth="0" w:num="1">
            <w:col w:w="11420"/>
          </w:cols>
          <w:pgMar w:left="240" w:top="132" w:right="239" w:bottom="1440" w:gutter="0" w:footer="0" w:header="0"/>
        </w:sectPr>
      </w:pPr>
    </w:p>
    <w:bookmarkStart w:id="186" w:name="page187"/>
    <w:bookmarkEnd w:id="186"/>
    <w:p>
      <w:pPr>
        <w:ind w:left="660" w:hanging="652"/>
        <w:spacing w:after="0"/>
        <w:tabs>
          <w:tab w:leader="none" w:pos="660" w:val="left"/>
        </w:tabs>
        <w:numPr>
          <w:ilvl w:val="0"/>
          <w:numId w:val="245"/>
        </w:numPr>
        <w:rPr>
          <w:rFonts w:ascii="Arial" w:cs="Arial" w:eastAsia="Arial" w:hAnsi="Arial"/>
          <w:sz w:val="22"/>
          <w:szCs w:val="22"/>
          <w:color w:val="auto"/>
        </w:rPr>
      </w:pPr>
      <w:r>
        <w:rPr>
          <w:rFonts w:ascii="Arial" w:cs="Arial" w:eastAsia="Arial" w:hAnsi="Arial"/>
          <w:sz w:val="22"/>
          <w:szCs w:val="22"/>
          <w:b w:val="1"/>
          <w:bCs w:val="1"/>
          <w:color w:val="auto"/>
        </w:rPr>
        <w:t>NOTICES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29.1</w:t>
      </w:r>
      <w:r>
        <w:rPr>
          <w:sz w:val="20"/>
          <w:szCs w:val="20"/>
          <w:color w:val="auto"/>
        </w:rPr>
        <w:tab/>
      </w:r>
      <w:r>
        <w:rPr>
          <w:rFonts w:ascii="Arial" w:cs="Arial" w:eastAsia="Arial" w:hAnsi="Arial"/>
          <w:sz w:val="19"/>
          <w:szCs w:val="19"/>
          <w:b w:val="1"/>
          <w:bCs w:val="1"/>
          <w:color w:val="auto"/>
        </w:rPr>
        <w:t>Communications in Writing</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Any notice, demand or other communication (each, for the purposes of this Clause 29, a "c</w:t>
      </w:r>
      <w:r>
        <w:rPr>
          <w:rFonts w:ascii="Arial" w:cs="Arial" w:eastAsia="Arial" w:hAnsi="Arial"/>
          <w:sz w:val="22"/>
          <w:szCs w:val="22"/>
          <w:b w:val="1"/>
          <w:bCs w:val="1"/>
          <w:color w:val="auto"/>
        </w:rPr>
        <w:t>ommunication</w:t>
      </w:r>
      <w:r>
        <w:rPr>
          <w:rFonts w:ascii="Arial" w:cs="Arial" w:eastAsia="Arial" w:hAnsi="Arial"/>
          <w:sz w:val="22"/>
          <w:szCs w:val="22"/>
          <w:color w:val="auto"/>
        </w:rPr>
        <w:t>") to be made under or in connection with the Senior Finance Documents shall be made in writing but, unless otherwise stated, may be made by fax or letter.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7"/>
          <w:szCs w:val="17"/>
          <w:b w:val="1"/>
          <w:bCs w:val="1"/>
          <w:color w:val="auto"/>
        </w:rPr>
        <w:t>Addresses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29.2.9 in the case of the Company, each of the GCLAs, each of the Agents, each of the Lenders and each of the Hedging Counterparties party to the Common Terms Agreement Fifth Amendment Agreement, identified with its name on the signing pages thereto; and</w:t>
      </w:r>
    </w:p>
    <w:p>
      <w:pPr>
        <w:spacing w:after="0" w:line="186"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21"/>
          <w:szCs w:val="21"/>
          <w:color w:val="auto"/>
        </w:rPr>
        <w:t>29.2.10in the case of each other Lender, each other Hedging Counterparty and each other Obligor, that notified in writing to the Intercreditor Agent prior to the date it becomes a party to the Senior Finance Documents,</w:t>
      </w:r>
    </w:p>
    <w:p>
      <w:pPr>
        <w:spacing w:after="0" w:line="15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19"/>
          <w:szCs w:val="19"/>
          <w:b w:val="1"/>
          <w:bCs w:val="1"/>
          <w:color w:val="auto"/>
        </w:rPr>
        <w:t>Delivery</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29.3.6 Any communication or document made or delivered by one Person to another under or in connection with the Senior Finance Documents shall only be effective:</w:t>
      </w:r>
    </w:p>
    <w:p>
      <w:pPr>
        <w:spacing w:after="0" w:line="175" w:lineRule="exact"/>
        <w:rPr>
          <w:sz w:val="20"/>
          <w:szCs w:val="20"/>
          <w:color w:val="auto"/>
        </w:rPr>
      </w:pPr>
    </w:p>
    <w:p>
      <w:pPr>
        <w:ind w:left="1960" w:hanging="655"/>
        <w:spacing w:after="0"/>
        <w:tabs>
          <w:tab w:leader="none" w:pos="19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delivered personally or by overnight courier, when left at the relevant address;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by way of fax, when received in legible form; or</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by way of letter, when it has been left at the relevant address or 10 Business Days after being deposited in the post postage prepaid in an envelope addressed to it at that address,</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and, if a particular department or officer is specified as part of its address details provided under Clause 29.2 (</w:t>
      </w:r>
      <w:r>
        <w:rPr>
          <w:rFonts w:ascii="Arial" w:cs="Arial" w:eastAsia="Arial" w:hAnsi="Arial"/>
          <w:sz w:val="22"/>
          <w:szCs w:val="22"/>
          <w:i w:val="1"/>
          <w:iCs w:val="1"/>
          <w:color w:val="auto"/>
        </w:rPr>
        <w:t>Addresses</w:t>
      </w:r>
      <w:r>
        <w:rPr>
          <w:rFonts w:ascii="Arial" w:cs="Arial" w:eastAsia="Arial" w:hAnsi="Arial"/>
          <w:sz w:val="22"/>
          <w:szCs w:val="22"/>
          <w:color w:val="auto"/>
        </w:rPr>
        <w:t>), if addressed to that department or officer.</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29.3.7 Any communication or document to be made or delivered to an Agent shall be effective only when actually received by that Agent and then only if it is expressly marked for the attention of the department or officer specified as part of its address details provided under Clause 29.2 (</w:t>
      </w:r>
      <w:r>
        <w:rPr>
          <w:rFonts w:ascii="Arial" w:cs="Arial" w:eastAsia="Arial" w:hAnsi="Arial"/>
          <w:sz w:val="22"/>
          <w:szCs w:val="22"/>
          <w:i w:val="1"/>
          <w:iCs w:val="1"/>
          <w:color w:val="auto"/>
        </w:rPr>
        <w:t>Addresses</w:t>
      </w:r>
      <w:r>
        <w:rPr>
          <w:rFonts w:ascii="Arial" w:cs="Arial" w:eastAsia="Arial" w:hAnsi="Arial"/>
          <w:sz w:val="22"/>
          <w:szCs w:val="22"/>
          <w:color w:val="auto"/>
        </w:rPr>
        <w:t>) (or any substitute department or officer as that Agent shall specify for this purpose).</w:t>
      </w:r>
    </w:p>
    <w:p>
      <w:pPr>
        <w:sectPr>
          <w:pgSz w:w="11900" w:h="16838" w:orient="portrait"/>
          <w:cols w:equalWidth="0" w:num="1">
            <w:col w:w="11420"/>
          </w:cols>
          <w:pgMar w:left="240" w:top="625" w:right="239" w:bottom="1440" w:gutter="0" w:footer="0" w:header="0"/>
        </w:sectPr>
      </w:pPr>
    </w:p>
    <w:bookmarkStart w:id="187" w:name="page188"/>
    <w:bookmarkEnd w:id="187"/>
    <w:p>
      <w:pPr>
        <w:jc w:val="both"/>
        <w:ind w:left="1300" w:hanging="647"/>
        <w:spacing w:after="0" w:line="253" w:lineRule="auto"/>
        <w:rPr>
          <w:sz w:val="20"/>
          <w:szCs w:val="20"/>
          <w:color w:val="auto"/>
        </w:rPr>
      </w:pPr>
      <w:r>
        <w:rPr>
          <w:rFonts w:ascii="Arial" w:cs="Arial" w:eastAsia="Arial" w:hAnsi="Arial"/>
          <w:sz w:val="22"/>
          <w:szCs w:val="22"/>
          <w:color w:val="auto"/>
        </w:rPr>
        <w:t>29.3.8 All notices to an Obligor shall be sent through a Facility Agent or the Intercreditor Agent (but always with a copy to the Intercreditor Agent). All notices from an Obligor under the Senior Finance Documents shall be sent to the Intercreditor Agent who shall distribute them to the Senior Secured Creditors.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19"/>
          <w:szCs w:val="19"/>
          <w:b w:val="1"/>
          <w:bCs w:val="1"/>
          <w:color w:val="auto"/>
        </w:rPr>
        <w:t>Notification of address and fax number</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Promptly upon receipt of notification of an address and fax number or change of address or fax number pursuant to Clause 29.2 (</w:t>
      </w:r>
      <w:r>
        <w:rPr>
          <w:rFonts w:ascii="Arial" w:cs="Arial" w:eastAsia="Arial" w:hAnsi="Arial"/>
          <w:sz w:val="19"/>
          <w:szCs w:val="19"/>
          <w:i w:val="1"/>
          <w:iCs w:val="1"/>
          <w:color w:val="auto"/>
        </w:rPr>
        <w:t>Addresses</w:t>
      </w:r>
      <w:r>
        <w:rPr>
          <w:rFonts w:ascii="Arial" w:cs="Arial" w:eastAsia="Arial" w:hAnsi="Arial"/>
          <w:sz w:val="19"/>
          <w:szCs w:val="19"/>
          <w:color w:val="auto"/>
        </w:rPr>
        <w:t>) or changing its own address or fax number, the Intercreditor Agent shall notify the other parties.</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29.5</w:t>
      </w:r>
      <w:r>
        <w:rPr>
          <w:sz w:val="20"/>
          <w:szCs w:val="20"/>
          <w:color w:val="auto"/>
        </w:rPr>
        <w:tab/>
      </w:r>
      <w:r>
        <w:rPr>
          <w:rFonts w:ascii="Arial" w:cs="Arial" w:eastAsia="Arial" w:hAnsi="Arial"/>
          <w:sz w:val="19"/>
          <w:szCs w:val="19"/>
          <w:b w:val="1"/>
          <w:bCs w:val="1"/>
          <w:color w:val="auto"/>
        </w:rPr>
        <w:t>Electronic communication</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29.5.1 Any communication to be made between an Agent and a Lender or between an Agent and another Agent under or in connection with the Senior Finance Documents may be made by electronic mail or other electronic means, if that Agent and the relevant Lender or Agent:</w:t>
      </w:r>
    </w:p>
    <w:p>
      <w:pPr>
        <w:spacing w:after="0" w:line="186" w:lineRule="exact"/>
        <w:rPr>
          <w:sz w:val="20"/>
          <w:szCs w:val="20"/>
          <w:color w:val="auto"/>
        </w:rPr>
      </w:pPr>
    </w:p>
    <w:p>
      <w:pPr>
        <w:ind w:left="1960" w:hanging="655"/>
        <w:spacing w:after="0"/>
        <w:tabs>
          <w:tab w:leader="none" w:pos="196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agree that, unless and until notified to the contrary, this is to be an accepted form of communication;</w:t>
      </w:r>
    </w:p>
    <w:p>
      <w:pPr>
        <w:spacing w:after="0" w:line="231" w:lineRule="exact"/>
        <w:rPr>
          <w:rFonts w:ascii="Arial" w:cs="Arial" w:eastAsia="Arial" w:hAnsi="Arial"/>
          <w:sz w:val="21"/>
          <w:szCs w:val="21"/>
          <w:color w:val="auto"/>
        </w:rPr>
      </w:pPr>
    </w:p>
    <w:p>
      <w:pPr>
        <w:ind w:left="1960" w:right="20" w:hanging="655"/>
        <w:spacing w:after="0" w:line="263" w:lineRule="auto"/>
        <w:tabs>
          <w:tab w:leader="none" w:pos="196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notify each other in writing of their electronic mail address and/or any other information required to enable the sending and receipt of information by that means;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notify each other of any change to their address or any other such information supplied by them.</w:t>
      </w:r>
    </w:p>
    <w:p>
      <w:pPr>
        <w:spacing w:after="0" w:line="22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29.5.2 Any electronic communication made between an Agent and a Lender or another Agent shall be effective only when actually received in readable form and in the case of any electronic communication made by a Lender to an Agent or by an Agent to another Agent only if it is addressed in such a manner as the relevant Agent shall specify for this purpose.</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29.6</w:t>
      </w:r>
      <w:r>
        <w:rPr>
          <w:sz w:val="20"/>
          <w:szCs w:val="20"/>
          <w:color w:val="auto"/>
        </w:rPr>
        <w:tab/>
      </w:r>
      <w:r>
        <w:rPr>
          <w:rFonts w:ascii="Arial" w:cs="Arial" w:eastAsia="Arial" w:hAnsi="Arial"/>
          <w:sz w:val="19"/>
          <w:szCs w:val="19"/>
          <w:b w:val="1"/>
          <w:bCs w:val="1"/>
          <w:color w:val="auto"/>
        </w:rPr>
        <w:t>Electronic supply of materials</w:t>
      </w:r>
    </w:p>
    <w:p>
      <w:pPr>
        <w:spacing w:after="0" w:line="226" w:lineRule="exact"/>
        <w:rPr>
          <w:sz w:val="20"/>
          <w:szCs w:val="20"/>
          <w:color w:val="auto"/>
        </w:rPr>
      </w:pPr>
    </w:p>
    <w:p>
      <w:pPr>
        <w:jc w:val="both"/>
        <w:ind w:left="1300" w:hanging="647"/>
        <w:spacing w:after="0" w:line="288" w:lineRule="auto"/>
        <w:rPr>
          <w:sz w:val="20"/>
          <w:szCs w:val="20"/>
          <w:color w:val="auto"/>
        </w:rPr>
      </w:pPr>
      <w:r>
        <w:rPr>
          <w:rFonts w:ascii="Arial" w:cs="Arial" w:eastAsia="Arial" w:hAnsi="Arial"/>
          <w:sz w:val="19"/>
          <w:szCs w:val="19"/>
          <w:color w:val="auto"/>
        </w:rPr>
        <w:t>29.6.10The Company shall (and shall ensure that each other Obligor shall), unless otherwise requested by the Intercreditor Agent, provide to the Intercreditor Agent all information, documents and other materials that such Obligor is obligated to furnish to the Intercreditor Agent pursuant to the Senior Finance Documents, including, without limitation, all notices, requests, financial statements, financial and other reports, certificates and other information materials, but excluding any such communication that (i) relates to a request for a new, or a conversion of an existing, Advance or other extension of credit (including any election of an interest rate or Interest Period relating thereto), (ii) relates to the payment of any principal or other amount due under any Senior Finance Document prior to the scheduled date therefor, (iii) provides notice of any Default under any Senior Finance Document, (iv) is required to be delivered to satisfy any condition precedent to the effectiveness of any Senior Finance Document and/or any Advance or other extension of credit hereunder or (v) initiates or responds to</w:t>
      </w:r>
    </w:p>
    <w:p>
      <w:pPr>
        <w:sectPr>
          <w:pgSz w:w="11900" w:h="16838" w:orient="portrait"/>
          <w:cols w:equalWidth="0" w:num="1">
            <w:col w:w="11420"/>
          </w:cols>
          <w:pgMar w:left="240" w:top="631" w:right="239" w:bottom="1440" w:gutter="0" w:footer="0" w:header="0"/>
        </w:sectPr>
      </w:pPr>
    </w:p>
    <w:bookmarkStart w:id="188" w:name="page189"/>
    <w:bookmarkEnd w:id="188"/>
    <w:p>
      <w:pPr>
        <w:jc w:val="both"/>
        <w:ind w:left="100"/>
        <w:spacing w:after="0" w:line="264" w:lineRule="auto"/>
        <w:rPr>
          <w:sz w:val="20"/>
          <w:szCs w:val="20"/>
          <w:color w:val="auto"/>
        </w:rPr>
      </w:pPr>
      <w:r>
        <w:rPr>
          <w:rFonts w:ascii="Arial" w:cs="Arial" w:eastAsia="Arial" w:hAnsi="Arial"/>
          <w:sz w:val="21"/>
          <w:szCs w:val="21"/>
          <w:color w:val="auto"/>
        </w:rPr>
        <w:t>legal process (all such non-excluded information being referred to herein collectively as the "</w:t>
      </w:r>
      <w:r>
        <w:rPr>
          <w:rFonts w:ascii="Arial" w:cs="Arial" w:eastAsia="Arial" w:hAnsi="Arial"/>
          <w:sz w:val="21"/>
          <w:szCs w:val="21"/>
          <w:b w:val="1"/>
          <w:bCs w:val="1"/>
          <w:color w:val="auto"/>
        </w:rPr>
        <w:t>Communications</w:t>
      </w:r>
      <w:r>
        <w:rPr>
          <w:rFonts w:ascii="Arial" w:cs="Arial" w:eastAsia="Arial" w:hAnsi="Arial"/>
          <w:sz w:val="21"/>
          <w:szCs w:val="21"/>
          <w:color w:val="auto"/>
        </w:rPr>
        <w:t>") by transmitting the Communications in an electronic/soft medium (provided such Communications contain any required signatures) in a format acceptable to the Intercreditor Agent to each of Loan_Agency@bocmacau.com, ieong_lengchan@bocmacau.com and wong_iaokun@bocmacau.com (or such other e-mail address or addresses designated by the Intercreditor Agent from time to time).</w:t>
      </w:r>
    </w:p>
    <w:p>
      <w:pPr>
        <w:spacing w:after="0" w:line="177" w:lineRule="exact"/>
        <w:rPr>
          <w:sz w:val="20"/>
          <w:szCs w:val="20"/>
          <w:color w:val="auto"/>
        </w:rPr>
      </w:pPr>
    </w:p>
    <w:p>
      <w:pPr>
        <w:jc w:val="both"/>
        <w:ind w:left="100" w:hanging="647"/>
        <w:spacing w:after="0" w:line="261" w:lineRule="auto"/>
        <w:rPr>
          <w:sz w:val="20"/>
          <w:szCs w:val="20"/>
          <w:color w:val="auto"/>
        </w:rPr>
      </w:pPr>
      <w:r>
        <w:rPr>
          <w:rFonts w:ascii="Arial" w:cs="Arial" w:eastAsia="Arial" w:hAnsi="Arial"/>
          <w:sz w:val="21"/>
          <w:szCs w:val="21"/>
          <w:color w:val="auto"/>
        </w:rPr>
        <w:t>29.6.11Each party hereto agrees that the Intercreditor Agent may make the Communications available to the any Senior Secured Creditor by posting the Communications on IntraLinks or another relevant website, if any, to which such Senior Secured Creditor has access (whether a commercial, third-party website or whether sponsored by the Intercreditor Agent) (the "</w:t>
      </w:r>
      <w:r>
        <w:rPr>
          <w:rFonts w:ascii="Arial" w:cs="Arial" w:eastAsia="Arial" w:hAnsi="Arial"/>
          <w:sz w:val="21"/>
          <w:szCs w:val="21"/>
          <w:b w:val="1"/>
          <w:bCs w:val="1"/>
          <w:color w:val="auto"/>
        </w:rPr>
        <w:t>Platform</w:t>
      </w:r>
      <w:r>
        <w:rPr>
          <w:rFonts w:ascii="Arial" w:cs="Arial" w:eastAsia="Arial" w:hAnsi="Arial"/>
          <w:sz w:val="21"/>
          <w:szCs w:val="21"/>
          <w:color w:val="auto"/>
        </w:rPr>
        <w:t>"). Nothing in this Clause 29.6 shall prejudice the right of the Intercreditor Agent to make the Communications available to any Senior Secured Creditor in any other manner specified in this Agreement or any other Senior Finance Documents.</w:t>
      </w:r>
    </w:p>
    <w:p>
      <w:pPr>
        <w:spacing w:after="0" w:line="180" w:lineRule="exact"/>
        <w:rPr>
          <w:sz w:val="20"/>
          <w:szCs w:val="20"/>
          <w:color w:val="auto"/>
        </w:rPr>
      </w:pPr>
    </w:p>
    <w:p>
      <w:pPr>
        <w:jc w:val="both"/>
        <w:ind w:left="100" w:hanging="647"/>
        <w:spacing w:after="0" w:line="246" w:lineRule="auto"/>
        <w:rPr>
          <w:sz w:val="20"/>
          <w:szCs w:val="20"/>
          <w:color w:val="auto"/>
        </w:rPr>
      </w:pPr>
      <w:r>
        <w:rPr>
          <w:rFonts w:ascii="Arial" w:cs="Arial" w:eastAsia="Arial" w:hAnsi="Arial"/>
          <w:sz w:val="22"/>
          <w:szCs w:val="22"/>
          <w:color w:val="auto"/>
        </w:rPr>
        <w:t>29.6.12Each Senior Secured Creditor agrees that e-mail notice to it (at the address provided pursuant to the next sentence and deemed delivered as provided in the next paragraph) specifying that Communications have been posted to the Platform shall constitute effective delivery of such Communications to such Senior Secured Creditor for purposes of this Agreement and the other Senior Finance Documents. Each Senior Secured Creditor agrees (i) to notify the Intercreditor Agent in writing (including by electronic communication) from time to time to ensure that the Intercreditor Agent has on record an effective e-mail address for such Senior Secured Creditor to which the foregoing notice may be sent by electronic transmission and (ii) that the foregoing notice may be sent to such e-mail address.</w:t>
      </w:r>
    </w:p>
    <w:p>
      <w:pPr>
        <w:spacing w:after="0" w:line="195" w:lineRule="exact"/>
        <w:rPr>
          <w:sz w:val="20"/>
          <w:szCs w:val="20"/>
          <w:color w:val="auto"/>
        </w:rPr>
      </w:pPr>
    </w:p>
    <w:p>
      <w:pPr>
        <w:jc w:val="both"/>
        <w:ind w:left="100" w:hanging="647"/>
        <w:spacing w:after="0" w:line="259" w:lineRule="auto"/>
        <w:rPr>
          <w:sz w:val="20"/>
          <w:szCs w:val="20"/>
          <w:color w:val="auto"/>
        </w:rPr>
      </w:pPr>
      <w:r>
        <w:rPr>
          <w:rFonts w:ascii="Arial" w:cs="Arial" w:eastAsia="Arial" w:hAnsi="Arial"/>
          <w:sz w:val="21"/>
          <w:szCs w:val="21"/>
          <w:color w:val="auto"/>
        </w:rPr>
        <w:t xml:space="preserve">29.6.13Notwithstanding sub-clause 29.6.5 below, each party hereto agrees that any electronic communication referred to in this Clause 29.6 shall be deemed delivered upon the posting of a record of such communication (properly addressed to such party at the e-mail address provided to the Intercreditor Agent) as "sent" in the e-mail system of the sending party or, in the case of any such communication to the Intercreditor Agent, upon the posting of a record of such communication as "received" in the e-mail system of the Intercreditor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communication is not so received by the Intercreditor Agent during the normal business hours of the Intercreditor Agent, such communication shall be deemed delivered at the opening of business on the next Business Day for the Intercreditor Agent.</w:t>
      </w:r>
    </w:p>
    <w:p>
      <w:pPr>
        <w:spacing w:after="0" w:line="184" w:lineRule="exact"/>
        <w:rPr>
          <w:sz w:val="20"/>
          <w:szCs w:val="20"/>
          <w:color w:val="auto"/>
        </w:rPr>
      </w:pPr>
    </w:p>
    <w:p>
      <w:pPr>
        <w:jc w:val="both"/>
        <w:ind w:left="100" w:hanging="647"/>
        <w:spacing w:after="0" w:line="247" w:lineRule="auto"/>
        <w:rPr>
          <w:sz w:val="20"/>
          <w:szCs w:val="20"/>
          <w:color w:val="auto"/>
        </w:rPr>
      </w:pPr>
      <w:r>
        <w:rPr>
          <w:rFonts w:ascii="Arial" w:cs="Arial" w:eastAsia="Arial" w:hAnsi="Arial"/>
          <w:sz w:val="22"/>
          <w:szCs w:val="22"/>
          <w:color w:val="auto"/>
        </w:rPr>
        <w:t>29.6.14Each party hereto acknowledges that (i) the distribution of material through an electronic medium is not necessarily secure and that there are confidentiality and other risks associated with such distribution, (ii) the Communications and the Platform are provided "as is" and "as available", (iii) none of the Intercreditor Agent, its affiliates nor any of their respective officers, directors, employees, agents, advisors or representatives (collectively, the "</w:t>
      </w:r>
      <w:r>
        <w:rPr>
          <w:rFonts w:ascii="Arial" w:cs="Arial" w:eastAsia="Arial" w:hAnsi="Arial"/>
          <w:sz w:val="22"/>
          <w:szCs w:val="22"/>
          <w:b w:val="1"/>
          <w:bCs w:val="1"/>
          <w:color w:val="auto"/>
        </w:rPr>
        <w:t>Intercreditor</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 warrants the adequacy, accuracy or completeness of the Communications or the Platform,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Intercreditor Party expressly</w:t>
      </w:r>
    </w:p>
    <w:p>
      <w:pPr>
        <w:sectPr>
          <w:pgSz w:w="11900" w:h="16838" w:orient="portrait"/>
          <w:cols w:equalWidth="0" w:num="1">
            <w:col w:w="10220"/>
          </w:cols>
          <w:pgMar w:left="1440" w:top="626" w:right="239" w:bottom="1440" w:gutter="0" w:footer="0" w:header="0"/>
        </w:sectPr>
      </w:pPr>
    </w:p>
    <w:bookmarkStart w:id="189" w:name="page190"/>
    <w:bookmarkEnd w:id="189"/>
    <w:p>
      <w:pPr>
        <w:spacing w:after="0" w:line="28"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disclaims liability for errors or omissions in any Communications or the Platform and (iv) no representation or warranty of any kind, express, implied or statutory, including any representation or warranty of merchantability, fitness for a particular purpose, non-infringement of third party rights or freedom from viruses or other code defects, is made by any Intercreditor Party in connection with any Communications or the Platform.</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29.7</w:t>
      </w:r>
      <w:r>
        <w:rPr>
          <w:sz w:val="20"/>
          <w:szCs w:val="20"/>
          <w:color w:val="auto"/>
        </w:rPr>
        <w:tab/>
      </w:r>
      <w:r>
        <w:rPr>
          <w:rFonts w:ascii="Arial" w:cs="Arial" w:eastAsia="Arial" w:hAnsi="Arial"/>
          <w:sz w:val="19"/>
          <w:szCs w:val="19"/>
          <w:b w:val="1"/>
          <w:bCs w:val="1"/>
          <w:color w:val="auto"/>
        </w:rPr>
        <w:t>English language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29.7.5 Any notice given under or in connection with any Senior Finance Document must be in English.</w:t>
      </w:r>
    </w:p>
    <w:p>
      <w:pPr>
        <w:spacing w:after="0" w:line="22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29.7.6 All other documents provided under or in connection with any Senior Finance Document must be in English or, if not in English, and if so required by the relevant Agent, accompanied by a certified English translation and, in this case, the English translation shall prevail unless the document is a constitutional, statutory or other official document.</w:t>
      </w:r>
    </w:p>
    <w:p>
      <w:pPr>
        <w:spacing w:after="0" w:line="182"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22"/>
          <w:szCs w:val="22"/>
          <w:color w:val="auto"/>
        </w:rPr>
      </w:pPr>
      <w:r>
        <w:rPr>
          <w:rFonts w:ascii="Arial" w:cs="Arial" w:eastAsia="Arial" w:hAnsi="Arial"/>
          <w:sz w:val="22"/>
          <w:szCs w:val="22"/>
          <w:b w:val="1"/>
          <w:bCs w:val="1"/>
          <w:color w:val="auto"/>
        </w:rPr>
        <w:t>CALCULATIONS AND CERTIFICATES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8"/>
          <w:szCs w:val="18"/>
          <w:b w:val="1"/>
          <w:bCs w:val="1"/>
          <w:color w:val="auto"/>
        </w:rPr>
        <w:t>Accounts</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matters to which they relate.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b w:val="1"/>
          <w:bCs w:val="1"/>
          <w:color w:val="auto"/>
        </w:rPr>
        <w:t>Certificates and Determination</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Any certification or determination by a Senior Secured Creditor of a rate or amount under any Senior Finance Document is, in the absence of manifest error, conclusive evidence of the matters to which it relates.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b w:val="1"/>
          <w:bCs w:val="1"/>
          <w:color w:val="auto"/>
        </w:rPr>
        <w:t>Day count convention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pacing w:after="0" w:line="180"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PARTIAL INVALIDITY</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REMEDIES AND WAIVERS</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INTERCREDITOR ARRANGEMENTS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8"/>
          <w:szCs w:val="18"/>
          <w:b w:val="1"/>
          <w:bCs w:val="1"/>
          <w:color w:val="auto"/>
        </w:rPr>
        <w:t>Notices of Required Decisions</w:t>
      </w:r>
    </w:p>
    <w:p>
      <w:pPr>
        <w:spacing w:after="0" w:line="226" w:lineRule="exact"/>
        <w:rPr>
          <w:sz w:val="20"/>
          <w:szCs w:val="20"/>
          <w:color w:val="auto"/>
        </w:rPr>
      </w:pPr>
    </w:p>
    <w:p>
      <w:pPr>
        <w:jc w:val="both"/>
        <w:ind w:left="1300" w:hanging="647"/>
        <w:spacing w:after="0" w:line="343" w:lineRule="auto"/>
        <w:rPr>
          <w:sz w:val="20"/>
          <w:szCs w:val="20"/>
          <w:color w:val="auto"/>
        </w:rPr>
      </w:pPr>
      <w:r>
        <w:rPr>
          <w:rFonts w:ascii="Arial" w:cs="Arial" w:eastAsia="Arial" w:hAnsi="Arial"/>
          <w:sz w:val="19"/>
          <w:szCs w:val="19"/>
          <w:color w:val="auto"/>
        </w:rPr>
        <w:t>33.1.3 If, at any time, a matter requiring a Decision comes to the notice of a Senior Secured Creditor, that Senior Secured Creditor shall promptly inform the Intercreditor Agent and, where relevant, its Facility Agent in writing.</w:t>
      </w:r>
    </w:p>
    <w:p>
      <w:pPr>
        <w:spacing w:after="0" w:line="10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33.1.4 If, at any time, a matter requiring a Decision comes to the notice of the Intercreditor Agent, the Intercreditor Agent shall promptly notify in writing each Facility Agent (and, after the occurrence of a Hedging Voting Right Event in relation to any Hedging Counterparty that is continuing, that Hedging Counterparty) of that matter specifying:</w:t>
      </w:r>
    </w:p>
    <w:p>
      <w:pPr>
        <w:spacing w:after="0" w:line="134" w:lineRule="exact"/>
        <w:rPr>
          <w:sz w:val="20"/>
          <w:szCs w:val="20"/>
          <w:color w:val="auto"/>
        </w:rPr>
      </w:pPr>
    </w:p>
    <w:p>
      <w:pPr>
        <w:ind w:left="1960" w:hanging="655"/>
        <w:spacing w:after="0" w:line="343" w:lineRule="auto"/>
        <w:tabs>
          <w:tab w:leader="none" w:pos="19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whether the matter concerns a Fundamental Term and, if not, which Senior Secured Creditors may vote in respect of the Decision and the aggregate Voting Entitlement required for the Decision to be made;</w:t>
      </w:r>
    </w:p>
    <w:p>
      <w:pPr>
        <w:spacing w:after="0" w:line="10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date and time by which the Intercreditor Agent requires receipt of all votes in respect of the Decision (the "</w:t>
      </w:r>
      <w:r>
        <w:rPr>
          <w:rFonts w:ascii="Arial" w:cs="Arial" w:eastAsia="Arial" w:hAnsi="Arial"/>
          <w:sz w:val="22"/>
          <w:szCs w:val="22"/>
          <w:b w:val="1"/>
          <w:bCs w:val="1"/>
          <w:color w:val="auto"/>
        </w:rPr>
        <w:t>Decision Date</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following a Hedging Voting Right Event, the identity of the relevant Hedging Counterparty.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8"/>
          <w:szCs w:val="18"/>
          <w:b w:val="1"/>
          <w:bCs w:val="1"/>
          <w:color w:val="auto"/>
        </w:rPr>
        <w:t>Notice of Votes</w:t>
      </w:r>
    </w:p>
    <w:p>
      <w:pPr>
        <w:sectPr>
          <w:pgSz w:w="11900" w:h="16866" w:orient="portrait"/>
          <w:cols w:equalWidth="0" w:num="1">
            <w:col w:w="11420"/>
          </w:cols>
          <w:pgMar w:left="240" w:top="631" w:right="239" w:bottom="0" w:gutter="0" w:footer="0" w:header="0"/>
        </w:sectPr>
      </w:pPr>
    </w:p>
    <w:bookmarkStart w:id="190" w:name="page191"/>
    <w:bookmarkEnd w:id="190"/>
    <w:p>
      <w:pPr>
        <w:jc w:val="both"/>
        <w:ind w:left="660" w:right="20"/>
        <w:spacing w:after="0" w:line="343" w:lineRule="auto"/>
        <w:rPr>
          <w:sz w:val="20"/>
          <w:szCs w:val="20"/>
          <w:color w:val="auto"/>
        </w:rPr>
      </w:pPr>
      <w:r>
        <w:rPr>
          <w:rFonts w:ascii="Arial" w:cs="Arial" w:eastAsia="Arial" w:hAnsi="Arial"/>
          <w:sz w:val="19"/>
          <w:szCs w:val="19"/>
          <w:color w:val="auto"/>
        </w:rPr>
        <w:t>Each Senior Secured Creditor shall copy notice of its vote to the Intercreditor Agent, to each Facility Agent and each Hedging Counterparty notified by the Intercreditor Agent pursuant to Clause 33.1.2(iii) (</w:t>
      </w:r>
      <w:r>
        <w:rPr>
          <w:rFonts w:ascii="Arial" w:cs="Arial" w:eastAsia="Arial" w:hAnsi="Arial"/>
          <w:sz w:val="19"/>
          <w:szCs w:val="19"/>
          <w:i w:val="1"/>
          <w:iCs w:val="1"/>
          <w:color w:val="auto"/>
        </w:rPr>
        <w:t>Notices of Required Decisions</w:t>
      </w:r>
      <w:r>
        <w:rPr>
          <w:rFonts w:ascii="Arial" w:cs="Arial" w:eastAsia="Arial" w:hAnsi="Arial"/>
          <w:sz w:val="19"/>
          <w:szCs w:val="19"/>
          <w:color w:val="auto"/>
        </w:rPr>
        <w:t>).</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33.3</w:t>
      </w:r>
      <w:r>
        <w:rPr>
          <w:sz w:val="20"/>
          <w:szCs w:val="20"/>
          <w:color w:val="auto"/>
        </w:rPr>
        <w:tab/>
      </w:r>
      <w:r>
        <w:rPr>
          <w:rFonts w:ascii="Arial" w:cs="Arial" w:eastAsia="Arial" w:hAnsi="Arial"/>
          <w:sz w:val="19"/>
          <w:szCs w:val="19"/>
          <w:b w:val="1"/>
          <w:bCs w:val="1"/>
          <w:color w:val="auto"/>
        </w:rPr>
        <w:t>Decisions under the Senior Finance Documents</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Intercreditor Agent may exercise any such right, power, discretion or determination (including giving instructions to the Security Agent) without requiring any Decision which the Intercreditor Agent, acting reasonably, considers is a minor, administrative or technical matter which does not adversely affect the rights of the Senior Secured Creditors under the Senior Finance Documents.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19"/>
          <w:szCs w:val="19"/>
          <w:b w:val="1"/>
          <w:bCs w:val="1"/>
          <w:color w:val="auto"/>
        </w:rPr>
        <w:t>Restrictions On Remedies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this 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no Senior Secured Creditor may, at any time:</w:t>
      </w:r>
    </w:p>
    <w:p>
      <w:pPr>
        <w:spacing w:after="0" w:line="220"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33.4.1 set off, or purport to set off, at any time, any amount owing to it under the Senior Finance Documents against any amount payable by it to an Obligor (except that any Hedging Counterparty may net off between transactions under a single Hedging Agreement);</w:t>
      </w:r>
    </w:p>
    <w:p>
      <w:pPr>
        <w:spacing w:after="0" w:line="186"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color w:val="auto"/>
        </w:rPr>
        <w:t>33.4.2 take any action or commence any legal proceedings of whatsoever nature against an Obligor under or in respect of a Senior Finance Document to which that Obligor is a party including taking any steps or legal proceedings for the winding-up, dissolution or administration of any of the Obligors or for the appointment of a receiver, administrator, administrative receiver, conservator, custodian, trustee or similar officer of any of the Obligors or of any or all of its assets or revenues; 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33.4.3 foreclose on, or enforce or seek an order of the court to enforce all or any of the Security.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33.5</w:t>
      </w:r>
      <w:r>
        <w:rPr>
          <w:sz w:val="20"/>
          <w:szCs w:val="20"/>
          <w:color w:val="auto"/>
        </w:rPr>
        <w:tab/>
      </w:r>
      <w:r>
        <w:rPr>
          <w:rFonts w:ascii="Arial" w:cs="Arial" w:eastAsia="Arial" w:hAnsi="Arial"/>
          <w:sz w:val="19"/>
          <w:szCs w:val="19"/>
          <w:b w:val="1"/>
          <w:bCs w:val="1"/>
          <w:color w:val="auto"/>
        </w:rPr>
        <w:t>Notice of Default</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33.5.4 If any Lender has actual knowledge of a Default which has occurred, it shall so advise the Intercreditor Agent and, where relevant, its Facility Agent in writing.</w:t>
      </w:r>
    </w:p>
    <w:p>
      <w:pPr>
        <w:spacing w:after="0" w:line="17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33.5.5 If any Facility Agent has actual knowledge, or has received notice, of a Default which has occurred, it shall so advise the Intercreditor Agent and, where relevant, each Lender in its Lending Group in writing.</w:t>
      </w:r>
    </w:p>
    <w:p>
      <w:pPr>
        <w:spacing w:after="0" w:line="17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33.5.6 If the Intercreditor Agent has actual knowledge, or has received notice, of a Default which has occurred, it shall notify each Facility Agent and each Hedging Counterparty in writing and, in the case of an Event of Default, it shall issue a notice under Clause 33.1 (</w:t>
      </w:r>
      <w:r>
        <w:rPr>
          <w:rFonts w:ascii="Arial" w:cs="Arial" w:eastAsia="Arial" w:hAnsi="Arial"/>
          <w:sz w:val="19"/>
          <w:szCs w:val="19"/>
          <w:i w:val="1"/>
          <w:iCs w:val="1"/>
          <w:color w:val="auto"/>
        </w:rPr>
        <w:t>Notices of Required Decisions</w:t>
      </w:r>
      <w:r>
        <w:rPr>
          <w:rFonts w:ascii="Arial" w:cs="Arial" w:eastAsia="Arial" w:hAnsi="Arial"/>
          <w:sz w:val="19"/>
          <w:szCs w:val="19"/>
          <w:color w:val="auto"/>
        </w:rPr>
        <w:t>) in respect of that Event of Default.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33.6</w:t>
      </w:r>
      <w:r>
        <w:rPr>
          <w:sz w:val="20"/>
          <w:szCs w:val="20"/>
          <w:color w:val="auto"/>
        </w:rPr>
        <w:tab/>
      </w:r>
      <w:r>
        <w:rPr>
          <w:rFonts w:ascii="Arial" w:cs="Arial" w:eastAsia="Arial" w:hAnsi="Arial"/>
          <w:sz w:val="19"/>
          <w:szCs w:val="19"/>
          <w:b w:val="1"/>
          <w:bCs w:val="1"/>
          <w:color w:val="auto"/>
        </w:rPr>
        <w:t>Application of Enforcement Proceeds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Following the delivery of an Enforcement Notice, all Enforcement Proceeds paid to the Intercreditor Agent in accordance with the Deed of Appointment and Priority shall be applied by it (together with any other payments received by it pursuant to sub-clause 26.1.2 of Clause 26.1 (</w:t>
      </w:r>
      <w:r>
        <w:rPr>
          <w:rFonts w:ascii="Arial" w:cs="Arial" w:eastAsia="Arial" w:hAnsi="Arial"/>
          <w:sz w:val="19"/>
          <w:szCs w:val="19"/>
          <w:i w:val="1"/>
          <w:iCs w:val="1"/>
          <w:color w:val="auto"/>
        </w:rPr>
        <w:t>Payments under the Senior Finance Documents</w:t>
      </w:r>
      <w:r>
        <w:rPr>
          <w:rFonts w:ascii="Arial" w:cs="Arial" w:eastAsia="Arial" w:hAnsi="Arial"/>
          <w:sz w:val="19"/>
          <w:szCs w:val="19"/>
          <w:color w:val="auto"/>
        </w:rPr>
        <w:t>)) in the following order:</w:t>
      </w:r>
    </w:p>
    <w:p>
      <w:pPr>
        <w:spacing w:after="0" w:line="134" w:lineRule="exact"/>
        <w:rPr>
          <w:sz w:val="20"/>
          <w:szCs w:val="20"/>
          <w:color w:val="auto"/>
        </w:rPr>
      </w:pPr>
    </w:p>
    <w:p>
      <w:pPr>
        <w:jc w:val="both"/>
        <w:ind w:left="1960" w:hanging="655"/>
        <w:spacing w:after="0" w:line="253" w:lineRule="auto"/>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second,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third,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amounts paid by the Senior Secured Creditors under Clause 23.15 (</w:t>
      </w:r>
      <w:r>
        <w:rPr>
          <w:rFonts w:ascii="Arial" w:cs="Arial" w:eastAsia="Arial" w:hAnsi="Arial"/>
          <w:sz w:val="22"/>
          <w:szCs w:val="22"/>
          <w:i w:val="1"/>
          <w:iCs w:val="1"/>
          <w:color w:val="auto"/>
        </w:rPr>
        <w:t>Indemnity to Intercreditor Agent</w:t>
      </w:r>
      <w:r>
        <w:rPr>
          <w:rFonts w:ascii="Arial" w:cs="Arial" w:eastAsia="Arial" w:hAnsi="Arial"/>
          <w:sz w:val="22"/>
          <w:szCs w:val="22"/>
          <w:color w:val="auto"/>
        </w:rPr>
        <w:t>) of the Common Terms Agreement but which have not been reimbursed by the Company;</w:t>
      </w:r>
    </w:p>
    <w:p>
      <w:pPr>
        <w:spacing w:after="0" w:line="18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fourth,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amounts paid by the Term Facility Lenders under clause 15.3 (</w:t>
      </w:r>
      <w:r>
        <w:rPr>
          <w:rFonts w:ascii="Arial" w:cs="Arial" w:eastAsia="Arial" w:hAnsi="Arial"/>
          <w:sz w:val="22"/>
          <w:szCs w:val="22"/>
          <w:i w:val="1"/>
          <w:iCs w:val="1"/>
          <w:color w:val="auto"/>
        </w:rPr>
        <w:t>Indemnity to</w:t>
      </w:r>
      <w:r>
        <w:rPr>
          <w:rFonts w:ascii="Arial" w:cs="Arial" w:eastAsia="Arial" w:hAnsi="Arial"/>
          <w:sz w:val="22"/>
          <w:szCs w:val="22"/>
          <w:color w:val="auto"/>
        </w:rPr>
        <w:t xml:space="preserve"> </w:t>
      </w:r>
      <w:r>
        <w:rPr>
          <w:rFonts w:ascii="Arial" w:cs="Arial" w:eastAsia="Arial" w:hAnsi="Arial"/>
          <w:sz w:val="22"/>
          <w:szCs w:val="22"/>
          <w:i w:val="1"/>
          <w:iCs w:val="1"/>
          <w:color w:val="auto"/>
        </w:rPr>
        <w:t>Term Facility Agent</w:t>
      </w:r>
      <w:r>
        <w:rPr>
          <w:rFonts w:ascii="Arial" w:cs="Arial" w:eastAsia="Arial" w:hAnsi="Arial"/>
          <w:sz w:val="22"/>
          <w:szCs w:val="22"/>
          <w:color w:val="auto"/>
        </w:rPr>
        <w:t>) of the Term Facility Agreement or the Revolving Credit Facility Lenders under clause</w:t>
      </w:r>
      <w:r>
        <w:rPr>
          <w:rFonts w:ascii="Arial" w:cs="Arial" w:eastAsia="Arial" w:hAnsi="Arial"/>
          <w:sz w:val="22"/>
          <w:szCs w:val="22"/>
          <w:i w:val="1"/>
          <w:iCs w:val="1"/>
          <w:color w:val="auto"/>
        </w:rPr>
        <w:t xml:space="preserve"> </w:t>
      </w:r>
      <w:r>
        <w:rPr>
          <w:rFonts w:ascii="Arial" w:cs="Arial" w:eastAsia="Arial" w:hAnsi="Arial"/>
          <w:sz w:val="22"/>
          <w:szCs w:val="22"/>
          <w:color w:val="auto"/>
        </w:rPr>
        <w:t>15.3 (</w:t>
      </w:r>
      <w:r>
        <w:rPr>
          <w:rFonts w:ascii="Arial" w:cs="Arial" w:eastAsia="Arial" w:hAnsi="Arial"/>
          <w:sz w:val="22"/>
          <w:szCs w:val="22"/>
          <w:i w:val="1"/>
          <w:iCs w:val="1"/>
          <w:color w:val="auto"/>
        </w:rPr>
        <w:t>Indemnity to Revolving Credit Facility Agent</w:t>
      </w:r>
      <w:r>
        <w:rPr>
          <w:rFonts w:ascii="Arial" w:cs="Arial" w:eastAsia="Arial" w:hAnsi="Arial"/>
          <w:sz w:val="22"/>
          <w:szCs w:val="22"/>
          <w:color w:val="auto"/>
        </w:rPr>
        <w:t>) of the Revolving Credit Facility Agreement or the Additional Lenders under the equivalent provisions of each Additional Lender Facility Agreement in respect of indemnities to each Additional Facility Agent but which, in each case, have not been reimbursed by the Company;</w:t>
      </w:r>
    </w:p>
    <w:p>
      <w:pPr>
        <w:sectPr>
          <w:pgSz w:w="11900" w:h="16838" w:orient="portrait"/>
          <w:cols w:equalWidth="0" w:num="1">
            <w:col w:w="11420"/>
          </w:cols>
          <w:pgMar w:left="240" w:top="321" w:right="239" w:bottom="0" w:gutter="0" w:footer="0" w:header="0"/>
        </w:sectPr>
      </w:pPr>
    </w:p>
    <w:bookmarkStart w:id="191" w:name="page192"/>
    <w:bookmarkEnd w:id="191"/>
    <w:p>
      <w:pPr>
        <w:spacing w:after="0" w:line="13" w:lineRule="exact"/>
        <w:rPr>
          <w:sz w:val="20"/>
          <w:szCs w:val="20"/>
          <w:color w:val="auto"/>
        </w:rPr>
      </w:pPr>
    </w:p>
    <w:p>
      <w:pPr>
        <w:jc w:val="both"/>
        <w:ind w:left="1960" w:hanging="655"/>
        <w:spacing w:after="0" w:line="312" w:lineRule="auto"/>
        <w:tabs>
          <w:tab w:leader="none" w:pos="196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fifth, in payment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133"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sixth,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and unpaid fees owing to the Agents under the Senior Finance Documents;</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seventh,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and unpaid fees and commissions due to the Lenders under the Senior Finance Documents;</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eighth,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accrued but unpaid interest (including default interest) due under the Facility Agreements and all sums due under the Hedging Agreements;</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ninth,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principal instalments due under the Facility Agreements;</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tenth, in payment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of all other amounts owing to the Senior Secured Creditors due and payable under the Senior Finance Documents; and</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eleventh, in payment of the surplus (if any) to the Security Agent in accordance with the Deed of Appointment and Priority or to its order,</w:t>
      </w:r>
    </w:p>
    <w:p>
      <w:pPr>
        <w:spacing w:after="0" w:line="175"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following the giving of any notice by the Intercreditor Agent pursuant to sub-clause 19.2.2 of</w:t>
      </w:r>
      <w:r>
        <w:rPr>
          <w:rFonts w:ascii="Arial" w:cs="Arial" w:eastAsia="Arial" w:hAnsi="Arial"/>
          <w:sz w:val="22"/>
          <w:szCs w:val="22"/>
          <w:i w:val="1"/>
          <w:iCs w:val="1"/>
          <w:color w:val="auto"/>
        </w:rPr>
        <w:t xml:space="preserve"> </w:t>
      </w:r>
      <w:r>
        <w:rPr>
          <w:rFonts w:ascii="Arial" w:cs="Arial" w:eastAsia="Arial" w:hAnsi="Arial"/>
          <w:sz w:val="22"/>
          <w:szCs w:val="22"/>
          <w:color w:val="auto"/>
        </w:rPr>
        <w:t>Clause 19.2 (</w:t>
      </w:r>
      <w:r>
        <w:rPr>
          <w:rFonts w:ascii="Arial" w:cs="Arial" w:eastAsia="Arial" w:hAnsi="Arial"/>
          <w:sz w:val="22"/>
          <w:szCs w:val="22"/>
          <w:i w:val="1"/>
          <w:iCs w:val="1"/>
          <w:color w:val="auto"/>
        </w:rPr>
        <w:t>Remedies following an Event of Default</w:t>
      </w:r>
      <w:r>
        <w:rPr>
          <w:rFonts w:ascii="Arial" w:cs="Arial" w:eastAsia="Arial" w:hAnsi="Arial"/>
          <w:sz w:val="22"/>
          <w:szCs w:val="22"/>
          <w:color w:val="auto"/>
        </w:rPr>
        <w:t xml:space="preserve">), the amounts referred to in paragraphs (viii) and (ix) above shall rank </w:t>
      </w:r>
      <w:r>
        <w:rPr>
          <w:rFonts w:ascii="Arial" w:cs="Arial" w:eastAsia="Arial" w:hAnsi="Arial"/>
          <w:sz w:val="22"/>
          <w:szCs w:val="22"/>
          <w:i w:val="1"/>
          <w:iCs w:val="1"/>
          <w:color w:val="auto"/>
        </w:rPr>
        <w:t>pari passu</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33.7</w:t>
      </w:r>
      <w:r>
        <w:rPr>
          <w:sz w:val="20"/>
          <w:szCs w:val="20"/>
          <w:color w:val="auto"/>
        </w:rPr>
        <w:tab/>
      </w:r>
      <w:r>
        <w:rPr>
          <w:rFonts w:ascii="Arial" w:cs="Arial" w:eastAsia="Arial" w:hAnsi="Arial"/>
          <w:sz w:val="19"/>
          <w:szCs w:val="19"/>
          <w:b w:val="1"/>
          <w:bCs w:val="1"/>
          <w:color w:val="auto"/>
        </w:rPr>
        <w:t>Representations and Warranties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On the Fifth Amendment Signing Date and on the Fifth Amendment Effective Date, each Senior Secured Creditor party hereto represents and warrants to each other Senior Secured Creditor party hereto that: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33.7.1 it is duly organised and validly existing under the laws of the jurisdiction in which it is incorporated;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33.7.2 it has power to enter into and has duly authorised the execution, delivery and performance of this Agreement;</w:t>
      </w:r>
    </w:p>
    <w:p>
      <w:pPr>
        <w:spacing w:after="0" w:line="254" w:lineRule="exact"/>
        <w:rPr>
          <w:sz w:val="20"/>
          <w:szCs w:val="20"/>
          <w:color w:val="auto"/>
        </w:rPr>
      </w:pPr>
    </w:p>
    <w:p>
      <w:pPr>
        <w:ind w:left="1300" w:hanging="647"/>
        <w:spacing w:after="0" w:line="263" w:lineRule="auto"/>
        <w:rPr>
          <w:sz w:val="20"/>
          <w:szCs w:val="20"/>
          <w:color w:val="auto"/>
        </w:rPr>
      </w:pPr>
      <w:r>
        <w:rPr>
          <w:rFonts w:ascii="Arial" w:cs="Arial" w:eastAsia="Arial" w:hAnsi="Arial"/>
          <w:sz w:val="22"/>
          <w:szCs w:val="22"/>
          <w:color w:val="auto"/>
        </w:rPr>
        <w:t>33.7.3 the obligations expressed to be assumed by it hereunder are legal and valid obligations binding on it and enforceable against it in accordance with the terms hereof; and</w:t>
      </w:r>
    </w:p>
    <w:p>
      <w:pPr>
        <w:spacing w:after="0" w:line="175" w:lineRule="exact"/>
        <w:rPr>
          <w:sz w:val="20"/>
          <w:szCs w:val="20"/>
          <w:color w:val="auto"/>
        </w:rPr>
      </w:pPr>
    </w:p>
    <w:p>
      <w:pPr>
        <w:ind w:left="1300" w:hanging="647"/>
        <w:spacing w:after="0" w:line="263" w:lineRule="auto"/>
        <w:rPr>
          <w:sz w:val="20"/>
          <w:szCs w:val="20"/>
          <w:color w:val="auto"/>
        </w:rPr>
      </w:pPr>
      <w:r>
        <w:rPr>
          <w:rFonts w:ascii="Arial" w:cs="Arial" w:eastAsia="Arial" w:hAnsi="Arial"/>
          <w:sz w:val="22"/>
          <w:szCs w:val="22"/>
          <w:color w:val="auto"/>
        </w:rPr>
        <w:t>33.7.4 it is not the beneficiary of any Liens in respect of any Financial Indebtedness owed to it by the Company other than under the Senior Finance Documents.</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33.8</w:t>
        <w:tab/>
        <w:t>The provisions of this Clause 33 (</w:t>
      </w:r>
      <w:r>
        <w:rPr>
          <w:rFonts w:ascii="Arial" w:cs="Arial" w:eastAsia="Arial" w:hAnsi="Arial"/>
          <w:sz w:val="22"/>
          <w:szCs w:val="22"/>
          <w:i w:val="1"/>
          <w:iCs w:val="1"/>
          <w:color w:val="auto"/>
        </w:rPr>
        <w:t>Intercreditor Arrangements</w:t>
      </w:r>
      <w:r>
        <w:rPr>
          <w:rFonts w:ascii="Arial" w:cs="Arial" w:eastAsia="Arial" w:hAnsi="Arial"/>
          <w:sz w:val="22"/>
          <w:szCs w:val="22"/>
          <w:color w:val="auto"/>
        </w:rPr>
        <w:t>) are for the sole benefit of the Senior Secured Creditors and may be waived or amended without the consent or agreement of the Company provided there is no increase in the liability of the Company as a result.</w:t>
      </w:r>
    </w:p>
    <w:p>
      <w:pPr>
        <w:spacing w:after="0" w:line="180"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22"/>
          <w:szCs w:val="22"/>
          <w:color w:val="auto"/>
        </w:rPr>
      </w:pPr>
      <w:r>
        <w:rPr>
          <w:rFonts w:ascii="Arial" w:cs="Arial" w:eastAsia="Arial" w:hAnsi="Arial"/>
          <w:sz w:val="22"/>
          <w:szCs w:val="22"/>
          <w:b w:val="1"/>
          <w:bCs w:val="1"/>
          <w:color w:val="auto"/>
        </w:rPr>
        <w:t>AMENDMENTS AND WAIVERS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9"/>
          <w:szCs w:val="19"/>
          <w:b w:val="1"/>
          <w:bCs w:val="1"/>
          <w:color w:val="auto"/>
        </w:rPr>
        <w:t>Amendment and waiver of common terms</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Subject to Clause 25.6 (</w:t>
      </w:r>
      <w:r>
        <w:rPr>
          <w:rFonts w:ascii="Arial" w:cs="Arial" w:eastAsia="Arial" w:hAnsi="Arial"/>
          <w:sz w:val="19"/>
          <w:szCs w:val="19"/>
          <w:i w:val="1"/>
          <w:iCs w:val="1"/>
          <w:color w:val="auto"/>
        </w:rPr>
        <w:t>Benefit</w:t>
      </w:r>
      <w:r>
        <w:rPr>
          <w:rFonts w:ascii="Arial" w:cs="Arial" w:eastAsia="Arial" w:hAnsi="Arial"/>
          <w:sz w:val="19"/>
          <w:szCs w:val="19"/>
          <w:color w:val="auto"/>
        </w:rPr>
        <w:t>) and to Clause 34.2 (</w:t>
      </w:r>
      <w:r>
        <w:rPr>
          <w:rFonts w:ascii="Arial" w:cs="Arial" w:eastAsia="Arial" w:hAnsi="Arial"/>
          <w:sz w:val="19"/>
          <w:szCs w:val="19"/>
          <w:i w:val="1"/>
          <w:iCs w:val="1"/>
          <w:color w:val="auto"/>
        </w:rPr>
        <w:t>Amendment and waiver of Facility Agreements</w:t>
      </w:r>
      <w:r>
        <w:rPr>
          <w:rFonts w:ascii="Arial" w:cs="Arial" w:eastAsia="Arial" w:hAnsi="Arial"/>
          <w:sz w:val="19"/>
          <w:szCs w:val="19"/>
          <w:color w:val="auto"/>
        </w:rPr>
        <w:t>) to Clause 34.5 (</w:t>
      </w:r>
      <w:r>
        <w:rPr>
          <w:rFonts w:ascii="Arial" w:cs="Arial" w:eastAsia="Arial" w:hAnsi="Arial"/>
          <w:sz w:val="19"/>
          <w:szCs w:val="19"/>
          <w:i w:val="1"/>
          <w:iCs w:val="1"/>
          <w:color w:val="auto"/>
        </w:rPr>
        <w:t>Amendment and Waiver of an Affected Lender Decision</w:t>
      </w:r>
      <w:r>
        <w:rPr>
          <w:rFonts w:ascii="Arial" w:cs="Arial" w:eastAsia="Arial" w:hAnsi="Arial"/>
          <w:sz w:val="19"/>
          <w:szCs w:val="19"/>
          <w:color w:val="auto"/>
        </w:rPr>
        <w:t>)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b w:val="1"/>
          <w:bCs w:val="1"/>
          <w:color w:val="auto"/>
        </w:rPr>
        <w:t>Amendment and waiver of Facility Agreements</w:t>
      </w:r>
    </w:p>
    <w:p>
      <w:pPr>
        <w:spacing w:after="0" w:line="22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Subject to Clause 34.3 (</w:t>
      </w:r>
      <w:r>
        <w:rPr>
          <w:rFonts w:ascii="Arial" w:cs="Arial" w:eastAsia="Arial" w:hAnsi="Arial"/>
          <w:sz w:val="22"/>
          <w:szCs w:val="22"/>
          <w:i w:val="1"/>
          <w:iCs w:val="1"/>
          <w:color w:val="auto"/>
        </w:rPr>
        <w:t>Amendment and waiver of Fundamental Terms</w:t>
      </w:r>
      <w:r>
        <w:rPr>
          <w:rFonts w:ascii="Arial" w:cs="Arial" w:eastAsia="Arial" w:hAnsi="Arial"/>
          <w:sz w:val="22"/>
          <w:szCs w:val="22"/>
          <w:color w:val="auto"/>
        </w:rPr>
        <w:t>) and Clause 34.4 (</w:t>
      </w:r>
      <w:r>
        <w:rPr>
          <w:rFonts w:ascii="Arial" w:cs="Arial" w:eastAsia="Arial" w:hAnsi="Arial"/>
          <w:sz w:val="22"/>
          <w:szCs w:val="22"/>
          <w:i w:val="1"/>
          <w:iCs w:val="1"/>
          <w:color w:val="auto"/>
        </w:rPr>
        <w:t>Amendment and waiver affecting</w:t>
      </w:r>
      <w:r>
        <w:rPr>
          <w:rFonts w:ascii="Arial" w:cs="Arial" w:eastAsia="Arial" w:hAnsi="Arial"/>
          <w:sz w:val="22"/>
          <w:szCs w:val="22"/>
          <w:color w:val="auto"/>
        </w:rPr>
        <w:t xml:space="preserve"> </w:t>
      </w:r>
      <w:r>
        <w:rPr>
          <w:rFonts w:ascii="Arial" w:cs="Arial" w:eastAsia="Arial" w:hAnsi="Arial"/>
          <w:sz w:val="22"/>
          <w:szCs w:val="22"/>
          <w:i w:val="1"/>
          <w:iCs w:val="1"/>
          <w:color w:val="auto"/>
        </w:rPr>
        <w:t>Agents</w:t>
      </w:r>
      <w:r>
        <w:rPr>
          <w:rFonts w:ascii="Arial" w:cs="Arial" w:eastAsia="Arial" w:hAnsi="Arial"/>
          <w:sz w:val="22"/>
          <w:szCs w:val="22"/>
          <w:color w:val="auto"/>
        </w:rPr>
        <w:t>) below, any term of, or matter dealt with under, a Facility Agreement may be amended, waived or supplemented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agreement of the Company and/or, as the case may be, the required Senior Secured Creditors as specified in that Facility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34.3</w:t>
      </w:r>
      <w:r>
        <w:rPr>
          <w:sz w:val="20"/>
          <w:szCs w:val="20"/>
          <w:color w:val="auto"/>
        </w:rPr>
        <w:tab/>
      </w:r>
      <w:r>
        <w:rPr>
          <w:rFonts w:ascii="Arial" w:cs="Arial" w:eastAsia="Arial" w:hAnsi="Arial"/>
          <w:sz w:val="19"/>
          <w:szCs w:val="19"/>
          <w:b w:val="1"/>
          <w:bCs w:val="1"/>
          <w:color w:val="auto"/>
        </w:rPr>
        <w:t>Amendment and waiver of Fundamental Terms</w:t>
      </w:r>
    </w:p>
    <w:p>
      <w:pPr>
        <w:spacing w:after="0" w:line="226"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21"/>
          <w:szCs w:val="21"/>
          <w:color w:val="auto"/>
        </w:rPr>
        <w:t>34.3.4 Save as set out in Clause 34.3.4, a Fundamental Term may only be amended or waived by agreement between the Obligors which are a party to the Senior Finance Document which contains that Fundamental Term and each Lender (and, in the case of the provisions referred to in paragraphs (a), (b), (f), (g), (h), (i) and (j) of the definition of "Fundamental Term" in Clause 1.1 (</w:t>
      </w:r>
      <w:r>
        <w:rPr>
          <w:rFonts w:ascii="Arial" w:cs="Arial" w:eastAsia="Arial" w:hAnsi="Arial"/>
          <w:sz w:val="21"/>
          <w:szCs w:val="21"/>
          <w:i w:val="1"/>
          <w:iCs w:val="1"/>
          <w:color w:val="auto"/>
        </w:rPr>
        <w:t>Definition</w:t>
      </w:r>
      <w:r>
        <w:rPr>
          <w:rFonts w:ascii="Arial" w:cs="Arial" w:eastAsia="Arial" w:hAnsi="Arial"/>
          <w:sz w:val="21"/>
          <w:szCs w:val="21"/>
          <w:color w:val="auto"/>
        </w:rPr>
        <w:t>s), each Hedging Counterparty).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34.3.5 An amendment or waiver that has the effect of changing or which relates to (other than as expressly permitted by the</w:t>
      </w:r>
    </w:p>
    <w:p>
      <w:pPr>
        <w:sectPr>
          <w:pgSz w:w="11900" w:h="16851" w:orient="portrait"/>
          <w:cols w:equalWidth="0" w:num="1">
            <w:col w:w="11420"/>
          </w:cols>
          <w:pgMar w:left="240" w:top="132" w:right="239" w:bottom="0" w:gutter="0" w:footer="0" w:header="0"/>
        </w:sectPr>
      </w:pPr>
    </w:p>
    <w:bookmarkStart w:id="192" w:name="page193"/>
    <w:bookmarkEnd w:id="192"/>
    <w:p>
      <w:pPr>
        <w:jc w:val="both"/>
        <w:ind w:left="1300"/>
        <w:spacing w:after="0" w:line="265" w:lineRule="auto"/>
        <w:rPr>
          <w:sz w:val="20"/>
          <w:szCs w:val="20"/>
          <w:color w:val="auto"/>
        </w:rPr>
      </w:pPr>
      <w:r>
        <w:rPr>
          <w:rFonts w:ascii="Arial" w:cs="Arial" w:eastAsia="Arial" w:hAnsi="Arial"/>
          <w:sz w:val="21"/>
          <w:szCs w:val="21"/>
          <w:color w:val="auto"/>
        </w:rPr>
        <w:t>provisions of any Senior Finance Document) the nature or scope of the Project Security or the Security (except insofar as it relates to a Disposition of any Property which is the subject of the Security where such Disposition is expressly permitted under this Agreement or any other Senior Finance Document) shall not be made without agreement between the Company, each Lender and each Hedging Counterparty.</w:t>
      </w:r>
    </w:p>
    <w:p>
      <w:pPr>
        <w:spacing w:after="0" w:line="176" w:lineRule="exact"/>
        <w:rPr>
          <w:sz w:val="20"/>
          <w:szCs w:val="20"/>
          <w:color w:val="auto"/>
        </w:rPr>
      </w:pPr>
    </w:p>
    <w:p>
      <w:pPr>
        <w:jc w:val="both"/>
        <w:ind w:left="1300" w:right="20" w:hanging="647"/>
        <w:spacing w:after="0" w:line="253" w:lineRule="auto"/>
        <w:rPr>
          <w:sz w:val="20"/>
          <w:szCs w:val="20"/>
          <w:color w:val="auto"/>
        </w:rPr>
      </w:pPr>
      <w:r>
        <w:rPr>
          <w:rFonts w:ascii="Arial" w:cs="Arial" w:eastAsia="Arial" w:hAnsi="Arial"/>
          <w:sz w:val="22"/>
          <w:szCs w:val="22"/>
          <w:color w:val="auto"/>
        </w:rPr>
        <w:t>34.3.6 An amendment or waiver that has the effect of changing the currency of any fee (or portion thereof) payable under any Senior Finance Document to a Secured Party shall not be made without agreement between the Company and that Secured Party.</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34.3.7 For the avoidance of doubt, any amendment, waiver or consent of, or in relation to, any of the provisions referred to paragraph (b) of the definition of "Fundamental Term"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that does not have the effect of changing or which does not relate to:</w:t>
      </w:r>
    </w:p>
    <w:p>
      <w:pPr>
        <w:spacing w:after="0" w:line="186" w:lineRule="exact"/>
        <w:rPr>
          <w:sz w:val="20"/>
          <w:szCs w:val="20"/>
          <w:color w:val="auto"/>
        </w:rPr>
      </w:pPr>
    </w:p>
    <w:p>
      <w:pPr>
        <w:ind w:left="1960" w:hanging="655"/>
        <w:spacing w:after="0"/>
        <w:tabs>
          <w:tab w:leader="none" w:pos="19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an extension to the date of payment of any amount under the Senior Finance Documents;</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 reduction in the interest margin applicable to a Lender's participation in an Advance or a reduction in the amount of any payment of principal, interest or fees owing or payable under any Senior Finance Document;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 change in currency of payment of any amount under the Senior Finance Document,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does not require unanimity among the Lenders and Hedging Counterparties.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34.4</w:t>
      </w:r>
      <w:r>
        <w:rPr>
          <w:sz w:val="20"/>
          <w:szCs w:val="20"/>
          <w:color w:val="auto"/>
        </w:rPr>
        <w:tab/>
      </w:r>
      <w:r>
        <w:rPr>
          <w:rFonts w:ascii="Arial" w:cs="Arial" w:eastAsia="Arial" w:hAnsi="Arial"/>
          <w:sz w:val="19"/>
          <w:szCs w:val="19"/>
          <w:b w:val="1"/>
          <w:bCs w:val="1"/>
          <w:color w:val="auto"/>
        </w:rPr>
        <w:t>Amendment and waiver affecting Agents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 amendment or waiver of any term of the Senior Finance Documents which relates to the rights and/or obligations of any Agent may not be effected without the prior written consent of that Agent.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34.5</w:t>
      </w:r>
      <w:r>
        <w:rPr>
          <w:sz w:val="20"/>
          <w:szCs w:val="20"/>
          <w:color w:val="auto"/>
        </w:rPr>
        <w:tab/>
      </w:r>
      <w:r>
        <w:rPr>
          <w:rFonts w:ascii="Arial" w:cs="Arial" w:eastAsia="Arial" w:hAnsi="Arial"/>
          <w:sz w:val="19"/>
          <w:szCs w:val="19"/>
          <w:b w:val="1"/>
          <w:bCs w:val="1"/>
          <w:color w:val="auto"/>
        </w:rPr>
        <w:t>Amendment and Waiver of an Affected Lender Decision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Affected Lender Decision that relates solely to:</w:t>
      </w:r>
    </w:p>
    <w:p>
      <w:pPr>
        <w:spacing w:after="0" w:line="220"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34.5.2 the Term Facility may not be effected without the prior consent of the Company and all of the Term Facility Lenders, and not any other Lenders;</w:t>
      </w:r>
    </w:p>
    <w:p>
      <w:pPr>
        <w:spacing w:after="0" w:line="175"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34.5.3 the Revolving Credit Facility (other than any Additional Lender Facility) may not be effected without the prior consent of the Company and all of the Revolving Credit Facility Lenders (excluding any Additional Lenders party to an Additional Lender Facility Agreement providing for a revolving credit facility), and not any other Lenders; or</w:t>
      </w:r>
    </w:p>
    <w:p>
      <w:pPr>
        <w:spacing w:after="0" w:line="134"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34.5.4 any Additional Lender Facility may not be effected without the prior consent of the Company and all of the Additional Facility Lenders in respect of that Additional Lender Facility, and not any other Lenders.</w:t>
      </w:r>
    </w:p>
    <w:p>
      <w:pPr>
        <w:spacing w:after="0" w:line="169"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22"/>
          <w:szCs w:val="22"/>
          <w:color w:val="auto"/>
        </w:rPr>
      </w:pPr>
      <w:r>
        <w:rPr>
          <w:rFonts w:ascii="Arial" w:cs="Arial" w:eastAsia="Arial" w:hAnsi="Arial"/>
          <w:sz w:val="22"/>
          <w:szCs w:val="22"/>
          <w:b w:val="1"/>
          <w:bCs w:val="1"/>
          <w:color w:val="auto"/>
        </w:rPr>
        <w:t>COUNTERPARTS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all of which taken together shall constitute one and the same instrument.</w:t>
      </w:r>
    </w:p>
    <w:p>
      <w:pPr>
        <w:sectPr>
          <w:pgSz w:w="11900" w:h="16838" w:orient="portrait"/>
          <w:cols w:equalWidth="0" w:num="1">
            <w:col w:w="11420"/>
          </w:cols>
          <w:pgMar w:left="240" w:top="132" w:right="239" w:bottom="1440" w:gutter="0" w:footer="0" w:header="0"/>
        </w:sectPr>
      </w:pPr>
    </w:p>
    <w:bookmarkStart w:id="193" w:name="page194"/>
    <w:bookmarkEnd w:id="193"/>
    <w:p>
      <w:pPr>
        <w:ind w:left="660" w:hanging="652"/>
        <w:spacing w:after="0"/>
        <w:tabs>
          <w:tab w:leader="none" w:pos="660"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LANGUAGE</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This Agreement and any non-contractual obligations arising out of or in connection with it are governed by English law.</w:t>
      </w:r>
    </w:p>
    <w:p>
      <w:pPr>
        <w:spacing w:after="0" w:line="248" w:lineRule="exact"/>
        <w:rPr>
          <w:rFonts w:ascii="Arial" w:cs="Arial" w:eastAsia="Arial" w:hAnsi="Arial"/>
          <w:sz w:val="22"/>
          <w:szCs w:val="22"/>
          <w:color w:val="auto"/>
        </w:rPr>
      </w:pPr>
    </w:p>
    <w:p>
      <w:pPr>
        <w:ind w:left="660" w:hanging="652"/>
        <w:spacing w:after="0"/>
        <w:tabs>
          <w:tab w:leader="none" w:pos="660"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JURISDICTION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38.1</w:t>
      </w:r>
      <w:r>
        <w:rPr>
          <w:sz w:val="20"/>
          <w:szCs w:val="20"/>
          <w:color w:val="auto"/>
        </w:rPr>
        <w:tab/>
      </w:r>
      <w:r>
        <w:rPr>
          <w:rFonts w:ascii="Arial" w:cs="Arial" w:eastAsia="Arial" w:hAnsi="Arial"/>
          <w:sz w:val="19"/>
          <w:szCs w:val="19"/>
          <w:b w:val="1"/>
          <w:bCs w:val="1"/>
          <w:color w:val="auto"/>
        </w:rPr>
        <w:t>Jurisdiction of English courts</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38.1.5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22"/>
          <w:szCs w:val="22"/>
          <w:b w:val="1"/>
          <w:bCs w:val="1"/>
          <w:color w:val="auto"/>
        </w:rPr>
        <w:t>Dispute</w:t>
      </w:r>
      <w:r>
        <w:rPr>
          <w:rFonts w:ascii="Arial" w:cs="Arial" w:eastAsia="Arial" w:hAnsi="Arial"/>
          <w:sz w:val="22"/>
          <w:szCs w:val="22"/>
          <w:color w:val="auto"/>
        </w:rPr>
        <w:t>").</w:t>
      </w:r>
    </w:p>
    <w:p>
      <w:pPr>
        <w:spacing w:after="0" w:line="186"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38.1.6 The parties agree that the courts of England are the most appropriate and convenient courts to settle Disputes and accordingly they shall not argue to the contrary.</w:t>
      </w:r>
    </w:p>
    <w:p>
      <w:pPr>
        <w:spacing w:after="0" w:line="175"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38.1.7 This Clause 38.1 is for the benefit of the Senior Secured Creditors only. As a result, no Senior Secured Creditor shall be prevented from taking proceedings relating to a Dispute in any other courts with jurisdiction. To the extent allowed by law and the Senior Finance Documents, the Senior Secured Creditors may take concurrent proceedings in any number of jurisdictions.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38.2</w:t>
      </w:r>
      <w:r>
        <w:rPr>
          <w:sz w:val="20"/>
          <w:szCs w:val="20"/>
          <w:color w:val="auto"/>
        </w:rPr>
        <w:tab/>
      </w:r>
      <w:r>
        <w:rPr>
          <w:rFonts w:ascii="Arial" w:cs="Arial" w:eastAsia="Arial" w:hAnsi="Arial"/>
          <w:sz w:val="18"/>
          <w:szCs w:val="18"/>
          <w:b w:val="1"/>
          <w:bCs w:val="1"/>
          <w:color w:val="auto"/>
        </w:rPr>
        <w:t>Service of process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Without prejudice to any other mode of service allowed under any relevant law, the Company:</w:t>
      </w:r>
    </w:p>
    <w:p>
      <w:pPr>
        <w:spacing w:after="0" w:line="220"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38.2.5 irrevocably appoints Law Debenture Corporate Services Limited as its agent for service of process in relation to any proceedings before the English courts in connection with this Agreement; and</w:t>
      </w:r>
    </w:p>
    <w:p>
      <w:pPr>
        <w:spacing w:after="0" w:line="175"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38.2.6 agrees that failure by a process agent to notify the Company of the process shall not invalidate the proceedings concerned.</w:t>
      </w:r>
    </w:p>
    <w:p>
      <w:pPr>
        <w:spacing w:after="0" w:line="169"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color w:val="auto"/>
        </w:rPr>
      </w:pPr>
    </w:p>
    <w:p>
      <w:pPr>
        <w:jc w:val="both"/>
        <w:ind w:left="660"/>
        <w:spacing w:after="0" w:line="250" w:lineRule="auto"/>
        <w:rPr>
          <w:rFonts w:ascii="Arial" w:cs="Arial" w:eastAsia="Arial" w:hAnsi="Arial"/>
          <w:sz w:val="22"/>
          <w:szCs w:val="22"/>
          <w:color w:val="auto"/>
        </w:rPr>
      </w:pPr>
      <w:r>
        <w:rPr>
          <w:rFonts w:ascii="Arial" w:cs="Arial" w:eastAsia="Arial" w:hAnsi="Arial"/>
          <w:sz w:val="22"/>
          <w:szCs w:val="22"/>
          <w:color w:val="auto"/>
        </w:rPr>
        <w:t>Subject to Clause 40 (</w:t>
      </w:r>
      <w:r>
        <w:rPr>
          <w:rFonts w:ascii="Arial" w:cs="Arial" w:eastAsia="Arial" w:hAnsi="Arial"/>
          <w:sz w:val="22"/>
          <w:szCs w:val="22"/>
          <w:i w:val="1"/>
          <w:iCs w:val="1"/>
          <w:color w:val="auto"/>
        </w:rPr>
        <w:t>Gaming Authorities</w:t>
      </w:r>
      <w:r>
        <w:rPr>
          <w:rFonts w:ascii="Arial" w:cs="Arial" w:eastAsia="Arial" w:hAnsi="Arial"/>
          <w:sz w:val="22"/>
          <w:szCs w:val="22"/>
          <w:color w:val="auto"/>
        </w:rPr>
        <w:t xml:space="preserve">), each of the Senior Secured Creditors agrees to keep confidential all non-public information of a proprietary or confidential nature provided to it by any Obligor or any Wynn Non-Obligor Subordination Deed Party pursuant to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herein shall prevent any Senior Secured Creditor from disclosing any such information:</w:t>
      </w:r>
    </w:p>
    <w:p>
      <w:pPr>
        <w:spacing w:after="0" w:line="188" w:lineRule="exact"/>
        <w:rPr>
          <w:rFonts w:ascii="Arial" w:cs="Arial" w:eastAsia="Arial" w:hAnsi="Arial"/>
          <w:sz w:val="22"/>
          <w:szCs w:val="22"/>
          <w:color w:val="auto"/>
        </w:rPr>
      </w:pPr>
    </w:p>
    <w:p>
      <w:pPr>
        <w:ind w:left="980" w:hanging="324"/>
        <w:spacing w:after="0"/>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any other Senior Secured Creditor, or any Affiliate thereof that is bound by confidentiality obligations;</w:t>
      </w:r>
    </w:p>
    <w:p>
      <w:pPr>
        <w:spacing w:after="0" w:line="219" w:lineRule="exact"/>
        <w:rPr>
          <w:rFonts w:ascii="Arial" w:cs="Arial" w:eastAsia="Arial" w:hAnsi="Arial"/>
          <w:sz w:val="22"/>
          <w:szCs w:val="22"/>
          <w:color w:val="auto"/>
        </w:rPr>
      </w:pPr>
    </w:p>
    <w:p>
      <w:pPr>
        <w:ind w:left="980" w:hanging="324"/>
        <w:spacing w:after="0" w:line="263" w:lineRule="auto"/>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any other Person pursuant to Clause 21.8 (</w:t>
      </w:r>
      <w:r>
        <w:rPr>
          <w:rFonts w:ascii="Arial" w:cs="Arial" w:eastAsia="Arial" w:hAnsi="Arial"/>
          <w:sz w:val="22"/>
          <w:szCs w:val="22"/>
          <w:i w:val="1"/>
          <w:iCs w:val="1"/>
          <w:color w:val="auto"/>
        </w:rPr>
        <w:t>Disclosure of Information</w:t>
      </w:r>
      <w:r>
        <w:rPr>
          <w:rFonts w:ascii="Arial" w:cs="Arial" w:eastAsia="Arial" w:hAnsi="Arial"/>
          <w:sz w:val="22"/>
          <w:szCs w:val="22"/>
          <w:color w:val="auto"/>
        </w:rPr>
        <w:t>) or clause 18.9 (</w:t>
      </w:r>
      <w:r>
        <w:rPr>
          <w:rFonts w:ascii="Arial" w:cs="Arial" w:eastAsia="Arial" w:hAnsi="Arial"/>
          <w:sz w:val="22"/>
          <w:szCs w:val="22"/>
          <w:i w:val="1"/>
          <w:iCs w:val="1"/>
          <w:color w:val="auto"/>
        </w:rPr>
        <w:t>Disclosure of Information by</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 Agent</w:t>
      </w:r>
      <w:r>
        <w:rPr>
          <w:rFonts w:ascii="Arial" w:cs="Arial" w:eastAsia="Arial" w:hAnsi="Arial"/>
          <w:sz w:val="22"/>
          <w:szCs w:val="22"/>
          <w:color w:val="auto"/>
        </w:rPr>
        <w:t>) of the Deed of Appointment and Priority;</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any of its or its Affiliates' employees, directors, agents, auditors, attorneys, accountants and other professional advisors who or that is bound by confidentiality obligations;</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upon the request or demand of any Governmental Authority having jurisdiction over it;</w:t>
      </w:r>
    </w:p>
    <w:p>
      <w:pPr>
        <w:spacing w:after="0" w:line="219" w:lineRule="exact"/>
        <w:rPr>
          <w:rFonts w:ascii="Arial" w:cs="Arial" w:eastAsia="Arial" w:hAnsi="Arial"/>
          <w:sz w:val="22"/>
          <w:szCs w:val="22"/>
          <w:color w:val="auto"/>
        </w:rPr>
      </w:pPr>
    </w:p>
    <w:p>
      <w:pPr>
        <w:jc w:val="both"/>
        <w:ind w:left="980" w:hanging="324"/>
        <w:spacing w:after="0" w:line="312" w:lineRule="auto"/>
        <w:tabs>
          <w:tab w:leader="none" w:pos="98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133" w:lineRule="exact"/>
        <w:rPr>
          <w:rFonts w:ascii="Arial" w:cs="Arial" w:eastAsia="Arial" w:hAnsi="Arial"/>
          <w:sz w:val="19"/>
          <w:szCs w:val="19"/>
          <w:color w:val="auto"/>
        </w:rPr>
      </w:pPr>
    </w:p>
    <w:p>
      <w:pPr>
        <w:ind w:left="980" w:hanging="324"/>
        <w:spacing w:after="0"/>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if required to do so in connection with any litigation or similar proceeding;</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that has been publicly disclosed other than in breach of this Clause;</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in connection with the exercise of any remedy hereunder or under any other Senior Finance Document;</w:t>
      </w:r>
    </w:p>
    <w:p>
      <w:pPr>
        <w:spacing w:after="0" w:line="219" w:lineRule="exact"/>
        <w:rPr>
          <w:rFonts w:ascii="Arial" w:cs="Arial" w:eastAsia="Arial" w:hAnsi="Arial"/>
          <w:sz w:val="22"/>
          <w:szCs w:val="22"/>
          <w:color w:val="auto"/>
        </w:rPr>
      </w:pPr>
    </w:p>
    <w:p>
      <w:pPr>
        <w:ind w:left="980" w:right="20" w:hanging="324"/>
        <w:spacing w:after="0" w:line="343" w:lineRule="auto"/>
        <w:tabs>
          <w:tab w:leader="none" w:pos="98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to any insurer, insurance broker or other service providers of such Senior Secured Creditor or any of its Affiliates who are under a duty of confidentiality to such Senior Secured Creditor or its Affiliate, as the case may be; or</w:t>
      </w:r>
    </w:p>
    <w:p>
      <w:pPr>
        <w:sectPr>
          <w:pgSz w:w="11900" w:h="16838" w:orient="portrait"/>
          <w:cols w:equalWidth="0" w:num="1">
            <w:col w:w="11420"/>
          </w:cols>
          <w:pgMar w:left="240" w:top="626" w:right="239" w:bottom="0" w:gutter="0" w:footer="0" w:header="0"/>
        </w:sectPr>
      </w:pPr>
    </w:p>
    <w:bookmarkStart w:id="194" w:name="page195"/>
    <w:bookmarkEnd w:id="194"/>
    <w:p>
      <w:pPr>
        <w:ind w:left="980" w:right="20" w:hanging="324"/>
        <w:spacing w:after="0" w:line="263" w:lineRule="auto"/>
        <w:tabs>
          <w:tab w:leader="none" w:pos="9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to any rating agency or direct or indirect provider of credit protection to such Senior Secured Creditor or any of its Affiliates.</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obligations in this Clause 39 (</w:t>
      </w:r>
      <w:r>
        <w:rPr>
          <w:rFonts w:ascii="Arial" w:cs="Arial" w:eastAsia="Arial" w:hAnsi="Arial"/>
          <w:sz w:val="22"/>
          <w:szCs w:val="22"/>
          <w:i w:val="1"/>
          <w:iCs w:val="1"/>
          <w:color w:val="auto"/>
        </w:rPr>
        <w:t>Confidentiality</w:t>
      </w:r>
      <w:r>
        <w:rPr>
          <w:rFonts w:ascii="Arial" w:cs="Arial" w:eastAsia="Arial" w:hAnsi="Arial"/>
          <w:sz w:val="22"/>
          <w:szCs w:val="22"/>
          <w:color w:val="auto"/>
        </w:rPr>
        <w:t>) are continuing and, in particular, shall survive and remain binding on each Senior Secured Creditor until the earlier of:</w:t>
      </w:r>
    </w:p>
    <w:p>
      <w:pPr>
        <w:spacing w:after="0" w:line="175" w:lineRule="exact"/>
        <w:rPr>
          <w:sz w:val="20"/>
          <w:szCs w:val="20"/>
          <w:color w:val="auto"/>
        </w:rPr>
      </w:pPr>
    </w:p>
    <w:p>
      <w:pPr>
        <w:jc w:val="both"/>
        <w:ind w:left="1300" w:hanging="644"/>
        <w:spacing w:after="0" w:line="265" w:lineRule="auto"/>
        <w:tabs>
          <w:tab w:leader="none" w:pos="1300" w:val="left"/>
        </w:tabs>
        <w:numPr>
          <w:ilvl w:val="1"/>
          <w:numId w:val="259"/>
        </w:numPr>
        <w:rPr>
          <w:rFonts w:ascii="Arial" w:cs="Arial" w:eastAsia="Arial" w:hAnsi="Arial"/>
          <w:sz w:val="21"/>
          <w:szCs w:val="21"/>
          <w:color w:val="auto"/>
        </w:rPr>
      </w:pPr>
      <w:r>
        <w:rPr>
          <w:rFonts w:ascii="Arial" w:cs="Arial" w:eastAsia="Arial" w:hAnsi="Arial"/>
          <w:sz w:val="21"/>
          <w:szCs w:val="21"/>
          <w:color w:val="auto"/>
        </w:rPr>
        <w:t>the date that is 12 months after the Final Repayment Date in respect of the Term Facility (or if such Senior Secured Creditor is an Additional Lender, the later of (i) the date that is 12 months after the Final Repayment Date in respect of the Term Facility and (ii) the date that is 12 months after the Final Repayment Date in respect of the Additional Lender Facility in respect of which it is an Additional Lender); and</w:t>
      </w:r>
    </w:p>
    <w:p>
      <w:pPr>
        <w:spacing w:after="0" w:line="175" w:lineRule="exact"/>
        <w:rPr>
          <w:rFonts w:ascii="Arial" w:cs="Arial" w:eastAsia="Arial" w:hAnsi="Arial"/>
          <w:sz w:val="21"/>
          <w:szCs w:val="21"/>
          <w:color w:val="auto"/>
        </w:rPr>
      </w:pPr>
    </w:p>
    <w:p>
      <w:pPr>
        <w:jc w:val="both"/>
        <w:ind w:left="1300" w:hanging="644"/>
        <w:spacing w:after="0" w:line="302" w:lineRule="auto"/>
        <w:tabs>
          <w:tab w:leader="none" w:pos="1300" w:val="left"/>
        </w:tabs>
        <w:numPr>
          <w:ilvl w:val="1"/>
          <w:numId w:val="259"/>
        </w:numPr>
        <w:rPr>
          <w:rFonts w:ascii="Arial" w:cs="Arial" w:eastAsia="Arial" w:hAnsi="Arial"/>
          <w:sz w:val="19"/>
          <w:szCs w:val="19"/>
          <w:color w:val="auto"/>
        </w:rPr>
      </w:pPr>
      <w:r>
        <w:rPr>
          <w:rFonts w:ascii="Arial" w:cs="Arial" w:eastAsia="Arial" w:hAnsi="Arial"/>
          <w:sz w:val="19"/>
          <w:szCs w:val="19"/>
          <w:color w:val="auto"/>
        </w:rPr>
        <w:t>the date that is 12 months after the date on which such Senior Secured Creditor ceases to be a Senior Secured Creditor (unless such date falls after the date referred to in paragraph (A) above in respect of such Senior Secured Creditor, in which case, for the avoidance of doubt, the obligations in this Clause 39 (</w:t>
      </w:r>
      <w:r>
        <w:rPr>
          <w:rFonts w:ascii="Arial" w:cs="Arial" w:eastAsia="Arial" w:hAnsi="Arial"/>
          <w:sz w:val="19"/>
          <w:szCs w:val="19"/>
          <w:i w:val="1"/>
          <w:iCs w:val="1"/>
          <w:color w:val="auto"/>
        </w:rPr>
        <w:t>Confidentiality</w:t>
      </w:r>
      <w:r>
        <w:rPr>
          <w:rFonts w:ascii="Arial" w:cs="Arial" w:eastAsia="Arial" w:hAnsi="Arial"/>
          <w:sz w:val="19"/>
          <w:szCs w:val="19"/>
          <w:color w:val="auto"/>
        </w:rPr>
        <w:t>) shall cease to remain binding on the date referred to in paragraph (A) above in respect of such Senior Secured Creditor).</w:t>
      </w:r>
    </w:p>
    <w:p>
      <w:pPr>
        <w:spacing w:after="0" w:line="136" w:lineRule="exact"/>
        <w:rPr>
          <w:rFonts w:ascii="Arial" w:cs="Arial" w:eastAsia="Arial" w:hAnsi="Arial"/>
          <w:sz w:val="19"/>
          <w:szCs w:val="19"/>
          <w:color w:val="auto"/>
        </w:rPr>
      </w:pPr>
    </w:p>
    <w:p>
      <w:pPr>
        <w:ind w:left="660" w:hanging="652"/>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b w:val="1"/>
          <w:bCs w:val="1"/>
          <w:color w:val="auto"/>
        </w:rPr>
        <w:t>GAMING AUTHORITIES</w:t>
      </w:r>
    </w:p>
    <w:p>
      <w:pPr>
        <w:spacing w:after="0" w:line="225"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any other Obligor or any Wynn Non-Obligor Subordination Deed Party, to the extent not inconsistent with any applicable legal, regulatory or contractual restrictions (including any duties of confidentiality) or the terms of the Senior Finance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Senior Secured Creditors are indemnified for any cost, loss or liabilities incurred in connection with such cooperation.</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b w:val="1"/>
          <w:bCs w:val="1"/>
          <w:color w:val="auto"/>
        </w:rPr>
        <w:t>WAIVER OF IMMUNITY</w:t>
      </w:r>
    </w:p>
    <w:p>
      <w:pPr>
        <w:spacing w:after="0" w:line="225" w:lineRule="exact"/>
        <w:rPr>
          <w:rFonts w:ascii="Arial" w:cs="Arial" w:eastAsia="Arial" w:hAnsi="Arial"/>
          <w:sz w:val="22"/>
          <w:szCs w:val="22"/>
          <w:color w:val="auto"/>
        </w:rPr>
      </w:pPr>
    </w:p>
    <w:p>
      <w:pPr>
        <w:ind w:left="660"/>
        <w:spacing w:after="0" w:line="343" w:lineRule="auto"/>
        <w:rPr>
          <w:rFonts w:ascii="Arial" w:cs="Arial" w:eastAsia="Arial" w:hAnsi="Arial"/>
          <w:sz w:val="22"/>
          <w:szCs w:val="22"/>
          <w:color w:val="auto"/>
        </w:rPr>
      </w:pPr>
      <w:r>
        <w:rPr>
          <w:rFonts w:ascii="Arial" w:cs="Arial" w:eastAsia="Arial" w:hAnsi="Arial"/>
          <w:sz w:val="19"/>
          <w:szCs w:val="19"/>
          <w:color w:val="auto"/>
        </w:rPr>
        <w:t>The Company irrevocably waives, to the extent permitted by applicable law, with respect to itself and its revenues and assets (irrespective of their use or intended use), all immunity on the grounds of sovereignty or any other grounds from:</w:t>
      </w:r>
    </w:p>
    <w:p>
      <w:pPr>
        <w:spacing w:after="0" w:line="10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 suit;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 jurisdiction of any court;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(c) relief by way of injunction or order for specific performance or recovery of property;</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 attachment of its assets (whether before or after judgment); and</w:t>
      </w:r>
    </w:p>
    <w:p>
      <w:pPr>
        <w:spacing w:after="0" w:line="220" w:lineRule="exact"/>
        <w:rPr>
          <w:sz w:val="20"/>
          <w:szCs w:val="20"/>
          <w:color w:val="auto"/>
        </w:rPr>
      </w:pPr>
    </w:p>
    <w:p>
      <w:pPr>
        <w:jc w:val="both"/>
        <w:ind w:left="980" w:hanging="324"/>
        <w:spacing w:after="0" w:line="253" w:lineRule="auto"/>
        <w:tabs>
          <w:tab w:leader="none" w:pos="98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LENDERS AND HEDGING COUNTERPARTIES</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Facility Lenders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Bank of China Limited, Macau Branch</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Revolving Credit Facility Lenders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Bank of China Limited, Macau Branch</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Hedging Counterparties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Bank of Nova Scotia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DBS Bank Ltd.</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2</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CONDITIONS PRECEDENT</w:t>
      </w:r>
    </w:p>
    <w:p>
      <w:pPr>
        <w:spacing w:after="0" w:line="20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Part A</w:t>
      </w:r>
    </w:p>
    <w:p>
      <w:pPr>
        <w:sectPr>
          <w:pgSz w:w="11900" w:h="16838" w:orient="portrait"/>
          <w:cols w:equalWidth="0" w:num="1">
            <w:col w:w="11420"/>
          </w:cols>
          <w:pgMar w:left="240" w:top="132" w:right="239" w:bottom="53"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b w:val="1"/>
          <w:bCs w:val="1"/>
          <w:color w:val="auto"/>
        </w:rPr>
        <w:t>Part B</w:t>
      </w:r>
      <w:r>
        <w:rPr>
          <w:sz w:val="20"/>
          <w:szCs w:val="20"/>
          <w:color w:val="auto"/>
        </w:rPr>
        <w:tab/>
      </w:r>
      <w:r>
        <w:rPr>
          <w:rFonts w:ascii="Arial" w:cs="Arial" w:eastAsia="Arial" w:hAnsi="Arial"/>
          <w:sz w:val="17"/>
          <w:szCs w:val="17"/>
          <w:b w:val="1"/>
          <w:bCs w:val="1"/>
          <w:color w:val="auto"/>
        </w:rPr>
        <w:t>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used</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B2</w:t>
      </w:r>
    </w:p>
    <w:p>
      <w:pPr>
        <w:spacing w:after="0" w:line="220" w:lineRule="exact"/>
        <w:rPr>
          <w:sz w:val="20"/>
          <w:szCs w:val="20"/>
          <w:color w:val="auto"/>
        </w:rPr>
      </w:pPr>
    </w:p>
    <w:p>
      <w:pPr>
        <w:ind w:left="660" w:right="20" w:hanging="652"/>
        <w:spacing w:after="0" w:line="269" w:lineRule="auto"/>
        <w:tabs>
          <w:tab w:leader="none" w:pos="660" w:val="left"/>
        </w:tabs>
        <w:numPr>
          <w:ilvl w:val="0"/>
          <w:numId w:val="262"/>
        </w:numPr>
        <w:rPr>
          <w:rFonts w:ascii="Arial" w:cs="Arial" w:eastAsia="Arial" w:hAnsi="Arial"/>
          <w:sz w:val="22"/>
          <w:szCs w:val="22"/>
          <w:color w:val="auto"/>
        </w:rPr>
      </w:pPr>
      <w:r>
        <w:rPr>
          <w:rFonts w:ascii="Arial" w:cs="Arial" w:eastAsia="Arial" w:hAnsi="Arial"/>
          <w:sz w:val="22"/>
          <w:szCs w:val="22"/>
          <w:b w:val="1"/>
          <w:bCs w:val="1"/>
          <w:color w:val="auto"/>
        </w:rPr>
        <w:t>Conditions Precedent to each Advance under the Term Facility and the Revolving Credit Facility on and from the Fifth Amendment Effective Date</w:t>
      </w:r>
    </w:p>
    <w:p>
      <w:pPr>
        <w:spacing w:after="0" w:line="168"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In respect of the Advances to be made under the Term Facility and the Revolving Credit Facility on and from the Fifth Amendment Effective Date (as detailed, in respect of the Advances to be made under the Term Facility on the Fifth Amendment Effective Date, in the Completion Memorandum), as set out in Schedule 1 to the Common Terms Agreement Fifth Amendment Agreement, the Term Facility Agreement and the Revolving Credit Facility Agreement (as applicable).</w:t>
      </w:r>
    </w:p>
    <w:p>
      <w:pPr>
        <w:spacing w:after="0" w:line="137" w:lineRule="exact"/>
        <w:rPr>
          <w:sz w:val="20"/>
          <w:szCs w:val="20"/>
          <w:color w:val="auto"/>
        </w:rPr>
      </w:pPr>
    </w:p>
    <w:p>
      <w:pPr>
        <w:ind w:left="660" w:hanging="652"/>
        <w:spacing w:after="0" w:line="269" w:lineRule="auto"/>
        <w:tabs>
          <w:tab w:leader="none" w:pos="660" w:val="left"/>
        </w:tabs>
        <w:numPr>
          <w:ilvl w:val="0"/>
          <w:numId w:val="263"/>
        </w:numPr>
        <w:rPr>
          <w:rFonts w:ascii="Arial" w:cs="Arial" w:eastAsia="Arial" w:hAnsi="Arial"/>
          <w:sz w:val="22"/>
          <w:szCs w:val="22"/>
          <w:color w:val="auto"/>
        </w:rPr>
      </w:pPr>
      <w:r>
        <w:rPr>
          <w:rFonts w:ascii="Arial" w:cs="Arial" w:eastAsia="Arial" w:hAnsi="Arial"/>
          <w:sz w:val="22"/>
          <w:szCs w:val="22"/>
          <w:b w:val="1"/>
          <w:bCs w:val="1"/>
          <w:color w:val="auto"/>
        </w:rPr>
        <w:t>Conditions Precedent to each Advance under each Additional Lender Facility on and from the Fifth Amendment Effective Date</w:t>
      </w:r>
    </w:p>
    <w:p>
      <w:pPr>
        <w:spacing w:after="0" w:line="16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As set out in the applicable Additional Lender Facility Agreement.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Part B3</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used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C</w:t>
      </w:r>
    </w:p>
    <w:p>
      <w:pPr>
        <w:spacing w:after="0" w:line="2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Part 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Part F</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 Used]</w:t>
      </w:r>
    </w:p>
    <w:p>
      <w:pPr>
        <w:sectPr>
          <w:pgSz w:w="11900" w:h="16838" w:orient="portrait"/>
          <w:cols w:equalWidth="0" w:num="1">
            <w:col w:w="11420"/>
          </w:cols>
          <w:pgMar w:left="240" w:top="126" w:right="239" w:bottom="836" w:gutter="0" w:footer="0" w:header="0"/>
        </w:sectPr>
      </w:pPr>
    </w:p>
    <w:bookmarkStart w:id="196" w:name="page197"/>
    <w:bookmarkEnd w:id="196"/>
    <w:p>
      <w:pPr>
        <w:jc w:val="center"/>
        <w:ind w:right="220"/>
        <w:spacing w:after="0"/>
        <w:rPr>
          <w:sz w:val="20"/>
          <w:szCs w:val="20"/>
          <w:color w:val="auto"/>
        </w:rPr>
      </w:pPr>
      <w:r>
        <w:rPr>
          <w:rFonts w:ascii="Arial" w:cs="Arial" w:eastAsia="Arial" w:hAnsi="Arial"/>
          <w:sz w:val="22"/>
          <w:szCs w:val="22"/>
          <w:b w:val="1"/>
          <w:bCs w:val="1"/>
          <w:color w:val="auto"/>
        </w:rPr>
        <w:t>Part H</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Upsize Conditions Precedent</w:t>
      </w:r>
    </w:p>
    <w:p>
      <w:pPr>
        <w:spacing w:after="0" w:line="220"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22"/>
          <w:szCs w:val="22"/>
          <w:color w:val="auto"/>
        </w:rPr>
      </w:pPr>
      <w:r>
        <w:rPr>
          <w:rFonts w:ascii="Arial" w:cs="Arial" w:eastAsia="Arial" w:hAnsi="Arial"/>
          <w:sz w:val="22"/>
          <w:szCs w:val="22"/>
          <w:b w:val="1"/>
          <w:bCs w:val="1"/>
          <w:color w:val="auto"/>
        </w:rPr>
        <w:t>Macau SAR approval</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 the Macau SAR government has: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approved the submission made by the Company to the Macau SAR government on 24 August 2015;</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64"/>
        </w:numPr>
        <w:rPr>
          <w:rFonts w:ascii="Arial" w:cs="Arial" w:eastAsia="Arial" w:hAnsi="Arial"/>
          <w:sz w:val="22"/>
          <w:szCs w:val="22"/>
          <w:color w:val="auto"/>
        </w:rPr>
      </w:pPr>
      <w:r>
        <w:rPr>
          <w:rFonts w:ascii="Arial" w:cs="Arial" w:eastAsia="Arial" w:hAnsi="Arial"/>
          <w:sz w:val="22"/>
          <w:szCs w:val="22"/>
          <w:color w:val="auto"/>
        </w:rPr>
        <w:t>consented to the incremental increase in the Company's financial indebtedness in respect of the Upsized Amount; and</w:t>
      </w:r>
    </w:p>
    <w:p>
      <w:pPr>
        <w:spacing w:after="0" w:line="174"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1"/>
          <w:numId w:val="264"/>
        </w:numPr>
        <w:rPr>
          <w:rFonts w:ascii="Arial" w:cs="Arial" w:eastAsia="Arial" w:hAnsi="Arial"/>
          <w:sz w:val="19"/>
          <w:szCs w:val="19"/>
          <w:color w:val="auto"/>
        </w:rPr>
      </w:pPr>
      <w:r>
        <w:rPr>
          <w:rFonts w:ascii="Arial" w:cs="Arial" w:eastAsia="Arial" w:hAnsi="Arial"/>
          <w:sz w:val="19"/>
          <w:szCs w:val="19"/>
          <w:color w:val="auto"/>
        </w:rPr>
        <w:t>confirmed that the Gaming Concession Consent Agreement and the Land Concession Consent Agreement (as amended, consolidated, supplemented, novated or replaced from time to time prior to the proposed date on which the Upsize Advance is to be made) continue to apply with respect to such indebtedness in an amount equal to the aggregate USD equivalent of all outstanding Advances and all undrawn Available Commitments of each Lender under the Facilities (excluding any Additional Lender Facility) (the "</w:t>
      </w:r>
      <w:r>
        <w:rPr>
          <w:rFonts w:ascii="Arial" w:cs="Arial" w:eastAsia="Arial" w:hAnsi="Arial"/>
          <w:sz w:val="19"/>
          <w:szCs w:val="19"/>
          <w:b w:val="1"/>
          <w:bCs w:val="1"/>
          <w:color w:val="auto"/>
        </w:rPr>
        <w:t>Upsized Amount</w:t>
      </w:r>
      <w:r>
        <w:rPr>
          <w:rFonts w:ascii="Arial" w:cs="Arial" w:eastAsia="Arial" w:hAnsi="Arial"/>
          <w:sz w:val="19"/>
          <w:szCs w:val="19"/>
          <w:color w:val="auto"/>
        </w:rPr>
        <w:t>"),</w:t>
      </w:r>
    </w:p>
    <w:p>
      <w:pPr>
        <w:spacing w:after="0" w:line="147"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together with a legal opinion of the Macanese legal adviser to the Senior Secured Creditors, in respect thereof and in respect of the validity, enforceability, effectiveness and ranking of the Mortgage (as well as confirming the Secured Obligations thereunder also cover the Upsized Amount) in form and substance satisfactory to the Intercreditor Agent, acting reasonably.</w:t>
      </w:r>
    </w:p>
    <w:p>
      <w:pPr>
        <w:spacing w:after="0" w:line="128"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Due establishment, authority and certification</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In relation to each Obligor, receipt by the Intercreditor Agent of a certificate signed by a duly authorised signatory of that Person and which:</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either (A) attaches a copy of that Person's Governing Documents or (B) certifies that the copy of that Person's Governing Documents (which was previously delivered to the Intercreditor Agent on or about 14 September 2004 or subsequently) remains correct, complete and in full force and effect as at a date no earlier than the date on which the Upsize Advance is to be made;</w:t>
      </w:r>
    </w:p>
    <w:p>
      <w:pPr>
        <w:spacing w:after="0" w:line="188"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attaches a copy of a board resolution or such other equivalent corporate authorisation approving the execution, delivery and performance of the Supplemental Security Documents referred to in paragraph 3 below to which it is a party, the terms and conditions thereof and the transactions contemplated thereby, authorising a named person or persons to sign such Supplemental Security Document and any document to be delivered by that Person pursuant to such Supplemental Security Documents and authorising the signatory of the relevant certificate to sign certificates in connection therewith;</w:t>
      </w:r>
    </w:p>
    <w:p>
      <w:pPr>
        <w:spacing w:after="0" w:line="193"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(in the case of the Company only) certifies that each document listed in this Part H of Schedule 2 and delivered by an Obligor is correct, complete and in full force and effect and has not been amended or superseded as at a date no earlier than the date on which the Upsize Advance is to be made; and</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confirms that borrowing, guaranteeing or securing as appropriate, the total commitments of all Lenders in respect of the Term Facility and the Revolving Credit Facility would not cause any borrowing, guarantee, security or similar limit binding on any such Person to be exceeded;</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Supplemental Security Documents</w:t>
      </w:r>
    </w:p>
    <w:p>
      <w:pPr>
        <w:spacing w:after="0" w:line="219" w:lineRule="exact"/>
        <w:rPr>
          <w:rFonts w:ascii="Arial" w:cs="Arial" w:eastAsia="Arial" w:hAnsi="Arial"/>
          <w:sz w:val="22"/>
          <w:szCs w:val="22"/>
          <w:color w:val="auto"/>
        </w:rPr>
      </w:pPr>
    </w:p>
    <w:p>
      <w:pPr>
        <w:ind w:left="1300" w:right="20" w:hanging="644"/>
        <w:spacing w:after="0" w:line="269" w:lineRule="auto"/>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Receipt by the Intercreditor Agent of an original of each of the following documents (each, a "</w:t>
      </w:r>
      <w:r>
        <w:rPr>
          <w:rFonts w:ascii="Arial" w:cs="Arial" w:eastAsia="Arial" w:hAnsi="Arial"/>
          <w:sz w:val="22"/>
          <w:szCs w:val="22"/>
          <w:b w:val="1"/>
          <w:bCs w:val="1"/>
          <w:color w:val="auto"/>
        </w:rPr>
        <w:t>Supplemental</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 Document</w:t>
      </w:r>
      <w:r>
        <w:rPr>
          <w:rFonts w:ascii="Arial" w:cs="Arial" w:eastAsia="Arial" w:hAnsi="Arial"/>
          <w:sz w:val="22"/>
          <w:szCs w:val="22"/>
          <w:color w:val="auto"/>
        </w:rPr>
        <w:t>"), in each case duly executed by the parties thereto:</w:t>
      </w:r>
    </w:p>
    <w:p>
      <w:pPr>
        <w:spacing w:after="0" w:line="168" w:lineRule="exact"/>
        <w:rPr>
          <w:rFonts w:ascii="Arial" w:cs="Arial" w:eastAsia="Arial" w:hAnsi="Arial"/>
          <w:sz w:val="22"/>
          <w:szCs w:val="22"/>
          <w:color w:val="auto"/>
        </w:rPr>
      </w:pPr>
    </w:p>
    <w:p>
      <w:pPr>
        <w:jc w:val="both"/>
        <w:ind w:left="1960" w:right="20" w:hanging="655"/>
        <w:spacing w:after="0" w:line="253" w:lineRule="auto"/>
        <w:tabs>
          <w:tab w:leader="none" w:pos="1960" w:val="left"/>
        </w:tabs>
        <w:numPr>
          <w:ilvl w:val="2"/>
          <w:numId w:val="265"/>
        </w:numPr>
        <w:rPr>
          <w:rFonts w:ascii="Arial" w:cs="Arial" w:eastAsia="Arial" w:hAnsi="Arial"/>
          <w:sz w:val="22"/>
          <w:szCs w:val="22"/>
          <w:color w:val="auto"/>
        </w:rPr>
      </w:pPr>
      <w:r>
        <w:rPr>
          <w:rFonts w:ascii="Arial" w:cs="Arial" w:eastAsia="Arial" w:hAnsi="Arial"/>
          <w:sz w:val="22"/>
          <w:szCs w:val="22"/>
          <w:color w:val="auto"/>
        </w:rPr>
        <w:t>a Macau law mortgage (ranking after the Mortgage) granted by the Company over Wynn Macau and the Site (but excluding any horizontal property classified as a casino in accordance with article 42 of the Concession Contract) (the "</w:t>
      </w:r>
      <w:r>
        <w:rPr>
          <w:rFonts w:ascii="Arial" w:cs="Arial" w:eastAsia="Arial" w:hAnsi="Arial"/>
          <w:sz w:val="22"/>
          <w:szCs w:val="22"/>
          <w:b w:val="1"/>
          <w:bCs w:val="1"/>
          <w:color w:val="auto"/>
        </w:rPr>
        <w:t>Supplemental Mortgage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65"/>
        </w:numPr>
        <w:rPr>
          <w:rFonts w:ascii="Arial" w:cs="Arial" w:eastAsia="Arial" w:hAnsi="Arial"/>
          <w:sz w:val="22"/>
          <w:szCs w:val="22"/>
          <w:color w:val="auto"/>
        </w:rPr>
      </w:pPr>
      <w:r>
        <w:rPr>
          <w:rFonts w:ascii="Arial" w:cs="Arial" w:eastAsia="Arial" w:hAnsi="Arial"/>
          <w:sz w:val="22"/>
          <w:szCs w:val="22"/>
          <w:color w:val="auto"/>
        </w:rPr>
        <w:t>an irrevocable power of attorney from the Company in favour of the Security Agent in connection with the Supplemental Mortgage (the "</w:t>
      </w:r>
      <w:r>
        <w:rPr>
          <w:rFonts w:ascii="Arial" w:cs="Arial" w:eastAsia="Arial" w:hAnsi="Arial"/>
          <w:sz w:val="22"/>
          <w:szCs w:val="22"/>
          <w:b w:val="1"/>
          <w:bCs w:val="1"/>
          <w:color w:val="auto"/>
        </w:rPr>
        <w:t>Supplemental Power of Attorney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2"/>
          <w:numId w:val="265"/>
        </w:numPr>
        <w:rPr>
          <w:rFonts w:ascii="Arial" w:cs="Arial" w:eastAsia="Arial" w:hAnsi="Arial"/>
          <w:sz w:val="19"/>
          <w:szCs w:val="19"/>
          <w:color w:val="auto"/>
        </w:rPr>
      </w:pPr>
      <w:r>
        <w:rPr>
          <w:rFonts w:ascii="Arial" w:cs="Arial" w:eastAsia="Arial" w:hAnsi="Arial"/>
          <w:sz w:val="19"/>
          <w:szCs w:val="19"/>
          <w:color w:val="auto"/>
        </w:rPr>
        <w:t>a Macau law pledge over certain rights derived from the ownership of the shares in the Company and any sale agreement relating to such shares (the "</w:t>
      </w:r>
      <w:r>
        <w:rPr>
          <w:rFonts w:ascii="Arial" w:cs="Arial" w:eastAsia="Arial" w:hAnsi="Arial"/>
          <w:sz w:val="19"/>
          <w:szCs w:val="19"/>
          <w:b w:val="1"/>
          <w:bCs w:val="1"/>
          <w:color w:val="auto"/>
        </w:rPr>
        <w:t>Supplemental Assignment of Company Shareholder Rights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960" w:hanging="655"/>
        <w:spacing w:after="0" w:line="287" w:lineRule="auto"/>
        <w:tabs>
          <w:tab w:leader="none" w:pos="1960" w:val="left"/>
        </w:tabs>
        <w:numPr>
          <w:ilvl w:val="2"/>
          <w:numId w:val="265"/>
        </w:numPr>
        <w:rPr>
          <w:rFonts w:ascii="Arial" w:cs="Arial" w:eastAsia="Arial" w:hAnsi="Arial"/>
          <w:sz w:val="21"/>
          <w:szCs w:val="21"/>
          <w:color w:val="auto"/>
        </w:rPr>
      </w:pPr>
      <w:r>
        <w:rPr>
          <w:rFonts w:ascii="Arial" w:cs="Arial" w:eastAsia="Arial" w:hAnsi="Arial"/>
          <w:sz w:val="21"/>
          <w:szCs w:val="21"/>
          <w:color w:val="auto"/>
        </w:rPr>
        <w:t>a Macau law pledge over certain rights derived from the ownership of the shares in Palo and any sale agreement relating to such shares (the "</w:t>
      </w:r>
      <w:r>
        <w:rPr>
          <w:rFonts w:ascii="Arial" w:cs="Arial" w:eastAsia="Arial" w:hAnsi="Arial"/>
          <w:sz w:val="21"/>
          <w:szCs w:val="21"/>
          <w:b w:val="1"/>
          <w:bCs w:val="1"/>
          <w:color w:val="auto"/>
        </w:rPr>
        <w:t>Supplemental Assignment of Palo Shareholder Rights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960" w:hanging="655"/>
        <w:spacing w:after="0"/>
        <w:tabs>
          <w:tab w:leader="none" w:pos="1960" w:val="left"/>
        </w:tabs>
        <w:numPr>
          <w:ilvl w:val="2"/>
          <w:numId w:val="265"/>
        </w:numPr>
        <w:rPr>
          <w:rFonts w:ascii="Arial" w:cs="Arial" w:eastAsia="Arial" w:hAnsi="Arial"/>
          <w:sz w:val="19"/>
          <w:szCs w:val="19"/>
          <w:color w:val="auto"/>
        </w:rPr>
      </w:pPr>
      <w:r>
        <w:rPr>
          <w:rFonts w:ascii="Arial" w:cs="Arial" w:eastAsia="Arial" w:hAnsi="Arial"/>
          <w:sz w:val="19"/>
          <w:szCs w:val="19"/>
          <w:color w:val="auto"/>
        </w:rPr>
        <w:t>an English law security agreement granted by Wynn Asia 2 with respect to the proceeds of any sale of the</w:t>
      </w:r>
    </w:p>
    <w:p>
      <w:pPr>
        <w:sectPr>
          <w:pgSz w:w="11900" w:h="16838" w:orient="portrait"/>
          <w:cols w:equalWidth="0" w:num="1">
            <w:col w:w="11420"/>
          </w:cols>
          <w:pgMar w:left="240" w:top="126" w:right="239" w:bottom="0" w:gutter="0" w:footer="0" w:header="0"/>
        </w:sectPr>
      </w:pPr>
    </w:p>
    <w:bookmarkStart w:id="197" w:name="page198"/>
    <w:bookmarkEnd w:id="197"/>
    <w:p>
      <w:pPr>
        <w:spacing w:after="0" w:line="75" w:lineRule="exact"/>
        <w:rPr>
          <w:sz w:val="20"/>
          <w:szCs w:val="20"/>
          <w:color w:val="auto"/>
        </w:rPr>
      </w:pPr>
    </w:p>
    <w:p>
      <w:pPr>
        <w:ind w:left="1952"/>
        <w:spacing w:after="0" w:line="263" w:lineRule="auto"/>
        <w:rPr>
          <w:sz w:val="20"/>
          <w:szCs w:val="20"/>
          <w:color w:val="auto"/>
        </w:rPr>
      </w:pPr>
      <w:r>
        <w:rPr>
          <w:rFonts w:ascii="Arial" w:cs="Arial" w:eastAsia="Arial" w:hAnsi="Arial"/>
          <w:sz w:val="22"/>
          <w:szCs w:val="22"/>
          <w:color w:val="auto"/>
        </w:rPr>
        <w:t>shares in Wynn International and Wynn Asia 2's rights under any sale agreement relating to such shares (the "</w:t>
      </w:r>
      <w:r>
        <w:rPr>
          <w:rFonts w:ascii="Arial" w:cs="Arial" w:eastAsia="Arial" w:hAnsi="Arial"/>
          <w:sz w:val="22"/>
          <w:szCs w:val="22"/>
          <w:b w:val="1"/>
          <w:bCs w:val="1"/>
          <w:color w:val="auto"/>
        </w:rPr>
        <w:t>Supplemental Wynn International Security Agreement</w:t>
      </w:r>
      <w:r>
        <w:rPr>
          <w:rFonts w:ascii="Arial" w:cs="Arial" w:eastAsia="Arial" w:hAnsi="Arial"/>
          <w:sz w:val="22"/>
          <w:szCs w:val="22"/>
          <w:color w:val="auto"/>
        </w:rPr>
        <w:t>"); and</w:t>
      </w:r>
    </w:p>
    <w:p>
      <w:pPr>
        <w:spacing w:after="0" w:line="175" w:lineRule="exact"/>
        <w:rPr>
          <w:sz w:val="20"/>
          <w:szCs w:val="20"/>
          <w:color w:val="auto"/>
        </w:rPr>
      </w:pPr>
    </w:p>
    <w:p>
      <w:pPr>
        <w:jc w:val="both"/>
        <w:ind w:left="1952" w:hanging="655"/>
        <w:spacing w:after="0" w:line="253" w:lineRule="auto"/>
        <w:tabs>
          <w:tab w:leader="none" w:pos="195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 Hong Kong law security agreement granted by Wynn Holdings with respect to the proceeds of any sale of the shares in Wynn HK and Wynn Holdings' rights under any sale agreement relating to such shares (the "</w:t>
      </w:r>
      <w:r>
        <w:rPr>
          <w:rFonts w:ascii="Arial" w:cs="Arial" w:eastAsia="Arial" w:hAnsi="Arial"/>
          <w:sz w:val="22"/>
          <w:szCs w:val="22"/>
          <w:b w:val="1"/>
          <w:bCs w:val="1"/>
          <w:color w:val="auto"/>
        </w:rPr>
        <w:t>Supplemental Wynn HK Security Agreement</w:t>
      </w:r>
      <w:r>
        <w:rPr>
          <w:rFonts w:ascii="Arial" w:cs="Arial" w:eastAsia="Arial" w:hAnsi="Arial"/>
          <w:sz w:val="22"/>
          <w:szCs w:val="22"/>
          <w:color w:val="auto"/>
        </w:rPr>
        <w:t>"),</w:t>
      </w:r>
    </w:p>
    <w:p>
      <w:pPr>
        <w:spacing w:after="0" w:line="186" w:lineRule="exact"/>
        <w:rPr>
          <w:sz w:val="20"/>
          <w:szCs w:val="20"/>
          <w:color w:val="auto"/>
        </w:rPr>
      </w:pPr>
    </w:p>
    <w:p>
      <w:pPr>
        <w:jc w:val="both"/>
        <w:ind w:left="1292"/>
        <w:spacing w:after="0" w:line="253" w:lineRule="auto"/>
        <w:rPr>
          <w:sz w:val="20"/>
          <w:szCs w:val="20"/>
          <w:color w:val="auto"/>
        </w:rPr>
      </w:pPr>
      <w:r>
        <w:rPr>
          <w:rFonts w:ascii="Arial" w:cs="Arial" w:eastAsia="Arial" w:hAnsi="Arial"/>
          <w:sz w:val="22"/>
          <w:szCs w:val="22"/>
          <w:color w:val="auto"/>
        </w:rPr>
        <w:t>and any other document entered into which the Intercreditor Agent and the Company agree prior to the date on which the Upsize Advance is made to designate as a Supplemental Security Document or a Senior Finance Document.</w:t>
      </w:r>
    </w:p>
    <w:p>
      <w:pPr>
        <w:spacing w:after="0" w:line="186" w:lineRule="exact"/>
        <w:rPr>
          <w:sz w:val="20"/>
          <w:szCs w:val="20"/>
          <w:color w:val="auto"/>
        </w:rPr>
      </w:pPr>
    </w:p>
    <w:p>
      <w:pPr>
        <w:jc w:val="both"/>
        <w:ind w:left="1292" w:hanging="644"/>
        <w:spacing w:after="0" w:line="246" w:lineRule="auto"/>
        <w:tabs>
          <w:tab w:leader="none" w:pos="1292" w:val="left"/>
        </w:tabs>
        <w:numPr>
          <w:ilvl w:val="1"/>
          <w:numId w:val="267"/>
        </w:numPr>
        <w:rPr>
          <w:rFonts w:ascii="Arial" w:cs="Arial" w:eastAsia="Arial" w:hAnsi="Arial"/>
          <w:sz w:val="22"/>
          <w:szCs w:val="22"/>
          <w:color w:val="auto"/>
        </w:rPr>
      </w:pPr>
      <w:r>
        <w:rPr>
          <w:rFonts w:ascii="Arial" w:cs="Arial" w:eastAsia="Arial" w:hAnsi="Arial"/>
          <w:sz w:val="22"/>
          <w:szCs w:val="22"/>
          <w:color w:val="auto"/>
        </w:rPr>
        <w:t>Each Supplemental Security Document has been duly authorised, executed and delivered by such of the Obligors party thereto and (save in respect of any registration required at the Companies House in England and Wales, the Hong Kong Companies Registry, the Conservatória dos Registos Comercial e de Bens Móveis in Macau SAR, the Conservatória do Registo Predial in Macau SAR, the applicable Uniform Commercial Code filing office for local/county, state and federal Uniform Commercial Code filings and the Isle of Man Companies Registry, as applicable, based on the Supplemental Security Document subject to the filing) duly filed, notified, recorded, stamped and registered as necessary.</w:t>
      </w:r>
    </w:p>
    <w:p>
      <w:pPr>
        <w:spacing w:after="0" w:line="197"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267"/>
        </w:numPr>
        <w:rPr>
          <w:rFonts w:ascii="Arial" w:cs="Arial" w:eastAsia="Arial" w:hAnsi="Arial"/>
          <w:sz w:val="22"/>
          <w:szCs w:val="22"/>
          <w:color w:val="auto"/>
        </w:rPr>
      </w:pPr>
      <w:r>
        <w:rPr>
          <w:rFonts w:ascii="Arial" w:cs="Arial" w:eastAsia="Arial" w:hAnsi="Arial"/>
          <w:sz w:val="22"/>
          <w:szCs w:val="22"/>
          <w:color w:val="auto"/>
        </w:rPr>
        <w:t>All conditions precedent to the effectiveness thereof have been satisfied or waived in accordance with their respective terms and each such Supplemental Security Document (save as provided in paragraph (b)) is in full force and effect accordingly.</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Legal opinions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legal opinions from legal advisers to the Senior Secured Creditors as to:</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Macau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Isle of Man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Cayman Islands law;</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Hong Kong SAR law;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English law.</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Fees and expenses</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Receipt by the Intercreditor Agent of evidence that: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all taxes, fees and other costs payable in connection with the execution, delivery, filing, recording, stamping and registering of the documents referred to in this Part H of Schedule 2;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68"/>
        </w:numPr>
        <w:rPr>
          <w:rFonts w:ascii="Arial" w:cs="Arial" w:eastAsia="Arial" w:hAnsi="Arial"/>
          <w:sz w:val="22"/>
          <w:szCs w:val="22"/>
          <w:color w:val="auto"/>
        </w:rPr>
      </w:pPr>
      <w:r>
        <w:rPr>
          <w:rFonts w:ascii="Arial" w:cs="Arial" w:eastAsia="Arial" w:hAnsi="Arial"/>
          <w:sz w:val="22"/>
          <w:szCs w:val="22"/>
          <w:color w:val="auto"/>
        </w:rPr>
        <w:t>all fees, costs and expenses due to the Senior Secured Creditors and their advisers under the Senior Finance Documents on or before the date on which the Upsize Advance is made,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have been paid or shall be paid (to the extent that such amounts have been duly invoiced) by no later than the date on which the Upsize Advance is made.</w:t>
      </w:r>
    </w:p>
    <w:p>
      <w:pPr>
        <w:spacing w:after="0" w:line="169" w:lineRule="exact"/>
        <w:rPr>
          <w:sz w:val="20"/>
          <w:szCs w:val="20"/>
          <w:color w:val="auto"/>
        </w:rPr>
      </w:pPr>
    </w:p>
    <w:p>
      <w:pPr>
        <w:ind w:left="652" w:hanging="652"/>
        <w:spacing w:after="0"/>
        <w:tabs>
          <w:tab w:leader="none" w:pos="652" w:val="left"/>
        </w:tabs>
        <w:numPr>
          <w:ilvl w:val="0"/>
          <w:numId w:val="269"/>
        </w:numPr>
        <w:rPr>
          <w:rFonts w:ascii="Arial" w:cs="Arial" w:eastAsia="Arial" w:hAnsi="Arial"/>
          <w:sz w:val="22"/>
          <w:szCs w:val="22"/>
          <w:color w:val="auto"/>
        </w:rPr>
      </w:pPr>
      <w:r>
        <w:rPr>
          <w:rFonts w:ascii="Arial" w:cs="Arial" w:eastAsia="Arial" w:hAnsi="Arial"/>
          <w:sz w:val="22"/>
          <w:szCs w:val="22"/>
          <w:b w:val="1"/>
          <w:bCs w:val="1"/>
          <w:color w:val="auto"/>
        </w:rPr>
        <w:t>Security</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Receipt by the Intercreditor Agent of evidence that each Supplemental Security Document has been duly filed, notified, recorded, stamped and (save as provided in paragraph 2(b) above) registered as necessary and all other actions necessary in the reasonable opinion of the Intercreditor Agent or the Security Agent to perfect the Security have been carried out.</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269"/>
        </w:numPr>
        <w:rPr>
          <w:rFonts w:ascii="Arial" w:cs="Arial" w:eastAsia="Arial" w:hAnsi="Arial"/>
          <w:sz w:val="22"/>
          <w:szCs w:val="22"/>
          <w:color w:val="auto"/>
        </w:rPr>
      </w:pPr>
      <w:r>
        <w:rPr>
          <w:rFonts w:ascii="Arial" w:cs="Arial" w:eastAsia="Arial" w:hAnsi="Arial"/>
          <w:sz w:val="22"/>
          <w:szCs w:val="22"/>
          <w:b w:val="1"/>
          <w:bCs w:val="1"/>
          <w:color w:val="auto"/>
        </w:rPr>
        <w:t>Process agents</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Where such appointment is required under any Supplemental Security Document referred to in paragraph 2 above, a copy of the process agent's acceptance of its appointment by each applicable Obligor for the acceptance of legal proceedings.</w:t>
      </w:r>
    </w:p>
    <w:p>
      <w:pPr>
        <w:spacing w:after="0" w:line="98" w:lineRule="exact"/>
        <w:rPr>
          <w:rFonts w:ascii="Arial" w:cs="Arial" w:eastAsia="Arial" w:hAnsi="Arial"/>
          <w:sz w:val="22"/>
          <w:szCs w:val="22"/>
          <w:color w:val="auto"/>
        </w:rPr>
      </w:pPr>
    </w:p>
    <w:p>
      <w:pPr>
        <w:ind w:left="652" w:hanging="652"/>
        <w:spacing w:after="0"/>
        <w:tabs>
          <w:tab w:leader="none" w:pos="652" w:val="left"/>
        </w:tabs>
        <w:numPr>
          <w:ilvl w:val="0"/>
          <w:numId w:val="269"/>
        </w:numPr>
        <w:rPr>
          <w:rFonts w:ascii="Arial" w:cs="Arial" w:eastAsia="Arial" w:hAnsi="Arial"/>
          <w:sz w:val="22"/>
          <w:szCs w:val="22"/>
          <w:color w:val="auto"/>
        </w:rPr>
      </w:pPr>
      <w:r>
        <w:rPr>
          <w:rFonts w:ascii="Arial" w:cs="Arial" w:eastAsia="Arial" w:hAnsi="Arial"/>
          <w:sz w:val="22"/>
          <w:szCs w:val="22"/>
          <w:b w:val="1"/>
          <w:bCs w:val="1"/>
          <w:color w:val="auto"/>
        </w:rPr>
        <w:t>Other documents and evidence</w:t>
      </w:r>
    </w:p>
    <w:p>
      <w:pPr>
        <w:spacing w:after="0" w:line="225"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269"/>
        </w:numPr>
        <w:rPr>
          <w:rFonts w:ascii="Arial" w:cs="Arial" w:eastAsia="Arial" w:hAnsi="Arial"/>
          <w:sz w:val="22"/>
          <w:szCs w:val="22"/>
          <w:color w:val="auto"/>
        </w:rPr>
      </w:pPr>
      <w:r>
        <w:rPr>
          <w:rFonts w:ascii="Arial" w:cs="Arial" w:eastAsia="Arial" w:hAnsi="Arial"/>
          <w:sz w:val="22"/>
          <w:szCs w:val="22"/>
          <w:color w:val="auto"/>
        </w:rPr>
        <w:t>Evidence of the definitive registration with the Macau Real Estate Registry of the horizontal property comprised in any area of Wynn Macau classified as a casino in accordance with article 42 of the Concession Contract so that the casino area is registered as one unit separate and independent from the horizontal property contained in all the remaining areas of Wynn Macau upon obtaining all Permits required from the Macau SAR for such registration to be made.</w:t>
      </w:r>
    </w:p>
    <w:p>
      <w:pPr>
        <w:sectPr>
          <w:pgSz w:w="11900" w:h="16914" w:orient="portrait"/>
          <w:cols w:equalWidth="0" w:num="1">
            <w:col w:w="11412"/>
          </w:cols>
          <w:pgMar w:left="248" w:top="132" w:right="239" w:bottom="0" w:gutter="0" w:footer="0" w:header="0"/>
        </w:sectPr>
      </w:pPr>
    </w:p>
    <w:bookmarkStart w:id="198" w:name="page199"/>
    <w:bookmarkEnd w:id="198"/>
    <w:p>
      <w:pPr>
        <w:spacing w:after="0" w:line="82" w:lineRule="exact"/>
        <w:rPr>
          <w:sz w:val="20"/>
          <w:szCs w:val="20"/>
          <w:color w:val="auto"/>
        </w:rPr>
      </w:pPr>
    </w:p>
    <w:p>
      <w:pPr>
        <w:jc w:val="both"/>
        <w:ind w:left="1300" w:hanging="644"/>
        <w:spacing w:after="0" w:line="253" w:lineRule="auto"/>
        <w:tabs>
          <w:tab w:leader="none" w:pos="130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 intercreditor agreement in form and substance satisfactory to the Additional Lender(s) under the relevant Additional Lender Facility Agreement to be entered into and the Required Lenders referred to in paragraph (a) of the definition of "Required Lenders"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A copy of any other authorisation or other document, opinion or assurance which the Intercreditor Agent (acting reasonably) considers to be necessary or desirable (if it has notified the Company accordingly) in connection with the entry into and performance of the transactions contemplated by any Supplemental Security Document or for the validity and enforceability of any Supplemental Security Document.</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3</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FORM OF ADVANCE REQUEST</w:t>
      </w:r>
    </w:p>
    <w:p>
      <w:pPr>
        <w:spacing w:after="0" w:line="215" w:lineRule="exact"/>
        <w:rPr>
          <w:sz w:val="20"/>
          <w:szCs w:val="20"/>
          <w:color w:val="auto"/>
        </w:rPr>
      </w:pPr>
    </w:p>
    <w:p>
      <w:pPr>
        <w:spacing w:after="0"/>
        <w:tabs>
          <w:tab w:leader="none" w:pos="480" w:val="left"/>
          <w:tab w:leader="none" w:pos="78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20" w:lineRule="exact"/>
        <w:rPr>
          <w:sz w:val="20"/>
          <w:szCs w:val="20"/>
          <w:color w:val="auto"/>
        </w:rPr>
      </w:pPr>
    </w:p>
    <w:p>
      <w:pPr>
        <w:ind w:left="940" w:hanging="284"/>
        <w:spacing w:after="0"/>
        <w:tabs>
          <w:tab w:leader="none" w:pos="94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 as Term Facility Agent</w:t>
      </w:r>
    </w:p>
    <w:p>
      <w:pPr>
        <w:spacing w:after="0" w:line="219" w:lineRule="exact"/>
        <w:rPr>
          <w:rFonts w:ascii="Arial" w:cs="Arial" w:eastAsia="Arial" w:hAnsi="Arial"/>
          <w:sz w:val="22"/>
          <w:szCs w:val="22"/>
          <w:color w:val="auto"/>
        </w:rPr>
      </w:pPr>
    </w:p>
    <w:p>
      <w:pPr>
        <w:jc w:val="both"/>
        <w:ind w:right="10540"/>
        <w:spacing w:after="0" w:line="515" w:lineRule="auto"/>
        <w:rPr>
          <w:rFonts w:ascii="Arial" w:cs="Arial" w:eastAsia="Arial" w:hAnsi="Arial"/>
          <w:sz w:val="22"/>
          <w:szCs w:val="22"/>
          <w:color w:val="auto"/>
        </w:rPr>
      </w:pPr>
      <w:r>
        <w:rPr>
          <w:rFonts w:ascii="Arial" w:cs="Arial" w:eastAsia="Arial" w:hAnsi="Arial"/>
          <w:sz w:val="19"/>
          <w:szCs w:val="19"/>
          <w:color w:val="auto"/>
        </w:rPr>
        <w:t>Date: [ ] Dear Sirs,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 Request No. [ ]</w:t>
      </w:r>
    </w:p>
    <w:p>
      <w:pPr>
        <w:spacing w:after="0" w:line="220" w:lineRule="exact"/>
        <w:rPr>
          <w:sz w:val="20"/>
          <w:szCs w:val="20"/>
          <w:color w:val="auto"/>
        </w:rPr>
      </w:pPr>
    </w:p>
    <w:p>
      <w:pPr>
        <w:jc w:val="both"/>
        <w:ind w:left="660" w:hanging="652"/>
        <w:spacing w:after="0" w:line="252"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We refer to the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This is an Advance Request given pursuant to Clause 3 (</w:t>
      </w:r>
      <w:r>
        <w:rPr>
          <w:rFonts w:ascii="Arial" w:cs="Arial" w:eastAsia="Arial" w:hAnsi="Arial"/>
          <w:sz w:val="19"/>
          <w:szCs w:val="19"/>
          <w:i w:val="1"/>
          <w:iCs w:val="1"/>
          <w:color w:val="auto"/>
        </w:rPr>
        <w:t>Drawdown of Advances</w:t>
      </w:r>
      <w:r>
        <w:rPr>
          <w:rFonts w:ascii="Arial" w:cs="Arial" w:eastAsia="Arial" w:hAnsi="Arial"/>
          <w:sz w:val="19"/>
          <w:szCs w:val="19"/>
          <w:color w:val="auto"/>
        </w:rPr>
        <w:t>) of the Common Terms Agreement.</w:t>
      </w:r>
    </w:p>
    <w:p>
      <w:pPr>
        <w:spacing w:after="0" w:line="254"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We hereby give you notice that, upon the terms and subject to the conditions contained in the Common Terms Agreement and the Facility Agreements, we wish to borrow the following Advances under the following Facilities on </w:t>
      </w:r>
      <w:r>
        <w:rPr>
          <w:rFonts w:ascii="Arial" w:cs="Arial" w:eastAsia="Arial" w:hAnsi="Arial"/>
          <w:sz w:val="22"/>
          <w:szCs w:val="22"/>
          <w:b w:val="1"/>
          <w:bCs w:val="1"/>
          <w:color w:val="auto"/>
        </w:rPr>
        <w:t>[</w:t>
      </w:r>
      <w:r>
        <w:rPr>
          <w:rFonts w:ascii="Arial" w:cs="Arial" w:eastAsia="Arial" w:hAnsi="Arial"/>
          <w:sz w:val="22"/>
          <w:szCs w:val="22"/>
          <w:i w:val="1"/>
          <w:iCs w:val="1"/>
          <w:color w:val="auto"/>
        </w:rPr>
        <w:t>proposed</w:t>
      </w:r>
      <w:r>
        <w:rPr>
          <w:rFonts w:ascii="Arial" w:cs="Arial" w:eastAsia="Arial" w:hAnsi="Arial"/>
          <w:sz w:val="22"/>
          <w:szCs w:val="22"/>
          <w:color w:val="auto"/>
        </w:rPr>
        <w:t xml:space="preserve"> </w:t>
      </w:r>
      <w:r>
        <w:rPr>
          <w:rFonts w:ascii="Arial" w:cs="Arial" w:eastAsia="Arial" w:hAnsi="Arial"/>
          <w:sz w:val="22"/>
          <w:szCs w:val="22"/>
          <w:i w:val="1"/>
          <w:iCs w:val="1"/>
          <w:color w:val="auto"/>
        </w:rPr>
        <w:t>Advance Date</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to be applied towards the following purposes:</w:t>
      </w:r>
    </w:p>
    <w:p>
      <w:pPr>
        <w:spacing w:after="0" w:line="179" w:lineRule="exact"/>
        <w:rPr>
          <w:rFonts w:ascii="Arial" w:cs="Arial" w:eastAsia="Arial" w:hAnsi="Arial"/>
          <w:sz w:val="22"/>
          <w:szCs w:val="22"/>
          <w:color w:val="auto"/>
        </w:rPr>
      </w:pPr>
    </w:p>
    <w:p>
      <w:pPr>
        <w:ind w:left="660"/>
        <w:spacing w:after="0" w:line="269" w:lineRule="auto"/>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USD/HKD</w:t>
      </w:r>
      <w:r>
        <w:rPr>
          <w:rFonts w:ascii="Arial" w:cs="Arial" w:eastAsia="Arial" w:hAnsi="Arial"/>
          <w:sz w:val="22"/>
          <w:szCs w:val="22"/>
          <w:b w:val="1"/>
          <w:bCs w:val="1"/>
          <w:color w:val="auto"/>
        </w:rPr>
        <w:t>] [</w:t>
      </w:r>
      <w:r>
        <w:rPr>
          <w:rFonts w:ascii="Arial" w:cs="Arial" w:eastAsia="Arial" w:hAnsi="Arial"/>
          <w:sz w:val="22"/>
          <w:szCs w:val="22"/>
          <w:i w:val="1"/>
          <w:iCs w:val="1"/>
          <w:color w:val="auto"/>
        </w:rPr>
        <w:t>amount</w:t>
      </w:r>
      <w:r>
        <w:rPr>
          <w:rFonts w:ascii="Arial" w:cs="Arial" w:eastAsia="Arial" w:hAnsi="Arial"/>
          <w:sz w:val="22"/>
          <w:szCs w:val="22"/>
          <w:b w:val="1"/>
          <w:bCs w:val="1"/>
          <w:color w:val="auto"/>
        </w:rPr>
        <w:t xml:space="preserve">] </w:t>
      </w:r>
      <w:r>
        <w:rPr>
          <w:rFonts w:ascii="Arial" w:cs="Arial" w:eastAsia="Arial" w:hAnsi="Arial"/>
          <w:sz w:val="22"/>
          <w:szCs w:val="22"/>
          <w:color w:val="auto"/>
        </w:rPr>
        <w:t>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Tranche A Facility and Tranche B Facility / Tranche C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Term Facility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applied towards a permitted use under the Term Facility Agreement.</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We confirm that:</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the above purposes and Advances comply with the permitted use of the Facilities under the Facility Agreements and Clause 5 (</w:t>
      </w:r>
      <w:r>
        <w:rPr>
          <w:rFonts w:ascii="Arial" w:cs="Arial" w:eastAsia="Arial" w:hAnsi="Arial"/>
          <w:sz w:val="22"/>
          <w:szCs w:val="22"/>
          <w:i w:val="1"/>
          <w:iCs w:val="1"/>
          <w:color w:val="auto"/>
        </w:rPr>
        <w:t>Purpose</w:t>
      </w:r>
      <w:r>
        <w:rPr>
          <w:rFonts w:ascii="Arial" w:cs="Arial" w:eastAsia="Arial" w:hAnsi="Arial"/>
          <w:sz w:val="22"/>
          <w:szCs w:val="22"/>
          <w:color w:val="auto"/>
        </w:rPr>
        <w:t>) of the Common Terms Agreement and that no part of the above Advances shall be applied otherwise than as mentioned in paragraph 3 above;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each Advance is required for the purpose specified;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each condition specified in Clause 2.2 (</w:t>
      </w:r>
      <w:r>
        <w:rPr>
          <w:rFonts w:ascii="Arial" w:cs="Arial" w:eastAsia="Arial" w:hAnsi="Arial"/>
          <w:sz w:val="22"/>
          <w:szCs w:val="22"/>
          <w:i w:val="1"/>
          <w:iCs w:val="1"/>
          <w:color w:val="auto"/>
        </w:rPr>
        <w:t>Conditions Precedent to each Advance</w:t>
      </w:r>
      <w:r>
        <w:rPr>
          <w:rFonts w:ascii="Arial" w:cs="Arial" w:eastAsia="Arial" w:hAnsi="Arial"/>
          <w:sz w:val="22"/>
          <w:szCs w:val="22"/>
          <w:color w:val="auto"/>
        </w:rPr>
        <w:t>) of the Common Terms Agreement [and sub-paragraph 3.1.3 of Clause 3.1 (</w:t>
      </w:r>
      <w:r>
        <w:rPr>
          <w:rFonts w:ascii="Arial" w:cs="Arial" w:eastAsia="Arial" w:hAnsi="Arial"/>
          <w:sz w:val="22"/>
          <w:szCs w:val="22"/>
          <w:i w:val="1"/>
          <w:iCs w:val="1"/>
          <w:color w:val="auto"/>
        </w:rPr>
        <w:t>Drawdown conditions</w:t>
      </w:r>
      <w:r>
        <w:rPr>
          <w:rFonts w:ascii="Arial" w:cs="Arial" w:eastAsia="Arial" w:hAnsi="Arial"/>
          <w:sz w:val="22"/>
          <w:szCs w:val="22"/>
          <w:color w:val="auto"/>
        </w:rPr>
        <w:t>) of the Common Terms Agreement] is satisfied on the date of this Advance Request; and</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since the CP Satisfaction Date, no Material Adverse Effect has occurred and is continuing nor could reasonably be expected to occur.</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We attach signed but undated receipts for the Advances requested above and hereby authorise the Intercreditor Agent to date such receipts on the date such Advances are made.</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The above Advances shall have a </w:t>
      </w:r>
      <w:r>
        <w:rPr>
          <w:rFonts w:ascii="Arial" w:cs="Arial" w:eastAsia="Arial" w:hAnsi="Arial"/>
          <w:sz w:val="22"/>
          <w:szCs w:val="22"/>
          <w:b w:val="1"/>
          <w:bCs w:val="1"/>
          <w:color w:val="auto"/>
        </w:rPr>
        <w:t>[</w:t>
      </w:r>
      <w:r>
        <w:rPr>
          <w:rFonts w:ascii="Arial" w:cs="Arial" w:eastAsia="Arial" w:hAnsi="Arial"/>
          <w:sz w:val="22"/>
          <w:szCs w:val="22"/>
          <w:color w:val="auto"/>
        </w:rPr>
        <w:t>first</w:t>
      </w:r>
      <w:r>
        <w:rPr>
          <w:rFonts w:ascii="Arial" w:cs="Arial" w:eastAsia="Arial" w:hAnsi="Arial"/>
          <w:sz w:val="22"/>
          <w:szCs w:val="22"/>
          <w:b w:val="1"/>
          <w:bCs w:val="1"/>
          <w:color w:val="auto"/>
        </w:rPr>
        <w:t>]</w:t>
      </w:r>
      <w:r>
        <w:rPr>
          <w:rFonts w:ascii="Arial" w:cs="Arial" w:eastAsia="Arial" w:hAnsi="Arial"/>
          <w:sz w:val="22"/>
          <w:szCs w:val="22"/>
          <w:color w:val="auto"/>
        </w:rPr>
        <w:t xml:space="preserve"> Interest Period ending on </w:t>
      </w:r>
      <w:r>
        <w:rPr>
          <w:rFonts w:ascii="Arial" w:cs="Arial" w:eastAsia="Arial" w:hAnsi="Arial"/>
          <w:sz w:val="22"/>
          <w:szCs w:val="22"/>
          <w:b w:val="1"/>
          <w:bCs w:val="1"/>
          <w:color w:val="auto"/>
        </w:rPr>
        <w:t>[</w:t>
      </w:r>
      <w:r>
        <w:rPr>
          <w:rFonts w:ascii="Arial" w:cs="Arial" w:eastAsia="Arial" w:hAnsi="Arial"/>
          <w:sz w:val="22"/>
          <w:szCs w:val="22"/>
          <w:i w:val="1"/>
          <w:iCs w:val="1"/>
          <w:color w:val="auto"/>
        </w:rPr>
        <w:t>date</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620" w:hanging="652"/>
        <w:spacing w:after="0" w:line="451"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w:t>
      </w:r>
      <w:r>
        <w:rPr>
          <w:rFonts w:ascii="Arial" w:cs="Arial" w:eastAsia="Arial" w:hAnsi="Arial"/>
          <w:sz w:val="22"/>
          <w:szCs w:val="22"/>
          <w:color w:val="auto"/>
        </w:rPr>
        <w:t>proceeds/specified amounts</w:t>
      </w:r>
      <w:r>
        <w:rPr>
          <w:rFonts w:ascii="Arial" w:cs="Arial" w:eastAsia="Arial" w:hAnsi="Arial"/>
          <w:sz w:val="22"/>
          <w:szCs w:val="22"/>
          <w:b w:val="1"/>
          <w:bCs w:val="1"/>
          <w:color w:val="auto"/>
        </w:rPr>
        <w:t>]</w:t>
      </w:r>
      <w:r>
        <w:rPr>
          <w:rFonts w:ascii="Arial" w:cs="Arial" w:eastAsia="Arial" w:hAnsi="Arial"/>
          <w:sz w:val="22"/>
          <w:szCs w:val="22"/>
          <w:color w:val="auto"/>
        </w:rPr>
        <w:t xml:space="preserve"> of the above Advances should be credited to, respectively, the following Accounts: </w:t>
      </w:r>
      <w:r>
        <w:rPr>
          <w:rFonts w:ascii="Arial" w:cs="Arial" w:eastAsia="Arial" w:hAnsi="Arial"/>
          <w:sz w:val="22"/>
          <w:szCs w:val="22"/>
          <w:b w:val="1"/>
          <w:bCs w:val="1"/>
          <w:color w:val="auto"/>
        </w:rPr>
        <w:t>[</w:t>
      </w:r>
      <w:r>
        <w:rPr>
          <w:rFonts w:ascii="Arial" w:cs="Arial" w:eastAsia="Arial" w:hAnsi="Arial"/>
          <w:sz w:val="22"/>
          <w:szCs w:val="22"/>
          <w:i w:val="1"/>
          <w:iCs w:val="1"/>
          <w:color w:val="auto"/>
        </w:rPr>
        <w:t>specify relevant Account and amount</w:t>
      </w:r>
      <w:r>
        <w:rPr>
          <w:rFonts w:ascii="Arial" w:cs="Arial" w:eastAsia="Arial" w:hAnsi="Arial"/>
          <w:sz w:val="22"/>
          <w:szCs w:val="22"/>
          <w:b w:val="1"/>
          <w:bCs w:val="1"/>
          <w:color w:val="auto"/>
        </w:rPr>
        <w:t>]</w:t>
      </w:r>
    </w:p>
    <w:p>
      <w:pPr>
        <w:ind w:left="660" w:hanging="652"/>
        <w:spacing w:after="0" w:line="263"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We further confirm, without any personal liability on the part of our Responsible Officer signing this Advance Request, that: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no Default is continuing; and</w:t>
      </w:r>
    </w:p>
    <w:p>
      <w:pPr>
        <w:spacing w:after="0" w:line="219" w:lineRule="exact"/>
        <w:rPr>
          <w:rFonts w:ascii="Arial" w:cs="Arial" w:eastAsia="Arial" w:hAnsi="Arial"/>
          <w:sz w:val="22"/>
          <w:szCs w:val="22"/>
          <w:color w:val="auto"/>
        </w:rPr>
      </w:pPr>
    </w:p>
    <w:p>
      <w:pPr>
        <w:jc w:val="both"/>
        <w:ind w:left="1300" w:right="20" w:hanging="644"/>
        <w:spacing w:after="0" w:line="343" w:lineRule="auto"/>
        <w:tabs>
          <w:tab w:leader="none" w:pos="130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the representations and warranties contained in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of the Common Terms Agreement which are repeated by the Company pursuant to Clause 17.2 (</w:t>
      </w:r>
      <w:r>
        <w:rPr>
          <w:rFonts w:ascii="Arial" w:cs="Arial" w:eastAsia="Arial" w:hAnsi="Arial"/>
          <w:sz w:val="19"/>
          <w:szCs w:val="19"/>
          <w:i w:val="1"/>
          <w:iCs w:val="1"/>
          <w:color w:val="auto"/>
        </w:rPr>
        <w:t>Timing</w:t>
      </w:r>
      <w:r>
        <w:rPr>
          <w:rFonts w:ascii="Arial" w:cs="Arial" w:eastAsia="Arial" w:hAnsi="Arial"/>
          <w:sz w:val="19"/>
          <w:szCs w:val="19"/>
          <w:color w:val="auto"/>
        </w:rPr>
        <w:t>) of the Common Terms Agreement</w:t>
      </w:r>
    </w:p>
    <w:p>
      <w:pPr>
        <w:sectPr>
          <w:pgSz w:w="11900" w:h="16920" w:orient="portrait"/>
          <w:cols w:equalWidth="0" w:num="1">
            <w:col w:w="11420"/>
          </w:cols>
          <w:pgMar w:left="240" w:top="334" w:right="239" w:bottom="0" w:gutter="0" w:footer="0" w:header="0"/>
        </w:sectPr>
      </w:pPr>
    </w:p>
    <w:bookmarkStart w:id="199" w:name="page200"/>
    <w:bookmarkEnd w:id="199"/>
    <w:p>
      <w:pPr>
        <w:ind w:left="1300"/>
        <w:spacing w:after="0" w:line="263" w:lineRule="auto"/>
        <w:rPr>
          <w:sz w:val="20"/>
          <w:szCs w:val="20"/>
          <w:color w:val="auto"/>
        </w:rPr>
      </w:pPr>
      <w:r>
        <w:rPr>
          <w:rFonts w:ascii="Arial" w:cs="Arial" w:eastAsia="Arial" w:hAnsi="Arial"/>
          <w:sz w:val="22"/>
          <w:szCs w:val="22"/>
          <w:color w:val="auto"/>
        </w:rPr>
        <w:t>are true and correct in all material respects with reference to the facts and circumstances existing on the date of this Advance Request.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Responsible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(Macau) S.A.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Attachments: </w:t>
      </w:r>
      <w:r>
        <w:rPr>
          <w:rFonts w:ascii="Arial" w:cs="Arial" w:eastAsia="Arial" w:hAnsi="Arial"/>
          <w:sz w:val="22"/>
          <w:szCs w:val="22"/>
          <w:b w:val="1"/>
          <w:bCs w:val="1"/>
          <w:color w:val="auto"/>
        </w:rPr>
        <w:t>[</w:t>
      </w:r>
      <w:r>
        <w:rPr>
          <w:rFonts w:ascii="Arial" w:cs="Arial" w:eastAsia="Arial" w:hAnsi="Arial"/>
          <w:sz w:val="22"/>
          <w:szCs w:val="22"/>
          <w:i w:val="1"/>
          <w:iCs w:val="1"/>
          <w:color w:val="auto"/>
        </w:rPr>
        <w:t>list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4</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09"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Organization</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Each of the Obligors is duly organised or incorporated (as the case may be), validly existing and (if applicable) in good standing under the laws of its jurisdiction of organisation or incorporation (as the case may be) and has all requisite corporate or limited liability company power and authority to:</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carry on its business as now conducted;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own or hold under lease and operate the Properties it purports to own or hold under lease;</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carry on its business as now being conducted and as now proposed to be conducted in respect of Wynn Macau and the Cotai Project;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incur the Financial Indebtedness contemplated hereunder; and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execute, deliver and perform under each of the Transaction Documents to which it is a party and create any Lien on its Property contemplated thereunder.</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b w:val="1"/>
          <w:bCs w:val="1"/>
          <w:color w:val="auto"/>
        </w:rPr>
        <w:t>Authorization; No Conflict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Each of the Obligors has taken all necessary corporate or limited liability company action, as the case may be, to authorize the execution, delivery and performance of the Transaction Documents to which it is a party. Neither the execution, delivery or performance of each Transaction Document to which it is a party nor the consummation of the transactions contemplated thereby:</w:t>
      </w:r>
    </w:p>
    <w:p>
      <w:pPr>
        <w:spacing w:after="0" w:line="188" w:lineRule="exact"/>
        <w:rPr>
          <w:sz w:val="20"/>
          <w:szCs w:val="20"/>
          <w:color w:val="auto"/>
        </w:rPr>
      </w:pPr>
    </w:p>
    <w:p>
      <w:pPr>
        <w:ind w:left="1300" w:hanging="644"/>
        <w:spacing w:after="0" w:line="263" w:lineRule="auto"/>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by each Obligor does or will contravene the formation or constitutional documents or any other material Legal Requirement then applicable to or binding on each such Obligor; or</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does or will contravene or result in any breach or constitute any default under, or result in or require the creation or imposition of any Lien upon any of the Properties of any Obligor or under any security or agreement or instrument to which any Obligor is a party or by which it or any of its respective properties may be bound, except for Permitted Liens or as could not, in the aggregate, reasonably be expected to have a Material Adverse Effect.</w:t>
      </w:r>
    </w:p>
    <w:p>
      <w:pPr>
        <w:spacing w:after="0" w:line="14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No consent, Permit or filing or other authorization with, notice to or other act by or in respect of, any Governmental Authority or any Person is required in connection with the borrowings under the Senior Finance Documents or with the execution, delivery, performance, validity or enforceability of any of the Transaction Documents, except consents, authorisations, recordings, stampings, filings, registrations and notices described in the definition of "Required Filings"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6"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b w:val="1"/>
          <w:bCs w:val="1"/>
          <w:color w:val="auto"/>
        </w:rPr>
        <w:t>Legality, Validity and Enforceability</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Each of the Transaction Documents to which any of the Obligors is a party is a legal, valid and binding obligation of such Obligor, enforceable against such Obligor in accordance with its terms, subject only to bankruptcy and similar laws and principles of equity.</w:t>
      </w:r>
    </w:p>
    <w:p>
      <w:pPr>
        <w:spacing w:after="0" w:line="18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None of the Transaction Documents to which any of the Obligors is a party has been amended or modified except in accordance with this Agreement.</w:t>
      </w:r>
    </w:p>
    <w:p>
      <w:pPr>
        <w:spacing w:after="0" w:line="169"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Compliance with Law and Permits</w:t>
      </w:r>
    </w:p>
    <w:p>
      <w:pPr>
        <w:sectPr>
          <w:pgSz w:w="11900" w:h="16838" w:orient="portrait"/>
          <w:cols w:equalWidth="0" w:num="1">
            <w:col w:w="11420"/>
          </w:cols>
          <w:pgMar w:left="240" w:top="132" w:right="239" w:bottom="0" w:gutter="0" w:footer="0" w:header="0"/>
        </w:sectPr>
      </w:pPr>
    </w:p>
    <w:bookmarkStart w:id="200" w:name="page201"/>
    <w:bookmarkEnd w:id="200"/>
    <w:p>
      <w:pPr>
        <w:spacing w:after="0" w:line="12" w:lineRule="exact"/>
        <w:rPr>
          <w:sz w:val="20"/>
          <w:szCs w:val="20"/>
          <w:color w:val="auto"/>
        </w:rPr>
      </w:pPr>
    </w:p>
    <w:p>
      <w:pPr>
        <w:jc w:val="both"/>
        <w:ind w:left="652"/>
        <w:spacing w:after="0" w:line="289" w:lineRule="auto"/>
        <w:rPr>
          <w:sz w:val="20"/>
          <w:szCs w:val="20"/>
          <w:color w:val="auto"/>
        </w:rPr>
      </w:pPr>
      <w:r>
        <w:rPr>
          <w:rFonts w:ascii="Arial" w:cs="Arial" w:eastAsia="Arial" w:hAnsi="Arial"/>
          <w:sz w:val="19"/>
          <w:szCs w:val="19"/>
          <w:color w:val="auto"/>
        </w:rPr>
        <w:t>As of the Fifth Amendment Effective Date, each Obligor is in compliance with all Legal Requirements (including Sanctions and Permits) in all material respects and no notices of any material violation of any Permit made or issued by or with a Governmental Authority relating to Wynn Macau or the Cotai Project have been issued, entered or received by any such Obligor (and which violation is continuing). As at the Fifth Amendment Effective Date, all Permits have been obtained or effected (to the extent they are then required) and are in full force and effect. The DICJ Authorisation, when obtained, is the only Permit required from any Governmental Authority in the Macau SAR to authorise the Company to incur the financial indebtedness referred to in the definition of "DICJ Authorisation"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and such Permit confirms that the Gaming Concession Consent Agreement and the Land Concession Consent Agreement remain in full force and effect and continue to apply to all of the Security and Project Security that each such agreement purports to cover.</w:t>
      </w:r>
    </w:p>
    <w:p>
      <w:pPr>
        <w:spacing w:after="0" w:line="152" w:lineRule="exact"/>
        <w:rPr>
          <w:sz w:val="20"/>
          <w:szCs w:val="20"/>
          <w:color w:val="auto"/>
        </w:rPr>
      </w:pPr>
    </w:p>
    <w:p>
      <w:pPr>
        <w:ind w:left="652" w:hanging="652"/>
        <w:spacing w:after="0"/>
        <w:tabs>
          <w:tab w:leader="none" w:pos="652" w:val="left"/>
        </w:tabs>
        <w:numPr>
          <w:ilvl w:val="0"/>
          <w:numId w:val="277"/>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77"/>
        </w:numPr>
        <w:rPr>
          <w:rFonts w:ascii="Arial" w:cs="Arial" w:eastAsia="Arial" w:hAnsi="Arial"/>
          <w:sz w:val="22"/>
          <w:szCs w:val="22"/>
          <w:color w:val="auto"/>
        </w:rPr>
      </w:pPr>
      <w:r>
        <w:rPr>
          <w:rFonts w:ascii="Arial" w:cs="Arial" w:eastAsia="Arial" w:hAnsi="Arial"/>
          <w:sz w:val="22"/>
          <w:szCs w:val="22"/>
          <w:b w:val="1"/>
          <w:bCs w:val="1"/>
          <w:color w:val="auto"/>
        </w:rPr>
        <w:t>Litigation</w:t>
      </w:r>
    </w:p>
    <w:p>
      <w:pPr>
        <w:spacing w:after="0" w:line="225"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There are no pending or, to any Obligor's knowledge, threatened actions, suits, proceedings or investigations of any kind, including actions or proceedings of or before any Governmental Authority, to which any Obligor is a party or is subject, or by which any of them or any of their Properties is bound that, individually or collectively, could reasonably be expected to have a Material Adverse Effect.</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277"/>
        </w:numPr>
        <w:rPr>
          <w:rFonts w:ascii="Arial" w:cs="Arial" w:eastAsia="Arial" w:hAnsi="Arial"/>
          <w:sz w:val="22"/>
          <w:szCs w:val="22"/>
          <w:color w:val="auto"/>
        </w:rPr>
      </w:pPr>
      <w:r>
        <w:rPr>
          <w:rFonts w:ascii="Arial" w:cs="Arial" w:eastAsia="Arial" w:hAnsi="Arial"/>
          <w:sz w:val="22"/>
          <w:szCs w:val="22"/>
          <w:b w:val="1"/>
          <w:bCs w:val="1"/>
          <w:color w:val="auto"/>
        </w:rPr>
        <w:t>Financial Statements</w:t>
      </w:r>
    </w:p>
    <w:p>
      <w:pPr>
        <w:spacing w:after="0" w:line="225" w:lineRule="exact"/>
        <w:rPr>
          <w:rFonts w:ascii="Arial" w:cs="Arial" w:eastAsia="Arial" w:hAnsi="Arial"/>
          <w:sz w:val="22"/>
          <w:szCs w:val="22"/>
          <w:color w:val="auto"/>
        </w:rPr>
      </w:pPr>
    </w:p>
    <w:p>
      <w:pPr>
        <w:jc w:val="both"/>
        <w:ind w:left="652"/>
        <w:spacing w:after="0" w:line="288" w:lineRule="auto"/>
        <w:rPr>
          <w:rFonts w:ascii="Arial" w:cs="Arial" w:eastAsia="Arial" w:hAnsi="Arial"/>
          <w:sz w:val="22"/>
          <w:szCs w:val="22"/>
          <w:color w:val="auto"/>
        </w:rPr>
      </w:pPr>
      <w:r>
        <w:rPr>
          <w:rFonts w:ascii="Arial" w:cs="Arial" w:eastAsia="Arial" w:hAnsi="Arial"/>
          <w:sz w:val="19"/>
          <w:szCs w:val="19"/>
          <w:color w:val="auto"/>
        </w:rPr>
        <w:t>The financial statements of the Obligors, delivered to the Intercreditor Agent pursuant to Clause 2.1 (</w:t>
      </w:r>
      <w:r>
        <w:rPr>
          <w:rFonts w:ascii="Arial" w:cs="Arial" w:eastAsia="Arial" w:hAnsi="Arial"/>
          <w:sz w:val="19"/>
          <w:szCs w:val="19"/>
          <w:i w:val="1"/>
          <w:iCs w:val="1"/>
          <w:color w:val="auto"/>
        </w:rPr>
        <w:t>Conditions Precedent</w:t>
      </w:r>
      <w:r>
        <w:rPr>
          <w:rFonts w:ascii="Arial" w:cs="Arial" w:eastAsia="Arial" w:hAnsi="Arial"/>
          <w:sz w:val="19"/>
          <w:szCs w:val="19"/>
          <w:color w:val="auto"/>
        </w:rPr>
        <w:t xml:space="preserve"> </w:t>
      </w:r>
      <w:r>
        <w:rPr>
          <w:rFonts w:ascii="Arial" w:cs="Arial" w:eastAsia="Arial" w:hAnsi="Arial"/>
          <w:sz w:val="19"/>
          <w:szCs w:val="19"/>
          <w:i w:val="1"/>
          <w:iCs w:val="1"/>
          <w:color w:val="auto"/>
        </w:rPr>
        <w:t>to the CP Satisfaction Date</w:t>
      </w:r>
      <w:r>
        <w:rPr>
          <w:rFonts w:ascii="Arial" w:cs="Arial" w:eastAsia="Arial" w:hAnsi="Arial"/>
          <w:sz w:val="19"/>
          <w:szCs w:val="19"/>
          <w:color w:val="auto"/>
        </w:rPr>
        <w:t>) on or prior to the CP Satisfaction Date, were, and, in the case of financial statements to be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after the CP Satisfaction Date pursuant to paragraph 1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hereto</w:t>
      </w:r>
      <w:r>
        <w:rPr>
          <w:rFonts w:ascii="Arial" w:cs="Arial" w:eastAsia="Arial" w:hAnsi="Arial"/>
          <w:sz w:val="19"/>
          <w:szCs w:val="19"/>
          <w:i w:val="1"/>
          <w:iCs w:val="1"/>
          <w:color w:val="auto"/>
        </w:rPr>
        <w:t>,</w:t>
      </w:r>
      <w:r>
        <w:rPr>
          <w:rFonts w:ascii="Arial" w:cs="Arial" w:eastAsia="Arial" w:hAnsi="Arial"/>
          <w:sz w:val="19"/>
          <w:szCs w:val="19"/>
          <w:color w:val="auto"/>
        </w:rPr>
        <w:t xml:space="preserve"> will be prepared in conformity with applicable GAAP and fairly present in all material respects the financial position of the entities described in such financial statements as of the respective dates thereof and the results of operations and cash flows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154" w:lineRule="exact"/>
        <w:rPr>
          <w:rFonts w:ascii="Arial" w:cs="Arial" w:eastAsia="Arial" w:hAnsi="Arial"/>
          <w:sz w:val="22"/>
          <w:szCs w:val="22"/>
          <w:color w:val="auto"/>
        </w:rPr>
      </w:pPr>
    </w:p>
    <w:p>
      <w:pPr>
        <w:ind w:left="652" w:hanging="652"/>
        <w:spacing w:after="0"/>
        <w:tabs>
          <w:tab w:leader="none" w:pos="652" w:val="left"/>
        </w:tabs>
        <w:numPr>
          <w:ilvl w:val="0"/>
          <w:numId w:val="277"/>
        </w:numPr>
        <w:rPr>
          <w:rFonts w:ascii="Arial" w:cs="Arial" w:eastAsia="Arial" w:hAnsi="Arial"/>
          <w:sz w:val="22"/>
          <w:szCs w:val="22"/>
          <w:color w:val="auto"/>
        </w:rPr>
      </w:pPr>
      <w:r>
        <w:rPr>
          <w:rFonts w:ascii="Arial" w:cs="Arial" w:eastAsia="Arial" w:hAnsi="Arial"/>
          <w:sz w:val="22"/>
          <w:szCs w:val="22"/>
          <w:b w:val="1"/>
          <w:bCs w:val="1"/>
          <w:color w:val="auto"/>
        </w:rPr>
        <w:t>Security Interests</w:t>
      </w:r>
    </w:p>
    <w:p>
      <w:pPr>
        <w:spacing w:after="0" w:line="226"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As of the Fifth Amendment Effective Date, save in respect of any Excluded Subsidiary or Excluded Project (in respect of which (save for any Excluded Project located on the Cotai Site and assets comprised therein or connected thereto) it is acknowledged that no Senior Secured Creditors have any Lien) and except for the obtaining of any consents or approvals, recording, filing, registration, giving of notice or other similar action as described in the definition of "Required Filings" in Clause 1.1 of this Agreement or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and paragraph 15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(in the case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which Permits, consents, authorisations, registrations, filings and notices have, unless otherwise indicated on such schedule, been obtained or made and are in full force and effect):</w:t>
      </w:r>
    </w:p>
    <w:p>
      <w:pPr>
        <w:spacing w:after="0" w:line="151" w:lineRule="exact"/>
        <w:rPr>
          <w:sz w:val="20"/>
          <w:szCs w:val="20"/>
          <w:color w:val="auto"/>
        </w:rPr>
      </w:pPr>
    </w:p>
    <w:p>
      <w:pPr>
        <w:jc w:val="both"/>
        <w:ind w:left="1292" w:hanging="644"/>
        <w:spacing w:after="0" w:line="290" w:lineRule="auto"/>
        <w:tabs>
          <w:tab w:leader="none" w:pos="1292"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the security interests granted or purported to be granted to the Senior Secured Creditors pursuant to the Security Documents in the Project Security (notwithstanding, without limitation, the Substitution) constitute as to Properties included in the Project Security existing on the date on which this representation is made or deemed to be made or repeated and, with respect to subsequently acquired Properties included in the Project Security, will constitute, a perfected security interest under all applicable law and/or the UCC and grant the Senior Secured Creditors superior priority and rights in respect of the full amount of the Obligations over the rights of any third Persons now existing or hereafter arising whether by way of mortgage, lien, security interests, encumbrance, assignment or otherwise, subject to the rights and priorities of Permitted Liens;</w:t>
      </w:r>
    </w:p>
    <w:p>
      <w:pPr>
        <w:spacing w:after="0" w:line="156"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all such action as is necessary has been taken to establish, perfect and maintain the Senior Secured Creditors' rights in and to the Project Security, including any obtaining of consents or approvals, recording, filing, registration, giving of notice or other similar action; and</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each of the Security Documents is effective to create a legal, valid, binding and enforceable security interest in the Project Security described therein and proceeds and products thereof.</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Each of the Obligors has properly delivered or caused to be delivered to the Security Agent all Project Security that requires perfection of the Lien and security interest described above by possession.</w:t>
      </w:r>
    </w:p>
    <w:p>
      <w:pPr>
        <w:spacing w:after="0" w:line="175" w:lineRule="exact"/>
        <w:rPr>
          <w:sz w:val="20"/>
          <w:szCs w:val="20"/>
          <w:color w:val="auto"/>
        </w:rPr>
      </w:pPr>
    </w:p>
    <w:p>
      <w:pPr>
        <w:jc w:val="both"/>
        <w:ind w:left="652" w:hanging="647"/>
        <w:spacing w:after="0" w:line="297" w:lineRule="auto"/>
        <w:tabs>
          <w:tab w:leader="none" w:pos="632"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As of the Fifth Amendment Effective Date, no authorization, approval or other action by, and no notice to or filing with, any Governmental Authority is required for either (a) the pledge or grant by the Obligors of the Liens purported to be created in favour of the Secured Parties pursuant to any of the Security Documents, or (b) the exercise by the Security Agent, or any of the other Secured Parties of any rights or remedies in respect of any Project Security (whether specifically granted or created pursuant to any of the Security Documents or created or provided for by applicable law), except for registrations,</w:t>
      </w:r>
    </w:p>
    <w:p>
      <w:pPr>
        <w:sectPr>
          <w:pgSz w:w="11900" w:h="16850" w:orient="portrait"/>
          <w:cols w:equalWidth="0" w:num="1">
            <w:col w:w="11412"/>
          </w:cols>
          <w:pgMar w:left="248" w:top="132" w:right="239" w:bottom="0" w:gutter="0" w:footer="0" w:header="0"/>
        </w:sectPr>
      </w:pPr>
    </w:p>
    <w:bookmarkStart w:id="201" w:name="page202"/>
    <w:bookmarkEnd w:id="201"/>
    <w:p>
      <w:pPr>
        <w:ind w:left="660"/>
        <w:spacing w:after="0" w:line="263" w:lineRule="auto"/>
        <w:rPr>
          <w:sz w:val="20"/>
          <w:szCs w:val="20"/>
          <w:color w:val="auto"/>
        </w:rPr>
      </w:pPr>
      <w:r>
        <w:rPr>
          <w:rFonts w:ascii="Arial" w:cs="Arial" w:eastAsia="Arial" w:hAnsi="Arial"/>
          <w:sz w:val="22"/>
          <w:szCs w:val="22"/>
          <w:color w:val="auto"/>
        </w:rPr>
        <w:t>filings, giving of notices or recordings contemplated by paragraph 8.1 of this Schedule 4 or as described in definition of "Required Filings"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or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As of the Fifth Amendment Effective Date, except such as may have been filed in favour of the Security Agent as contemplated by paragraph 8.1 of this Schedule 4 or as set forth in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no effective UCC financing statement, fixture filing or other instrument similar in effect covering all or any part of the Project Security is on file in any filing or recording office in the United States of America or elsewhere.</w:t>
      </w:r>
    </w:p>
    <w:p>
      <w:pPr>
        <w:spacing w:after="0" w:line="182"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No Existing Defaults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 Event of Default has occurred which is continuing.</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None of the Obligors, or, to the Company's knowledge, the Performance Bond Provider or any other Major Project Participant is in default under or with respect to any of its material Contractual Obligations under any of the Transaction Documents to which it is a party, which default (in the case only of a Major Project Participant other than an Obligor) could reasonably be expected to have a Material Adverse Effect.</w:t>
      </w:r>
    </w:p>
    <w:p>
      <w:pPr>
        <w:spacing w:after="0" w:line="182"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Taxes</w:t>
      </w:r>
    </w:p>
    <w:p>
      <w:pPr>
        <w:spacing w:after="0" w:line="226"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 xml:space="preserve">Each of the Obligors has filed, or caused to be filed, all tax and informational returns that are required to have been filed by it (taking into account any grace periods granted in respect thereof) in any jurisdiction and all such tax and informational returns are correct and complete in all material respects. Each of the Obligors has paid all taxes shown to be due and payable on such returns and all other taxes and assessments payable by it, to the extent the same have become due and payable (other than (a) those taxes that it is contesting in good faith and by appropriate proceedings and (b) those taxes not yet due,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each of sub-paragraph (a) and (b) of this paragraph 10.1, it has established reserves therefor in amounts that are adequate for the payment thereof and are required by applicable GAAP.</w:t>
      </w:r>
    </w:p>
    <w:p>
      <w:pPr>
        <w:spacing w:after="0" w:line="151"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None of the Obligors has incurred any material tax liability in connection with Wynn Macau or the Cotai Project or the other transactions contemplated by the Transaction Documents which has not been disclosed in writing to the Intercreditor Agent, including as disclosed in the financial statements delivered to the Intercreditor Agent under this Agreement</w:t>
      </w:r>
      <w:r>
        <w:rPr>
          <w:rFonts w:ascii="Arial" w:cs="Arial" w:eastAsia="Arial" w:hAnsi="Arial"/>
          <w:sz w:val="19"/>
          <w:szCs w:val="19"/>
          <w:i w:val="1"/>
          <w:iCs w:val="1"/>
          <w:color w:val="auto"/>
        </w:rPr>
        <w:t>.</w:t>
      </w:r>
    </w:p>
    <w:p>
      <w:pPr>
        <w:spacing w:after="0" w:line="134"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10.3</w:t>
        <w:tab/>
        <w:t>There are no Liens for Taxes on any of the Properties of any of the Obligors other than Liens permitted pursuant to paragraph 3(a)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hereto.</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Company is resident only in its jurisdiction of incorporation for Tax purposes.</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10.5</w:t>
        <w:tab/>
        <w:t>It is not required to make any Tax Deduction from any payment it may make under any Senior Finance Document to a Senior Secured Creditor.</w:t>
      </w:r>
    </w:p>
    <w:p>
      <w:pPr>
        <w:spacing w:after="0" w:line="169"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Business, Debt, Etc.</w:t>
      </w:r>
    </w:p>
    <w:p>
      <w:pPr>
        <w:spacing w:after="0" w:line="225" w:lineRule="exact"/>
        <w:rPr>
          <w:rFonts w:ascii="Arial" w:cs="Arial" w:eastAsia="Arial" w:hAnsi="Arial"/>
          <w:sz w:val="22"/>
          <w:szCs w:val="22"/>
          <w:color w:val="auto"/>
        </w:rPr>
      </w:pPr>
    </w:p>
    <w:p>
      <w:pPr>
        <w:jc w:val="both"/>
        <w:ind w:left="660"/>
        <w:spacing w:after="0" w:line="297" w:lineRule="auto"/>
        <w:rPr>
          <w:rFonts w:ascii="Arial" w:cs="Arial" w:eastAsia="Arial" w:hAnsi="Arial"/>
          <w:sz w:val="22"/>
          <w:szCs w:val="22"/>
          <w:color w:val="auto"/>
        </w:rPr>
      </w:pPr>
      <w:r>
        <w:rPr>
          <w:rFonts w:ascii="Arial" w:cs="Arial" w:eastAsia="Arial" w:hAnsi="Arial"/>
          <w:sz w:val="19"/>
          <w:szCs w:val="19"/>
          <w:color w:val="auto"/>
        </w:rPr>
        <w:t>The Obligors have not conducted any business other than a Permitted Business and the Substitution. The Obligors have no place of business outside the Macau SAR except (in the case of the Company) as otherwise permitted under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or, in the case of any other Obligor, outside its jurisdiction of incorporation. No Obligor has any outstanding Financial Indebtedness other than (in the case of the Company) Permitted Financial Indebtedness or (in the case of any other Obligor) as permitted by the Senior Finance Documents to which it is a party.</w:t>
      </w:r>
    </w:p>
    <w:p>
      <w:pPr>
        <w:spacing w:after="0" w:line="141" w:lineRule="exact"/>
        <w:rPr>
          <w:rFonts w:ascii="Arial" w:cs="Arial" w:eastAsia="Arial" w:hAnsi="Arial"/>
          <w:sz w:val="22"/>
          <w:szCs w:val="22"/>
          <w:color w:val="auto"/>
        </w:rPr>
      </w:pPr>
    </w:p>
    <w:p>
      <w:pPr>
        <w:ind w:left="660" w:hanging="652"/>
        <w:spacing w:after="0"/>
        <w:tabs>
          <w:tab w:leader="none" w:pos="660"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Environmental Laws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12.1</w:t>
        <w:tab/>
        <w:t>Each Obligor is in compliance with all applicable material Environmental Laws in all material respects and, so far as it is aware, there are no circumstances that could at any time be reasonably expected to prevent or interfere with such compliance.</w:t>
      </w:r>
    </w:p>
    <w:p>
      <w:pPr>
        <w:spacing w:after="0" w:line="186" w:lineRule="exact"/>
        <w:rPr>
          <w:sz w:val="20"/>
          <w:szCs w:val="20"/>
          <w:color w:val="auto"/>
        </w:rPr>
      </w:pPr>
    </w:p>
    <w:p>
      <w:pPr>
        <w:jc w:val="both"/>
        <w:ind w:left="660" w:right="20" w:hanging="647"/>
        <w:spacing w:after="0" w:line="343"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No Environmental Claim has been made which has not been fully discharged, released, satisfied or withdrawn, except for any Environmental Claim that would not have, or would not reasonably be expected to have, a Material Adverse Effect.</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As at the Fifth Amendment Effective Date:</w:t>
      </w:r>
    </w:p>
    <w:p>
      <w:pPr>
        <w:spacing w:after="0" w:line="220" w:lineRule="exact"/>
        <w:rPr>
          <w:sz w:val="20"/>
          <w:szCs w:val="20"/>
          <w:color w:val="auto"/>
        </w:rPr>
      </w:pPr>
    </w:p>
    <w:p>
      <w:pPr>
        <w:jc w:val="both"/>
        <w:ind w:left="1300" w:hanging="644"/>
        <w:spacing w:after="0" w:line="271" w:lineRule="auto"/>
        <w:tabs>
          <w:tab w:leader="none" w:pos="130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each Obligor has obtained all Environmental Licences required for the carrying on of its business as currently conducted and has complied with the terms and conditions of such Environmental Licences except where, in each case, the failure to have so obtained or complied would not constitute a Material Adverse Effect; and</w:t>
      </w:r>
    </w:p>
    <w:p>
      <w:pPr>
        <w:spacing w:after="0" w:line="16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there are no past or present acts, omissions, events or circumstances that would form, or are reasonably likely to form, the basis of any Environmental Claim against any Obligor that in either case would have, or would reasonably be expected to have, a Material Adverse Effect.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There are, to its knowledge, no circumstances that may prevent or interfere in any material respect with the compliance of</w:t>
      </w:r>
    </w:p>
    <w:p>
      <w:pPr>
        <w:sectPr>
          <w:pgSz w:w="11900" w:h="16838" w:orient="portrait"/>
          <w:cols w:equalWidth="0" w:num="1">
            <w:col w:w="11420"/>
          </w:cols>
          <w:pgMar w:left="240" w:top="132" w:right="239" w:bottom="0" w:gutter="0" w:footer="0" w:header="0"/>
        </w:sectPr>
      </w:pPr>
    </w:p>
    <w:bookmarkStart w:id="202" w:name="page203"/>
    <w:bookmarkEnd w:id="202"/>
    <w:p>
      <w:pPr>
        <w:ind w:left="660"/>
        <w:spacing w:after="0" w:line="263" w:lineRule="auto"/>
        <w:rPr>
          <w:sz w:val="20"/>
          <w:szCs w:val="20"/>
          <w:color w:val="auto"/>
        </w:rPr>
      </w:pPr>
      <w:r>
        <w:rPr>
          <w:rFonts w:ascii="Arial" w:cs="Arial" w:eastAsia="Arial" w:hAnsi="Arial"/>
          <w:sz w:val="22"/>
          <w:szCs w:val="22"/>
          <w:color w:val="auto"/>
        </w:rPr>
        <w:t>each Obligor with the terms and conditions of all Environmental Licenses required for the carrying on of that Obligor's business.</w:t>
      </w:r>
    </w:p>
    <w:p>
      <w:pPr>
        <w:spacing w:after="0" w:line="175"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b w:val="1"/>
          <w:bCs w:val="1"/>
          <w:color w:val="auto"/>
        </w:rPr>
        <w:t>Sufficiency of Funds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As of the first day of each Fiscal Quarter of the Company and as of each Advance Date, the Company has sufficient Funds to operate its business as it is then conducted and pay its debts when due.</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b w:val="1"/>
          <w:bCs w:val="1"/>
          <w:color w:val="auto"/>
        </w:rPr>
        <w:t>Sufficiency of Interests and Major Project Documents</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16.1</w:t>
        <w:tab/>
        <w:t>The Company (or, prior to a Permitted Cotai Reorganisation and in the case of the Cotai Site, Palo) is the sole legal and beneficial owner of, and has good title to, or has a valid leasehold interest in, the land comprised in the Site and the Cotai Site, and each Obligor has good and valid title to, or a valid license or leasehold interest in, and all appropriate authorisations to use all its Property necessary to conduct its business. None of the Pledged Stock is subject to any Lien except for Permitted Liens.</w:t>
      </w:r>
    </w:p>
    <w:p>
      <w:pPr>
        <w:spacing w:after="0" w:line="192"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Each Major Project Document (excluding any Resort Management Agreements) is in full force and effect, enforceable against the Persons party thereto in accordance with its terms, subject only to bankruptcy and similar laws and principles of equity and except for any such Major Project Document that has expired by its terms.</w:t>
      </w:r>
    </w:p>
    <w:p>
      <w:pPr>
        <w:spacing w:after="0" w:line="162"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Intellectual Property</w:t>
      </w:r>
    </w:p>
    <w:p>
      <w:pPr>
        <w:spacing w:after="0" w:line="225" w:lineRule="exact"/>
        <w:rPr>
          <w:rFonts w:ascii="Arial" w:cs="Arial" w:eastAsia="Arial" w:hAnsi="Arial"/>
          <w:sz w:val="22"/>
          <w:szCs w:val="22"/>
          <w:color w:val="auto"/>
        </w:rPr>
      </w:pPr>
    </w:p>
    <w:p>
      <w:pPr>
        <w:jc w:val="both"/>
        <w:ind w:left="660"/>
        <w:spacing w:after="0" w:line="247" w:lineRule="auto"/>
        <w:rPr>
          <w:rFonts w:ascii="Arial" w:cs="Arial" w:eastAsia="Arial" w:hAnsi="Arial"/>
          <w:sz w:val="22"/>
          <w:szCs w:val="22"/>
          <w:color w:val="auto"/>
        </w:rPr>
      </w:pPr>
      <w:r>
        <w:rPr>
          <w:rFonts w:ascii="Arial" w:cs="Arial" w:eastAsia="Arial" w:hAnsi="Arial"/>
          <w:sz w:val="22"/>
          <w:szCs w:val="22"/>
          <w:color w:val="auto"/>
        </w:rPr>
        <w:t>Each Obligor owns, or is licensed to use, all Intellectual Property necessary for the conduct of its business as currently conducted. The use by the Company of the Intellectual Property related to or otherwise associated with the Company's use of the "Wynn" name does not infringe on the rights of any Person. The use by the Company of Intellectual Property other than Intellectual Property related to or otherwise associated with the Company's use of the "Wynn" name, does not infringe on the rights of any Person, except where such infringement, individually or collectively, would not reasonably be expected to have a Material Adverse Effect.</w:t>
      </w:r>
    </w:p>
    <w:p>
      <w:pPr>
        <w:spacing w:after="0" w:line="193" w:lineRule="exact"/>
        <w:rPr>
          <w:rFonts w:ascii="Arial" w:cs="Arial" w:eastAsia="Arial" w:hAnsi="Arial"/>
          <w:sz w:val="22"/>
          <w:szCs w:val="22"/>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Fees and Enforcement</w:t>
      </w:r>
    </w:p>
    <w:p>
      <w:pPr>
        <w:spacing w:after="0" w:line="225"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Other than amounts that have been paid in full or will have been paid in full by the Fifth Amendment Effective Date, no fees or taxes, including stamp, transaction, registration or similar taxes, are required to be paid for the legality, validity or enforceability of any of the Transaction Documents then in effect.</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ERISA</w:t>
      </w:r>
    </w:p>
    <w:p>
      <w:pPr>
        <w:spacing w:after="0" w:line="225" w:lineRule="exact"/>
        <w:rPr>
          <w:rFonts w:ascii="Arial" w:cs="Arial" w:eastAsia="Arial" w:hAnsi="Arial"/>
          <w:sz w:val="22"/>
          <w:szCs w:val="22"/>
          <w:color w:val="auto"/>
        </w:rPr>
      </w:pPr>
    </w:p>
    <w:p>
      <w:pPr>
        <w:ind w:left="1300" w:hanging="644"/>
        <w:spacing w:after="0"/>
        <w:tabs>
          <w:tab w:leader="none" w:pos="130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There are no Plans.</w:t>
      </w:r>
    </w:p>
    <w:p>
      <w:pPr>
        <w:spacing w:after="0" w:line="219"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Assuming that the sources of funds for any credit extended hereunder does not constitute "plan assets" (within the meaning of section 3(42) of ERISA) of any employee benefit plan subject to Title I of ERISA or any plan subject to Section 4975 of the Code, neither the execution of the Transaction Documents nor the consummation of the transactions contemplated thereby will involve a "prohibited transaction" with respect to any such plans within the meaning of section 406 of ERISA or section 4975(c) of the Code which is not exempt under section 408 of ERISA or under section 4975(d) of the Code.</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Subsidiaries and Beneficial Interest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i w:val="1"/>
          <w:iCs w:val="1"/>
          <w:color w:val="auto"/>
        </w:rPr>
        <w:t>The Company</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As of the Fifth Amendment Effective Date, the Executive Director legally and beneficially owns 20,010 Class A Shares (as defined in the Governing Documents of the Company), representing 10% of the total issued share capital and 10% of the Voting Stock of the Company;</w:t>
      </w:r>
    </w:p>
    <w:p>
      <w:pPr>
        <w:spacing w:after="0" w:line="185"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As of the Fifth Amendment Effective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167" w:lineRule="exact"/>
        <w:rPr>
          <w:rFonts w:ascii="Arial" w:cs="Arial" w:eastAsia="Arial" w:hAnsi="Arial"/>
          <w:sz w:val="21"/>
          <w:szCs w:val="21"/>
          <w:color w:val="auto"/>
        </w:rPr>
      </w:pPr>
    </w:p>
    <w:p>
      <w:pPr>
        <w:jc w:val="both"/>
        <w:ind w:left="1300" w:hanging="644"/>
        <w:spacing w:after="0" w:line="271" w:lineRule="auto"/>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As of the Fifth Amendment Effective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ectPr>
          <w:pgSz w:w="11900" w:h="16838" w:orient="portrait"/>
          <w:cols w:equalWidth="0" w:num="1">
            <w:col w:w="11420"/>
          </w:cols>
          <w:pgMar w:left="240" w:top="132" w:right="239" w:bottom="0" w:gutter="0" w:footer="0" w:header="0"/>
        </w:sectPr>
      </w:pPr>
    </w:p>
    <w:bookmarkStart w:id="203" w:name="page204"/>
    <w:bookmarkEnd w:id="203"/>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i w:val="1"/>
          <w:iCs w:val="1"/>
          <w:color w:val="auto"/>
        </w:rPr>
        <w:t>Wynn HK</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As of the Fifth Amendment Effective Date, Wynn Holdings, a company incorporated in the Isle of Man, legally and beneficially owns 99% and beneficially owns 1%, and Wynn International, as nominee of Wynn Holdings, legally owns 1%, of the total issued share capital of Wynn HK.</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i w:val="1"/>
          <w:iCs w:val="1"/>
          <w:color w:val="auto"/>
        </w:rPr>
        <w:t>Wynn Holdings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the Fifth Amendment Effective Date, Wynn International legally and beneficially owns 100% of Wynn Holdings.</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i w:val="1"/>
          <w:iCs w:val="1"/>
          <w:color w:val="auto"/>
        </w:rPr>
        <w:t>Wynn International</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As of the Fifth Amendment Effective Date, Wynn Asia 2, a company incorporated in the Cayman Islands, legally and beneficially owns 100% of the total issued share capital of Wynn International.</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i w:val="1"/>
          <w:iCs w:val="1"/>
          <w:color w:val="auto"/>
        </w:rPr>
        <w:t>Palo</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As of the Fifth Amendment Effective Date, the Company legally and beneficially owns 99.8%, and Wynn International and Wynn HK each legally and beneficially own 0.1%, of the total issued share capital of Palo.</w:t>
      </w:r>
    </w:p>
    <w:p>
      <w:pPr>
        <w:spacing w:after="0" w:line="175"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21.6</w:t>
        <w:tab/>
        <w:t>Save as provided by the Security Documents or the Executive Director Option Agreement or as otherwise permitted by the Senior Finance Documents, there are no outstanding subscriptions, options, warrants, calls, rights or other agreements or commitments (other than stock options granted to employees or directors and directors' qualifying shares) of any nature relating to any Capital Stock issued by any Obligor (other than any Capital Stock in Wynn Asia 2). No Obligor has issued, or authorized the issuance of, any Disqualified Stock.</w:t>
      </w:r>
    </w:p>
    <w:p>
      <w:pPr>
        <w:spacing w:after="0" w:line="186"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22"/>
          <w:szCs w:val="22"/>
          <w:color w:val="auto"/>
        </w:rPr>
      </w:pPr>
      <w:r>
        <w:rPr>
          <w:rFonts w:ascii="Arial" w:cs="Arial" w:eastAsia="Arial" w:hAnsi="Arial"/>
          <w:sz w:val="22"/>
          <w:szCs w:val="22"/>
          <w:b w:val="1"/>
          <w:bCs w:val="1"/>
          <w:color w:val="auto"/>
        </w:rPr>
        <w:t>Labour Disputes and Acts of God</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22.1</w:t>
        <w:tab/>
        <w:t>There are no strikes, lockouts, stoppages, slowdowns or other labour disputes against any Obligor pending or, to the knowledge of each Obligor, threatened that (individually or in the aggregate) could reasonably be expected to have a Material Adverse Effect.</w:t>
      </w:r>
    </w:p>
    <w:p>
      <w:pPr>
        <w:spacing w:after="0" w:line="180"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Liens</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Except for Permitted Liens, none of the Obligors have secured or agreed to secure any Financial Indebtedness by any Lien upon any of their present or future revenues or other Properties or Capital Stock. None of the Obligors have outstanding any Lien or obligation to create Liens on or with respect to any of their Properties (including, without limitation, revenues), other than Permitted Liens and as provided in the Security Documents.</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Title</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Obligors owns and has good, legal and beneficial title to the Property upon which it purports to grant Liens pursuant to the Security Documents, free and clear of all Liens, except Permitted Liens.</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Location of Accounts and Records</w:t>
      </w:r>
    </w:p>
    <w:p>
      <w:pPr>
        <w:spacing w:after="0" w:line="22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The Company's (and each of its Subsidiaries') books of accounts and records are located at the Company's principal place of business in the Macau SAR.</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Solvency</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Each Obligor is, and after giving effect to: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incurrence of all Financial Indebtedness;</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use of the proceeds of such Financial Indebtedness (including, in the case of the Company, the use of proceeds of Advances made under the Senior Finance Documents);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obligations being incurred in connection with the Transaction Documents,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will be and will continue to be Solvent.</w:t>
      </w:r>
    </w:p>
    <w:p>
      <w:pPr>
        <w:spacing w:after="0" w:line="220"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 Used]</w:t>
      </w:r>
    </w:p>
    <w:p>
      <w:pPr>
        <w:sectPr>
          <w:pgSz w:w="11900" w:h="16838" w:orient="portrait"/>
          <w:cols w:equalWidth="0" w:num="1">
            <w:col w:w="11420"/>
          </w:cols>
          <w:pgMar w:left="240" w:top="159" w:right="239" w:bottom="0" w:gutter="0" w:footer="0" w:header="0"/>
        </w:sectPr>
      </w:pPr>
    </w:p>
    <w:bookmarkStart w:id="204" w:name="page205"/>
    <w:bookmarkEnd w:id="204"/>
    <w:p>
      <w:pPr>
        <w:spacing w:after="0" w:line="147" w:lineRule="exact"/>
        <w:rPr>
          <w:sz w:val="20"/>
          <w:szCs w:val="20"/>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No subsidiaries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Save as permitted hereunder, other than Palo, the Company has no subsidiaries and does not legally or beneficially own any Capital Stock in any Person.</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Pari Passu</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The payment obligations under the Senior Finance Documents of each of the Obligors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its other present and future unsecured and unsubordinated obligations, except for obligations mandatorily preferred by law applying to companies generally.</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As at the Fifth Amendment Effective Date:</w:t>
      </w:r>
    </w:p>
    <w:p>
      <w:pPr>
        <w:spacing w:after="0" w:line="219" w:lineRule="exact"/>
        <w:rPr>
          <w:rFonts w:ascii="Arial" w:cs="Arial" w:eastAsia="Arial" w:hAnsi="Arial"/>
          <w:sz w:val="22"/>
          <w:szCs w:val="22"/>
          <w:color w:val="auto"/>
        </w:rPr>
      </w:pPr>
    </w:p>
    <w:p>
      <w:pPr>
        <w:ind w:left="1292" w:hanging="644"/>
        <w:spacing w:after="0" w:line="343" w:lineRule="auto"/>
        <w:tabs>
          <w:tab w:leader="none" w:pos="1292" w:val="left"/>
        </w:tabs>
        <w:numPr>
          <w:ilvl w:val="1"/>
          <w:numId w:val="289"/>
        </w:numPr>
        <w:rPr>
          <w:rFonts w:ascii="Arial" w:cs="Arial" w:eastAsia="Arial" w:hAnsi="Arial"/>
          <w:sz w:val="19"/>
          <w:szCs w:val="19"/>
          <w:color w:val="auto"/>
        </w:rPr>
      </w:pPr>
      <w:r>
        <w:rPr>
          <w:rFonts w:ascii="Arial" w:cs="Arial" w:eastAsia="Arial" w:hAnsi="Arial"/>
          <w:sz w:val="19"/>
          <w:szCs w:val="19"/>
          <w:color w:val="auto"/>
        </w:rPr>
        <w:t>the Company and Palo are each insured by insurers of recognised financial responsibility against such losses and risks and in such amounts as are prudent and customary in the businesses in which they are each engaged;</w:t>
      </w:r>
    </w:p>
    <w:p>
      <w:pPr>
        <w:spacing w:after="0" w:line="104" w:lineRule="exact"/>
        <w:rPr>
          <w:rFonts w:ascii="Arial" w:cs="Arial" w:eastAsia="Arial" w:hAnsi="Arial"/>
          <w:sz w:val="19"/>
          <w:szCs w:val="19"/>
          <w:color w:val="auto"/>
        </w:rPr>
      </w:pPr>
    </w:p>
    <w:p>
      <w:pPr>
        <w:ind w:left="1292" w:hanging="644"/>
        <w:spacing w:after="0" w:line="343" w:lineRule="auto"/>
        <w:tabs>
          <w:tab w:leader="none" w:pos="1292" w:val="left"/>
        </w:tabs>
        <w:numPr>
          <w:ilvl w:val="1"/>
          <w:numId w:val="289"/>
        </w:numPr>
        <w:rPr>
          <w:rFonts w:ascii="Arial" w:cs="Arial" w:eastAsia="Arial" w:hAnsi="Arial"/>
          <w:sz w:val="19"/>
          <w:szCs w:val="19"/>
          <w:color w:val="auto"/>
        </w:rPr>
      </w:pPr>
      <w:r>
        <w:rPr>
          <w:rFonts w:ascii="Arial" w:cs="Arial" w:eastAsia="Arial" w:hAnsi="Arial"/>
          <w:sz w:val="19"/>
          <w:szCs w:val="19"/>
          <w:color w:val="auto"/>
        </w:rPr>
        <w:t>there is no outstanding insured loss or liability incurred by either the Company or Palo which is US$10,000,000 (or its equivalent) or more which is not expected to be covered to the full extent of that loss or liability;</w:t>
      </w:r>
    </w:p>
    <w:p>
      <w:pPr>
        <w:spacing w:after="0" w:line="104" w:lineRule="exact"/>
        <w:rPr>
          <w:rFonts w:ascii="Arial" w:cs="Arial" w:eastAsia="Arial" w:hAnsi="Arial"/>
          <w:sz w:val="19"/>
          <w:szCs w:val="19"/>
          <w:color w:val="auto"/>
        </w:rPr>
      </w:pPr>
    </w:p>
    <w:p>
      <w:pPr>
        <w:jc w:val="both"/>
        <w:ind w:left="1292" w:hanging="644"/>
        <w:spacing w:after="0" w:line="312" w:lineRule="auto"/>
        <w:tabs>
          <w:tab w:leader="none" w:pos="1292" w:val="left"/>
        </w:tabs>
        <w:numPr>
          <w:ilvl w:val="1"/>
          <w:numId w:val="289"/>
        </w:numPr>
        <w:rPr>
          <w:rFonts w:ascii="Arial" w:cs="Arial" w:eastAsia="Arial" w:hAnsi="Arial"/>
          <w:sz w:val="19"/>
          <w:szCs w:val="19"/>
          <w:color w:val="auto"/>
        </w:rPr>
      </w:pPr>
      <w:r>
        <w:rPr>
          <w:rFonts w:ascii="Arial" w:cs="Arial" w:eastAsia="Arial" w:hAnsi="Arial"/>
          <w:sz w:val="19"/>
          <w:szCs w:val="19"/>
          <w:color w:val="auto"/>
        </w:rPr>
        <w:t>there has been no non-disclosure, misrepresentation or breach of any term of any material Insurance which would entitle any insurer of that Insurance to repudiate, rescind or cancel it or to treat it as avoided in whole or in part or otherwise decline any valid claim under it by or on behalf of any Obligor or member of the Group; and</w:t>
      </w:r>
    </w:p>
    <w:p>
      <w:pPr>
        <w:spacing w:after="0" w:line="133"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289"/>
        </w:numPr>
        <w:rPr>
          <w:rFonts w:ascii="Arial" w:cs="Arial" w:eastAsia="Arial" w:hAnsi="Arial"/>
          <w:sz w:val="22"/>
          <w:szCs w:val="22"/>
          <w:color w:val="auto"/>
        </w:rPr>
      </w:pPr>
      <w:r>
        <w:rPr>
          <w:rFonts w:ascii="Arial" w:cs="Arial" w:eastAsia="Arial" w:hAnsi="Arial"/>
          <w:sz w:val="22"/>
          <w:szCs w:val="22"/>
          <w:color w:val="auto"/>
        </w:rPr>
        <w:t>the Company is not aware of any insurer of any material Insurance being in run-off or having entered into any insolvency proceedings which are still pending or current.</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Fiscal Year</w:t>
      </w:r>
    </w:p>
    <w:p>
      <w:pPr>
        <w:spacing w:after="0" w:line="225"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The fiscal year of each of the Obligors ends on 31 December of each calendar year.</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Accuracy of Information, etc.</w:t>
      </w:r>
    </w:p>
    <w:p>
      <w:pPr>
        <w:spacing w:after="0" w:line="225" w:lineRule="exact"/>
        <w:rPr>
          <w:rFonts w:ascii="Arial" w:cs="Arial" w:eastAsia="Arial" w:hAnsi="Arial"/>
          <w:sz w:val="22"/>
          <w:szCs w:val="22"/>
          <w:color w:val="auto"/>
        </w:rPr>
      </w:pPr>
    </w:p>
    <w:p>
      <w:pPr>
        <w:jc w:val="both"/>
        <w:ind w:left="652"/>
        <w:spacing w:after="0" w:line="285" w:lineRule="auto"/>
        <w:rPr>
          <w:rFonts w:ascii="Arial" w:cs="Arial" w:eastAsia="Arial" w:hAnsi="Arial"/>
          <w:sz w:val="22"/>
          <w:szCs w:val="22"/>
          <w:color w:val="auto"/>
        </w:rPr>
      </w:pPr>
      <w:r>
        <w:rPr>
          <w:rFonts w:ascii="Arial" w:cs="Arial" w:eastAsia="Arial" w:hAnsi="Arial"/>
          <w:sz w:val="19"/>
          <w:szCs w:val="19"/>
          <w:color w:val="auto"/>
        </w:rPr>
        <w:t>As of the Fifth Amendment Signing Date, or, in the case of the Information Memorandum, the date thereof, no statement or information contained in any document, certificate or written statement furnished to any Senior Secured Creditor, by or on behalf of any Obligor for use in connection with the transactions contemplated by any of the Senior Finance Documents, contained (when, in the case of any such document, certificate or written statement, read as a whole with all such documents, certificates and written statements furnished on or prior to the Fifth Amendment Signing Date to such Senior Secured Creditor) any untrue statement of a material fact or omitted to state a material fact necessary in order to make the statements contained herein or therein not misleading. As of the Fifth Amendment Signing Date, or, in the case of the Information Memorandum, the date thereof, the projections and pro forma financial information contained in the materials referenced above (including the Projections) are based upon good faith estimates and assumptions believed by management of the Obligors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Fifth Amendment Signing Date, there are no facts known to any Obligor that could, individually or collectively, reasonably be expected to have a Material Adverse Effect that has not been expressly disclosed in the Senior Finance Documents or in any other documents, certificates and written statements furnished to the Senior Secured Creditors for use in connection with the transactions contemplated by the Senior Finance Documents.</w:t>
      </w:r>
    </w:p>
    <w:p>
      <w:pPr>
        <w:spacing w:after="0" w:line="164"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Site and Site Easements</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The Site, the material Site Easements and the current use thereof comply in all material respects with all applicable Legal Requirements, except where the failure to comply would not reasonably be expected to have a Material Adverse Effect.</w:t>
      </w:r>
    </w:p>
    <w:p>
      <w:pPr>
        <w:spacing w:after="0" w:line="98"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Affiliate Agreements</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On the Fifth Amendment Effective Date, each Affiliate Agreement in effect as of the Fifth Amendment Effective Date has been entered into on arm's length terms and for full market value (or better, for the relevant Obligor), in compliance with the Concession Contract and all other applicable Legal Requirements and otherwise in compliance with the terms hereof.</w:t>
      </w:r>
    </w:p>
    <w:p>
      <w:pPr>
        <w:spacing w:after="0" w:line="127" w:lineRule="exact"/>
        <w:rPr>
          <w:rFonts w:ascii="Arial" w:cs="Arial" w:eastAsia="Arial" w:hAnsi="Arial"/>
          <w:sz w:val="22"/>
          <w:szCs w:val="22"/>
          <w:color w:val="auto"/>
        </w:rPr>
      </w:pPr>
    </w:p>
    <w:p>
      <w:pPr>
        <w:ind w:left="652" w:hanging="652"/>
        <w:spacing w:after="0"/>
        <w:tabs>
          <w:tab w:leader="none" w:pos="652"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Wynn Asia 2</w:t>
      </w:r>
    </w:p>
    <w:p>
      <w:pPr>
        <w:spacing w:after="0" w:line="225"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As of the Fifth Amendment Effective Date, Wynn Asia 2 has not carried on any business other than holding shares in Wynn International, entering into the Senior Finance Documents as a Wynn Obligor, entering into all agreements that are necessary or desirable for the purpose of (i) maintaining its corporate status (including without limitation agreements for the</w:t>
      </w:r>
    </w:p>
    <w:p>
      <w:pPr>
        <w:sectPr>
          <w:pgSz w:w="11900" w:h="16985" w:orient="portrait"/>
          <w:cols w:equalWidth="0" w:num="1">
            <w:col w:w="11412"/>
          </w:cols>
          <w:pgMar w:left="248" w:top="274" w:right="239" w:bottom="0" w:gutter="0" w:footer="0" w:header="0"/>
        </w:sectPr>
      </w:pPr>
    </w:p>
    <w:bookmarkStart w:id="205" w:name="page206"/>
    <w:bookmarkEnd w:id="205"/>
    <w:p>
      <w:pPr>
        <w:spacing w:after="0" w:line="11"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appointment of lawyers and auditors), (ii) the Substitution and (iii) complying with its obligations under the Finance Documents (as defined in the Deed of Appointment and Priority) (including without limitation the appointment of process agents).</w:t>
      </w:r>
    </w:p>
    <w:p>
      <w:pPr>
        <w:spacing w:after="0" w:line="186"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90"/>
        </w:numPr>
        <w:rPr>
          <w:rFonts w:ascii="Arial" w:cs="Arial" w:eastAsia="Arial" w:hAnsi="Arial"/>
          <w:sz w:val="22"/>
          <w:szCs w:val="22"/>
          <w:color w:val="auto"/>
        </w:rPr>
      </w:pPr>
      <w:r>
        <w:rPr>
          <w:rFonts w:ascii="Arial" w:cs="Arial" w:eastAsia="Arial" w:hAnsi="Arial"/>
          <w:sz w:val="22"/>
          <w:szCs w:val="22"/>
          <w:b w:val="1"/>
          <w:bCs w:val="1"/>
          <w:color w:val="auto"/>
        </w:rPr>
        <w:t>Development Account</w:t>
      </w:r>
    </w:p>
    <w:p>
      <w:pPr>
        <w:spacing w:after="0" w:line="225" w:lineRule="exact"/>
        <w:rPr>
          <w:rFonts w:ascii="Arial" w:cs="Arial" w:eastAsia="Arial" w:hAnsi="Arial"/>
          <w:sz w:val="22"/>
          <w:szCs w:val="22"/>
          <w:color w:val="auto"/>
        </w:rPr>
      </w:pPr>
    </w:p>
    <w:p>
      <w:pPr>
        <w:jc w:val="both"/>
        <w:ind w:left="660"/>
        <w:spacing w:after="0" w:line="292" w:lineRule="auto"/>
        <w:rPr>
          <w:rFonts w:ascii="Arial" w:cs="Arial" w:eastAsia="Arial" w:hAnsi="Arial"/>
          <w:sz w:val="22"/>
          <w:szCs w:val="22"/>
          <w:color w:val="auto"/>
        </w:rPr>
      </w:pPr>
      <w:r>
        <w:rPr>
          <w:rFonts w:ascii="Arial" w:cs="Arial" w:eastAsia="Arial" w:hAnsi="Arial"/>
          <w:sz w:val="19"/>
          <w:szCs w:val="19"/>
          <w:color w:val="auto"/>
        </w:rPr>
        <w:t>As of the date of each withdrawal from a Development Account, the Company (and/or Palo, as the case may be) has incurred costs or expended funds on the development of the Cotai Project (or will immediately upon the making of such withdrawal, have expended funds on the development of the Cotai Project) in an amount at least equal to the aggregate amount of all withdrawals from the Development Accounts (other than a withdrawal of funds for the immediate transfer of those funds to another Development Account). For the purposes of this paragraph 40, costs incurred or funds expended on the development of the Cotai Project include, but are not limited to, costs and expenses related to design, development, land acquisition, construction, site preparation, equipping, pre-opening expenses and capitalized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5</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Part A</w:t>
      </w:r>
    </w:p>
    <w:p>
      <w:pPr>
        <w:spacing w:after="0" w:line="28"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Affirmative Covenants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w:t>
      </w:r>
    </w:p>
    <w:p>
      <w:pPr>
        <w:spacing w:after="0" w:line="214"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22"/>
          <w:szCs w:val="22"/>
          <w:color w:val="auto"/>
        </w:rPr>
      </w:pPr>
      <w:r>
        <w:rPr>
          <w:rFonts w:ascii="Arial" w:cs="Arial" w:eastAsia="Arial" w:hAnsi="Arial"/>
          <w:sz w:val="22"/>
          <w:szCs w:val="22"/>
          <w:b w:val="1"/>
          <w:bCs w:val="1"/>
          <w:color w:val="auto"/>
        </w:rPr>
        <w:t xml:space="preserve">Financial Statements </w:t>
      </w:r>
      <w:r>
        <w:rPr>
          <w:rFonts w:ascii="Arial" w:cs="Arial" w:eastAsia="Arial" w:hAnsi="Arial"/>
          <w:sz w:val="22"/>
          <w:szCs w:val="22"/>
          <w:color w:val="auto"/>
        </w:rPr>
        <w:t>- Furnish to the Intercreditor Agent:</w:t>
      </w:r>
    </w:p>
    <w:p>
      <w:pPr>
        <w:spacing w:after="0" w:line="22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not later than 90 days after the end of each Fiscal Year, a copy of the audited balance sheets (on a consolidated basis) of the Company prepared in accordance with IFRS, 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 prepared (in the case of the Company) for the Restricted Group only and without taking account of any contribution from any amounts derived from or under (i) the grant of any Subconcession, (ii) any Resort Management Agreement or (iii) any Excluded Project or Excluded Subsidiary; and</w:t>
      </w:r>
    </w:p>
    <w:p>
      <w:pPr>
        <w:spacing w:after="0" w:line="194"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1"/>
          <w:numId w:val="291"/>
        </w:numPr>
        <w:rPr>
          <w:rFonts w:ascii="Arial" w:cs="Arial" w:eastAsia="Arial" w:hAnsi="Arial"/>
          <w:sz w:val="21"/>
          <w:szCs w:val="21"/>
          <w:color w:val="auto"/>
        </w:rPr>
      </w:pPr>
      <w:r>
        <w:rPr>
          <w:rFonts w:ascii="Arial" w:cs="Arial" w:eastAsia="Arial" w:hAnsi="Arial"/>
          <w:sz w:val="21"/>
          <w:szCs w:val="21"/>
          <w:color w:val="auto"/>
        </w:rPr>
        <w:t>not later than 45 days after the end of each Fiscal Quarter of each Fiscal Year, the unaudited (on a consolidated basis) balance sheets of the Company prepared in accordance with IFRS, as at the end of such quarter and the related unaudited statements of income and of cash flows for such quarter and the portion of the Fiscal Year through the end of such quarter, setting forth in each case in comparative form the figures for the previous year and prepared (in the case of the Company) for the Restricted Group only and without taking account of any contribution from any amounts derived from or under (i) the grant of any Subconcession, (ii) any Resort Management Agreement or (iii) any Excluded Project or Excluded Subsidiary.</w:t>
      </w:r>
    </w:p>
    <w:p>
      <w:pPr>
        <w:spacing w:after="0" w:line="181"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All such financial statements shall be fair in all material respects (in the case of financial statements delivered pursuant to sub-paragraph (b) of this paragraph 1, subject to normal year-end audit adjustments) and were prepared in accordance with applicable GAAP applied consistently throughout the periods reflected therein and with prior periods (except as approved by such Auditors or Responsible Officer, as the case may be, and disclosed therein).</w:t>
      </w:r>
    </w:p>
    <w:p>
      <w:pPr>
        <w:spacing w:after="0" w:line="137"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22"/>
          <w:szCs w:val="22"/>
          <w:color w:val="auto"/>
        </w:rPr>
      </w:pPr>
      <w:r>
        <w:rPr>
          <w:rFonts w:ascii="Arial" w:cs="Arial" w:eastAsia="Arial" w:hAnsi="Arial"/>
          <w:sz w:val="22"/>
          <w:szCs w:val="22"/>
          <w:b w:val="1"/>
          <w:bCs w:val="1"/>
          <w:color w:val="auto"/>
        </w:rPr>
        <w:t xml:space="preserve">Certificates; Other Information </w:t>
      </w:r>
      <w:r>
        <w:rPr>
          <w:rFonts w:ascii="Arial" w:cs="Arial" w:eastAsia="Arial" w:hAnsi="Arial"/>
          <w:sz w:val="22"/>
          <w:szCs w:val="22"/>
          <w:color w:val="auto"/>
        </w:rPr>
        <w:t>- Furnish to the Intercreditor Agent:</w:t>
      </w:r>
    </w:p>
    <w:p>
      <w:pPr>
        <w:spacing w:after="0" w:line="225" w:lineRule="exact"/>
        <w:rPr>
          <w:rFonts w:ascii="Arial" w:cs="Arial" w:eastAsia="Arial" w:hAnsi="Arial"/>
          <w:sz w:val="22"/>
          <w:szCs w:val="22"/>
          <w:color w:val="auto"/>
        </w:rPr>
      </w:pPr>
    </w:p>
    <w:p>
      <w:pPr>
        <w:ind w:left="1300" w:hanging="644"/>
        <w:spacing w:after="0"/>
        <w:tabs>
          <w:tab w:leader="none" w:pos="130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concurrently with the delivery of any financial statements pursuant to paragraph 1 of this Part A:</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92"/>
        </w:numPr>
        <w:rPr>
          <w:rFonts w:ascii="Arial" w:cs="Arial" w:eastAsia="Arial" w:hAnsi="Arial"/>
          <w:sz w:val="22"/>
          <w:szCs w:val="22"/>
          <w:color w:val="auto"/>
        </w:rPr>
      </w:pPr>
      <w:r>
        <w:rPr>
          <w:rFonts w:ascii="Arial" w:cs="Arial" w:eastAsia="Arial" w:hAnsi="Arial"/>
          <w:sz w:val="22"/>
          <w:szCs w:val="22"/>
          <w:color w:val="auto"/>
        </w:rPr>
        <w:t>a certificate of a Responsible Officer of the Company certifying that the statement is fair in all material respects (subject, where relevant, to normal year-end audit adjustments);</w:t>
      </w:r>
    </w:p>
    <w:p>
      <w:pPr>
        <w:spacing w:after="0" w:line="174"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292"/>
        </w:numPr>
        <w:rPr>
          <w:rFonts w:ascii="Arial" w:cs="Arial" w:eastAsia="Arial" w:hAnsi="Arial"/>
          <w:sz w:val="22"/>
          <w:szCs w:val="22"/>
          <w:color w:val="auto"/>
        </w:rPr>
      </w:pPr>
      <w:r>
        <w:rPr>
          <w:rFonts w:ascii="Arial" w:cs="Arial" w:eastAsia="Arial" w:hAnsi="Arial"/>
          <w:sz w:val="22"/>
          <w:szCs w:val="22"/>
          <w:color w:val="auto"/>
        </w:rPr>
        <w:t>a certificate of a Responsible Officer of the Company stating that, to the best of each such Responsible Officer's knowledge, the Company during such period has observed or performed all of its material covenants and other agreements, and that such Responsible Officer has obtained no actual knowledge of any Default except as specified in such certificate;</w:t>
      </w:r>
    </w:p>
    <w:p>
      <w:pPr>
        <w:sectPr>
          <w:pgSz w:w="11900" w:h="16850" w:orient="portrait"/>
          <w:cols w:equalWidth="0" w:num="1">
            <w:col w:w="11420"/>
          </w:cols>
          <w:pgMar w:left="240" w:top="132" w:right="239" w:bottom="0" w:gutter="0" w:footer="0" w:header="0"/>
        </w:sectPr>
      </w:pPr>
    </w:p>
    <w:bookmarkStart w:id="206" w:name="page207"/>
    <w:bookmarkEnd w:id="206"/>
    <w:p>
      <w:pPr>
        <w:jc w:val="both"/>
        <w:ind w:left="1952" w:hanging="655"/>
        <w:spacing w:after="0" w:line="312" w:lineRule="auto"/>
        <w:tabs>
          <w:tab w:leader="none" w:pos="1952" w:val="left"/>
        </w:tabs>
        <w:numPr>
          <w:ilvl w:val="2"/>
          <w:numId w:val="293"/>
        </w:numPr>
        <w:rPr>
          <w:rFonts w:ascii="Arial" w:cs="Arial" w:eastAsia="Arial" w:hAnsi="Arial"/>
          <w:sz w:val="19"/>
          <w:szCs w:val="19"/>
          <w:color w:val="auto"/>
        </w:rPr>
      </w:pPr>
      <w:r>
        <w:rPr>
          <w:rFonts w:ascii="Arial" w:cs="Arial" w:eastAsia="Arial" w:hAnsi="Arial"/>
          <w:sz w:val="19"/>
          <w:szCs w:val="19"/>
          <w:color w:val="auto"/>
        </w:rPr>
        <w:t>when applicable, in the case of quarterly or annual financial statements, a Compliance Certificate containing all information and calculations necessary for determining compliance by the Obligors with the provisions of this Agreement as of the last day of the applicable Fiscal Quarter or Fiscal Year, as the case may be; and</w:t>
      </w:r>
    </w:p>
    <w:p>
      <w:pPr>
        <w:spacing w:after="0" w:line="133" w:lineRule="exact"/>
        <w:rPr>
          <w:rFonts w:ascii="Arial" w:cs="Arial" w:eastAsia="Arial" w:hAnsi="Arial"/>
          <w:sz w:val="19"/>
          <w:szCs w:val="19"/>
          <w:color w:val="auto"/>
        </w:rPr>
      </w:pPr>
    </w:p>
    <w:p>
      <w:pPr>
        <w:ind w:left="1952" w:hanging="655"/>
        <w:spacing w:after="0"/>
        <w:tabs>
          <w:tab w:leader="none" w:pos="1952" w:val="left"/>
        </w:tabs>
        <w:numPr>
          <w:ilvl w:val="2"/>
          <w:numId w:val="293"/>
        </w:numPr>
        <w:rPr>
          <w:rFonts w:ascii="Arial" w:cs="Arial" w:eastAsia="Arial" w:hAnsi="Arial"/>
          <w:sz w:val="22"/>
          <w:szCs w:val="22"/>
          <w:color w:val="auto"/>
        </w:rPr>
      </w:pPr>
      <w:r>
        <w:rPr>
          <w:rFonts w:ascii="Arial" w:cs="Arial" w:eastAsia="Arial" w:hAnsi="Arial"/>
          <w:sz w:val="22"/>
          <w:szCs w:val="22"/>
          <w:color w:val="auto"/>
        </w:rPr>
        <w:t>in the case of the Company, a list of each of its Accounts; and</w:t>
      </w:r>
    </w:p>
    <w:p>
      <w:pPr>
        <w:spacing w:after="0" w:line="219"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294"/>
        </w:numPr>
        <w:rPr>
          <w:rFonts w:ascii="Arial" w:cs="Arial" w:eastAsia="Arial" w:hAnsi="Arial"/>
          <w:sz w:val="21"/>
          <w:szCs w:val="21"/>
          <w:color w:val="auto"/>
        </w:rPr>
      </w:pPr>
      <w:r>
        <w:rPr>
          <w:rFonts w:ascii="Arial" w:cs="Arial" w:eastAsia="Arial" w:hAnsi="Arial"/>
          <w:sz w:val="21"/>
          <w:szCs w:val="21"/>
          <w:color w:val="auto"/>
        </w:rPr>
        <w:t>for each calendar month during the period up to and including the first calendar month in which the Cotai Opening Date has occurred, deliver to the Facility Agents and the Intercreditor Agent, within 45 days following the end of the relevant calendar month, a status report for the Cotai Project in reasonable detail.</w:t>
      </w:r>
    </w:p>
    <w:p>
      <w:pPr>
        <w:spacing w:after="0" w:line="161" w:lineRule="exact"/>
        <w:rPr>
          <w:rFonts w:ascii="Arial" w:cs="Arial" w:eastAsia="Arial" w:hAnsi="Arial"/>
          <w:sz w:val="21"/>
          <w:szCs w:val="21"/>
          <w:color w:val="auto"/>
        </w:rPr>
      </w:pPr>
    </w:p>
    <w:p>
      <w:pPr>
        <w:jc w:val="both"/>
        <w:ind w:left="1292" w:hanging="644"/>
        <w:spacing w:after="0" w:line="287" w:lineRule="auto"/>
        <w:tabs>
          <w:tab w:leader="none" w:pos="1292" w:val="left"/>
        </w:tabs>
        <w:numPr>
          <w:ilvl w:val="1"/>
          <w:numId w:val="294"/>
        </w:numPr>
        <w:rPr>
          <w:rFonts w:ascii="Arial" w:cs="Arial" w:eastAsia="Arial" w:hAnsi="Arial"/>
          <w:sz w:val="19"/>
          <w:szCs w:val="19"/>
          <w:color w:val="auto"/>
        </w:rPr>
      </w:pPr>
      <w:r>
        <w:rPr>
          <w:rFonts w:ascii="Arial" w:cs="Arial" w:eastAsia="Arial" w:hAnsi="Arial"/>
          <w:sz w:val="19"/>
          <w:szCs w:val="19"/>
          <w:color w:val="auto"/>
        </w:rPr>
        <w:t>no later than March 1 of each Fiscal Year, projections (the "</w:t>
      </w:r>
      <w:r>
        <w:rPr>
          <w:rFonts w:ascii="Arial" w:cs="Arial" w:eastAsia="Arial" w:hAnsi="Arial"/>
          <w:sz w:val="19"/>
          <w:szCs w:val="19"/>
          <w:b w:val="1"/>
          <w:bCs w:val="1"/>
          <w:color w:val="auto"/>
        </w:rPr>
        <w:t>Projections</w:t>
      </w:r>
      <w:r>
        <w:rPr>
          <w:rFonts w:ascii="Arial" w:cs="Arial" w:eastAsia="Arial" w:hAnsi="Arial"/>
          <w:sz w:val="19"/>
          <w:szCs w:val="19"/>
          <w:color w:val="auto"/>
        </w:rPr>
        <w:t>") of the Company and the Restricted Group for such Fiscal Year, including a projected balance sheet of the Company as of the end of such Fiscal Year and the related statements of projected cash flow and profit and loss and the assumptions supporting such Projections and prepared on a consolidated basis for the Restricted Group and without taking account of any contribution from any amounts derived from or under (i) the grant of any Subconcession, (ii) any Resort Management Agreement or (iii) any Excluded Project or Excluded Subsidiary and, no less frequently than quarterly, significant revisions, if any, of such Projections with respect to such Fiscal Year, which Projections shall in each case be accompanied by a certificate of a Responsible Officer of the Company stating that such Projections are based on reasonable estimates, information and assumptions and that such Responsible Officer has no reason to believe that such Projections are incorrect or misleading in any material respect and which such Projections shall demonstrate compliance with paragraph 1 of Part B of this Schedule (and, where applicable pursuant to the other terms of this Agreement, including or, as the case may be, taking into account any Contribution as further contemplated by (and as set out in) paragraph (d)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1292" w:hanging="644"/>
        <w:spacing w:after="0" w:line="288" w:lineRule="auto"/>
        <w:tabs>
          <w:tab w:leader="none" w:pos="1292" w:val="left"/>
        </w:tabs>
        <w:numPr>
          <w:ilvl w:val="1"/>
          <w:numId w:val="294"/>
        </w:numPr>
        <w:rPr>
          <w:rFonts w:ascii="Arial" w:cs="Arial" w:eastAsia="Arial" w:hAnsi="Arial"/>
          <w:sz w:val="19"/>
          <w:szCs w:val="19"/>
          <w:color w:val="auto"/>
        </w:rPr>
      </w:pPr>
      <w:r>
        <w:rPr>
          <w:rFonts w:ascii="Arial" w:cs="Arial" w:eastAsia="Arial" w:hAnsi="Arial"/>
          <w:sz w:val="19"/>
          <w:szCs w:val="19"/>
          <w:color w:val="auto"/>
        </w:rPr>
        <w:t>promptly, and in any event within ten Business Days after any Major Project Document is terminated (save upon expiration in accordance with its terms) or amended (save in respect of amendments of a purely administrative or mechanical nature which do not, in each case, adversely affect the interests of any of the Secured Parties) or any new Major Project Document is entered into (other than, in each case, any Resort Management Agreement), or upon becoming aware of any material default by any Person or the occurrence of any event under a Major Project Document (other than, in each case, any Resort Management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9"/>
          <w:szCs w:val="19"/>
          <w:b w:val="1"/>
          <w:bCs w:val="1"/>
          <w:color w:val="auto"/>
        </w:rPr>
        <w:t>Termination Event</w:t>
      </w:r>
      <w:r>
        <w:rPr>
          <w:rFonts w:ascii="Arial" w:cs="Arial" w:eastAsia="Arial" w:hAnsi="Arial"/>
          <w:sz w:val="19"/>
          <w:szCs w:val="19"/>
          <w:color w:val="auto"/>
        </w:rPr>
        <w:t>"), a written statement describing such event with copies of such amendments or new Major Project Document and, with respect to any such terminations or material defaults, an explanation of any actions being taken by the Company with respect thereto;</w:t>
      </w:r>
    </w:p>
    <w:p>
      <w:pPr>
        <w:spacing w:after="0" w:line="160"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294"/>
        </w:numPr>
        <w:rPr>
          <w:rFonts w:ascii="Arial" w:cs="Arial" w:eastAsia="Arial" w:hAnsi="Arial"/>
          <w:sz w:val="22"/>
          <w:szCs w:val="22"/>
          <w:color w:val="auto"/>
        </w:rPr>
      </w:pPr>
      <w:r>
        <w:rPr>
          <w:rFonts w:ascii="Arial" w:cs="Arial" w:eastAsia="Arial" w:hAnsi="Arial"/>
          <w:sz w:val="22"/>
          <w:szCs w:val="22"/>
          <w:color w:val="auto"/>
        </w:rPr>
        <w:t>promptly, and in any event within 30 days of the end of each Fiscal Year, deliver to the Intercreditor Agent a certificate certifying that the insurance requirements of paragraph 10 or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have been implemented and are being complied with;</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294"/>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94"/>
        </w:numPr>
        <w:rPr>
          <w:rFonts w:ascii="Arial" w:cs="Arial" w:eastAsia="Arial" w:hAnsi="Arial"/>
          <w:sz w:val="22"/>
          <w:szCs w:val="22"/>
          <w:color w:val="auto"/>
        </w:rPr>
      </w:pPr>
      <w:r>
        <w:rPr>
          <w:rFonts w:ascii="Arial" w:cs="Arial" w:eastAsia="Arial" w:hAnsi="Arial"/>
          <w:sz w:val="22"/>
          <w:szCs w:val="22"/>
          <w:color w:val="auto"/>
        </w:rPr>
        <w:t>a copy of each written notice which is given under or pursuant to the Concession Contract, the Land Concession Contract or the Cotai Land Concession Contract by the Macau SAR to the Company (other than any administrative or routine notice which could not reasonably be expected to be prejudicial to the interests of the Secured Parties) promptly upon receipt of such notice;</w:t>
      </w:r>
    </w:p>
    <w:p>
      <w:pPr>
        <w:spacing w:after="0" w:line="188"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94"/>
        </w:numPr>
        <w:rPr>
          <w:rFonts w:ascii="Arial" w:cs="Arial" w:eastAsia="Arial" w:hAnsi="Arial"/>
          <w:sz w:val="22"/>
          <w:szCs w:val="22"/>
          <w:color w:val="auto"/>
        </w:rPr>
      </w:pPr>
      <w:r>
        <w:rPr>
          <w:rFonts w:ascii="Arial" w:cs="Arial" w:eastAsia="Arial" w:hAnsi="Arial"/>
          <w:sz w:val="22"/>
          <w:szCs w:val="22"/>
          <w:color w:val="auto"/>
        </w:rPr>
        <w:t>at the same time as the giving of any written notice under or pursuant to the Concession Contract, the Land Concession Contract or the Cotai Land Concession Contract by the Company to the Macau SAR (other than any administrative or routine notice which could not reasonably be expected to be prejudicial to the interests of the Secured Parties), a copy of such notice; and</w:t>
      </w:r>
    </w:p>
    <w:p>
      <w:pPr>
        <w:spacing w:after="0" w:line="18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294"/>
        </w:numPr>
        <w:rPr>
          <w:rFonts w:ascii="Arial" w:cs="Arial" w:eastAsia="Arial" w:hAnsi="Arial"/>
          <w:sz w:val="22"/>
          <w:szCs w:val="22"/>
          <w:color w:val="auto"/>
        </w:rPr>
      </w:pPr>
      <w:r>
        <w:rPr>
          <w:rFonts w:ascii="Arial" w:cs="Arial" w:eastAsia="Arial" w:hAnsi="Arial"/>
          <w:sz w:val="22"/>
          <w:szCs w:val="22"/>
          <w:color w:val="auto"/>
        </w:rPr>
        <w:t>promptly, such additional financial and other information as the Intercreditor Agent may from time to time reasonably request.</w:t>
      </w:r>
    </w:p>
    <w:p>
      <w:pPr>
        <w:spacing w:after="0" w:line="174" w:lineRule="exact"/>
        <w:rPr>
          <w:rFonts w:ascii="Arial" w:cs="Arial" w:eastAsia="Arial" w:hAnsi="Arial"/>
          <w:sz w:val="22"/>
          <w:szCs w:val="22"/>
          <w:color w:val="auto"/>
        </w:rPr>
      </w:pPr>
    </w:p>
    <w:p>
      <w:pPr>
        <w:ind w:left="652" w:hanging="652"/>
        <w:spacing w:after="0"/>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jc w:val="both"/>
        <w:ind w:left="652" w:hanging="652"/>
        <w:spacing w:after="0" w:line="256" w:lineRule="auto"/>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b w:val="1"/>
          <w:bCs w:val="1"/>
          <w:color w:val="auto"/>
        </w:rPr>
        <w:t xml:space="preserve">Management Letters </w:t>
      </w:r>
      <w:r>
        <w:rPr>
          <w:rFonts w:ascii="Arial" w:cs="Arial" w:eastAsia="Arial" w:hAnsi="Arial"/>
          <w:sz w:val="22"/>
          <w:szCs w:val="22"/>
          <w:color w:val="auto"/>
        </w:rPr>
        <w:t>- Deliver to the Intercreditor Agent a copy of any "management letter" or other similar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 received by the Company or any other Obligor from the Auditors in relation to the Company's or any other Obligor's financial, accounting and other systems, management or accounts.</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[Not used]</w:t>
      </w:r>
    </w:p>
    <w:p>
      <w:pPr>
        <w:sectPr>
          <w:pgSz w:w="11900" w:h="16838" w:orient="portrait"/>
          <w:cols w:equalWidth="0" w:num="1">
            <w:col w:w="11412"/>
          </w:cols>
          <w:pgMar w:left="248" w:top="267" w:right="239" w:bottom="0" w:gutter="0" w:footer="0" w:header="0"/>
        </w:sectPr>
      </w:pPr>
    </w:p>
    <w:bookmarkStart w:id="207" w:name="page208"/>
    <w:bookmarkEnd w:id="207"/>
    <w:p>
      <w:pPr>
        <w:jc w:val="both"/>
        <w:ind w:left="660" w:hanging="652"/>
        <w:spacing w:after="0" w:line="262" w:lineRule="auto"/>
        <w:tabs>
          <w:tab w:leader="none" w:pos="660" w:val="left"/>
        </w:tabs>
        <w:numPr>
          <w:ilvl w:val="0"/>
          <w:numId w:val="296"/>
        </w:numPr>
        <w:rPr>
          <w:rFonts w:ascii="Arial" w:cs="Arial" w:eastAsia="Arial" w:hAnsi="Arial"/>
          <w:sz w:val="21"/>
          <w:szCs w:val="21"/>
          <w:color w:val="auto"/>
        </w:rPr>
      </w:pPr>
      <w:r>
        <w:rPr>
          <w:rFonts w:ascii="Arial" w:cs="Arial" w:eastAsia="Arial" w:hAnsi="Arial"/>
          <w:sz w:val="21"/>
          <w:szCs w:val="21"/>
          <w:b w:val="1"/>
          <w:bCs w:val="1"/>
          <w:color w:val="auto"/>
        </w:rPr>
        <w:t xml:space="preserve">Payment of Obligations </w:t>
      </w:r>
      <w:r>
        <w:rPr>
          <w:rFonts w:ascii="Arial" w:cs="Arial" w:eastAsia="Arial" w:hAnsi="Arial"/>
          <w:sz w:val="21"/>
          <w:szCs w:val="21"/>
          <w:color w:val="auto"/>
        </w:rPr>
        <w:t>- To the extent not otherwise subject to valid subordination, standstill, intercreditor or similar</w:t>
      </w:r>
      <w:r>
        <w:rPr>
          <w:rFonts w:ascii="Arial" w:cs="Arial" w:eastAsia="Arial" w:hAnsi="Arial"/>
          <w:sz w:val="21"/>
          <w:szCs w:val="21"/>
          <w:b w:val="1"/>
          <w:bCs w:val="1"/>
          <w:color w:val="auto"/>
        </w:rPr>
        <w:t xml:space="preserve"> </w:t>
      </w:r>
      <w:r>
        <w:rPr>
          <w:rFonts w:ascii="Arial" w:cs="Arial" w:eastAsia="Arial" w:hAnsi="Arial"/>
          <w:sz w:val="21"/>
          <w:szCs w:val="21"/>
          <w:color w:val="auto"/>
        </w:rPr>
        <w:t>arrangements, pay, discharge or otherwise satisfy (and ensure each other Obligor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 (and, where relevant, such other Obligor).</w:t>
      </w:r>
    </w:p>
    <w:p>
      <w:pPr>
        <w:spacing w:after="0" w:line="173" w:lineRule="exact"/>
        <w:rPr>
          <w:rFonts w:ascii="Arial" w:cs="Arial" w:eastAsia="Arial" w:hAnsi="Arial"/>
          <w:sz w:val="21"/>
          <w:szCs w:val="21"/>
          <w:color w:val="auto"/>
        </w:rPr>
      </w:pPr>
    </w:p>
    <w:p>
      <w:pPr>
        <w:ind w:left="660" w:hanging="652"/>
        <w:spacing w:after="0"/>
        <w:tabs>
          <w:tab w:leader="none" w:pos="660" w:val="left"/>
        </w:tabs>
        <w:numPr>
          <w:ilvl w:val="0"/>
          <w:numId w:val="296"/>
        </w:numPr>
        <w:rPr>
          <w:rFonts w:ascii="Arial" w:cs="Arial" w:eastAsia="Arial" w:hAnsi="Arial"/>
          <w:sz w:val="22"/>
          <w:szCs w:val="22"/>
          <w:color w:val="auto"/>
        </w:rPr>
      </w:pPr>
      <w:r>
        <w:rPr>
          <w:rFonts w:ascii="Arial" w:cs="Arial" w:eastAsia="Arial" w:hAnsi="Arial"/>
          <w:sz w:val="22"/>
          <w:szCs w:val="22"/>
          <w:b w:val="1"/>
          <w:bCs w:val="1"/>
          <w:color w:val="auto"/>
        </w:rPr>
        <w:t>Conduct of Business and Maintenance of Existence, etc.</w:t>
      </w:r>
    </w:p>
    <w:p>
      <w:pPr>
        <w:spacing w:after="0" w:line="225" w:lineRule="exact"/>
        <w:rPr>
          <w:rFonts w:ascii="Arial" w:cs="Arial" w:eastAsia="Arial" w:hAnsi="Arial"/>
          <w:sz w:val="22"/>
          <w:szCs w:val="22"/>
          <w:color w:val="auto"/>
        </w:rPr>
      </w:pPr>
    </w:p>
    <w:p>
      <w:pPr>
        <w:ind w:left="1300" w:hanging="644"/>
        <w:spacing w:after="0" w:line="343" w:lineRule="auto"/>
        <w:tabs>
          <w:tab w:leader="none" w:pos="1300" w:val="left"/>
        </w:tabs>
        <w:numPr>
          <w:ilvl w:val="1"/>
          <w:numId w:val="296"/>
        </w:numPr>
        <w:rPr>
          <w:rFonts w:ascii="Arial" w:cs="Arial" w:eastAsia="Arial" w:hAnsi="Arial"/>
          <w:sz w:val="19"/>
          <w:szCs w:val="19"/>
          <w:color w:val="auto"/>
        </w:rPr>
      </w:pPr>
      <w:r>
        <w:rPr>
          <w:rFonts w:ascii="Arial" w:cs="Arial" w:eastAsia="Arial" w:hAnsi="Arial"/>
          <w:sz w:val="19"/>
          <w:szCs w:val="19"/>
          <w:color w:val="auto"/>
        </w:rPr>
        <w:t>Preserve, renew and keep in full force and effect (and ensure each other Obligor shall preserve, renew and keep in full force and effect) its corporate or limited liability company existence and remain a Subsidiary of Wynn Resorts;</w:t>
      </w:r>
    </w:p>
    <w:p>
      <w:pPr>
        <w:spacing w:after="0" w:line="104" w:lineRule="exact"/>
        <w:rPr>
          <w:rFonts w:ascii="Arial" w:cs="Arial" w:eastAsia="Arial" w:hAnsi="Arial"/>
          <w:sz w:val="19"/>
          <w:szCs w:val="19"/>
          <w:color w:val="auto"/>
        </w:rPr>
      </w:pPr>
    </w:p>
    <w:p>
      <w:pPr>
        <w:jc w:val="both"/>
        <w:ind w:left="1300" w:hanging="644"/>
        <w:spacing w:after="0" w:line="265" w:lineRule="auto"/>
        <w:tabs>
          <w:tab w:leader="none" w:pos="1300" w:val="left"/>
        </w:tabs>
        <w:numPr>
          <w:ilvl w:val="1"/>
          <w:numId w:val="296"/>
        </w:numPr>
        <w:rPr>
          <w:rFonts w:ascii="Arial" w:cs="Arial" w:eastAsia="Arial" w:hAnsi="Arial"/>
          <w:sz w:val="21"/>
          <w:szCs w:val="21"/>
          <w:color w:val="auto"/>
        </w:rPr>
      </w:pPr>
      <w:r>
        <w:rPr>
          <w:rFonts w:ascii="Arial" w:cs="Arial" w:eastAsia="Arial" w:hAnsi="Arial"/>
          <w:sz w:val="21"/>
          <w:szCs w:val="21"/>
          <w:color w:val="auto"/>
        </w:rPr>
        <w:t>take all reasonable action to maintain all rights, privileges, franchises, Permits and licenses necessary (and ensure each other Obligor shall 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1"/>
          <w:numId w:val="296"/>
        </w:numPr>
        <w:rPr>
          <w:rFonts w:ascii="Arial" w:cs="Arial" w:eastAsia="Arial" w:hAnsi="Arial"/>
          <w:sz w:val="22"/>
          <w:szCs w:val="22"/>
          <w:color w:val="auto"/>
        </w:rPr>
      </w:pPr>
      <w:r>
        <w:rPr>
          <w:rFonts w:ascii="Arial" w:cs="Arial" w:eastAsia="Arial" w:hAnsi="Arial"/>
          <w:sz w:val="22"/>
          <w:szCs w:val="22"/>
          <w:color w:val="auto"/>
        </w:rPr>
        <w:t>engage only in the businesses which are Permitted Businesses.</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96"/>
        </w:numPr>
        <w:rPr>
          <w:rFonts w:ascii="Arial" w:cs="Arial" w:eastAsia="Arial" w:hAnsi="Arial"/>
          <w:sz w:val="22"/>
          <w:szCs w:val="22"/>
          <w:color w:val="auto"/>
        </w:rPr>
      </w:pPr>
      <w:r>
        <w:rPr>
          <w:rFonts w:ascii="Arial" w:cs="Arial" w:eastAsia="Arial" w:hAnsi="Arial"/>
          <w:sz w:val="22"/>
          <w:szCs w:val="22"/>
          <w:b w:val="1"/>
          <w:bCs w:val="1"/>
          <w:color w:val="auto"/>
        </w:rPr>
        <w:t>Insurance and Property</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10.1</w:t>
        <w:tab/>
        <w:t>Keep (and ensure each other Obligor shall keep) all material Property and systems useful and necessary in its business in good working order and condition, ordinary wear and tear excepted.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Ensure (and, where applicable, ensure Palo shall ensure) that its or their Insurances:</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are materially consistent with the Insurances in place as at the Fifth Amendment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Insurances may be modified consistent with the availability of coverage in the international insurance market on reasonable commercial terms;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cover all risks that are required to be insured against under any applicable law or regulation;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cover all risks which a prudent owner would insure against (as reasonably determined by the Company).</w:t>
      </w:r>
    </w:p>
    <w:p>
      <w:pPr>
        <w:spacing w:after="0" w:line="23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10.3</w:t>
        <w:tab/>
        <w:t>Ensure (and, where applicable, procure that Palo will ensure) that the Insurances are with, or it (or, where applicable or as the case may be, Palo) has ultimate recourse in respect of all insured losses under the Insurances to, an insurance company or underwriter which is of international standing and is not a captive insurer which is a member of the Restricted Group or an Obligor.</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10.4</w:t>
        <w:tab/>
        <w:t>Ensure (and procure that each member of the Restricted Group will ensure) that its (and, where applicable, Palo's Insurances):</w:t>
      </w:r>
    </w:p>
    <w:p>
      <w:pPr>
        <w:spacing w:after="0" w:line="175" w:lineRule="exact"/>
        <w:rPr>
          <w:sz w:val="20"/>
          <w:szCs w:val="20"/>
          <w:color w:val="auto"/>
        </w:rPr>
      </w:pPr>
    </w:p>
    <w:p>
      <w:pPr>
        <w:ind w:left="1300" w:right="20" w:hanging="644"/>
        <w:spacing w:after="0" w:line="263" w:lineRule="auto"/>
        <w:tabs>
          <w:tab w:leader="none" w:pos="130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insure every tangible asset for its full replacement value (less any deductibles in accordance with the terms of the Insurances); and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in the case of any other asset or risk, provide cover up to a limit which a prudent owner would buy (as reasonably determined by the Company).</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10.5</w:t>
        <w:tab/>
        <w:t>Ensure (and, where applicable, procure that Palo will ensure) that the Insurances taken out in respect of Wynn Macau and the Cotai Project comply with the following requirements:</w:t>
      </w:r>
    </w:p>
    <w:p>
      <w:pPr>
        <w:spacing w:after="0" w:line="175" w:lineRule="exact"/>
        <w:rPr>
          <w:sz w:val="20"/>
          <w:szCs w:val="20"/>
          <w:color w:val="auto"/>
        </w:rPr>
      </w:pPr>
    </w:p>
    <w:p>
      <w:pPr>
        <w:ind w:left="1300" w:right="20" w:hanging="644"/>
        <w:spacing w:after="0" w:line="287" w:lineRule="auto"/>
        <w:tabs>
          <w:tab w:leader="none" w:pos="130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Company (and, if appropriate or applicable, Palo) must each be insured for its own insurable interest or, where appropriate, jointly insured, and separately from any other insured party, on a basis that:</w:t>
      </w:r>
    </w:p>
    <w:p>
      <w:pPr>
        <w:spacing w:after="0" w:line="15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any non-disclosure, misrepresentation or breach by or on behalf of any one insured party will not prejudice the cover of any other insured party; and</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299"/>
        </w:numPr>
        <w:rPr>
          <w:rFonts w:ascii="Arial" w:cs="Arial" w:eastAsia="Arial" w:hAnsi="Arial"/>
          <w:sz w:val="19"/>
          <w:szCs w:val="19"/>
          <w:color w:val="auto"/>
        </w:rPr>
      </w:pPr>
      <w:r>
        <w:rPr>
          <w:rFonts w:ascii="Arial" w:cs="Arial" w:eastAsia="Arial" w:hAnsi="Arial"/>
          <w:sz w:val="19"/>
          <w:szCs w:val="19"/>
          <w:color w:val="auto"/>
        </w:rPr>
        <w:t>insurers waive any and all rights of subrogation against the Company, any Obligor and any Secured Party;</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Company and, if appropriate or applicable, Palo must each be entitled to claim directly for any insured loss suffered by it;</w:t>
      </w:r>
    </w:p>
    <w:p>
      <w:pPr>
        <w:spacing w:after="0" w:line="174" w:lineRule="exact"/>
        <w:rPr>
          <w:rFonts w:ascii="Arial" w:cs="Arial" w:eastAsia="Arial" w:hAnsi="Arial"/>
          <w:sz w:val="22"/>
          <w:szCs w:val="22"/>
          <w:color w:val="auto"/>
        </w:rPr>
      </w:pPr>
    </w:p>
    <w:p>
      <w:pPr>
        <w:jc w:val="both"/>
        <w:ind w:left="1300" w:right="20" w:hanging="644"/>
        <w:spacing w:after="0" w:line="302" w:lineRule="auto"/>
        <w:tabs>
          <w:tab w:leader="none" w:pos="13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the Company and, if appropriate or applicable, Palo must use reasonable endeavours to ensure that (at each applicable time) its insurance broker delivers a broker's letter of undertaking (substantially in the form delivered to the Intercreditor Agent by the Company prior to the Fifth Amendment Effective Date) on or before the expiry of the previously delivered broker's letter of undertaking, in substantially the same form as that previously delivered;</w:t>
      </w:r>
    </w:p>
    <w:p>
      <w:pPr>
        <w:sectPr>
          <w:pgSz w:w="11900" w:h="16838" w:orient="portrait"/>
          <w:cols w:equalWidth="0" w:num="1">
            <w:col w:w="11420"/>
          </w:cols>
          <w:pgMar w:left="240" w:top="126" w:right="239" w:bottom="0" w:gutter="0" w:footer="0" w:header="0"/>
        </w:sectPr>
      </w:pPr>
    </w:p>
    <w:bookmarkStart w:id="208" w:name="page209"/>
    <w:bookmarkEnd w:id="208"/>
    <w:p>
      <w:pPr>
        <w:spacing w:after="0" w:line="79" w:lineRule="exact"/>
        <w:rPr>
          <w:sz w:val="20"/>
          <w:szCs w:val="20"/>
          <w:color w:val="auto"/>
        </w:rPr>
      </w:pPr>
    </w:p>
    <w:p>
      <w:pPr>
        <w:jc w:val="both"/>
        <w:ind w:left="1300" w:hanging="644"/>
        <w:spacing w:after="0" w:line="253" w:lineRule="auto"/>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Company and, if appropriate or applicable, Palo must each be free to assign all amounts payable to it under each of its or their Insurances and all its or their rights in connection with those amounts in favour of the Security Agent as agent and trustee for the Secured Parties; and</w:t>
      </w:r>
    </w:p>
    <w:p>
      <w:pPr>
        <w:spacing w:after="0" w:line="18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no limits of cover purchased under any Insurance are to be capable of being eroded below the limits which a prudent owner would maintain by reason of claims from Persons who are not Palo or the Company.</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Ensure that it will (and, if appropriate or applicable, procure that Palo will):</w:t>
      </w:r>
    </w:p>
    <w:p>
      <w:pPr>
        <w:spacing w:after="0" w:line="220" w:lineRule="exact"/>
        <w:rPr>
          <w:sz w:val="20"/>
          <w:szCs w:val="20"/>
          <w:color w:val="auto"/>
        </w:rPr>
      </w:pPr>
    </w:p>
    <w:p>
      <w:pPr>
        <w:ind w:left="1300" w:hanging="644"/>
        <w:spacing w:after="0" w:line="263" w:lineRule="auto"/>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promptly pay (or procure payment of) all premiums and do anything which is necessary to keep each of its Insurances in full force and effect for the term of the Insurances;</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not do or allow anything to be done which may (and promptly notify the Intercreditor Agent of any event or circumstance which does or is reasonably likely to) entitle any insurer of any of its Insurances to repudiate, rescind or cancel it or to treat it as avoided in whole or in part or otherwise decline any valid claim under it by or on behalf of the Company or, as the case may be, Palo;</w:t>
      </w:r>
    </w:p>
    <w:p>
      <w:pPr>
        <w:spacing w:after="0" w:line="18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promptly notify the Intercreditor Agent of any event or occurrence giving rise to any aggregate loss or liability in excess of US$10,000,000 (or its equivalent) in respect of which any member of the Restricted Group is entitled to make one or more claim under any Insurance;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keep the Intercreditor Agent advised of the progress of any such claim; and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not compromise or settle any claim for less than the amount claimed without the prior consent of the Intercreditor Agent where the aggregate loss or liability in respect of the event or occurrence concerned is more than US$50,000,000 (or its equivalent).</w:t>
      </w:r>
    </w:p>
    <w:p>
      <w:pPr>
        <w:spacing w:after="0" w:line="18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Ensure (and, if appropriate or applicable, shall ensure Palo will ensure) that each of the Direct Insurers grants an assignment in favour of the Security Agent on behalf of the Secured Parties, over all of its rights, title and interest in any Reinsurance held from time to time and/or the Reinsurance proceeds (other than relating to any public liability, third party liability or legal liability insurance or any other insurances the proceeds of which are payable to employees of the Company or Palo). Each assignment shall at all times be in the form of the Assignment of Reinsurances dated on or about the date of this Agreement unless otherwise agreed by the Security Agent (acting on the instructions of the Intercreditor Agent).</w:t>
      </w:r>
    </w:p>
    <w:p>
      <w:pPr>
        <w:spacing w:after="0" w:line="15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10.8</w:t>
        <w:tab/>
        <w:t>Ensure that each such Direct Insurer gives notice to each Reinsurer with whom it has effected such Reinsurance in the form set out in Part 1 of Schedule 2 to the Assignment of Reinsurances and shall procure an acknowledgement from each such Reinsurer in the form set out in Part 2 of Schedule 2 to the Assignment of Reinsurances or such other form reasonably acceptable to the Security Agent.</w:t>
      </w:r>
    </w:p>
    <w:p>
      <w:pPr>
        <w:spacing w:after="0" w:line="18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10.9</w:t>
        <w:tab/>
        <w:t>For the purposes of this paragraph 10, if the Company or, where applicable, Palo (as the case may be) fails to maintain any contract of insurance which it is required to maintain under this Agreement in respect of Wynn Macau and the Cotai Project, the Intercreditor Agent may purchase the requisite insurance on its behalf. The Company or, where applicable, Palo (as the case may be) must immediately pay the costs and expenses of the Intercreditor Agent or any of its agents incurred in the purchase of that insurance.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10.10  For the purposes of this paragraph 10:</w:t>
      </w:r>
    </w:p>
    <w:p>
      <w:pPr>
        <w:spacing w:after="0" w:line="214" w:lineRule="exact"/>
        <w:rPr>
          <w:sz w:val="20"/>
          <w:szCs w:val="20"/>
          <w:color w:val="auto"/>
        </w:rPr>
      </w:pPr>
    </w:p>
    <w:p>
      <w:pPr>
        <w:jc w:val="both"/>
        <w:ind w:left="1300" w:hanging="644"/>
        <w:spacing w:after="0" w:line="315" w:lineRule="auto"/>
        <w:tabs>
          <w:tab w:leader="none" w:pos="130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prudent owner"</w:t>
      </w:r>
      <w:r>
        <w:rPr>
          <w:rFonts w:ascii="Arial" w:cs="Arial" w:eastAsia="Arial" w:hAnsi="Arial"/>
          <w:sz w:val="19"/>
          <w:szCs w:val="19"/>
          <w:color w:val="auto"/>
        </w:rPr>
        <w:t xml:space="preserve"> means a prudent owner and operator of any business, and of assets of a type and size, similar in all cases to those owned and operated by (in respect of Wynn Macau) the Company and (in respect of the Cotai Project) the Company and (prior to any Permitted Cotai Reorganisation) Palo in a similar location;</w:t>
      </w:r>
    </w:p>
    <w:p>
      <w:pPr>
        <w:spacing w:after="0" w:line="125" w:lineRule="exact"/>
        <w:rPr>
          <w:rFonts w:ascii="Arial" w:cs="Arial" w:eastAsia="Arial" w:hAnsi="Arial"/>
          <w:sz w:val="19"/>
          <w:szCs w:val="19"/>
          <w:color w:val="auto"/>
        </w:rPr>
      </w:pPr>
    </w:p>
    <w:p>
      <w:pPr>
        <w:ind w:left="1300" w:hanging="644"/>
        <w:spacing w:after="0" w:line="269" w:lineRule="auto"/>
        <w:tabs>
          <w:tab w:leader="none" w:pos="1300" w:val="left"/>
        </w:tabs>
        <w:numPr>
          <w:ilvl w:val="1"/>
          <w:numId w:val="302"/>
        </w:numPr>
        <w:rPr>
          <w:rFonts w:ascii="Arial" w:cs="Arial" w:eastAsia="Arial" w:hAnsi="Arial"/>
          <w:sz w:val="22"/>
          <w:szCs w:val="22"/>
          <w:color w:val="auto"/>
        </w:rPr>
      </w:pPr>
      <w:r>
        <w:rPr>
          <w:rFonts w:ascii="Arial" w:cs="Arial" w:eastAsia="Arial" w:hAnsi="Arial"/>
          <w:sz w:val="22"/>
          <w:szCs w:val="22"/>
          <w:b w:val="1"/>
          <w:bCs w:val="1"/>
          <w:color w:val="auto"/>
        </w:rPr>
        <w:t xml:space="preserve">"replacement value" </w:t>
      </w:r>
      <w:r>
        <w:rPr>
          <w:rFonts w:ascii="Arial" w:cs="Arial" w:eastAsia="Arial" w:hAnsi="Arial"/>
          <w:sz w:val="22"/>
          <w:szCs w:val="22"/>
          <w:color w:val="auto"/>
        </w:rPr>
        <w:t>means the cost of entirely rebuilding, reinstating or replacing the relevant asset if it is</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completely destroyed, together with all related fees and demolition costs; and</w:t>
      </w:r>
    </w:p>
    <w:p>
      <w:pPr>
        <w:spacing w:after="0" w:line="162" w:lineRule="exact"/>
        <w:rPr>
          <w:rFonts w:ascii="Arial" w:cs="Arial" w:eastAsia="Arial" w:hAnsi="Arial"/>
          <w:sz w:val="22"/>
          <w:szCs w:val="22"/>
          <w:color w:val="auto"/>
        </w:rPr>
      </w:pPr>
    </w:p>
    <w:p>
      <w:pPr>
        <w:jc w:val="both"/>
        <w:ind w:left="1300" w:hanging="644"/>
        <w:spacing w:after="0" w:line="252" w:lineRule="auto"/>
        <w:tabs>
          <w:tab w:leader="none" w:pos="1300" w:val="left"/>
        </w:tabs>
        <w:numPr>
          <w:ilvl w:val="1"/>
          <w:numId w:val="302"/>
        </w:numPr>
        <w:rPr>
          <w:rFonts w:ascii="Arial" w:cs="Arial" w:eastAsia="Arial" w:hAnsi="Arial"/>
          <w:sz w:val="22"/>
          <w:szCs w:val="22"/>
          <w:color w:val="auto"/>
        </w:rPr>
      </w:pPr>
      <w:r>
        <w:rPr>
          <w:rFonts w:ascii="Arial" w:cs="Arial" w:eastAsia="Arial" w:hAnsi="Arial"/>
          <w:sz w:val="22"/>
          <w:szCs w:val="22"/>
          <w:color w:val="auto"/>
        </w:rPr>
        <w:t>Insurance (the "</w:t>
      </w:r>
      <w:r>
        <w:rPr>
          <w:rFonts w:ascii="Arial" w:cs="Arial" w:eastAsia="Arial" w:hAnsi="Arial"/>
          <w:sz w:val="22"/>
          <w:szCs w:val="22"/>
          <w:b w:val="1"/>
          <w:bCs w:val="1"/>
          <w:color w:val="auto"/>
        </w:rPr>
        <w:t>new Insurance</w:t>
      </w:r>
      <w:r>
        <w:rPr>
          <w:rFonts w:ascii="Arial" w:cs="Arial" w:eastAsia="Arial" w:hAnsi="Arial"/>
          <w:sz w:val="22"/>
          <w:szCs w:val="22"/>
          <w:color w:val="auto"/>
        </w:rPr>
        <w:t>") shall be on reasonable commercial terms if (without prejudice to any other terms that may be commercially reasonable) the premium payable in respect of the new Insurance is not more than 125 per cent. of the premium paid by the Company or Palo (as the case may be) for the Insurance covering the same risks as the new Insurance in the immediately preceding year.</w:t>
      </w:r>
    </w:p>
    <w:p>
      <w:pPr>
        <w:spacing w:after="0" w:line="180" w:lineRule="exact"/>
        <w:rPr>
          <w:rFonts w:ascii="Arial" w:cs="Arial" w:eastAsia="Arial" w:hAnsi="Arial"/>
          <w:sz w:val="22"/>
          <w:szCs w:val="22"/>
          <w:color w:val="auto"/>
        </w:rPr>
      </w:pPr>
    </w:p>
    <w:p>
      <w:pPr>
        <w:ind w:left="660" w:hanging="652"/>
        <w:spacing w:after="0"/>
        <w:tabs>
          <w:tab w:leader="none" w:pos="660" w:val="left"/>
        </w:tabs>
        <w:numPr>
          <w:ilvl w:val="0"/>
          <w:numId w:val="303"/>
        </w:numPr>
        <w:rPr>
          <w:rFonts w:ascii="Arial" w:cs="Arial" w:eastAsia="Arial" w:hAnsi="Arial"/>
          <w:sz w:val="22"/>
          <w:szCs w:val="22"/>
          <w:color w:val="auto"/>
        </w:rPr>
      </w:pPr>
      <w:r>
        <w:rPr>
          <w:rFonts w:ascii="Arial" w:cs="Arial" w:eastAsia="Arial" w:hAnsi="Arial"/>
          <w:sz w:val="22"/>
          <w:szCs w:val="22"/>
          <w:b w:val="1"/>
          <w:bCs w:val="1"/>
          <w:color w:val="auto"/>
        </w:rPr>
        <w:t>Inspection of Property; Books and Records; Discussions</w:t>
      </w:r>
    </w:p>
    <w:p>
      <w:pPr>
        <w:spacing w:after="0" w:line="225"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Keep (and ensure each other Obligor shall keep) proper books of records and account in which full, true and correct entries in conformity with applicable GAAP and all Legal Requirements.</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303"/>
        </w:numPr>
        <w:rPr>
          <w:rFonts w:ascii="Arial" w:cs="Arial" w:eastAsia="Arial" w:hAnsi="Arial"/>
          <w:sz w:val="19"/>
          <w:szCs w:val="19"/>
          <w:color w:val="auto"/>
        </w:rPr>
      </w:pPr>
      <w:r>
        <w:rPr>
          <w:rFonts w:ascii="Arial" w:cs="Arial" w:eastAsia="Arial" w:hAnsi="Arial"/>
          <w:sz w:val="19"/>
          <w:szCs w:val="19"/>
          <w:color w:val="auto"/>
        </w:rPr>
        <w:t>Subject to any Macau Gaming Laws, data protection laws or other applicable Legal Requirements restricting such actions and, where no Event of Default has occurred which is continuing, prior reasonable request and notice, procure (and ensure each other Obligor procures) that each of the Agents or their respective nominees (for purposes</w:t>
      </w:r>
    </w:p>
    <w:p>
      <w:pPr>
        <w:sectPr>
          <w:pgSz w:w="11900" w:h="16918" w:orient="portrait"/>
          <w:cols w:equalWidth="0" w:num="1">
            <w:col w:w="11420"/>
          </w:cols>
          <w:pgMar w:left="240" w:top="132" w:right="239" w:bottom="0" w:gutter="0" w:footer="0" w:header="0"/>
        </w:sectPr>
      </w:pPr>
    </w:p>
    <w:bookmarkStart w:id="209" w:name="page210"/>
    <w:bookmarkEnd w:id="209"/>
    <w:p>
      <w:pPr>
        <w:jc w:val="both"/>
        <w:ind w:left="1292"/>
        <w:spacing w:after="0" w:line="293" w:lineRule="auto"/>
        <w:rPr>
          <w:sz w:val="20"/>
          <w:szCs w:val="20"/>
          <w:color w:val="auto"/>
        </w:rPr>
      </w:pPr>
      <w:r>
        <w:rPr>
          <w:rFonts w:ascii="Arial" w:cs="Arial" w:eastAsia="Arial" w:hAnsi="Arial"/>
          <w:sz w:val="19"/>
          <w:szCs w:val="19"/>
          <w:color w:val="auto"/>
        </w:rPr>
        <w:t>of this paragraph (b), each a "</w:t>
      </w:r>
      <w:r>
        <w:rPr>
          <w:rFonts w:ascii="Arial" w:cs="Arial" w:eastAsia="Arial" w:hAnsi="Arial"/>
          <w:sz w:val="19"/>
          <w:szCs w:val="19"/>
          <w:b w:val="1"/>
          <w:bCs w:val="1"/>
          <w:color w:val="auto"/>
        </w:rPr>
        <w:t>Relevant Person</w:t>
      </w:r>
      <w:r>
        <w:rPr>
          <w:rFonts w:ascii="Arial" w:cs="Arial" w:eastAsia="Arial" w:hAnsi="Arial"/>
          <w:sz w:val="19"/>
          <w:szCs w:val="19"/>
          <w:color w:val="auto"/>
        </w:rPr>
        <w:t>") be allowed reasonable rights of inspection and access during normal business hours to the Site, the Cotai Site, the Cotai Project, the Auditors and other Company and Obligor officers, the Company's and each other Obligor's accounting books and records and any other documents relating to the Company or Palo (or their respective businesses or assets) as they may reasonably require, and so as not unreasonably to interfere with the operations of the Company and to take copies of any documents inspected. Any information and documents made available for inspection by a Relevant Person pursuant to this paragraph (b) shall be made available subject to customary confidentiality undertakings being executed by such Relevant Person.</w:t>
      </w:r>
    </w:p>
    <w:p>
      <w:pPr>
        <w:spacing w:after="0" w:line="151" w:lineRule="exact"/>
        <w:rPr>
          <w:sz w:val="20"/>
          <w:szCs w:val="20"/>
          <w:color w:val="auto"/>
        </w:rPr>
      </w:pPr>
    </w:p>
    <w:p>
      <w:pPr>
        <w:jc w:val="both"/>
        <w:ind w:left="1292" w:hanging="644"/>
        <w:spacing w:after="0" w:line="248" w:lineRule="auto"/>
        <w:tabs>
          <w:tab w:leader="none" w:pos="1292" w:val="left"/>
        </w:tabs>
        <w:numPr>
          <w:ilvl w:val="1"/>
          <w:numId w:val="304"/>
        </w:numPr>
        <w:rPr>
          <w:rFonts w:ascii="Arial" w:cs="Arial" w:eastAsia="Arial" w:hAnsi="Arial"/>
          <w:sz w:val="22"/>
          <w:szCs w:val="22"/>
          <w:color w:val="auto"/>
        </w:rPr>
      </w:pPr>
      <w:r>
        <w:rPr>
          <w:rFonts w:ascii="Arial" w:cs="Arial" w:eastAsia="Arial" w:hAnsi="Arial"/>
          <w:sz w:val="22"/>
          <w:szCs w:val="22"/>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305"/>
        </w:numPr>
        <w:rPr>
          <w:rFonts w:ascii="Arial" w:cs="Arial" w:eastAsia="Arial" w:hAnsi="Arial"/>
          <w:sz w:val="22"/>
          <w:szCs w:val="22"/>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 Promptly give notice to the Intercreditor Agent of:</w:t>
      </w:r>
    </w:p>
    <w:p>
      <w:pPr>
        <w:spacing w:after="0" w:line="225"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19"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unless already notified pursuant to paragraph 2(d) of this Part A, any notice of termination (other than expiration in accordance with the terms thereof), any notice of default sent or received by an Obligor or any Termination Event, in each case under any Major Project Document;</w:t>
      </w:r>
    </w:p>
    <w:p>
      <w:pPr>
        <w:spacing w:after="0" w:line="185"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305"/>
        </w:numPr>
        <w:rPr>
          <w:rFonts w:ascii="Arial" w:cs="Arial" w:eastAsia="Arial" w:hAnsi="Arial"/>
          <w:sz w:val="21"/>
          <w:szCs w:val="21"/>
          <w:color w:val="auto"/>
        </w:rPr>
      </w:pPr>
      <w:r>
        <w:rPr>
          <w:rFonts w:ascii="Arial" w:cs="Arial" w:eastAsia="Arial" w:hAnsi="Arial"/>
          <w:sz w:val="21"/>
          <w:szCs w:val="21"/>
          <w:color w:val="auto"/>
        </w:rPr>
        <w:t>(i) any fact, circumstance, condition or occurrence at, on, or arising from, any of the Site or the Site Easements that results in non-compliance with any Environmental Law that has resulted or could reasonably be expected to result in a Material Adverse Effect or result in any liability for any Senior Secured Creditor, and (ii) any Environmental Claim pending or, to the Company's or any other Obligor's knowledge, threatened against the Company or any other Obligor or, to the Company's or any other Obligor's knowledge, pending or threatened against any contractor or any subcontractor arising in connection with its occupying or conducting operations on or in respect of Wynn Macau, the Cotai Project, the Site or the Site Easements which, in connection with any of the forgoing matters specified in this sub-paragraph (c)(ii), could reasonably be expected to have a Material Adverse Effect or result in any liability for any Senior Secured Creditor;</w:t>
      </w:r>
    </w:p>
    <w:p>
      <w:pPr>
        <w:spacing w:after="0" w:line="180"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change in the Responsible Officers of the Company or any other Obligor, and such notice shall include a certified specimen signature of any new officer so appointed and, if requested by any Facility Agent or the Intercreditor Agent, evidence of the authority of such new Responsible Officer;</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(i) default or event of default (or alleged default) by the Company or any other Obligor under any Major Project Document or (ii) litigation, investigation or proceeding which may exist at any time between the Company or any other Obligor and any Governmental Authority, that in either case, could reasonably be expected to have a Material Adverse Effect;</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w:t>
      </w:r>
    </w:p>
    <w:p>
      <w:pPr>
        <w:spacing w:after="0" w:line="233" w:lineRule="exact"/>
        <w:rPr>
          <w:sz w:val="20"/>
          <w:szCs w:val="20"/>
          <w:color w:val="auto"/>
        </w:rPr>
      </w:pPr>
    </w:p>
    <w:p>
      <w:pPr>
        <w:jc w:val="both"/>
        <w:ind w:left="1952" w:hanging="655"/>
        <w:spacing w:after="0" w:line="250" w:lineRule="auto"/>
        <w:tabs>
          <w:tab w:leader="none" w:pos="19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within twenty days after the Company receives actual notice of a Proceeding or Proceedings instigated or threatened in writing involving an alleged liability of, or claims against or affecting, the Company, Wynn HK, Wynn International, Wynn Asia 2 or any other Obligor where any such Proceeding has, or may reasonably be expected to have, a Material Adverse Effect; or</w:t>
      </w:r>
    </w:p>
    <w:p>
      <w:pPr>
        <w:spacing w:after="0" w:line="188" w:lineRule="exact"/>
        <w:rPr>
          <w:rFonts w:ascii="Arial" w:cs="Arial" w:eastAsia="Arial" w:hAnsi="Arial"/>
          <w:sz w:val="22"/>
          <w:szCs w:val="22"/>
          <w:color w:val="auto"/>
        </w:rPr>
      </w:pPr>
    </w:p>
    <w:p>
      <w:pPr>
        <w:jc w:val="both"/>
        <w:ind w:left="1952" w:hanging="655"/>
        <w:spacing w:after="0" w:line="259" w:lineRule="auto"/>
        <w:tabs>
          <w:tab w:leader="none" w:pos="1952" w:val="left"/>
        </w:tabs>
        <w:numPr>
          <w:ilvl w:val="1"/>
          <w:numId w:val="306"/>
        </w:numPr>
        <w:rPr>
          <w:rFonts w:ascii="Arial" w:cs="Arial" w:eastAsia="Arial" w:hAnsi="Arial"/>
          <w:sz w:val="21"/>
          <w:szCs w:val="21"/>
          <w:color w:val="auto"/>
        </w:rPr>
      </w:pPr>
      <w:r>
        <w:rPr>
          <w:rFonts w:ascii="Arial" w:cs="Arial" w:eastAsia="Arial" w:hAnsi="Arial"/>
          <w:sz w:val="21"/>
          <w:szCs w:val="21"/>
          <w:color w:val="auto"/>
        </w:rPr>
        <w:t>upon any officer of the Company or any other Obligor obtaining knowledge thereof, the instigation or written threat of any action, suit, proceeding (whether administrative, judicial or otherwise), governmental investigation or arbitration against or affecting the Company or any other Obligor, or any Property of the Company or any other Obligor (collectively, "</w:t>
      </w:r>
      <w:r>
        <w:rPr>
          <w:rFonts w:ascii="Arial" w:cs="Arial" w:eastAsia="Arial" w:hAnsi="Arial"/>
          <w:sz w:val="21"/>
          <w:szCs w:val="21"/>
          <w:b w:val="1"/>
          <w:bCs w:val="1"/>
          <w:color w:val="auto"/>
        </w:rPr>
        <w:t>Proceedings</w:t>
      </w:r>
      <w:r>
        <w:rPr>
          <w:rFonts w:ascii="Arial" w:cs="Arial" w:eastAsia="Arial" w:hAnsi="Arial"/>
          <w:sz w:val="21"/>
          <w:szCs w:val="21"/>
          <w:color w:val="auto"/>
        </w:rPr>
        <w:t>") not previously disclosed in writing by the Company to the Lenders (including pursuant to paragraph (i)(i) above)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w:t>
      </w:r>
    </w:p>
    <w:p>
      <w:pPr>
        <w:spacing w:after="0" w:line="184" w:lineRule="exact"/>
        <w:rPr>
          <w:rFonts w:ascii="Arial" w:cs="Arial" w:eastAsia="Arial" w:hAnsi="Arial"/>
          <w:sz w:val="21"/>
          <w:szCs w:val="21"/>
          <w:color w:val="auto"/>
        </w:rPr>
      </w:pPr>
    </w:p>
    <w:p>
      <w:pPr>
        <w:ind w:left="1292" w:hanging="644"/>
        <w:spacing w:after="0"/>
        <w:tabs>
          <w:tab w:leader="none" w:pos="1292" w:val="left"/>
        </w:tabs>
        <w:numPr>
          <w:ilvl w:val="0"/>
          <w:numId w:val="307"/>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307"/>
        </w:numPr>
        <w:rPr>
          <w:rFonts w:ascii="Arial" w:cs="Arial" w:eastAsia="Arial" w:hAnsi="Arial"/>
          <w:sz w:val="22"/>
          <w:szCs w:val="22"/>
          <w:color w:val="auto"/>
        </w:rPr>
      </w:pPr>
      <w:r>
        <w:rPr>
          <w:rFonts w:ascii="Arial" w:cs="Arial" w:eastAsia="Arial" w:hAnsi="Arial"/>
          <w:sz w:val="22"/>
          <w:szCs w:val="22"/>
          <w:color w:val="auto"/>
        </w:rPr>
        <w:t>[Not used]; and</w:t>
      </w:r>
    </w:p>
    <w:p>
      <w:pPr>
        <w:sectPr>
          <w:pgSz w:w="11900" w:h="16838" w:orient="portrait"/>
          <w:cols w:equalWidth="0" w:num="1">
            <w:col w:w="11412"/>
          </w:cols>
          <w:pgMar w:left="248" w:top="126" w:right="239" w:bottom="0" w:gutter="0" w:footer="0" w:header="0"/>
        </w:sectPr>
      </w:pPr>
    </w:p>
    <w:bookmarkStart w:id="210" w:name="page211"/>
    <w:bookmarkEnd w:id="210"/>
    <w:p>
      <w:pPr>
        <w:ind w:left="1300" w:hanging="644"/>
        <w:spacing w:after="0"/>
        <w:tabs>
          <w:tab w:leader="none" w:pos="130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any development or event that has had or could reasonably be expected to have a Material Adverse Effect.</w:t>
      </w:r>
    </w:p>
    <w:p>
      <w:pPr>
        <w:spacing w:after="0" w:line="231"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Each notice pursuant to this paragraph shall be accompanied by a statement of a Responsible Officer of the Company setting forth reasonable details of the occurrence referred to therein and stating what action the Company and/or the relevant Obligor proposes to take with respect thereto.</w:t>
      </w:r>
    </w:p>
    <w:p>
      <w:pPr>
        <w:spacing w:after="0" w:line="180"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22"/>
          <w:szCs w:val="22"/>
          <w:color w:val="auto"/>
        </w:rPr>
      </w:pPr>
      <w:r>
        <w:rPr>
          <w:rFonts w:ascii="Arial" w:cs="Arial" w:eastAsia="Arial" w:hAnsi="Arial"/>
          <w:sz w:val="22"/>
          <w:szCs w:val="22"/>
          <w:b w:val="1"/>
          <w:bCs w:val="1"/>
          <w:color w:val="auto"/>
        </w:rPr>
        <w:t>Environmental Laws; Permits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[Not used]</w:t>
      </w:r>
    </w:p>
    <w:p>
      <w:pPr>
        <w:spacing w:after="0" w:line="220"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1"/>
          <w:szCs w:val="21"/>
          <w:color w:val="auto"/>
        </w:rPr>
        <w:t>Comply (and ensure each other Obligor complies) with all applicable Environmental Laws and Environmental Licences (save for any failure to comply that could not reasonably be expected to have a Material Adverse Effect).</w:t>
      </w:r>
    </w:p>
    <w:p>
      <w:pPr>
        <w:spacing w:after="0" w:line="152"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Provide copies of any notices from any Governmental Agency of non-compliance with any material Environmental Law or Environmental Licence and any notices of any material Environmental Claims to the Intercreditor Agent.</w:t>
      </w:r>
    </w:p>
    <w:p>
      <w:pPr>
        <w:spacing w:after="0" w:line="152"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Deliver to the Intercreditor Agent with reasonable promptness, such other documents and information as from time to time may be reasonably requested by the Intercreditor Agent in relation to any matters disclosed pursuant to this paragraph 13.</w:t>
      </w:r>
    </w:p>
    <w:p>
      <w:pPr>
        <w:spacing w:after="0" w:line="99"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22"/>
          <w:szCs w:val="22"/>
          <w:color w:val="auto"/>
        </w:rPr>
      </w:pPr>
      <w:r>
        <w:rPr>
          <w:rFonts w:ascii="Arial" w:cs="Arial" w:eastAsia="Arial" w:hAnsi="Arial"/>
          <w:sz w:val="22"/>
          <w:szCs w:val="22"/>
          <w:b w:val="1"/>
          <w:bCs w:val="1"/>
          <w:color w:val="auto"/>
        </w:rPr>
        <w:t>Hedging</w:t>
      </w:r>
    </w:p>
    <w:p>
      <w:pPr>
        <w:spacing w:after="0" w:line="225" w:lineRule="exact"/>
        <w:rPr>
          <w:rFonts w:ascii="Arial" w:cs="Arial" w:eastAsia="Arial" w:hAnsi="Arial"/>
          <w:sz w:val="22"/>
          <w:szCs w:val="22"/>
          <w:color w:val="auto"/>
        </w:rPr>
      </w:pPr>
    </w:p>
    <w:p>
      <w:pPr>
        <w:ind w:left="660"/>
        <w:spacing w:after="0" w:line="343" w:lineRule="auto"/>
        <w:rPr>
          <w:rFonts w:ascii="Arial" w:cs="Arial" w:eastAsia="Arial" w:hAnsi="Arial"/>
          <w:sz w:val="22"/>
          <w:szCs w:val="22"/>
          <w:color w:val="auto"/>
        </w:rPr>
      </w:pPr>
      <w:r>
        <w:rPr>
          <w:rFonts w:ascii="Arial" w:cs="Arial" w:eastAsia="Arial" w:hAnsi="Arial"/>
          <w:sz w:val="19"/>
          <w:szCs w:val="19"/>
          <w:color w:val="auto"/>
        </w:rPr>
        <w:t>Comply with the Hedging Arrangements and not enter (and ensure no other Obligor enters into) into any other Swap Agreement or derivative transaction other than any Permitted Swap Transaction and the Hedging Arrangements.</w:t>
      </w:r>
    </w:p>
    <w:p>
      <w:pPr>
        <w:spacing w:after="0" w:line="98" w:lineRule="exact"/>
        <w:rPr>
          <w:rFonts w:ascii="Arial" w:cs="Arial" w:eastAsia="Arial" w:hAnsi="Arial"/>
          <w:sz w:val="22"/>
          <w:szCs w:val="22"/>
          <w:color w:val="auto"/>
        </w:rPr>
      </w:pPr>
    </w:p>
    <w:p>
      <w:pPr>
        <w:ind w:left="660" w:hanging="652"/>
        <w:spacing w:after="0"/>
        <w:tabs>
          <w:tab w:leader="none" w:pos="660" w:val="left"/>
        </w:tabs>
        <w:numPr>
          <w:ilvl w:val="0"/>
          <w:numId w:val="310"/>
        </w:numPr>
        <w:rPr>
          <w:rFonts w:ascii="Arial" w:cs="Arial" w:eastAsia="Arial" w:hAnsi="Arial"/>
          <w:sz w:val="22"/>
          <w:szCs w:val="22"/>
          <w:color w:val="auto"/>
        </w:rPr>
      </w:pPr>
      <w:r>
        <w:rPr>
          <w:rFonts w:ascii="Arial" w:cs="Arial" w:eastAsia="Arial" w:hAnsi="Arial"/>
          <w:sz w:val="22"/>
          <w:szCs w:val="22"/>
          <w:b w:val="1"/>
          <w:bCs w:val="1"/>
          <w:color w:val="auto"/>
        </w:rPr>
        <w:t>Additional Collateral, Discharge of Liens, etc.</w:t>
      </w:r>
    </w:p>
    <w:p>
      <w:pPr>
        <w:spacing w:after="0" w:line="22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With respect to any Property acquired by the Company or any other Obligor after the Fifth Amendment Signing Date as to which the Senior Secured Creditors do not have a perfected security interest, subject to compliance with applicable Macau Gaming Laws and restrictions on the grant of Liens permitted pursuant to paragraph 3 of Part B of this Schedule, promptly:</w:t>
      </w:r>
    </w:p>
    <w:p>
      <w:pPr>
        <w:spacing w:after="0" w:line="134" w:lineRule="exact"/>
        <w:rPr>
          <w:sz w:val="20"/>
          <w:szCs w:val="20"/>
          <w:color w:val="auto"/>
        </w:rPr>
      </w:pPr>
    </w:p>
    <w:p>
      <w:pPr>
        <w:jc w:val="both"/>
        <w:ind w:left="1300" w:hanging="644"/>
        <w:spacing w:after="0" w:line="250" w:lineRule="auto"/>
        <w:tabs>
          <w:tab w:leader="none" w:pos="130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execute and deliver (and ensure each other Obligor executes and delivers) to the Intercreditor Agent such amendments to the Security Documents or execute and deliver such other documents as the Intercreditor Agent, acting reasonably, deems necessary or advisable to grant to the Senior Secured Creditors a security interest in such Property; and</w:t>
      </w:r>
    </w:p>
    <w:p>
      <w:pPr>
        <w:spacing w:after="0" w:line="188"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take all actions necessary or advisable to grant to the Senior Secured Creditors a perfected first priority security interest in such Property (subject to Permitted Liens).</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addition to the foregoing, in the event any such Property acquired after the Fifth Amendment Signing Date consists of land or other Property with respect to which a recording or registration in the real property or other records of an appropriate jurisdiction is required or advisable in order to perfect a security interest therein, promptly (and, in any event, within 30 days following the date of such acquisition):</w:t>
      </w:r>
    </w:p>
    <w:p>
      <w:pPr>
        <w:spacing w:after="0" w:line="188" w:lineRule="exact"/>
        <w:rPr>
          <w:sz w:val="20"/>
          <w:szCs w:val="20"/>
          <w:color w:val="auto"/>
        </w:rPr>
      </w:pPr>
    </w:p>
    <w:p>
      <w:pPr>
        <w:jc w:val="both"/>
        <w:ind w:left="1960" w:hanging="655"/>
        <w:spacing w:after="0" w:line="294" w:lineRule="auto"/>
        <w:tabs>
          <w:tab w:leader="none" w:pos="196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execute and deliver (and ensure each other Obligor executes and delivers)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or other Obligor grants to the Senior Secured Creditors a Lien on such Property subject only to Permitted Liens; and</w:t>
      </w:r>
    </w:p>
    <w:p>
      <w:pPr>
        <w:spacing w:after="0" w:line="149" w:lineRule="exact"/>
        <w:rPr>
          <w:rFonts w:ascii="Arial" w:cs="Arial" w:eastAsia="Arial" w:hAnsi="Arial"/>
          <w:sz w:val="19"/>
          <w:szCs w:val="19"/>
          <w:color w:val="auto"/>
        </w:rPr>
      </w:pPr>
    </w:p>
    <w:p>
      <w:pPr>
        <w:jc w:val="both"/>
        <w:ind w:left="1960" w:hanging="655"/>
        <w:spacing w:after="0" w:line="248" w:lineRule="auto"/>
        <w:tabs>
          <w:tab w:leader="none" w:pos="196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execute and/or deliver (and ensure each other Obligor executes and/or delivers)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22"/>
          <w:szCs w:val="22"/>
          <w:i w:val="1"/>
          <w:iCs w:val="1"/>
          <w:color w:val="auto"/>
        </w:rPr>
        <w:t>Conditions Precedent</w:t>
      </w:r>
      <w:r>
        <w:rPr>
          <w:rFonts w:ascii="Arial" w:cs="Arial" w:eastAsia="Arial" w:hAnsi="Arial"/>
          <w:sz w:val="22"/>
          <w:szCs w:val="22"/>
          <w:color w:val="auto"/>
        </w:rPr>
        <w:t>) if such Property were part of the Project Security at the CP Satisfaction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Notwithstanding anything to the contrary in this paragraph 15, sub-paragraph 15.1 shall not apply to:</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any Property created or acquired after the Fifth Amendment Signing Date, as applicable, as to which the Intercreditor Agent has reasonably determined that the collateral value thereof is insufficient to justify the difficulty, time and/or expense of obtaining or maintaining a perfected security interest therein;</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any Subconcession proceeds or any Property purchased with Subconcession proceeds (which is neither comprised in Wynn Macau or the Cotai Project nor necessary or desirable to ensure the full benefit of Wynn Macau or the Cotai Project to the Company);</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any works of art, antiquities, precious stones, precious metals or other similar assets (which are not of a type that</w:t>
      </w:r>
    </w:p>
    <w:p>
      <w:pPr>
        <w:sectPr>
          <w:pgSz w:w="11900" w:h="16838" w:orient="portrait"/>
          <w:cols w:equalWidth="0" w:num="1">
            <w:col w:w="11420"/>
          </w:cols>
          <w:pgMar w:left="240" w:top="132" w:right="239" w:bottom="0" w:gutter="0" w:footer="0" w:header="0"/>
        </w:sectPr>
      </w:pPr>
    </w:p>
    <w:bookmarkStart w:id="211" w:name="page212"/>
    <w:bookmarkEnd w:id="211"/>
    <w:p>
      <w:pPr>
        <w:jc w:val="both"/>
        <w:ind w:left="1292" w:right="20"/>
        <w:spacing w:after="0" w:line="253" w:lineRule="auto"/>
        <w:rPr>
          <w:sz w:val="20"/>
          <w:szCs w:val="20"/>
          <w:color w:val="auto"/>
        </w:rPr>
      </w:pPr>
      <w:r>
        <w:rPr>
          <w:rFonts w:ascii="Arial" w:cs="Arial" w:eastAsia="Arial" w:hAnsi="Arial"/>
          <w:sz w:val="22"/>
          <w:szCs w:val="22"/>
          <w:color w:val="auto"/>
        </w:rPr>
        <w:t>will become affixed to the Site or, as the case may be, the Cotai Site Facilities such that the removal thereof could reasonably be expected to materially interfere with the ongoing ordinary course of operations of Wynn Macau or, as the case may be, the Cotai Project);</w:t>
      </w:r>
    </w:p>
    <w:p>
      <w:pPr>
        <w:spacing w:after="0" w:line="186" w:lineRule="exact"/>
        <w:rPr>
          <w:sz w:val="20"/>
          <w:szCs w:val="20"/>
          <w:color w:val="auto"/>
        </w:rPr>
      </w:pPr>
    </w:p>
    <w:p>
      <w:pPr>
        <w:jc w:val="both"/>
        <w:ind w:left="1292" w:hanging="644"/>
        <w:spacing w:after="0" w:line="248" w:lineRule="auto"/>
        <w:tabs>
          <w:tab w:leader="none" w:pos="1292" w:val="left"/>
        </w:tabs>
        <w:numPr>
          <w:ilvl w:val="0"/>
          <w:numId w:val="314"/>
        </w:numPr>
        <w:rPr>
          <w:rFonts w:ascii="Arial" w:cs="Arial" w:eastAsia="Arial" w:hAnsi="Arial"/>
          <w:sz w:val="22"/>
          <w:szCs w:val="22"/>
          <w:color w:val="auto"/>
        </w:rPr>
      </w:pPr>
      <w:r>
        <w:rPr>
          <w:rFonts w:ascii="Arial" w:cs="Arial" w:eastAsia="Arial" w:hAnsi="Arial"/>
          <w:sz w:val="22"/>
          <w:szCs w:val="22"/>
          <w:color w:val="auto"/>
        </w:rPr>
        <w:t>any Property comprised in or derived from Resort Management Agreements (which is neither comprised in Wynn Macau or the Cotai Project nor necessary or desirable to ensure the full benefit of Wynn Macau or the Cotai Project to the Company save for amounts received by the Company or another Obligor in respect of any Excluded Project located on the Cotai Site and the entry into or performance of obligations under, any Cotai Resort Management Agreement); or</w:t>
      </w:r>
    </w:p>
    <w:p>
      <w:pPr>
        <w:spacing w:after="0" w:line="192" w:lineRule="exact"/>
        <w:rPr>
          <w:rFonts w:ascii="Arial" w:cs="Arial" w:eastAsia="Arial" w:hAnsi="Arial"/>
          <w:sz w:val="22"/>
          <w:szCs w:val="22"/>
          <w:color w:val="auto"/>
        </w:rPr>
      </w:pPr>
    </w:p>
    <w:p>
      <w:pPr>
        <w:ind w:left="1292" w:hanging="644"/>
        <w:spacing w:after="0"/>
        <w:tabs>
          <w:tab w:leader="none" w:pos="1292" w:val="left"/>
        </w:tabs>
        <w:numPr>
          <w:ilvl w:val="0"/>
          <w:numId w:val="314"/>
        </w:numPr>
        <w:rPr>
          <w:rFonts w:ascii="Arial" w:cs="Arial" w:eastAsia="Arial" w:hAnsi="Arial"/>
          <w:sz w:val="22"/>
          <w:szCs w:val="22"/>
          <w:color w:val="auto"/>
        </w:rPr>
      </w:pPr>
      <w:r>
        <w:rPr>
          <w:rFonts w:ascii="Arial" w:cs="Arial" w:eastAsia="Arial" w:hAnsi="Arial"/>
          <w:sz w:val="22"/>
          <w:szCs w:val="22"/>
          <w:color w:val="auto"/>
        </w:rPr>
        <w:t>stock or other ownership interests in Excluded Subsidiaries and Excluded Projects.</w:t>
      </w:r>
    </w:p>
    <w:p>
      <w:pPr>
        <w:spacing w:after="0" w:line="220" w:lineRule="exact"/>
        <w:rPr>
          <w:sz w:val="20"/>
          <w:szCs w:val="20"/>
          <w:color w:val="auto"/>
        </w:rPr>
      </w:pPr>
    </w:p>
    <w:p>
      <w:pPr>
        <w:jc w:val="both"/>
        <w:ind w:left="652" w:hanging="647"/>
        <w:spacing w:after="0" w:line="248" w:lineRule="auto"/>
        <w:tabs>
          <w:tab w:leader="none" w:pos="632" w:val="left"/>
        </w:tabs>
        <w:rPr>
          <w:sz w:val="20"/>
          <w:szCs w:val="20"/>
          <w:color w:val="auto"/>
        </w:rPr>
      </w:pPr>
      <w:r>
        <w:rPr>
          <w:rFonts w:ascii="Arial" w:cs="Arial" w:eastAsia="Arial" w:hAnsi="Arial"/>
          <w:sz w:val="22"/>
          <w:szCs w:val="22"/>
          <w:color w:val="auto"/>
        </w:rPr>
        <w:t>15.5</w:t>
        <w:tab/>
        <w:t>Notwithstanding anything to the contrary in this paragraph 15 or the Senior Finance Documents, (unless otherwise agreed by the Company and the Intercreditor Agent or the Security Agent) neither the Company nor Palo shall at any time be required to grant any Lien over its rights under any contract for the design, development, construction, operation or maintenance of the Cotai Project entered into between a contractor (or an equipment supplier or a service provider) and the Company or Palo, as the case may be.</w:t>
      </w:r>
    </w:p>
    <w:p>
      <w:pPr>
        <w:spacing w:after="0" w:line="192"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15.6</w:t>
        <w:tab/>
        <w:t>Notwithstanding anything to the contrary in this paragraph 15 or the Senior Finance Documents, the Company shall not (and no Obligor shall) at any time be required to grant, create, incur or assume any Lien over any Property or assets described in and set forth in paragraph 15.2 above.</w:t>
      </w:r>
    </w:p>
    <w:p>
      <w:pPr>
        <w:spacing w:after="0" w:line="180" w:lineRule="exact"/>
        <w:rPr>
          <w:sz w:val="20"/>
          <w:szCs w:val="20"/>
          <w:color w:val="auto"/>
        </w:rPr>
      </w:pPr>
    </w:p>
    <w:p>
      <w:pPr>
        <w:ind w:left="652" w:hanging="652"/>
        <w:spacing w:after="0"/>
        <w:tabs>
          <w:tab w:leader="none" w:pos="652" w:val="left"/>
        </w:tabs>
        <w:numPr>
          <w:ilvl w:val="0"/>
          <w:numId w:val="315"/>
        </w:numPr>
        <w:rPr>
          <w:rFonts w:ascii="Arial" w:cs="Arial" w:eastAsia="Arial" w:hAnsi="Arial"/>
          <w:sz w:val="22"/>
          <w:szCs w:val="22"/>
          <w:color w:val="auto"/>
        </w:rPr>
      </w:pPr>
      <w:r>
        <w:rPr>
          <w:rFonts w:ascii="Arial" w:cs="Arial" w:eastAsia="Arial" w:hAnsi="Arial"/>
          <w:sz w:val="22"/>
          <w:szCs w:val="22"/>
          <w:b w:val="1"/>
          <w:bCs w:val="1"/>
          <w:color w:val="auto"/>
        </w:rPr>
        <w:t>Use of Proceeds and Revenues</w:t>
      </w:r>
    </w:p>
    <w:p>
      <w:pPr>
        <w:spacing w:after="0" w:line="22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16.1</w:t>
        <w:tab/>
        <w:t>Use the proceeds of each of the Facilities only for the purposes specified or allowed in this Agreement and the Facility Agreement relating to such Facility.</w:t>
      </w:r>
    </w:p>
    <w:p>
      <w:pPr>
        <w:spacing w:after="0" w:line="175"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Ensure that all of its funds and those of any other Obligor and all other amounts received by it or any other Obligor (other than (i) any Subconcession proceeds or amounts received by the Company or another Obligor in respect of any Excluded Subsidiaries or Excluded Projects or its entry into, or performance of its obligations under, any Resort Management Agreement (but including amounts received by the Company or another Obligor in respect of any Excluded Project located on the Cotai Site and the entry into, or performance of obligations under, any Cotai Resort Management Agreement) and (ii) any Excluded Amounts paid into an Excluded Account) are deposited into any Account or combination of Accounts and otherwise in accordance with the provisions of this Agreement and that it and each other Obligor otherwise complies with Schedule 6 (</w:t>
      </w:r>
      <w:r>
        <w:rPr>
          <w:rFonts w:ascii="Arial" w:cs="Arial" w:eastAsia="Arial" w:hAnsi="Arial"/>
          <w:sz w:val="21"/>
          <w:szCs w:val="21"/>
          <w:i w:val="1"/>
          <w:iCs w:val="1"/>
          <w:color w:val="auto"/>
        </w:rPr>
        <w:t>Accounts</w:t>
      </w:r>
      <w:r>
        <w:rPr>
          <w:rFonts w:ascii="Arial" w:cs="Arial" w:eastAsia="Arial" w:hAnsi="Arial"/>
          <w:sz w:val="21"/>
          <w:szCs w:val="21"/>
          <w:color w:val="auto"/>
        </w:rPr>
        <w:t>).</w:t>
      </w:r>
    </w:p>
    <w:p>
      <w:pPr>
        <w:spacing w:after="0" w:line="178" w:lineRule="exact"/>
        <w:rPr>
          <w:sz w:val="20"/>
          <w:szCs w:val="20"/>
          <w:color w:val="auto"/>
        </w:rPr>
      </w:pPr>
    </w:p>
    <w:p>
      <w:pPr>
        <w:ind w:left="652" w:hanging="652"/>
        <w:spacing w:after="0"/>
        <w:tabs>
          <w:tab w:leader="none" w:pos="652" w:val="left"/>
        </w:tabs>
        <w:numPr>
          <w:ilvl w:val="0"/>
          <w:numId w:val="316"/>
        </w:numPr>
        <w:rPr>
          <w:rFonts w:ascii="Arial" w:cs="Arial" w:eastAsia="Arial" w:hAnsi="Arial"/>
          <w:sz w:val="22"/>
          <w:szCs w:val="22"/>
          <w:color w:val="auto"/>
        </w:rPr>
      </w:pPr>
      <w:r>
        <w:rPr>
          <w:rFonts w:ascii="Arial" w:cs="Arial" w:eastAsia="Arial" w:hAnsi="Arial"/>
          <w:sz w:val="22"/>
          <w:szCs w:val="22"/>
          <w:b w:val="1"/>
          <w:bCs w:val="1"/>
          <w:color w:val="auto"/>
        </w:rPr>
        <w:t>Compliance with Laws, Major Project Documents, etc.; Permits</w:t>
      </w:r>
    </w:p>
    <w:p>
      <w:pPr>
        <w:spacing w:after="0" w:line="2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17.1</w:t>
        <w:tab/>
        <w:t>Comply (and ensure that each Obligor, each member of the Group and each Excluded Subsidiary complies) in all material respects with all material Legal Requirements (including, without limitation, all Anti-Terrorism Laws, Money Laundering Laws and Anti-Bribery Laws), and its Governing Documents.</w:t>
      </w:r>
    </w:p>
    <w:p>
      <w:pPr>
        <w:spacing w:after="0" w:line="186"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17.2</w:t>
        <w:tab/>
        <w:t>Comply (and ensure each other Obligor complies), duly and promptly, in all material respects with its material obligations and enforce all of its material rights under all Major Project Documents, except in the case of any Resort Management Agreement, where the failure to comply could not reasonably be expected to threaten the Concession Contract, the Cotai Land Concession Contract or the Land Concession Contract.</w:t>
      </w:r>
    </w:p>
    <w:p>
      <w:pPr>
        <w:spacing w:after="0" w:line="188"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2"/>
          <w:szCs w:val="22"/>
          <w:color w:val="auto"/>
        </w:rPr>
        <w:t>17.3</w:t>
        <w:tab/>
        <w:t>From time to time obtain, maintain, retain, observe, keep in full force and effect and comply (and ensure that each other Obligor and each other member of the Restricted Group complies) in all material respects with the terms, conditions and provisions of all Permits made or issued by or with a Governmental Authority as shall now or hereafter be necessary under applicable laws.</w:t>
      </w:r>
    </w:p>
    <w:p>
      <w:pPr>
        <w:spacing w:after="0" w:line="188"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17.4</w:t>
        <w:tab/>
        <w:t>Comply (and ensure each Obligor complies) with all Legal Requirements related to the Land Concession Contract, the Cotai Land Concession Contract and the Concession Contract.</w:t>
      </w:r>
    </w:p>
    <w:p>
      <w:pPr>
        <w:spacing w:after="0" w:line="169" w:lineRule="exact"/>
        <w:rPr>
          <w:sz w:val="20"/>
          <w:szCs w:val="20"/>
          <w:color w:val="auto"/>
        </w:rPr>
      </w:pPr>
    </w:p>
    <w:p>
      <w:pPr>
        <w:jc w:val="both"/>
        <w:ind w:left="652" w:hanging="652"/>
        <w:spacing w:after="0" w:line="274" w:lineRule="auto"/>
        <w:tabs>
          <w:tab w:leader="none" w:pos="652" w:val="left"/>
        </w:tabs>
        <w:numPr>
          <w:ilvl w:val="0"/>
          <w:numId w:val="317"/>
        </w:numPr>
        <w:rPr>
          <w:rFonts w:ascii="Arial" w:cs="Arial" w:eastAsia="Arial" w:hAnsi="Arial"/>
          <w:sz w:val="21"/>
          <w:szCs w:val="21"/>
          <w:color w:val="auto"/>
        </w:rPr>
      </w:pPr>
      <w:r>
        <w:rPr>
          <w:rFonts w:ascii="Arial" w:cs="Arial" w:eastAsia="Arial" w:hAnsi="Arial"/>
          <w:sz w:val="21"/>
          <w:szCs w:val="21"/>
          <w:b w:val="1"/>
          <w:bCs w:val="1"/>
          <w:color w:val="auto"/>
        </w:rPr>
        <w:t xml:space="preserve">Pari Passu Ranking </w:t>
      </w:r>
      <w:r>
        <w:rPr>
          <w:rFonts w:ascii="Arial" w:cs="Arial" w:eastAsia="Arial" w:hAnsi="Arial"/>
          <w:sz w:val="21"/>
          <w:szCs w:val="21"/>
          <w:color w:val="auto"/>
        </w:rPr>
        <w:t>- Procure that the obligations of the Company and each other Obligor under the Senior Finance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Documents do and shall rank at least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all its other present and future unsecured and unsubordinated obligations, except for obligations mandatorily preferred by law applying to companies generally.</w:t>
      </w:r>
    </w:p>
    <w:p>
      <w:pPr>
        <w:spacing w:after="0" w:line="158" w:lineRule="exact"/>
        <w:rPr>
          <w:rFonts w:ascii="Arial" w:cs="Arial" w:eastAsia="Arial" w:hAnsi="Arial"/>
          <w:sz w:val="21"/>
          <w:szCs w:val="21"/>
          <w:color w:val="auto"/>
        </w:rPr>
      </w:pPr>
    </w:p>
    <w:p>
      <w:pPr>
        <w:jc w:val="both"/>
        <w:ind w:left="652" w:hanging="652"/>
        <w:spacing w:after="0" w:line="293" w:lineRule="auto"/>
        <w:tabs>
          <w:tab w:leader="none" w:pos="652" w:val="left"/>
        </w:tabs>
        <w:numPr>
          <w:ilvl w:val="0"/>
          <w:numId w:val="317"/>
        </w:numPr>
        <w:rPr>
          <w:rFonts w:ascii="Arial" w:cs="Arial" w:eastAsia="Arial" w:hAnsi="Arial"/>
          <w:sz w:val="19"/>
          <w:szCs w:val="19"/>
          <w:color w:val="auto"/>
        </w:rPr>
      </w:pPr>
      <w:r>
        <w:rPr>
          <w:rFonts w:ascii="Arial" w:cs="Arial" w:eastAsia="Arial" w:hAnsi="Arial"/>
          <w:sz w:val="19"/>
          <w:szCs w:val="19"/>
          <w:b w:val="1"/>
          <w:bCs w:val="1"/>
          <w:color w:val="auto"/>
        </w:rPr>
        <w:t xml:space="preserve">Further Assurances </w:t>
      </w:r>
      <w:r>
        <w:rPr>
          <w:rFonts w:ascii="Arial" w:cs="Arial" w:eastAsia="Arial" w:hAnsi="Arial"/>
          <w:sz w:val="19"/>
          <w:szCs w:val="19"/>
          <w:color w:val="auto"/>
        </w:rPr>
        <w:t>- From time to time execute and deliver, or cause to be executed and delivered, such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instruments, certificates or documents, and take all such actions, as any of the Intercreditor Agent or the Security Agent may reasonably request, 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or any other Obligor which may be deemed to be part of the Project Security) pursuant to the Senior Finance Documents. Upon the exercise by the Intercreditor Agent, the</w:t>
      </w:r>
    </w:p>
    <w:p>
      <w:pPr>
        <w:sectPr>
          <w:pgSz w:w="11900" w:h="16838" w:orient="portrait"/>
          <w:cols w:equalWidth="0" w:num="1">
            <w:col w:w="11412"/>
          </w:cols>
          <w:pgMar w:left="248" w:top="131" w:right="239" w:bottom="0" w:gutter="0" w:footer="0" w:header="0"/>
        </w:sectPr>
      </w:pPr>
    </w:p>
    <w:bookmarkStart w:id="212" w:name="page213"/>
    <w:bookmarkEnd w:id="212"/>
    <w:p>
      <w:pPr>
        <w:jc w:val="both"/>
        <w:ind w:left="652"/>
        <w:spacing w:after="0" w:line="261" w:lineRule="auto"/>
        <w:rPr>
          <w:sz w:val="20"/>
          <w:szCs w:val="20"/>
          <w:color w:val="auto"/>
        </w:rPr>
      </w:pPr>
      <w:r>
        <w:rPr>
          <w:rFonts w:ascii="Arial" w:cs="Arial" w:eastAsia="Arial" w:hAnsi="Arial"/>
          <w:sz w:val="21"/>
          <w:szCs w:val="21"/>
          <w:color w:val="auto"/>
        </w:rPr>
        <w:t>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Security Agent or such Senior Secured Creditor may reasonably be required to obtain from the Company or any other Obligor for such governmental consent, approval, notification, registration or authorisation.</w:t>
      </w:r>
    </w:p>
    <w:p>
      <w:pPr>
        <w:spacing w:after="0" w:line="180" w:lineRule="exact"/>
        <w:rPr>
          <w:sz w:val="20"/>
          <w:szCs w:val="20"/>
          <w:color w:val="auto"/>
        </w:rPr>
      </w:pPr>
    </w:p>
    <w:p>
      <w:pPr>
        <w:ind w:left="652" w:hanging="652"/>
        <w:spacing w:after="0"/>
        <w:tabs>
          <w:tab w:leader="none" w:pos="652" w:val="left"/>
        </w:tabs>
        <w:numPr>
          <w:ilvl w:val="0"/>
          <w:numId w:val="318"/>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18"/>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line="269" w:lineRule="auto"/>
        <w:tabs>
          <w:tab w:leader="none" w:pos="652" w:val="left"/>
        </w:tabs>
        <w:numPr>
          <w:ilvl w:val="0"/>
          <w:numId w:val="318"/>
        </w:numPr>
        <w:rPr>
          <w:rFonts w:ascii="Arial" w:cs="Arial" w:eastAsia="Arial" w:hAnsi="Arial"/>
          <w:sz w:val="22"/>
          <w:szCs w:val="22"/>
          <w:color w:val="auto"/>
        </w:rPr>
      </w:pPr>
      <w:r>
        <w:rPr>
          <w:rFonts w:ascii="Arial" w:cs="Arial" w:eastAsia="Arial" w:hAnsi="Arial"/>
          <w:sz w:val="22"/>
          <w:szCs w:val="22"/>
          <w:b w:val="1"/>
          <w:bCs w:val="1"/>
          <w:color w:val="auto"/>
        </w:rPr>
        <w:t xml:space="preserve">Preserving Project Security </w:t>
      </w:r>
      <w:r>
        <w:rPr>
          <w:rFonts w:ascii="Arial" w:cs="Arial" w:eastAsia="Arial" w:hAnsi="Arial"/>
          <w:sz w:val="22"/>
          <w:szCs w:val="22"/>
          <w:color w:val="auto"/>
        </w:rPr>
        <w:t>- Undertake and cause the other Obligors to undertake, all actions which are necessary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in the reasonable judgment of the Intercreditor Agent to:</w:t>
      </w:r>
    </w:p>
    <w:p>
      <w:pPr>
        <w:spacing w:after="0" w:line="16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18"/>
        </w:numPr>
        <w:rPr>
          <w:rFonts w:ascii="Arial" w:cs="Arial" w:eastAsia="Arial" w:hAnsi="Arial"/>
          <w:sz w:val="22"/>
          <w:szCs w:val="22"/>
          <w:color w:val="auto"/>
        </w:rPr>
      </w:pPr>
      <w:r>
        <w:rPr>
          <w:rFonts w:ascii="Arial" w:cs="Arial" w:eastAsia="Arial" w:hAnsi="Arial"/>
          <w:sz w:val="22"/>
          <w:szCs w:val="22"/>
          <w:color w:val="auto"/>
        </w:rPr>
        <w:t>maintain the Senior Secured Creditors' respective security interests under the Security Documents in the Project Security in full force and effect at all times (including the priority thereof); and</w:t>
      </w:r>
    </w:p>
    <w:p>
      <w:pPr>
        <w:spacing w:after="0" w:line="174" w:lineRule="exact"/>
        <w:rPr>
          <w:rFonts w:ascii="Arial" w:cs="Arial" w:eastAsia="Arial" w:hAnsi="Arial"/>
          <w:sz w:val="22"/>
          <w:szCs w:val="22"/>
          <w:color w:val="auto"/>
        </w:rPr>
      </w:pPr>
    </w:p>
    <w:p>
      <w:pPr>
        <w:ind w:left="1292" w:hanging="644"/>
        <w:spacing w:after="0" w:line="343" w:lineRule="auto"/>
        <w:tabs>
          <w:tab w:leader="none" w:pos="1292" w:val="left"/>
        </w:tabs>
        <w:numPr>
          <w:ilvl w:val="1"/>
          <w:numId w:val="318"/>
        </w:numPr>
        <w:rPr>
          <w:rFonts w:ascii="Arial" w:cs="Arial" w:eastAsia="Arial" w:hAnsi="Arial"/>
          <w:sz w:val="19"/>
          <w:szCs w:val="19"/>
          <w:color w:val="auto"/>
        </w:rPr>
      </w:pPr>
      <w:r>
        <w:rPr>
          <w:rFonts w:ascii="Arial" w:cs="Arial" w:eastAsia="Arial" w:hAnsi="Arial"/>
          <w:sz w:val="19"/>
          <w:szCs w:val="19"/>
          <w:color w:val="auto"/>
        </w:rPr>
        <w:t>preserve and protect the Project Security and protect and enforce the Company's or, as the case may be, other Obligor's rights and title and the respective rights of the Senior Secured Creditor to the Project Security,</w:t>
      </w:r>
    </w:p>
    <w:p>
      <w:pPr>
        <w:spacing w:after="0" w:line="105" w:lineRule="exact"/>
        <w:rPr>
          <w:sz w:val="20"/>
          <w:szCs w:val="20"/>
          <w:color w:val="auto"/>
        </w:rPr>
      </w:pPr>
    </w:p>
    <w:p>
      <w:pPr>
        <w:jc w:val="both"/>
        <w:ind w:left="652"/>
        <w:spacing w:after="0" w:line="250" w:lineRule="auto"/>
        <w:rPr>
          <w:sz w:val="20"/>
          <w:szCs w:val="20"/>
          <w:color w:val="auto"/>
        </w:rPr>
      </w:pPr>
      <w:r>
        <w:rPr>
          <w:rFonts w:ascii="Arial" w:cs="Arial" w:eastAsia="Arial" w:hAnsi="Arial"/>
          <w:sz w:val="22"/>
          <w:szCs w:val="22"/>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188" w:lineRule="exact"/>
        <w:rPr>
          <w:sz w:val="20"/>
          <w:szCs w:val="20"/>
          <w:color w:val="auto"/>
        </w:rPr>
      </w:pPr>
    </w:p>
    <w:p>
      <w:pPr>
        <w:ind w:left="652" w:hanging="652"/>
        <w:spacing w:after="0"/>
        <w:tabs>
          <w:tab w:leader="none" w:pos="652" w:val="left"/>
        </w:tabs>
        <w:numPr>
          <w:ilvl w:val="0"/>
          <w:numId w:val="319"/>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19"/>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Concession Contract </w:t>
      </w:r>
      <w:r>
        <w:rPr>
          <w:rFonts w:ascii="Arial" w:cs="Arial" w:eastAsia="Arial" w:hAnsi="Arial"/>
          <w:sz w:val="22"/>
          <w:szCs w:val="22"/>
          <w:color w:val="auto"/>
        </w:rPr>
        <w:t>- Notify the Intercreditor Agent promptly upon receiving:</w:t>
      </w:r>
    </w:p>
    <w:p>
      <w:pPr>
        <w:spacing w:after="0" w:line="225" w:lineRule="exact"/>
        <w:rPr>
          <w:rFonts w:ascii="Arial" w:cs="Arial" w:eastAsia="Arial" w:hAnsi="Arial"/>
          <w:sz w:val="22"/>
          <w:szCs w:val="22"/>
          <w:color w:val="auto"/>
        </w:rPr>
      </w:pPr>
    </w:p>
    <w:p>
      <w:pPr>
        <w:jc w:val="both"/>
        <w:ind w:left="1292" w:hanging="644"/>
        <w:spacing w:after="0" w:line="312" w:lineRule="auto"/>
        <w:tabs>
          <w:tab w:leader="none" w:pos="1292" w:val="left"/>
        </w:tabs>
        <w:numPr>
          <w:ilvl w:val="1"/>
          <w:numId w:val="319"/>
        </w:numPr>
        <w:rPr>
          <w:rFonts w:ascii="Arial" w:cs="Arial" w:eastAsia="Arial" w:hAnsi="Arial"/>
          <w:sz w:val="19"/>
          <w:szCs w:val="19"/>
          <w:color w:val="auto"/>
        </w:rPr>
      </w:pPr>
      <w:r>
        <w:rPr>
          <w:rFonts w:ascii="Arial" w:cs="Arial" w:eastAsia="Arial" w:hAnsi="Arial"/>
          <w:sz w:val="19"/>
          <w:szCs w:val="19"/>
          <w:color w:val="auto"/>
        </w:rPr>
        <w:t>notice of any formal consultations with the Macau SAR as contemplated by paragraph B1(c) of the Gaming Concession Consent Agreement in relation to any termination and cessation of the Concession Contract (but for the avoidance of doubt not including consultations relating to the potential extension of the Concession Contract);</w:t>
      </w:r>
    </w:p>
    <w:p>
      <w:pPr>
        <w:spacing w:after="0" w:line="133"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319"/>
        </w:numPr>
        <w:rPr>
          <w:rFonts w:ascii="Arial" w:cs="Arial" w:eastAsia="Arial" w:hAnsi="Arial"/>
          <w:sz w:val="22"/>
          <w:szCs w:val="22"/>
          <w:color w:val="auto"/>
        </w:rPr>
      </w:pPr>
      <w:r>
        <w:rPr>
          <w:rFonts w:ascii="Arial" w:cs="Arial" w:eastAsia="Arial" w:hAnsi="Arial"/>
          <w:sz w:val="22"/>
          <w:szCs w:val="22"/>
          <w:color w:val="auto"/>
        </w:rPr>
        <w:t>notice of any formal consultations with the Macau SAR (i) as contemplated by paragraph C1 of the Land Concession Consent Agreement in relation to any termination or rescission of the Land Concession Contract or (ii) in relation to any termination or rescission of the Cotai Land Concession Contract (but for the avoidance of doubt not including consultations relating to the potential extension of the Land Concession Contract or the Cotai Land Concession Contract);</w:t>
      </w:r>
    </w:p>
    <w:p>
      <w:pPr>
        <w:spacing w:after="0" w:line="192" w:lineRule="exact"/>
        <w:rPr>
          <w:rFonts w:ascii="Arial" w:cs="Arial" w:eastAsia="Arial" w:hAnsi="Arial"/>
          <w:sz w:val="22"/>
          <w:szCs w:val="22"/>
          <w:color w:val="auto"/>
        </w:rPr>
      </w:pPr>
    </w:p>
    <w:p>
      <w:pPr>
        <w:ind w:left="1292" w:hanging="644"/>
        <w:spacing w:after="0"/>
        <w:tabs>
          <w:tab w:leader="none" w:pos="1292" w:val="left"/>
        </w:tabs>
        <w:numPr>
          <w:ilvl w:val="1"/>
          <w:numId w:val="319"/>
        </w:numPr>
        <w:rPr>
          <w:rFonts w:ascii="Arial" w:cs="Arial" w:eastAsia="Arial" w:hAnsi="Arial"/>
          <w:sz w:val="22"/>
          <w:szCs w:val="22"/>
          <w:color w:val="auto"/>
        </w:rPr>
      </w:pPr>
      <w:r>
        <w:rPr>
          <w:rFonts w:ascii="Arial" w:cs="Arial" w:eastAsia="Arial" w:hAnsi="Arial"/>
          <w:sz w:val="22"/>
          <w:szCs w:val="22"/>
          <w:color w:val="auto"/>
        </w:rPr>
        <w:t>any notice from the Macau SAR pursuant to clause 3 of article 80 of the Concession Contract; or</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19"/>
        </w:numPr>
        <w:rPr>
          <w:rFonts w:ascii="Arial" w:cs="Arial" w:eastAsia="Arial" w:hAnsi="Arial"/>
          <w:sz w:val="22"/>
          <w:szCs w:val="22"/>
          <w:color w:val="auto"/>
        </w:rPr>
      </w:pPr>
      <w:r>
        <w:rPr>
          <w:rFonts w:ascii="Arial" w:cs="Arial" w:eastAsia="Arial" w:hAnsi="Arial"/>
          <w:sz w:val="22"/>
          <w:szCs w:val="22"/>
          <w:color w:val="auto"/>
        </w:rPr>
        <w:t>any notice from the Macau SAR pursuant to clause 4 of article 80 of the Concession Contract,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keep the Intercreditor Agent fully appraised thereof.</w:t>
      </w:r>
    </w:p>
    <w:p>
      <w:pPr>
        <w:spacing w:after="0" w:line="220" w:lineRule="exact"/>
        <w:rPr>
          <w:sz w:val="20"/>
          <w:szCs w:val="20"/>
          <w:color w:val="auto"/>
        </w:rPr>
      </w:pPr>
    </w:p>
    <w:p>
      <w:pPr>
        <w:ind w:left="652" w:hanging="652"/>
        <w:spacing w:after="0"/>
        <w:tabs>
          <w:tab w:leader="none" w:pos="652" w:val="left"/>
        </w:tabs>
        <w:numPr>
          <w:ilvl w:val="0"/>
          <w:numId w:val="32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20"/>
        </w:numPr>
        <w:rPr>
          <w:rFonts w:ascii="Arial" w:cs="Arial" w:eastAsia="Arial" w:hAnsi="Arial"/>
          <w:sz w:val="22"/>
          <w:szCs w:val="22"/>
          <w:color w:val="auto"/>
        </w:rPr>
      </w:pPr>
      <w:r>
        <w:rPr>
          <w:rFonts w:ascii="Arial" w:cs="Arial" w:eastAsia="Arial" w:hAnsi="Arial"/>
          <w:sz w:val="22"/>
          <w:szCs w:val="22"/>
          <w:b w:val="1"/>
          <w:bCs w:val="1"/>
          <w:color w:val="auto"/>
        </w:rPr>
        <w:t>Sufficiency of Funds</w:t>
      </w:r>
    </w:p>
    <w:p>
      <w:pPr>
        <w:spacing w:after="0" w:line="225" w:lineRule="exact"/>
        <w:rPr>
          <w:rFonts w:ascii="Arial" w:cs="Arial" w:eastAsia="Arial" w:hAnsi="Arial"/>
          <w:sz w:val="22"/>
          <w:szCs w:val="22"/>
          <w:color w:val="auto"/>
        </w:rPr>
      </w:pPr>
    </w:p>
    <w:p>
      <w:pPr>
        <w:ind w:left="652" w:right="20"/>
        <w:spacing w:after="0" w:line="263" w:lineRule="auto"/>
        <w:rPr>
          <w:rFonts w:ascii="Arial" w:cs="Arial" w:eastAsia="Arial" w:hAnsi="Arial"/>
          <w:sz w:val="22"/>
          <w:szCs w:val="22"/>
          <w:color w:val="auto"/>
        </w:rPr>
      </w:pPr>
      <w:r>
        <w:rPr>
          <w:rFonts w:ascii="Arial" w:cs="Arial" w:eastAsia="Arial" w:hAnsi="Arial"/>
          <w:sz w:val="22"/>
          <w:szCs w:val="22"/>
          <w:color w:val="auto"/>
        </w:rPr>
        <w:t>Ensure that it together with each other Obligor has, at all times, sufficient Funds to operate its business as it is then conducted and pay its debts when due.</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20"/>
        </w:numPr>
        <w:rPr>
          <w:rFonts w:ascii="Arial" w:cs="Arial" w:eastAsia="Arial" w:hAnsi="Arial"/>
          <w:sz w:val="22"/>
          <w:szCs w:val="22"/>
          <w:color w:val="auto"/>
        </w:rPr>
      </w:pPr>
      <w:r>
        <w:rPr>
          <w:rFonts w:ascii="Arial" w:cs="Arial" w:eastAsia="Arial" w:hAnsi="Arial"/>
          <w:sz w:val="22"/>
          <w:szCs w:val="22"/>
          <w:b w:val="1"/>
          <w:bCs w:val="1"/>
          <w:color w:val="auto"/>
        </w:rPr>
        <w:t>Additional Obligors</w:t>
      </w:r>
    </w:p>
    <w:p>
      <w:pPr>
        <w:spacing w:after="0" w:line="22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21"/>
          <w:szCs w:val="21"/>
          <w:color w:val="auto"/>
        </w:rPr>
        <w:t>Notwithstanding any other provision to the contrary in this Agreement or the other Senior Finance Documents, promptly (and in any case within 30 days of such formation, creation or acquisition) shall ensure that any newly formed, created or acquired (directly or indirectly) Subsidiary (other than any Excluded Subsidiary) of the Company or any other Obligor, agrees to be subject to the obligations under the terms of the Senior Finance Documents and to grant such Liens in respect of its Property as may be required by the terms of the Senior Finance Documents by:</w:t>
      </w:r>
    </w:p>
    <w:p>
      <w:pPr>
        <w:spacing w:after="0" w:line="176" w:lineRule="exact"/>
        <w:rPr>
          <w:sz w:val="20"/>
          <w:szCs w:val="20"/>
          <w:color w:val="auto"/>
        </w:rPr>
      </w:pPr>
    </w:p>
    <w:p>
      <w:pPr>
        <w:ind w:left="1292" w:hanging="644"/>
        <w:spacing w:after="0" w:line="263" w:lineRule="auto"/>
        <w:tabs>
          <w:tab w:leader="none" w:pos="1292" w:val="left"/>
        </w:tabs>
        <w:numPr>
          <w:ilvl w:val="0"/>
          <w:numId w:val="321"/>
        </w:numPr>
        <w:rPr>
          <w:rFonts w:ascii="Arial" w:cs="Arial" w:eastAsia="Arial" w:hAnsi="Arial"/>
          <w:sz w:val="22"/>
          <w:szCs w:val="22"/>
          <w:color w:val="auto"/>
        </w:rPr>
      </w:pPr>
      <w:r>
        <w:rPr>
          <w:rFonts w:ascii="Arial" w:cs="Arial" w:eastAsia="Arial" w:hAnsi="Arial"/>
          <w:sz w:val="22"/>
          <w:szCs w:val="22"/>
          <w:color w:val="auto"/>
        </w:rPr>
        <w:t>giving not less than 5 Business Days prior written notice to the Intercreditor Agent (which shall promptly notify the Lenders) of such formation, creation or acquisition;</w:t>
      </w:r>
    </w:p>
    <w:p>
      <w:pPr>
        <w:spacing w:after="0" w:line="174" w:lineRule="exact"/>
        <w:rPr>
          <w:rFonts w:ascii="Arial" w:cs="Arial" w:eastAsia="Arial" w:hAnsi="Arial"/>
          <w:sz w:val="22"/>
          <w:szCs w:val="22"/>
          <w:color w:val="auto"/>
        </w:rPr>
      </w:pPr>
    </w:p>
    <w:p>
      <w:pPr>
        <w:ind w:left="1292" w:hanging="644"/>
        <w:spacing w:after="0" w:line="343" w:lineRule="auto"/>
        <w:tabs>
          <w:tab w:leader="none" w:pos="1292" w:val="left"/>
        </w:tabs>
        <w:numPr>
          <w:ilvl w:val="0"/>
          <w:numId w:val="321"/>
        </w:numPr>
        <w:rPr>
          <w:rFonts w:ascii="Arial" w:cs="Arial" w:eastAsia="Arial" w:hAnsi="Arial"/>
          <w:sz w:val="19"/>
          <w:szCs w:val="19"/>
          <w:color w:val="auto"/>
        </w:rPr>
      </w:pPr>
      <w:r>
        <w:rPr>
          <w:rFonts w:ascii="Arial" w:cs="Arial" w:eastAsia="Arial" w:hAnsi="Arial"/>
          <w:sz w:val="19"/>
          <w:szCs w:val="19"/>
          <w:color w:val="auto"/>
        </w:rPr>
        <w:t>the Company confirming that no Default is continuing or would occur as a result of the formation, creation or acquisition of such proposed Subsidiary or as a result of such proposed Subsidiary becoming an Obligor; and</w:t>
      </w:r>
    </w:p>
    <w:p>
      <w:pPr>
        <w:spacing w:after="0" w:line="104" w:lineRule="exact"/>
        <w:rPr>
          <w:rFonts w:ascii="Arial" w:cs="Arial" w:eastAsia="Arial" w:hAnsi="Arial"/>
          <w:sz w:val="19"/>
          <w:szCs w:val="19"/>
          <w:color w:val="auto"/>
        </w:rPr>
      </w:pPr>
    </w:p>
    <w:p>
      <w:pPr>
        <w:ind w:left="1292" w:hanging="644"/>
        <w:spacing w:after="0"/>
        <w:tabs>
          <w:tab w:leader="none" w:pos="1292" w:val="left"/>
        </w:tabs>
        <w:numPr>
          <w:ilvl w:val="0"/>
          <w:numId w:val="321"/>
        </w:numPr>
        <w:rPr>
          <w:rFonts w:ascii="Arial" w:cs="Arial" w:eastAsia="Arial" w:hAnsi="Arial"/>
          <w:sz w:val="19"/>
          <w:szCs w:val="19"/>
          <w:color w:val="auto"/>
        </w:rPr>
      </w:pPr>
      <w:r>
        <w:rPr>
          <w:rFonts w:ascii="Arial" w:cs="Arial" w:eastAsia="Arial" w:hAnsi="Arial"/>
          <w:sz w:val="19"/>
          <w:szCs w:val="19"/>
          <w:color w:val="auto"/>
        </w:rPr>
        <w:t>delivering to the Intercreditor Agent all of the documents and other evidence required by it in relation to the relevant</w:t>
      </w:r>
    </w:p>
    <w:p>
      <w:pPr>
        <w:sectPr>
          <w:pgSz w:w="11900" w:h="16838" w:orient="portrait"/>
          <w:cols w:equalWidth="0" w:num="1">
            <w:col w:w="11412"/>
          </w:cols>
          <w:pgMar w:left="248" w:top="132" w:right="239" w:bottom="0" w:gutter="0" w:footer="0" w:header="0"/>
        </w:sectPr>
      </w:pPr>
    </w:p>
    <w:bookmarkStart w:id="213" w:name="page214"/>
    <w:bookmarkEnd w:id="213"/>
    <w:p>
      <w:pPr>
        <w:ind w:left="1300"/>
        <w:spacing w:after="0"/>
        <w:rPr>
          <w:sz w:val="20"/>
          <w:szCs w:val="20"/>
          <w:color w:val="auto"/>
        </w:rPr>
      </w:pPr>
      <w:r>
        <w:rPr>
          <w:rFonts w:ascii="Arial" w:cs="Arial" w:eastAsia="Arial" w:hAnsi="Arial"/>
          <w:sz w:val="19"/>
          <w:szCs w:val="19"/>
          <w:color w:val="auto"/>
        </w:rPr>
        <w:t>Subsidiary (in form and substance reasonably satisfactory to the Intercreditor Agent), including (without limitation):</w:t>
      </w:r>
    </w:p>
    <w:p>
      <w:pPr>
        <w:spacing w:after="0" w:line="254" w:lineRule="exact"/>
        <w:rPr>
          <w:sz w:val="20"/>
          <w:szCs w:val="20"/>
          <w:color w:val="auto"/>
        </w:rPr>
      </w:pPr>
    </w:p>
    <w:p>
      <w:pPr>
        <w:ind w:left="1960" w:hanging="655"/>
        <w:spacing w:after="0"/>
        <w:tabs>
          <w:tab w:leader="none" w:pos="1960" w:val="left"/>
        </w:tabs>
        <w:numPr>
          <w:ilvl w:val="0"/>
          <w:numId w:val="322"/>
        </w:numPr>
        <w:rPr>
          <w:rFonts w:ascii="Arial" w:cs="Arial" w:eastAsia="Arial" w:hAnsi="Arial"/>
          <w:sz w:val="22"/>
          <w:szCs w:val="22"/>
          <w:color w:val="auto"/>
        </w:rPr>
      </w:pPr>
      <w:r>
        <w:rPr>
          <w:rFonts w:ascii="Arial" w:cs="Arial" w:eastAsia="Arial" w:hAnsi="Arial"/>
          <w:sz w:val="22"/>
          <w:szCs w:val="22"/>
          <w:color w:val="auto"/>
        </w:rPr>
        <w:t>accession by the relevant Subsidiary to the Subordination Deed and the Guarantee; and</w:t>
      </w:r>
    </w:p>
    <w:p>
      <w:pPr>
        <w:spacing w:after="0" w:line="219"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0"/>
          <w:numId w:val="322"/>
        </w:numPr>
        <w:rPr>
          <w:rFonts w:ascii="Arial" w:cs="Arial" w:eastAsia="Arial" w:hAnsi="Arial"/>
          <w:sz w:val="21"/>
          <w:szCs w:val="21"/>
          <w:color w:val="auto"/>
        </w:rPr>
      </w:pPr>
      <w:r>
        <w:rPr>
          <w:rFonts w:ascii="Arial" w:cs="Arial" w:eastAsia="Arial" w:hAnsi="Arial"/>
          <w:sz w:val="21"/>
          <w:szCs w:val="21"/>
          <w:color w:val="auto"/>
        </w:rPr>
        <w:t>any other documentation and evidence reasonably required by the Intercreditor Agent to ensure that the relevant Subsidiary makes such representations and warranties and is subject to such obligations under the terms of the Senior Finance Documents and grants such Liens in respect of its Property,</w:t>
      </w:r>
    </w:p>
    <w:p>
      <w:pPr>
        <w:spacing w:after="0" w:line="168"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in each case on such terms and by such instrument or combination of instruments as the Intercreditor Agent reasonably deems necessary or desirable;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Intercreditor Agent shall have informed the Company of all such documents and evidence to be required by the Intercreditor Agent within a reasonable time after receiving the notice set forth in paragraph 27.1(a).</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27.2</w:t>
        <w:tab/>
        <w:t>The Intercreditor Agent shall notify the Company and the Lenders promptly upon being satisfied that it has received (in form and substance reasonably satisfactory to it) all the documents and other evidence referred to in paragraph 27.1(c) above.</w:t>
      </w:r>
    </w:p>
    <w:p>
      <w:pPr>
        <w:spacing w:after="0" w:line="18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Following the giving of any notice pursuant to paragraph 27.2 above, if the accession of such additional Obligor obliges the Intercreditor Agent or any Lender to comply with "know your customer" or similar identification procedures in circumstances where the necessary information is not already available to it, promptly upon the request of the Intercreditor Agent or any Lender supply, or procure the supply of, such documentation and other evidence as is reasonably requested by the Intercreditor Agent (for itself or on behalf of any Lender) or any Lender (for itself or on behalf of any prospective new Lender) in order for the Intercreditor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151"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22"/>
          <w:szCs w:val="22"/>
          <w:color w:val="auto"/>
        </w:rPr>
      </w:pPr>
      <w:r>
        <w:rPr>
          <w:rFonts w:ascii="Arial" w:cs="Arial" w:eastAsia="Arial" w:hAnsi="Arial"/>
          <w:sz w:val="22"/>
          <w:szCs w:val="22"/>
          <w:b w:val="1"/>
          <w:bCs w:val="1"/>
          <w:color w:val="auto"/>
        </w:rPr>
        <w:t>Cotai Site Excluded Project</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28.1</w:t>
        <w:tab/>
        <w:t>Ensure that to the extent any Excluded Project located on a portion of the Cotai Site is funded by the proceeds of any Advance, such funding is applied solely towards the financing or refinancing of the development costs incurred in relation to such Excluded Project (it being agreed that such development costs include, but are not limited to, costs and expenses related to design, development, land acquisition, construction, site preparation, equipping, pre-opening expenses and capitalized interest).</w:t>
      </w:r>
    </w:p>
    <w:p>
      <w:pPr>
        <w:spacing w:after="0" w:line="19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21"/>
          <w:szCs w:val="21"/>
          <w:color w:val="auto"/>
        </w:rPr>
        <w:t>Ensure that prior to the earlier of the entry into of any contract for and the commencement of the construction of an Excluded Project on a portion of the Cotai Site, the conditions set out in paragraphs (i) to (iii) (inclusive) of the definition of "Excluded Project"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are met and that such conditions continue to be met for the duration of the period during which such Excluded Project remains located on a portion of the Cotai Site.</w:t>
      </w:r>
    </w:p>
    <w:p>
      <w:pPr>
        <w:spacing w:after="0" w:line="170"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Executive Director Substitutions</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Procure that each of the steps set out in paragraphs (a) to (d) (inclusive) of the definition of "Executive Director Substitution"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occurs in relation to any Disposition by an Executive Director of any or all of the Executive Director Shares and that any cancellation of the Existing Executive Director Shares only occurs in connection with an Executive Director Substitution and the issuance of New Executive Director Shares to a New Executive Director.</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Wynn Macau and the Cotai Project</w:t>
      </w:r>
    </w:p>
    <w:p>
      <w:pPr>
        <w:spacing w:after="0" w:line="225" w:lineRule="exact"/>
        <w:rPr>
          <w:rFonts w:ascii="Arial" w:cs="Arial" w:eastAsia="Arial" w:hAnsi="Arial"/>
          <w:sz w:val="22"/>
          <w:szCs w:val="22"/>
          <w:color w:val="auto"/>
        </w:rPr>
      </w:pPr>
    </w:p>
    <w:p>
      <w:pPr>
        <w:jc w:val="both"/>
        <w:ind w:left="660"/>
        <w:spacing w:after="0" w:line="249" w:lineRule="auto"/>
        <w:rPr>
          <w:rFonts w:ascii="Arial" w:cs="Arial" w:eastAsia="Arial" w:hAnsi="Arial"/>
          <w:sz w:val="22"/>
          <w:szCs w:val="22"/>
          <w:color w:val="auto"/>
        </w:rPr>
      </w:pPr>
      <w:r>
        <w:rPr>
          <w:rFonts w:ascii="Arial" w:cs="Arial" w:eastAsia="Arial" w:hAnsi="Arial"/>
          <w:sz w:val="22"/>
          <w:szCs w:val="22"/>
          <w:color w:val="auto"/>
        </w:rPr>
        <w:t>Ensure that the Company continues to own and operate Wynn Macau and, after its construction, Palo, (or following a Permitted Cotai Reorganisation, the Company), continues to own and Palo and/or the Company continues to operate the Cotai Project, in each case, as integrated casino resorts.</w:t>
      </w:r>
    </w:p>
    <w:p>
      <w:pPr>
        <w:ind w:left="660" w:hanging="652"/>
        <w:spacing w:after="0"/>
        <w:tabs>
          <w:tab w:leader="none" w:pos="660"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OFAC</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ind w:left="1300" w:hanging="644"/>
        <w:spacing w:after="0" w:line="263" w:lineRule="auto"/>
        <w:tabs>
          <w:tab w:leader="none" w:pos="13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is not the subject of any U.S. sanctions administered by the Office of Foreign Assets Control of the U.S. Department of the Treasury ("</w:t>
      </w:r>
      <w:r>
        <w:rPr>
          <w:rFonts w:ascii="Arial" w:cs="Arial" w:eastAsia="Arial" w:hAnsi="Arial"/>
          <w:sz w:val="22"/>
          <w:szCs w:val="22"/>
          <w:b w:val="1"/>
          <w:bCs w:val="1"/>
          <w:color w:val="auto"/>
        </w:rPr>
        <w:t>OFAC</w:t>
      </w:r>
      <w:r>
        <w:rPr>
          <w:rFonts w:ascii="Arial" w:cs="Arial" w:eastAsia="Arial" w:hAnsi="Arial"/>
          <w:sz w:val="22"/>
          <w:szCs w:val="22"/>
          <w:color w:val="auto"/>
        </w:rPr>
        <w:t>") or any other Sanctions;</w:t>
      </w:r>
    </w:p>
    <w:p>
      <w:pPr>
        <w:spacing w:after="0" w:line="174"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is not located, organised or residing in any Designated Jurisdiction, or participating in or facilitating a transaction or business in a Designated Jurisdiction or, subject to the proviso in sub-paragraph (i) below, involving any Person who is the subject of Sanctions; and</w:t>
      </w:r>
    </w:p>
    <w:p>
      <w:pPr>
        <w:spacing w:after="0" w:line="185"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subject to the proviso in sub-paragraph (ii) below, on the Fifth Amendment Effective Date, none of its directors, officers, agents, employees or affiliates (as defined in Rule 405 under the U.S. Securities Act of 1933, as amended) (a "</w:t>
      </w:r>
      <w:r>
        <w:rPr>
          <w:rFonts w:ascii="Arial" w:cs="Arial" w:eastAsia="Arial" w:hAnsi="Arial"/>
          <w:sz w:val="19"/>
          <w:szCs w:val="19"/>
          <w:b w:val="1"/>
          <w:bCs w:val="1"/>
          <w:color w:val="auto"/>
        </w:rPr>
        <w:t>relevant OFAC person</w:t>
      </w:r>
      <w:r>
        <w:rPr>
          <w:rFonts w:ascii="Arial" w:cs="Arial" w:eastAsia="Arial" w:hAnsi="Arial"/>
          <w:sz w:val="19"/>
          <w:szCs w:val="19"/>
          <w:color w:val="auto"/>
        </w:rPr>
        <w:t>") are the subject of any U.S. sanctions administered by OFAC or any other Sanctions,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Company will not (and no other Obligor will) be in breach of:</w:t>
      </w:r>
    </w:p>
    <w:p>
      <w:pPr>
        <w:sectPr>
          <w:pgSz w:w="11900" w:h="16838" w:orient="portrait"/>
          <w:cols w:equalWidth="0" w:num="1">
            <w:col w:w="11420"/>
          </w:cols>
          <w:pgMar w:left="240" w:top="132" w:right="239" w:bottom="0" w:gutter="0" w:footer="0" w:header="0"/>
        </w:sectPr>
      </w:pPr>
    </w:p>
    <w:bookmarkStart w:id="214" w:name="page215"/>
    <w:bookmarkEnd w:id="214"/>
    <w:p>
      <w:pPr>
        <w:spacing w:after="0" w:line="28" w:lineRule="exact"/>
        <w:rPr>
          <w:sz w:val="20"/>
          <w:szCs w:val="20"/>
          <w:color w:val="auto"/>
        </w:rPr>
      </w:pPr>
    </w:p>
    <w:p>
      <w:pPr>
        <w:ind w:left="1960" w:hanging="655"/>
        <w:spacing w:after="0" w:line="263" w:lineRule="auto"/>
        <w:tabs>
          <w:tab w:leader="none" w:pos="196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relevant part of paragraph 31.1(b) above, if the relevant Obligor does not have knowledge or reason to believe that the relevant Person is the subject of Sanctions; or</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paragraph 31.1(c) above, if the relevant Obligor does not have knowledge or reason to believe that the relevant OFAC person is the subject of U.S. sanctions administered by OFAC or any other Sanctions on the Fifth Amendment Effective Date.</w:t>
      </w:r>
    </w:p>
    <w:p>
      <w:pPr>
        <w:spacing w:after="0" w:line="18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21"/>
          <w:szCs w:val="21"/>
          <w:color w:val="auto"/>
        </w:rPr>
        <w:t>Ensure that it shall not (and no other Obligor or member of the Group or any Excluded Subsidiary shall) directly or indirectly use the proceeds of the Facilities, or lend, contribute or otherwise make available such proceeds to any other Person, for the purpose of financing the activities of any Person that, at the time of such financing, is the subject of any U.S. sanctions administered by OFAC or any other Sanctions, or in any Designated Jurisdiction.</w:t>
      </w:r>
    </w:p>
    <w:p>
      <w:pPr>
        <w:spacing w:after="0" w:line="1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31.3</w:t>
        <w:tab/>
        <w:t>Without prejudice to paragraph 31.2 above, ensure that none of its funds or assets (and none of the funds or assets of any other Obligor, any member of the Group or any member of the Excluded Group) which are used to pay any amount due pursuant to this Agreement or any other Senior Finance Document shall constitute funds knowingly obtained from transactions with or relating to Designated Persons or Designated Jurisdiction.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jc w:val="both"/>
        <w:ind w:left="1300" w:hanging="644"/>
        <w:spacing w:after="0" w:line="312" w:lineRule="auto"/>
        <w:tabs>
          <w:tab w:leader="none" w:pos="130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has in place customary procedures designed to identify if any of its (or any other Obligor's or any member of the Group's) directors, officers and agents, at the time of its engagement with or appointment of such relevant OFAC persons, is the subject of any U.S. sanctions administered by OFAC or any other Sanctions; and</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will terminate its engagement with or appointment of any of its relevant OFAC person promptly upon it or any other Obligor or any member of the Group having knowledge of such relevant OFAC person being the subject of any U.S. sanctions administered by OFAC or any other Sanctions.</w:t>
      </w:r>
    </w:p>
    <w:p>
      <w:pPr>
        <w:spacing w:after="0" w:line="180"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22"/>
          <w:szCs w:val="22"/>
          <w:color w:val="auto"/>
        </w:rPr>
      </w:pPr>
      <w:r>
        <w:rPr>
          <w:rFonts w:ascii="Arial" w:cs="Arial" w:eastAsia="Arial" w:hAnsi="Arial"/>
          <w:sz w:val="22"/>
          <w:szCs w:val="22"/>
          <w:b w:val="1"/>
          <w:bCs w:val="1"/>
          <w:color w:val="auto"/>
        </w:rPr>
        <w:t>FCPA</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ind w:left="1300" w:hanging="644"/>
        <w:spacing w:after="0"/>
        <w:tabs>
          <w:tab w:leader="none" w:pos="130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does not; and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subject the proviso at the end of this paragraph, none of its (and each other Obligor's and each member of the Group's) directors, officers, agents, employees or other Persons associated with or acting on behalf of any member of the Group (a "</w:t>
      </w:r>
      <w:r>
        <w:rPr>
          <w:rFonts w:ascii="Arial" w:cs="Arial" w:eastAsia="Arial" w:hAnsi="Arial"/>
          <w:sz w:val="22"/>
          <w:szCs w:val="22"/>
          <w:b w:val="1"/>
          <w:bCs w:val="1"/>
          <w:color w:val="auto"/>
        </w:rPr>
        <w:t>relevant FCPA person</w:t>
      </w:r>
      <w:r>
        <w:rPr>
          <w:rFonts w:ascii="Arial" w:cs="Arial" w:eastAsia="Arial" w:hAnsi="Arial"/>
          <w:sz w:val="22"/>
          <w:szCs w:val="22"/>
          <w:color w:val="auto"/>
        </w:rPr>
        <w:t>") shall,</w:t>
      </w:r>
    </w:p>
    <w:p>
      <w:pPr>
        <w:spacing w:after="0" w:line="18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use any corporate funds for any unlawful contribution, gift, entertainment or other unlawful expense relating to political activity; make any direct or indirect unlawful payment to any foreign or domestic government official or employee from corporate funds; violate any provision of the U.S. Foreign Corrupt Practices Act of 1977 (the "</w:t>
      </w:r>
      <w:r>
        <w:rPr>
          <w:rFonts w:ascii="Arial" w:cs="Arial" w:eastAsia="Arial" w:hAnsi="Arial"/>
          <w:sz w:val="21"/>
          <w:szCs w:val="21"/>
          <w:b w:val="1"/>
          <w:bCs w:val="1"/>
          <w:color w:val="auto"/>
        </w:rPr>
        <w:t>FCPA</w:t>
      </w:r>
      <w:r>
        <w:rPr>
          <w:rFonts w:ascii="Arial" w:cs="Arial" w:eastAsia="Arial" w:hAnsi="Arial"/>
          <w:sz w:val="21"/>
          <w:szCs w:val="21"/>
          <w:color w:val="auto"/>
        </w:rPr>
        <w:t>") or make any bribe, rebate, payoff, influence payment, kickback or other unlawful payment prohibited under any applicable law or regulation equivalent to the FCPA (such law or regulation, together with the FCPA, being "</w:t>
      </w:r>
      <w:r>
        <w:rPr>
          <w:rFonts w:ascii="Arial" w:cs="Arial" w:eastAsia="Arial" w:hAnsi="Arial"/>
          <w:sz w:val="21"/>
          <w:szCs w:val="21"/>
          <w:b w:val="1"/>
          <w:bCs w:val="1"/>
          <w:color w:val="auto"/>
        </w:rPr>
        <w:t>Anti-Bribery Laws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paragraph (b) above) an Obligor or member of the Group will not be in breach of this paragraph 32.1 if the relevant Obligor or member of the Group does not have knowledge or reason to believe that the relevant FCPA person is engaged in any of the activities set out in this paragraph 32.1.</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Ensure that it (and each other Obligor and each member of the Group):</w:t>
      </w:r>
    </w:p>
    <w:p>
      <w:pPr>
        <w:spacing w:after="0" w:line="220" w:lineRule="exact"/>
        <w:rPr>
          <w:sz w:val="20"/>
          <w:szCs w:val="20"/>
          <w:color w:val="auto"/>
        </w:rPr>
      </w:pPr>
    </w:p>
    <w:p>
      <w:pPr>
        <w:jc w:val="both"/>
        <w:ind w:left="1300" w:right="20" w:hanging="644"/>
        <w:spacing w:after="0" w:line="253" w:lineRule="auto"/>
        <w:tabs>
          <w:tab w:leader="none" w:pos="130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has in place customary procedures designed to monitor the engagement by its (and each other Obligor's and each member of the Group's) directors, officers and employees in any of the activities set out in paragraph 32.1 above; and</w:t>
      </w:r>
    </w:p>
    <w:p>
      <w:pPr>
        <w:spacing w:after="0" w:line="18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will terminate or, if prohibited under applicable law from so terminating, take appropriate remedial or disciplinary action (including, without limitation, promptly relieving such relevant FCPA person of his or her duties and other responsibilities) and commence the termination of (and diligently pursue such action and termination) its (and each other Obligor's and each member of the Group's) engagement with or appointment of any of its (and each other Obligor's and each member of the Group's) relevant FCPA person promptly upon it or any other Obligor or any member of the Group having knowledge that that relevant FCPA person has engaged in any of the activities set out in paragraph 32.1 above.</w:t>
      </w:r>
    </w:p>
    <w:p>
      <w:pPr>
        <w:spacing w:after="0" w:line="218" w:lineRule="exact"/>
        <w:rPr>
          <w:sz w:val="20"/>
          <w:szCs w:val="20"/>
          <w:color w:val="auto"/>
        </w:rPr>
      </w:pPr>
    </w:p>
    <w:p>
      <w:pPr>
        <w:ind w:left="660" w:hanging="652"/>
        <w:spacing w:after="0"/>
        <w:tabs>
          <w:tab w:leader="none" w:pos="660" w:val="left"/>
        </w:tabs>
        <w:numPr>
          <w:ilvl w:val="0"/>
          <w:numId w:val="331"/>
        </w:numPr>
        <w:rPr>
          <w:rFonts w:ascii="Arial" w:cs="Arial" w:eastAsia="Arial" w:hAnsi="Arial"/>
          <w:sz w:val="22"/>
          <w:szCs w:val="22"/>
          <w:color w:val="auto"/>
        </w:rPr>
      </w:pPr>
      <w:r>
        <w:rPr>
          <w:rFonts w:ascii="Arial" w:cs="Arial" w:eastAsia="Arial" w:hAnsi="Arial"/>
          <w:sz w:val="22"/>
          <w:szCs w:val="22"/>
          <w:b w:val="1"/>
          <w:bCs w:val="1"/>
          <w:color w:val="auto"/>
        </w:rPr>
        <w:t>Money Laundering Laws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Ensure that:</w:t>
      </w:r>
    </w:p>
    <w:p>
      <w:pPr>
        <w:spacing w:after="0" w:line="220" w:lineRule="exact"/>
        <w:rPr>
          <w:sz w:val="20"/>
          <w:szCs w:val="20"/>
          <w:color w:val="auto"/>
        </w:rPr>
      </w:pPr>
    </w:p>
    <w:p>
      <w:pPr>
        <w:jc w:val="both"/>
        <w:ind w:left="1300" w:hanging="644"/>
        <w:spacing w:after="0" w:line="343" w:lineRule="auto"/>
        <w:tabs>
          <w:tab w:leader="none" w:pos="1300" w:val="left"/>
        </w:tabs>
        <w:numPr>
          <w:ilvl w:val="0"/>
          <w:numId w:val="332"/>
        </w:numPr>
        <w:rPr>
          <w:rFonts w:ascii="Arial" w:cs="Arial" w:eastAsia="Arial" w:hAnsi="Arial"/>
          <w:sz w:val="19"/>
          <w:szCs w:val="19"/>
          <w:color w:val="auto"/>
        </w:rPr>
      </w:pPr>
      <w:r>
        <w:rPr>
          <w:rFonts w:ascii="Arial" w:cs="Arial" w:eastAsia="Arial" w:hAnsi="Arial"/>
          <w:sz w:val="19"/>
          <w:szCs w:val="19"/>
          <w:color w:val="auto"/>
        </w:rPr>
        <w:t>it (and each other Obligor and each member of the Group) is in material compliance with all applicable anti-money laundering laws (including but not limited to applicable financial record keeping and reporting requirements and</w:t>
      </w:r>
    </w:p>
    <w:p>
      <w:pPr>
        <w:sectPr>
          <w:pgSz w:w="11900" w:h="16866" w:orient="portrait"/>
          <w:cols w:equalWidth="0" w:num="1">
            <w:col w:w="11420"/>
          </w:cols>
          <w:pgMar w:left="240" w:top="280" w:right="239" w:bottom="0" w:gutter="0" w:footer="0" w:header="0"/>
        </w:sectPr>
      </w:pPr>
    </w:p>
    <w:bookmarkStart w:id="215" w:name="page216"/>
    <w:bookmarkEnd w:id="215"/>
    <w:p>
      <w:pPr>
        <w:jc w:val="both"/>
        <w:ind w:left="1300"/>
        <w:spacing w:after="0" w:line="248" w:lineRule="auto"/>
        <w:rPr>
          <w:sz w:val="20"/>
          <w:szCs w:val="20"/>
          <w:color w:val="auto"/>
        </w:rPr>
      </w:pPr>
      <w:r>
        <w:rPr>
          <w:rFonts w:ascii="Arial" w:cs="Arial" w:eastAsia="Arial" w:hAnsi="Arial"/>
          <w:sz w:val="22"/>
          <w:szCs w:val="22"/>
          <w:color w:val="auto"/>
        </w:rPr>
        <w:t>money laundering statutes in Macau, and, to the best of its (and each other Obligor's and each member of the Group's) knowledge and belief, all jurisdictions in which it, each Obligor and each member of the Group conducts business or which are otherwise applicable to it, each other Obligor and each member of the Group) and all applicable rules, regulations and guidelines issued, administered or enforced by any Governmental Authority pursuant to such laws (collectively, "</w:t>
      </w:r>
      <w:r>
        <w:rPr>
          <w:rFonts w:ascii="Arial" w:cs="Arial" w:eastAsia="Arial" w:hAnsi="Arial"/>
          <w:sz w:val="22"/>
          <w:szCs w:val="22"/>
          <w:b w:val="1"/>
          <w:bCs w:val="1"/>
          <w:color w:val="auto"/>
        </w:rPr>
        <w:t>Money Laundering Laws</w:t>
      </w:r>
      <w:r>
        <w:rPr>
          <w:rFonts w:ascii="Arial" w:cs="Arial" w:eastAsia="Arial" w:hAnsi="Arial"/>
          <w:sz w:val="22"/>
          <w:szCs w:val="22"/>
          <w:color w:val="auto"/>
        </w:rPr>
        <w:t>");</w:t>
      </w:r>
    </w:p>
    <w:p>
      <w:pPr>
        <w:spacing w:after="0" w:line="192" w:lineRule="exact"/>
        <w:rPr>
          <w:sz w:val="20"/>
          <w:szCs w:val="20"/>
          <w:color w:val="auto"/>
        </w:rPr>
      </w:pPr>
    </w:p>
    <w:p>
      <w:pPr>
        <w:jc w:val="both"/>
        <w:ind w:left="1300" w:hanging="644"/>
        <w:spacing w:after="0" w:line="250" w:lineRule="auto"/>
        <w:tabs>
          <w:tab w:leader="none" w:pos="130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on the Fifth Amendment Effective Date, no action, suit or proceeding by or before any court or Governmental Agency, authority or body or any arbitrator involving any Obligor or any member of the Group with respect to Money Laundering Laws is pending and, subject to the proviso at the end of this paragraph 33.1, no such actions, suits or proceedings are threatened or contemplated; and</w:t>
      </w:r>
    </w:p>
    <w:p>
      <w:pPr>
        <w:spacing w:after="0" w:line="188"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on the date of each Advance Request, there is no such action, suit or proceeding pending which may reasonably be expected to have a Material Adverse Effect.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 Obligor or member of the Group will be in breach of paragraph 33.1(b) in respect of the actions, suits or proceedings referred to therein if the relevant Obligor or member of the Group does not have knowledge of the relevant actions, suits or proceedings on the Fifth Amendment Effective Date.</w:t>
      </w:r>
    </w:p>
    <w:p>
      <w:pPr>
        <w:spacing w:after="0" w:line="18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33.2</w:t>
        <w:tab/>
        <w:t>Ensure that it (and each other Obligor and member of the Group) is in material compliance with the U.S. International Money Laundering Abatement and the U.S. Terrorism Financing Act of 2001.</w:t>
      </w:r>
    </w:p>
    <w:p>
      <w:pPr>
        <w:spacing w:after="0" w:line="169"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22"/>
          <w:szCs w:val="22"/>
          <w:color w:val="auto"/>
        </w:rPr>
      </w:pPr>
      <w:r>
        <w:rPr>
          <w:rFonts w:ascii="Arial" w:cs="Arial" w:eastAsia="Arial" w:hAnsi="Arial"/>
          <w:sz w:val="22"/>
          <w:szCs w:val="22"/>
          <w:b w:val="1"/>
          <w:bCs w:val="1"/>
          <w:color w:val="auto"/>
        </w:rPr>
        <w:t>Anti-Terrorism Laws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34.1</w:t>
        <w:tab/>
        <w:t>Subject to the proviso at the end of this paragraph 34.1, it shall ensure that neither it nor any other Obligor or any member of the Group, nor any of its or their respective brokers or other agents acting or benefiting in any capacity in connection with any Advance:</w:t>
      </w:r>
    </w:p>
    <w:p>
      <w:pPr>
        <w:spacing w:after="0" w:line="186" w:lineRule="exact"/>
        <w:rPr>
          <w:sz w:val="20"/>
          <w:szCs w:val="20"/>
          <w:color w:val="auto"/>
        </w:rPr>
      </w:pPr>
    </w:p>
    <w:p>
      <w:pPr>
        <w:ind w:left="1300" w:hanging="644"/>
        <w:spacing w:after="0"/>
        <w:tabs>
          <w:tab w:leader="none" w:pos="130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is in violation of any Anti-Terrorism Law;</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is a Designated Person;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is dealing in any property or interest in property blocked pursuant to any Anti-Terrorism Law,</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Obligor or any member of the Group will not be in breach of this paragraph 34.1 in respect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circumstances or activities of any brokers or agents of any Obligor or any member of the Group which are restricted under paragraphs 34.1(a) to 34.1(c) above (inclusive) if that Obligor or member of the Group does not have knowledge of the relevant circumstances or activities.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color w:val="auto"/>
        </w:rPr>
        <w:t>Ensure that it (and each other Obligor and member of the Group):</w:t>
      </w:r>
    </w:p>
    <w:p>
      <w:pPr>
        <w:spacing w:after="0" w:line="220" w:lineRule="exact"/>
        <w:rPr>
          <w:sz w:val="20"/>
          <w:szCs w:val="20"/>
          <w:color w:val="auto"/>
        </w:rPr>
      </w:pPr>
    </w:p>
    <w:p>
      <w:pPr>
        <w:jc w:val="both"/>
        <w:ind w:left="1300" w:hanging="644"/>
        <w:spacing w:after="0" w:line="265" w:lineRule="auto"/>
        <w:tabs>
          <w:tab w:leader="none" w:pos="1300" w:val="left"/>
        </w:tabs>
        <w:numPr>
          <w:ilvl w:val="0"/>
          <w:numId w:val="336"/>
        </w:numPr>
        <w:rPr>
          <w:rFonts w:ascii="Arial" w:cs="Arial" w:eastAsia="Arial" w:hAnsi="Arial"/>
          <w:sz w:val="21"/>
          <w:szCs w:val="21"/>
          <w:color w:val="auto"/>
        </w:rPr>
      </w:pPr>
      <w:r>
        <w:rPr>
          <w:rFonts w:ascii="Arial" w:cs="Arial" w:eastAsia="Arial" w:hAnsi="Arial"/>
          <w:sz w:val="21"/>
          <w:szCs w:val="21"/>
          <w:color w:val="auto"/>
        </w:rPr>
        <w:t>has in place customary procedures designed to identify, at the time of engagement with or appointment of its (and each other Obligor's and member of the Group's) broker or agent acting or benefiting in any capacity in connection with any Advances, if any of the circumstances or activities that are restricted under paragraphs 34.1(a) to 34.1(c) above (inclusive) applies to or is undertaken by such broker or agent; and</w:t>
      </w:r>
    </w:p>
    <w:p>
      <w:pPr>
        <w:spacing w:after="0" w:line="175"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terminates its (and each other Obligor's and member of the Group's) engagement with or appointment of any such broker or agent promptly upon it, any other Obligor or any member of the Group having knowledge that any of the circumstances or activities that are restricted under paragraphs 34.1(a) to 34.1(c) above (inclusive) applies to or is undertaken by that broker or agent.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PART B</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Negative Covenants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not directly or indirectly:</w:t>
      </w:r>
    </w:p>
    <w:p>
      <w:pPr>
        <w:spacing w:after="0" w:line="196"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22"/>
          <w:szCs w:val="22"/>
          <w:color w:val="auto"/>
        </w:rPr>
      </w:pPr>
      <w:r>
        <w:rPr>
          <w:rFonts w:ascii="Arial" w:cs="Arial" w:eastAsia="Arial" w:hAnsi="Arial"/>
          <w:sz w:val="22"/>
          <w:szCs w:val="22"/>
          <w:b w:val="1"/>
          <w:bCs w:val="1"/>
          <w:color w:val="auto"/>
        </w:rPr>
        <w:t>Financial Condition Covenants</w:t>
      </w:r>
    </w:p>
    <w:p>
      <w:pPr>
        <w:spacing w:after="0" w:line="22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37"/>
        </w:numPr>
        <w:rPr>
          <w:rFonts w:ascii="Arial" w:cs="Arial" w:eastAsia="Arial" w:hAnsi="Arial"/>
          <w:sz w:val="22"/>
          <w:szCs w:val="22"/>
          <w:color w:val="auto"/>
        </w:rPr>
      </w:pPr>
      <w:r>
        <w:rPr>
          <w:rFonts w:ascii="Arial" w:cs="Arial" w:eastAsia="Arial" w:hAnsi="Arial"/>
          <w:sz w:val="22"/>
          <w:szCs w:val="22"/>
          <w:i w:val="1"/>
          <w:iCs w:val="1"/>
          <w:color w:val="auto"/>
        </w:rPr>
        <w:t xml:space="preserve">Leverage Ratio </w:t>
      </w:r>
      <w:r>
        <w:rPr>
          <w:rFonts w:ascii="Arial" w:cs="Arial" w:eastAsia="Arial" w:hAnsi="Arial"/>
          <w:sz w:val="22"/>
          <w:szCs w:val="22"/>
          <w:color w:val="auto"/>
        </w:rPr>
        <w:t>- Permit the Leverage Ratio as at the last day of any period of four full consecutive Fiscal Quarters</w:t>
      </w:r>
      <w:r>
        <w:rPr>
          <w:rFonts w:ascii="Arial" w:cs="Arial" w:eastAsia="Arial" w:hAnsi="Arial"/>
          <w:sz w:val="22"/>
          <w:szCs w:val="22"/>
          <w:i w:val="1"/>
          <w:iCs w:val="1"/>
          <w:color w:val="auto"/>
        </w:rPr>
        <w:t xml:space="preserve"> </w:t>
      </w:r>
      <w:r>
        <w:rPr>
          <w:rFonts w:ascii="Arial" w:cs="Arial" w:eastAsia="Arial" w:hAnsi="Arial"/>
          <w:sz w:val="22"/>
          <w:szCs w:val="22"/>
          <w:color w:val="auto"/>
        </w:rPr>
        <w:t>ending on any Quarterly Date in any Fiscal Year set forth below to exceed the ratio set forth below opposite such Fiscal Year:</w:t>
      </w:r>
    </w:p>
    <w:p>
      <w:pPr>
        <w:spacing w:after="0" w:line="328" w:lineRule="exact"/>
        <w:rPr>
          <w:sz w:val="20"/>
          <w:szCs w:val="20"/>
          <w:color w:val="auto"/>
        </w:rPr>
      </w:pPr>
    </w:p>
    <w:p>
      <w:pPr>
        <w:ind w:left="2360"/>
        <w:spacing w:after="0"/>
        <w:tabs>
          <w:tab w:leader="none" w:pos="7480" w:val="left"/>
        </w:tabs>
        <w:rPr>
          <w:sz w:val="20"/>
          <w:szCs w:val="20"/>
          <w:color w:val="auto"/>
        </w:rPr>
      </w:pPr>
      <w:r>
        <w:rPr>
          <w:rFonts w:ascii="Arial" w:cs="Arial" w:eastAsia="Arial" w:hAnsi="Arial"/>
          <w:sz w:val="22"/>
          <w:szCs w:val="22"/>
          <w:b w:val="1"/>
          <w:bCs w:val="1"/>
          <w:color w:val="auto"/>
        </w:rPr>
        <w:t>Fiscal Year</w:t>
      </w:r>
      <w:r>
        <w:rPr>
          <w:sz w:val="20"/>
          <w:szCs w:val="20"/>
          <w:color w:val="auto"/>
        </w:rPr>
        <w:tab/>
      </w:r>
      <w:r>
        <w:rPr>
          <w:rFonts w:ascii="Arial" w:cs="Arial" w:eastAsia="Arial" w:hAnsi="Arial"/>
          <w:sz w:val="19"/>
          <w:szCs w:val="19"/>
          <w:b w:val="1"/>
          <w:bCs w:val="1"/>
          <w:color w:val="auto"/>
        </w:rPr>
        <w:t>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285750</wp:posOffset>
            </wp:positionV>
            <wp:extent cx="4288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p>
      <w:pPr>
        <w:spacing w:after="0" w:line="200" w:lineRule="exact"/>
        <w:rPr>
          <w:sz w:val="20"/>
          <w:szCs w:val="20"/>
          <w:color w:val="auto"/>
        </w:rPr>
      </w:pPr>
    </w:p>
    <w:p>
      <w:pPr>
        <w:spacing w:after="0" w:line="269" w:lineRule="exact"/>
        <w:rPr>
          <w:sz w:val="20"/>
          <w:szCs w:val="20"/>
          <w:color w:val="auto"/>
        </w:rPr>
      </w:pPr>
    </w:p>
    <w:p>
      <w:pPr>
        <w:ind w:left="2360"/>
        <w:spacing w:after="0"/>
        <w:tabs>
          <w:tab w:leader="none" w:pos="7480" w:val="left"/>
        </w:tabs>
        <w:rPr>
          <w:sz w:val="20"/>
          <w:szCs w:val="20"/>
          <w:color w:val="auto"/>
        </w:rPr>
      </w:pPr>
      <w:r>
        <w:rPr>
          <w:rFonts w:ascii="Arial" w:cs="Arial" w:eastAsia="Arial" w:hAnsi="Arial"/>
          <w:sz w:val="19"/>
          <w:szCs w:val="19"/>
          <w:color w:val="auto"/>
        </w:rPr>
        <w:t>2015</w:t>
      </w:r>
      <w:r>
        <w:rPr>
          <w:sz w:val="20"/>
          <w:szCs w:val="20"/>
          <w:color w:val="auto"/>
        </w:rPr>
        <w:tab/>
      </w:r>
      <w:r>
        <w:rPr>
          <w:rFonts w:ascii="Arial" w:cs="Arial" w:eastAsia="Arial" w:hAnsi="Arial"/>
          <w:sz w:val="19"/>
          <w:szCs w:val="19"/>
          <w:color w:val="auto"/>
        </w:rPr>
        <w:t>5.25:1</w:t>
      </w:r>
    </w:p>
    <w:p>
      <w:pPr>
        <w:sectPr>
          <w:pgSz w:w="11900" w:h="16838" w:orient="portrait"/>
          <w:cols w:equalWidth="0" w:num="1">
            <w:col w:w="11420"/>
          </w:cols>
          <w:pgMar w:left="240" w:top="132" w:right="239" w:bottom="0" w:gutter="0" w:footer="0" w:header="0"/>
          <w:type w:val="continuous"/>
        </w:sectPr>
      </w:pPr>
    </w:p>
    <w:bookmarkStart w:id="216" w:name="page217"/>
    <w:bookmarkEnd w:id="216"/>
    <w:tbl>
      <w:tblPr>
        <w:tblLayout w:type="fixed"/>
        <w:tblInd w:w="2352" w:type="dxa"/>
        <w:tblCellMar>
          <w:top w:w="0" w:type="dxa"/>
          <w:left w:w="0" w:type="dxa"/>
          <w:bottom w:w="0" w:type="dxa"/>
          <w:right w:w="0" w:type="dxa"/>
        </w:tblCellMar>
      </w:tblPr>
      <w:tr>
        <w:trPr>
          <w:trHeight w:val="275"/>
        </w:trPr>
        <w:tc>
          <w:tcPr>
            <w:tcW w:w="3420" w:type="dxa"/>
            <w:vAlign w:val="bottom"/>
          </w:tcPr>
          <w:p>
            <w:pPr>
              <w:spacing w:after="0"/>
              <w:rPr>
                <w:sz w:val="20"/>
                <w:szCs w:val="20"/>
                <w:color w:val="auto"/>
              </w:rPr>
            </w:pPr>
            <w:r>
              <w:rPr>
                <w:rFonts w:ascii="Arial" w:cs="Arial" w:eastAsia="Arial" w:hAnsi="Arial"/>
                <w:sz w:val="22"/>
                <w:szCs w:val="22"/>
                <w:color w:val="auto"/>
              </w:rPr>
              <w:t>2016</w:t>
            </w:r>
          </w:p>
        </w:tc>
        <w:tc>
          <w:tcPr>
            <w:tcW w:w="2260" w:type="dxa"/>
            <w:vAlign w:val="bottom"/>
          </w:tcPr>
          <w:p>
            <w:pPr>
              <w:jc w:val="right"/>
              <w:spacing w:after="0"/>
              <w:rPr>
                <w:sz w:val="20"/>
                <w:szCs w:val="20"/>
                <w:color w:val="auto"/>
              </w:rPr>
            </w:pPr>
            <w:r>
              <w:rPr>
                <w:rFonts w:ascii="Arial" w:cs="Arial" w:eastAsia="Arial" w:hAnsi="Arial"/>
                <w:sz w:val="22"/>
                <w:szCs w:val="22"/>
                <w:color w:val="auto"/>
              </w:rPr>
              <w:t>5.50:1</w:t>
            </w:r>
          </w:p>
        </w:tc>
      </w:tr>
      <w:tr>
        <w:trPr>
          <w:trHeight w:val="702"/>
        </w:trPr>
        <w:tc>
          <w:tcPr>
            <w:tcW w:w="3420" w:type="dxa"/>
            <w:vAlign w:val="bottom"/>
          </w:tcPr>
          <w:p>
            <w:pPr>
              <w:spacing w:after="0"/>
              <w:rPr>
                <w:sz w:val="20"/>
                <w:szCs w:val="20"/>
                <w:color w:val="auto"/>
              </w:rPr>
            </w:pPr>
            <w:r>
              <w:rPr>
                <w:rFonts w:ascii="Arial" w:cs="Arial" w:eastAsia="Arial" w:hAnsi="Arial"/>
                <w:sz w:val="22"/>
                <w:szCs w:val="22"/>
                <w:color w:val="auto"/>
              </w:rPr>
              <w:t>2017</w:t>
            </w:r>
          </w:p>
        </w:tc>
        <w:tc>
          <w:tcPr>
            <w:tcW w:w="2260" w:type="dxa"/>
            <w:vAlign w:val="bottom"/>
          </w:tcPr>
          <w:p>
            <w:pPr>
              <w:jc w:val="right"/>
              <w:spacing w:after="0"/>
              <w:rPr>
                <w:sz w:val="20"/>
                <w:szCs w:val="20"/>
                <w:color w:val="auto"/>
              </w:rPr>
            </w:pPr>
            <w:r>
              <w:rPr>
                <w:rFonts w:ascii="Arial" w:cs="Arial" w:eastAsia="Arial" w:hAnsi="Arial"/>
                <w:sz w:val="22"/>
                <w:szCs w:val="22"/>
                <w:color w:val="auto"/>
              </w:rPr>
              <w:t>5.25:1</w:t>
            </w:r>
          </w:p>
        </w:tc>
      </w:tr>
      <w:tr>
        <w:trPr>
          <w:trHeight w:val="702"/>
        </w:trPr>
        <w:tc>
          <w:tcPr>
            <w:tcW w:w="3420" w:type="dxa"/>
            <w:vAlign w:val="bottom"/>
          </w:tcPr>
          <w:p>
            <w:pPr>
              <w:spacing w:after="0"/>
              <w:rPr>
                <w:sz w:val="20"/>
                <w:szCs w:val="20"/>
                <w:color w:val="auto"/>
              </w:rPr>
            </w:pPr>
            <w:r>
              <w:rPr>
                <w:rFonts w:ascii="Arial" w:cs="Arial" w:eastAsia="Arial" w:hAnsi="Arial"/>
                <w:sz w:val="22"/>
                <w:szCs w:val="22"/>
                <w:color w:val="auto"/>
              </w:rPr>
              <w:t>2018</w:t>
            </w:r>
          </w:p>
        </w:tc>
        <w:tc>
          <w:tcPr>
            <w:tcW w:w="2260" w:type="dxa"/>
            <w:vAlign w:val="bottom"/>
          </w:tcPr>
          <w:p>
            <w:pPr>
              <w:jc w:val="right"/>
              <w:spacing w:after="0"/>
              <w:rPr>
                <w:sz w:val="20"/>
                <w:szCs w:val="20"/>
                <w:color w:val="auto"/>
              </w:rPr>
            </w:pPr>
            <w:r>
              <w:rPr>
                <w:rFonts w:ascii="Arial" w:cs="Arial" w:eastAsia="Arial" w:hAnsi="Arial"/>
                <w:sz w:val="22"/>
                <w:szCs w:val="22"/>
                <w:color w:val="auto"/>
              </w:rPr>
              <w:t>4.75:1</w:t>
            </w:r>
          </w:p>
        </w:tc>
      </w:tr>
      <w:tr>
        <w:trPr>
          <w:trHeight w:val="702"/>
        </w:trPr>
        <w:tc>
          <w:tcPr>
            <w:tcW w:w="3420" w:type="dxa"/>
            <w:vAlign w:val="bottom"/>
          </w:tcPr>
          <w:p>
            <w:pPr>
              <w:spacing w:after="0"/>
              <w:rPr>
                <w:sz w:val="20"/>
                <w:szCs w:val="20"/>
                <w:color w:val="auto"/>
              </w:rPr>
            </w:pPr>
            <w:r>
              <w:rPr>
                <w:rFonts w:ascii="Arial" w:cs="Arial" w:eastAsia="Arial" w:hAnsi="Arial"/>
                <w:sz w:val="22"/>
                <w:szCs w:val="22"/>
                <w:color w:val="auto"/>
              </w:rPr>
              <w:t>2019 and thereafter</w:t>
            </w:r>
          </w:p>
        </w:tc>
        <w:tc>
          <w:tcPr>
            <w:tcW w:w="2260" w:type="dxa"/>
            <w:vAlign w:val="bottom"/>
          </w:tcPr>
          <w:p>
            <w:pPr>
              <w:jc w:val="right"/>
              <w:spacing w:after="0"/>
              <w:rPr>
                <w:sz w:val="20"/>
                <w:szCs w:val="20"/>
                <w:color w:val="auto"/>
              </w:rPr>
            </w:pPr>
            <w:r>
              <w:rPr>
                <w:rFonts w:ascii="Arial" w:cs="Arial" w:eastAsia="Arial" w:hAnsi="Arial"/>
                <w:sz w:val="22"/>
                <w:szCs w:val="22"/>
                <w:color w:val="auto"/>
              </w:rPr>
              <w:t>4.25:1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292"/>
        <w:spacing w:after="0" w:line="248"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for purposes of calculating EBITDA pursuant to this paragraph 1(a) for any period which is less than</w:t>
      </w:r>
      <w:r>
        <w:rPr>
          <w:rFonts w:ascii="Arial" w:cs="Arial" w:eastAsia="Arial" w:hAnsi="Arial"/>
          <w:sz w:val="22"/>
          <w:szCs w:val="22"/>
          <w:i w:val="1"/>
          <w:iCs w:val="1"/>
          <w:color w:val="auto"/>
        </w:rPr>
        <w:t xml:space="preserve"> </w:t>
      </w:r>
      <w:r>
        <w:rPr>
          <w:rFonts w:ascii="Arial" w:cs="Arial" w:eastAsia="Arial" w:hAnsi="Arial"/>
          <w:sz w:val="22"/>
          <w:szCs w:val="22"/>
          <w:color w:val="auto"/>
        </w:rPr>
        <w:t>four full Fiscal Quarters, EBITDA shall be calculated on an annualised basis commencing on the first day following the first full quarter after all conditions precedent set forth in Schedule 1 (</w:t>
      </w:r>
      <w:r>
        <w:rPr>
          <w:rFonts w:ascii="Arial" w:cs="Arial" w:eastAsia="Arial" w:hAnsi="Arial"/>
          <w:sz w:val="22"/>
          <w:szCs w:val="22"/>
          <w:i w:val="1"/>
          <w:iCs w:val="1"/>
          <w:color w:val="auto"/>
        </w:rPr>
        <w:t>Conditions Precedent</w:t>
      </w:r>
      <w:r>
        <w:rPr>
          <w:rFonts w:ascii="Arial" w:cs="Arial" w:eastAsia="Arial" w:hAnsi="Arial"/>
          <w:sz w:val="22"/>
          <w:szCs w:val="22"/>
          <w:color w:val="auto"/>
        </w:rPr>
        <w:t>) to the Common Terms Agreement Fifth Amendment Agreement have been satisfied and the first Advance has been made under the Term Facility.</w:t>
      </w:r>
    </w:p>
    <w:p>
      <w:pPr>
        <w:spacing w:after="0" w:line="192" w:lineRule="exact"/>
        <w:rPr>
          <w:sz w:val="20"/>
          <w:szCs w:val="20"/>
          <w:color w:val="auto"/>
        </w:rPr>
      </w:pPr>
    </w:p>
    <w:p>
      <w:pPr>
        <w:ind w:left="1292" w:hanging="644"/>
        <w:spacing w:after="0" w:line="263" w:lineRule="auto"/>
        <w:tabs>
          <w:tab w:leader="none" w:pos="1292" w:val="left"/>
        </w:tabs>
        <w:numPr>
          <w:ilvl w:val="1"/>
          <w:numId w:val="338"/>
        </w:numPr>
        <w:rPr>
          <w:rFonts w:ascii="Arial" w:cs="Arial" w:eastAsia="Arial" w:hAnsi="Arial"/>
          <w:sz w:val="22"/>
          <w:szCs w:val="22"/>
          <w:color w:val="auto"/>
        </w:rPr>
      </w:pPr>
      <w:r>
        <w:rPr>
          <w:rFonts w:ascii="Arial" w:cs="Arial" w:eastAsia="Arial" w:hAnsi="Arial"/>
          <w:sz w:val="22"/>
          <w:szCs w:val="22"/>
          <w:i w:val="1"/>
          <w:iCs w:val="1"/>
          <w:color w:val="auto"/>
        </w:rPr>
        <w:t xml:space="preserve">Interest Coverage Ratio </w:t>
      </w:r>
      <w:r>
        <w:rPr>
          <w:rFonts w:ascii="Arial" w:cs="Arial" w:eastAsia="Arial" w:hAnsi="Arial"/>
          <w:sz w:val="22"/>
          <w:szCs w:val="22"/>
          <w:color w:val="auto"/>
        </w:rPr>
        <w:t>- Permit the Interest Coverage Ratio for each period of four full consecutive Fiscal Quarters</w:t>
      </w:r>
      <w:r>
        <w:rPr>
          <w:rFonts w:ascii="Arial" w:cs="Arial" w:eastAsia="Arial" w:hAnsi="Arial"/>
          <w:sz w:val="22"/>
          <w:szCs w:val="22"/>
          <w:i w:val="1"/>
          <w:iCs w:val="1"/>
          <w:color w:val="auto"/>
        </w:rPr>
        <w:t xml:space="preserve"> </w:t>
      </w:r>
      <w:r>
        <w:rPr>
          <w:rFonts w:ascii="Arial" w:cs="Arial" w:eastAsia="Arial" w:hAnsi="Arial"/>
          <w:sz w:val="22"/>
          <w:szCs w:val="22"/>
          <w:color w:val="auto"/>
        </w:rPr>
        <w:t>ending on each Quarterly Date in any Fiscal Year to be less than 2.0:1 at any time.</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39"/>
        </w:numPr>
        <w:rPr>
          <w:rFonts w:ascii="Arial" w:cs="Arial" w:eastAsia="Arial" w:hAnsi="Arial"/>
          <w:sz w:val="22"/>
          <w:szCs w:val="22"/>
          <w:color w:val="auto"/>
        </w:rPr>
      </w:pPr>
      <w:r>
        <w:rPr>
          <w:rFonts w:ascii="Arial" w:cs="Arial" w:eastAsia="Arial" w:hAnsi="Arial"/>
          <w:sz w:val="22"/>
          <w:szCs w:val="22"/>
          <w:b w:val="1"/>
          <w:bCs w:val="1"/>
          <w:color w:val="auto"/>
        </w:rPr>
        <w:t>Limitation on Financial Indebtedness</w:t>
      </w:r>
    </w:p>
    <w:p>
      <w:pPr>
        <w:spacing w:after="0" w:line="226"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Create, incur, assume or allow to remain outstanding (or permit any other Obligor to create, incur, assume or allow to remain outstanding) any Financial Indebtedness, except:</w:t>
      </w:r>
    </w:p>
    <w:p>
      <w:pPr>
        <w:spacing w:after="0" w:line="175" w:lineRule="exact"/>
        <w:rPr>
          <w:sz w:val="20"/>
          <w:szCs w:val="20"/>
          <w:color w:val="auto"/>
        </w:rPr>
      </w:pPr>
    </w:p>
    <w:p>
      <w:pPr>
        <w:jc w:val="both"/>
        <w:ind w:left="1292" w:hanging="644"/>
        <w:spacing w:after="0" w:line="265" w:lineRule="auto"/>
        <w:tabs>
          <w:tab w:leader="none" w:pos="1292" w:val="left"/>
        </w:tabs>
        <w:numPr>
          <w:ilvl w:val="0"/>
          <w:numId w:val="340"/>
        </w:numPr>
        <w:rPr>
          <w:rFonts w:ascii="Arial" w:cs="Arial" w:eastAsia="Arial" w:hAnsi="Arial"/>
          <w:sz w:val="21"/>
          <w:szCs w:val="21"/>
          <w:color w:val="auto"/>
        </w:rPr>
      </w:pPr>
      <w:r>
        <w:rPr>
          <w:rFonts w:ascii="Arial" w:cs="Arial" w:eastAsia="Arial" w:hAnsi="Arial"/>
          <w:sz w:val="21"/>
          <w:szCs w:val="21"/>
          <w:color w:val="auto"/>
        </w:rPr>
        <w:t>Financial Indebtedness of the Company or Palo created under any Senior Finance Document (other than an Additional Lender Facility Agreement), the Performance Bond Facility, any Shareholder Loan, any Subordinated Debt or any Guarantee Obligations represented by the guarantee required to be issued pursuant to clause 7 of the Land Concession Contract or clause 7 of the Cotai Land Concession Contract;</w:t>
      </w:r>
    </w:p>
    <w:p>
      <w:pPr>
        <w:spacing w:after="0" w:line="175"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 xml:space="preserve">Financial Indebtedness of the Company or Palo (including Capital Lease Obligations) secured by Liens permitted by paragraph 3(l) of this Part 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recourse in respect of such Financial Indebtedness is limited solely to the Property secured by such Liens;</w:t>
      </w:r>
    </w:p>
    <w:p>
      <w:pPr>
        <w:spacing w:after="0" w:line="185" w:lineRule="exact"/>
        <w:rPr>
          <w:rFonts w:ascii="Arial" w:cs="Arial" w:eastAsia="Arial" w:hAnsi="Arial"/>
          <w:sz w:val="22"/>
          <w:szCs w:val="22"/>
          <w:color w:val="auto"/>
        </w:rPr>
      </w:pPr>
    </w:p>
    <w:p>
      <w:pPr>
        <w:jc w:val="both"/>
        <w:ind w:left="1292" w:hanging="644"/>
        <w:spacing w:after="0" w:line="261" w:lineRule="auto"/>
        <w:tabs>
          <w:tab w:leader="none" w:pos="1292" w:val="left"/>
        </w:tabs>
        <w:numPr>
          <w:ilvl w:val="0"/>
          <w:numId w:val="340"/>
        </w:numPr>
        <w:rPr>
          <w:rFonts w:ascii="Arial" w:cs="Arial" w:eastAsia="Arial" w:hAnsi="Arial"/>
          <w:sz w:val="21"/>
          <w:szCs w:val="21"/>
          <w:color w:val="auto"/>
        </w:rPr>
      </w:pPr>
      <w:r>
        <w:rPr>
          <w:rFonts w:ascii="Arial" w:cs="Arial" w:eastAsia="Arial" w:hAnsi="Arial"/>
          <w:sz w:val="21"/>
          <w:szCs w:val="21"/>
          <w:color w:val="auto"/>
        </w:rPr>
        <w:t xml:space="preserve">Financial Indebtedness of the Company or Palo in an aggregate principal amount not to exceed USD50,000,000 or its equivalent at any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 to the extent that such attachment or judgment Lien arises in respect of that Financial Indebtedness above or a Lien referred to in paragraph 3(m) of Part B of Schedule 5 (</w:t>
      </w:r>
      <w:r>
        <w:rPr>
          <w:rFonts w:ascii="Arial" w:cs="Arial" w:eastAsia="Arial" w:hAnsi="Arial"/>
          <w:sz w:val="21"/>
          <w:szCs w:val="21"/>
          <w:i w:val="1"/>
          <w:iCs w:val="1"/>
          <w:color w:val="auto"/>
        </w:rPr>
        <w:t>Covenants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1292" w:hanging="644"/>
        <w:spacing w:after="0" w:line="250" w:lineRule="auto"/>
        <w:tabs>
          <w:tab w:leader="none" w:pos="129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 xml:space="preserve">Financial Indebtedness of the Company or Palo incurred for the purpose of repaying the balance of the principal amount owing to all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the Intercreditor Agent is satisfied that upon the incurrence of such Financial Indebtedness or immediately thereafter the Release Date (without reference to paragraph (b) of the definition of "Release Date" in Clause 1.1 (</w:t>
      </w:r>
      <w:r>
        <w:rPr>
          <w:rFonts w:ascii="Arial" w:cs="Arial" w:eastAsia="Arial" w:hAnsi="Arial"/>
          <w:sz w:val="22"/>
          <w:szCs w:val="22"/>
          <w:i w:val="1"/>
          <w:iCs w:val="1"/>
          <w:color w:val="auto"/>
        </w:rPr>
        <w:t>Definitions</w:t>
      </w:r>
      <w:r>
        <w:rPr>
          <w:rFonts w:ascii="Arial" w:cs="Arial" w:eastAsia="Arial" w:hAnsi="Arial"/>
          <w:sz w:val="22"/>
          <w:szCs w:val="22"/>
          <w:color w:val="auto"/>
        </w:rPr>
        <w:t>)) will occur;</w:t>
      </w:r>
    </w:p>
    <w:p>
      <w:pPr>
        <w:spacing w:after="0" w:line="188" w:lineRule="exact"/>
        <w:rPr>
          <w:rFonts w:ascii="Arial" w:cs="Arial" w:eastAsia="Arial" w:hAnsi="Arial"/>
          <w:sz w:val="22"/>
          <w:szCs w:val="22"/>
          <w:color w:val="auto"/>
        </w:rPr>
      </w:pPr>
    </w:p>
    <w:p>
      <w:pPr>
        <w:jc w:val="both"/>
        <w:ind w:left="1292" w:hanging="644"/>
        <w:spacing w:after="0" w:line="288" w:lineRule="auto"/>
        <w:tabs>
          <w:tab w:leader="none" w:pos="1292" w:val="left"/>
        </w:tabs>
        <w:numPr>
          <w:ilvl w:val="0"/>
          <w:numId w:val="340"/>
        </w:numPr>
        <w:rPr>
          <w:rFonts w:ascii="Arial" w:cs="Arial" w:eastAsia="Arial" w:hAnsi="Arial"/>
          <w:sz w:val="19"/>
          <w:szCs w:val="19"/>
          <w:color w:val="auto"/>
        </w:rPr>
      </w:pPr>
      <w:r>
        <w:rPr>
          <w:rFonts w:ascii="Arial" w:cs="Arial" w:eastAsia="Arial" w:hAnsi="Arial"/>
          <w:sz w:val="19"/>
          <w:szCs w:val="19"/>
          <w:color w:val="auto"/>
        </w:rPr>
        <w:t xml:space="preserve">Financial Indebtedness of the Company or Palo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Leverage Ratio as at the most recent Quarterly Date, if determined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the creation, assumption or sufferance to exist of such Financial Indebtedness (when taken together with all such other Financial Indebtedness of the Company permitted pursuant to this paragraph 2.1(e) but,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would not exceed the ratio set forth opposite that Quarterly Date in paragraph 1(a) and </w:t>
      </w:r>
      <w:r>
        <w:rPr>
          <w:rFonts w:ascii="Arial" w:cs="Arial" w:eastAsia="Arial" w:hAnsi="Arial"/>
          <w:sz w:val="19"/>
          <w:szCs w:val="19"/>
          <w:i w:val="1"/>
          <w:iCs w:val="1"/>
          <w:color w:val="auto"/>
        </w:rPr>
        <w:t>further provided</w:t>
      </w:r>
      <w:r>
        <w:rPr>
          <w:rFonts w:ascii="Arial" w:cs="Arial" w:eastAsia="Arial" w:hAnsi="Arial"/>
          <w:sz w:val="19"/>
          <w:szCs w:val="19"/>
          <w:color w:val="auto"/>
        </w:rPr>
        <w:t xml:space="preserve"> that the provider (or providers) of such Financial Indebtedness do not (in respect of such Financial Indebtedness) have the benefit of any Lien over or in respect of the Project Security (or any part thereof) (save for a Lien referred to in paragraph 3(i)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 to the extent that such attachment or judgment Lien arises in respect of that Financial Indebtedness above or a Lien referred to in paragraph 3(m) of Part B of Schedule 5 (</w:t>
      </w:r>
      <w:r>
        <w:rPr>
          <w:rFonts w:ascii="Arial" w:cs="Arial" w:eastAsia="Arial" w:hAnsi="Arial"/>
          <w:sz w:val="19"/>
          <w:szCs w:val="19"/>
          <w:i w:val="1"/>
          <w:iCs w:val="1"/>
          <w:color w:val="auto"/>
        </w:rPr>
        <w:t>Covenants</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292" w:hanging="644"/>
        <w:spacing w:after="0"/>
        <w:tabs>
          <w:tab w:leader="none" w:pos="1292" w:val="left"/>
        </w:tabs>
        <w:numPr>
          <w:ilvl w:val="0"/>
          <w:numId w:val="340"/>
        </w:numPr>
        <w:rPr>
          <w:rFonts w:ascii="Arial" w:cs="Arial" w:eastAsia="Arial" w:hAnsi="Arial"/>
          <w:sz w:val="21"/>
          <w:szCs w:val="21"/>
          <w:color w:val="auto"/>
        </w:rPr>
      </w:pPr>
      <w:r>
        <w:rPr>
          <w:rFonts w:ascii="Arial" w:cs="Arial" w:eastAsia="Arial" w:hAnsi="Arial"/>
          <w:sz w:val="21"/>
          <w:szCs w:val="21"/>
          <w:color w:val="auto"/>
        </w:rPr>
        <w:t>Financial Indebtedness of the Company, pursuant to one or more Additional Lender Facility Agreements:</w:t>
      </w:r>
    </w:p>
    <w:p>
      <w:pPr>
        <w:spacing w:after="0" w:line="231" w:lineRule="exact"/>
        <w:rPr>
          <w:rFonts w:ascii="Arial" w:cs="Arial" w:eastAsia="Arial" w:hAnsi="Arial"/>
          <w:sz w:val="21"/>
          <w:szCs w:val="21"/>
          <w:color w:val="auto"/>
        </w:rPr>
      </w:pPr>
    </w:p>
    <w:p>
      <w:pPr>
        <w:ind w:left="1952" w:hanging="655"/>
        <w:spacing w:after="0"/>
        <w:tabs>
          <w:tab w:leader="none" w:pos="195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in an aggregate principal amount not to exceed USD1,000,000,000 or its equivalent;</w:t>
      </w:r>
    </w:p>
    <w:p>
      <w:pPr>
        <w:spacing w:after="0" w:line="219" w:lineRule="exact"/>
        <w:rPr>
          <w:rFonts w:ascii="Arial" w:cs="Arial" w:eastAsia="Arial" w:hAnsi="Arial"/>
          <w:sz w:val="22"/>
          <w:szCs w:val="22"/>
          <w:color w:val="auto"/>
        </w:rPr>
      </w:pPr>
    </w:p>
    <w:p>
      <w:pPr>
        <w:jc w:val="both"/>
        <w:ind w:left="1952" w:hanging="655"/>
        <w:spacing w:after="0" w:line="312" w:lineRule="auto"/>
        <w:tabs>
          <w:tab w:leader="none" w:pos="1952" w:val="left"/>
        </w:tabs>
        <w:numPr>
          <w:ilvl w:val="1"/>
          <w:numId w:val="340"/>
        </w:numPr>
        <w:rPr>
          <w:rFonts w:ascii="Arial" w:cs="Arial" w:eastAsia="Arial" w:hAnsi="Arial"/>
          <w:sz w:val="19"/>
          <w:szCs w:val="19"/>
          <w:color w:val="auto"/>
        </w:rPr>
      </w:pPr>
      <w:r>
        <w:rPr>
          <w:rFonts w:ascii="Arial" w:cs="Arial" w:eastAsia="Arial" w:hAnsi="Arial"/>
          <w:sz w:val="19"/>
          <w:szCs w:val="19"/>
          <w:color w:val="auto"/>
        </w:rPr>
        <w:t>on terms no more favourable to any creditor to which such Financial Indebtedness is owed than those to which (i) the Revolving Credit Facility made available pursuant to the Revolving Credit Facility Agreement referred to in paragraph (a) of the definition of "Revolving Credit Facility Agreement" in Clause 1.1</w:t>
      </w:r>
    </w:p>
    <w:p>
      <w:pPr>
        <w:sectPr>
          <w:pgSz w:w="11900" w:h="16838" w:orient="portrait"/>
          <w:cols w:equalWidth="0" w:num="1">
            <w:col w:w="11412"/>
          </w:cols>
          <w:pgMar w:left="248" w:top="348" w:right="239" w:bottom="0" w:gutter="0" w:footer="0" w:header="0"/>
        </w:sectPr>
      </w:pPr>
    </w:p>
    <w:bookmarkStart w:id="217" w:name="page218"/>
    <w:bookmarkEnd w:id="217"/>
    <w:p>
      <w:pPr>
        <w:jc w:val="both"/>
        <w:ind w:left="1304"/>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Definitions</w:t>
      </w:r>
      <w:r>
        <w:rPr>
          <w:rFonts w:ascii="Arial" w:cs="Arial" w:eastAsia="Arial" w:hAnsi="Arial"/>
          <w:sz w:val="19"/>
          <w:szCs w:val="19"/>
          <w:color w:val="auto"/>
        </w:rPr>
        <w:t>) of this Agreement are subject (in respect of any Additional Lender Facility that is a revolving credit facility) or (ii) the Term Facility is subject (in respect of any Additional Lender Facility that is a term loan facility)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Financial Indebtedness will be tranched as agreed between the Company and all such creditors (A) between US dollars and Hong Kong dollars and (B) further tranched (if required) to address any requirements of any creditor for its participations thereunder to be applied solely to finance costs or other amounts unconnected with the operation of casino games of chance or other forms of gaming);</w:t>
      </w:r>
    </w:p>
    <w:p>
      <w:pPr>
        <w:spacing w:after="0" w:line="150" w:lineRule="exact"/>
        <w:rPr>
          <w:sz w:val="20"/>
          <w:szCs w:val="20"/>
          <w:color w:val="auto"/>
        </w:rPr>
      </w:pPr>
    </w:p>
    <w:p>
      <w:pPr>
        <w:jc w:val="both"/>
        <w:ind w:left="1304" w:hanging="655"/>
        <w:spacing w:after="0" w:line="288" w:lineRule="auto"/>
        <w:tabs>
          <w:tab w:leader="none" w:pos="1304" w:val="left"/>
        </w:tabs>
        <w:numPr>
          <w:ilvl w:val="1"/>
          <w:numId w:val="341"/>
        </w:numPr>
        <w:rPr>
          <w:rFonts w:ascii="Arial" w:cs="Arial" w:eastAsia="Arial" w:hAnsi="Arial"/>
          <w:sz w:val="19"/>
          <w:szCs w:val="19"/>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(x) each such creditor has executed and delivered to the Intercreditor Agent a duly completed</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Lender's Accession Deed and 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paragraph 2.1(f) have also been satisfied, such creditor shall become a party hereto as an Additional Lender and that creditor and each of the other parties hereto shall assume obligations towards, and acquire rights against, one another accordingly or (y) the Financial Indebtedness is otherwise on terms satisfactory to the Intercreditor Agent concerning the relationship between each creditor and the Senior Secured Creditors, including the exercise of rights against the Company and any other Obligor and the sharing and enforcement of the Security and any other liens over Property of the Company or any other Obligor; and</w:t>
      </w:r>
    </w:p>
    <w:p>
      <w:pPr>
        <w:spacing w:after="0" w:line="154" w:lineRule="exact"/>
        <w:rPr>
          <w:rFonts w:ascii="Arial" w:cs="Arial" w:eastAsia="Arial" w:hAnsi="Arial"/>
          <w:sz w:val="19"/>
          <w:szCs w:val="19"/>
          <w:color w:val="auto"/>
        </w:rPr>
      </w:pPr>
    </w:p>
    <w:p>
      <w:pPr>
        <w:jc w:val="both"/>
        <w:ind w:left="1304"/>
        <w:spacing w:after="0" w:line="286" w:lineRule="auto"/>
        <w:rPr>
          <w:rFonts w:ascii="Arial" w:cs="Arial" w:eastAsia="Arial" w:hAnsi="Arial"/>
          <w:sz w:val="19"/>
          <w:szCs w:val="19"/>
          <w:color w:val="auto"/>
        </w:rPr>
      </w:pPr>
      <w:r>
        <w:rPr>
          <w:rFonts w:ascii="Arial" w:cs="Arial" w:eastAsia="Arial" w:hAnsi="Arial"/>
          <w:sz w:val="19"/>
          <w:szCs w:val="19"/>
          <w:i w:val="1"/>
          <w:iCs w:val="1"/>
          <w:color w:val="auto"/>
        </w:rPr>
        <w:t xml:space="preserve">further provided </w:t>
      </w:r>
      <w:r>
        <w:rPr>
          <w:rFonts w:ascii="Arial" w:cs="Arial" w:eastAsia="Arial" w:hAnsi="Arial"/>
          <w:sz w:val="19"/>
          <w:szCs w:val="19"/>
          <w:color w:val="auto"/>
        </w:rPr>
        <w:t>that it shall be a condition to the making of any Advance under an Additional Lender</w:t>
      </w:r>
      <w:r>
        <w:rPr>
          <w:rFonts w:ascii="Arial" w:cs="Arial" w:eastAsia="Arial" w:hAnsi="Arial"/>
          <w:sz w:val="19"/>
          <w:szCs w:val="19"/>
          <w:i w:val="1"/>
          <w:iCs w:val="1"/>
          <w:color w:val="auto"/>
        </w:rPr>
        <w:t xml:space="preserve"> </w:t>
      </w:r>
      <w:r>
        <w:rPr>
          <w:rFonts w:ascii="Arial" w:cs="Arial" w:eastAsia="Arial" w:hAnsi="Arial"/>
          <w:sz w:val="19"/>
          <w:szCs w:val="19"/>
          <w:color w:val="auto"/>
        </w:rPr>
        <w:t>Facility Agreement that the Company shall, prior to the making of such Advance, procure that (1) evidence that the Macau SAR government has (a) consented to the increase in the Company's financial indebtedness contemplated by the proposed Additional Lender Facility Agreement and (b) confirmed that the Gaming Concession Consent Agreement and the Land Concession Consent Agreement (as amended, consolidated, supplemented, novated or replaced from time to time prior to the proposed date of such Additional Lender Facility Agreement) continue to apply with respect to such financial indebtedness, together with a legal opinion of the Macanese legal adviser to the Senior Secured Creditors, in respect thereof and in respect of the validity, enforceability, effectiveness and ranking of the Mortgage (as well as confirming the Secured Obligations thereunder also cover such Additional Lender Facility) is provided to the Intercreditor Agent (in each case in form and substance satisfactory to the Intercreditor Agent, acting reasonably) and (2) if the evidence contemplated by sub-clause (1)(b) above is not provided, all documents and other evidence listed in paragraphs 2 to 8 (inclusive) of Part H of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 have been provided to the Intercreditor Agent, in each case in form and substance satisfactory to it (and as if references in those paragraphs to "Upsize Advance" were deemed to be references to the "Advance under the Additional Lender Facility");</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44" w:hanging="644"/>
        <w:spacing w:after="0" w:line="269" w:lineRule="auto"/>
        <w:tabs>
          <w:tab w:leader="none" w:pos="644" w:val="left"/>
        </w:tabs>
        <w:numPr>
          <w:ilvl w:val="0"/>
          <w:numId w:val="342"/>
        </w:numPr>
        <w:rPr>
          <w:rFonts w:ascii="Arial" w:cs="Arial" w:eastAsia="Arial" w:hAnsi="Arial"/>
          <w:sz w:val="22"/>
          <w:szCs w:val="22"/>
          <w:color w:val="auto"/>
        </w:rPr>
      </w:pPr>
      <w:r>
        <w:rPr>
          <w:rFonts w:ascii="Arial" w:cs="Arial" w:eastAsia="Arial" w:hAnsi="Arial"/>
          <w:sz w:val="22"/>
          <w:szCs w:val="22"/>
          <w:color w:val="auto"/>
        </w:rPr>
        <w:t>Financial Indebtedness of a Wholly Owned Subsidiary of the Company which is an Obligor (a "</w:t>
      </w:r>
      <w:r>
        <w:rPr>
          <w:rFonts w:ascii="Arial" w:cs="Arial" w:eastAsia="Arial" w:hAnsi="Arial"/>
          <w:sz w:val="22"/>
          <w:szCs w:val="22"/>
          <w:b w:val="1"/>
          <w:bCs w:val="1"/>
          <w:color w:val="auto"/>
        </w:rPr>
        <w:t>Subsidiary</w:t>
      </w:r>
      <w:r>
        <w:rPr>
          <w:rFonts w:ascii="Arial" w:cs="Arial" w:eastAsia="Arial" w:hAnsi="Arial"/>
          <w:sz w:val="22"/>
          <w:szCs w:val="22"/>
          <w:color w:val="auto"/>
        </w:rPr>
        <w:t xml:space="preserve"> </w:t>
      </w:r>
      <w:r>
        <w:rPr>
          <w:rFonts w:ascii="Arial" w:cs="Arial" w:eastAsia="Arial" w:hAnsi="Arial"/>
          <w:sz w:val="22"/>
          <w:szCs w:val="22"/>
          <w:b w:val="1"/>
          <w:bCs w:val="1"/>
          <w:color w:val="auto"/>
        </w:rPr>
        <w:t>Obligor</w:t>
      </w:r>
      <w:r>
        <w:rPr>
          <w:rFonts w:ascii="Arial" w:cs="Arial" w:eastAsia="Arial" w:hAnsi="Arial"/>
          <w:sz w:val="22"/>
          <w:szCs w:val="22"/>
          <w:color w:val="auto"/>
        </w:rPr>
        <w:t>") to any other Subsidiary Obligor or to the Company;</w:t>
      </w:r>
    </w:p>
    <w:p>
      <w:pPr>
        <w:spacing w:after="0" w:line="168" w:lineRule="exact"/>
        <w:rPr>
          <w:rFonts w:ascii="Arial" w:cs="Arial" w:eastAsia="Arial" w:hAnsi="Arial"/>
          <w:sz w:val="22"/>
          <w:szCs w:val="22"/>
          <w:color w:val="auto"/>
        </w:rPr>
      </w:pPr>
    </w:p>
    <w:p>
      <w:pPr>
        <w:ind w:left="644" w:hanging="644"/>
        <w:spacing w:after="0"/>
        <w:tabs>
          <w:tab w:leader="none" w:pos="644" w:val="left"/>
        </w:tabs>
        <w:numPr>
          <w:ilvl w:val="0"/>
          <w:numId w:val="342"/>
        </w:numPr>
        <w:rPr>
          <w:rFonts w:ascii="Arial" w:cs="Arial" w:eastAsia="Arial" w:hAnsi="Arial"/>
          <w:sz w:val="22"/>
          <w:szCs w:val="22"/>
          <w:color w:val="auto"/>
        </w:rPr>
      </w:pPr>
      <w:r>
        <w:rPr>
          <w:rFonts w:ascii="Arial" w:cs="Arial" w:eastAsia="Arial" w:hAnsi="Arial"/>
          <w:sz w:val="22"/>
          <w:szCs w:val="22"/>
          <w:color w:val="auto"/>
        </w:rPr>
        <w:t>Financial Indebtedness of the Company to any Subsidiary Obligor;</w:t>
      </w:r>
    </w:p>
    <w:p>
      <w:pPr>
        <w:spacing w:after="0" w:line="219" w:lineRule="exact"/>
        <w:rPr>
          <w:rFonts w:ascii="Arial" w:cs="Arial" w:eastAsia="Arial" w:hAnsi="Arial"/>
          <w:sz w:val="22"/>
          <w:szCs w:val="22"/>
          <w:color w:val="auto"/>
        </w:rPr>
      </w:pPr>
    </w:p>
    <w:p>
      <w:pPr>
        <w:jc w:val="both"/>
        <w:ind w:left="644" w:hanging="644"/>
        <w:spacing w:after="0" w:line="283" w:lineRule="auto"/>
        <w:tabs>
          <w:tab w:leader="none" w:pos="644"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Guarantee Obligations of the Company or any Obligor incurred, assumed or allowed to remain outstanding with respect to any WML Debt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such WML Debt is not secured by any Lien granted by any Obligor or any member of the Group, (ii) such WML Debt does not have any scheduled amortisation prior to the Final Repayment Date of any Facility (as determined: (A) in respect of the Term Facility, as of the Fifth Amendment Effective Date; and (B) in respect of any Additional Lender Facility which provides for a Term Loan Facility, as of the date of that Additional Lender Facility Agreement), (iii) such WML Debt has a stated maturity that extends beyond the later of (A) the Revolving Credit Facility Termination Date (as determined as of the Fifth Amendment Effective Date), (B) the Final Repayment Date of the Term Facility (as determined as of the Fifth Amendment Effective Date), (C) the Final Repayment Date of any Additional Lender Facility which provides for a Term Loan Facility (as determined as of the date of the Additional Lender Facility Agreement); and (D) the final repayment date of any Additional Lender Facility which provides for a revolving credit facility (as determined as of the date of the Additional Lender Facility Agreement), (iv) no Default has occurred and is continuing or could reasonably be expected to occur as a result of incurring, assuming or allowing to remain outstanding such Guarantee Obligations,</w:t>
      </w:r>
    </w:p>
    <w:p>
      <w:pPr>
        <w:spacing w:after="0" w:line="4" w:lineRule="exact"/>
        <w:rPr>
          <w:rFonts w:ascii="Arial" w:cs="Arial" w:eastAsia="Arial" w:hAnsi="Arial"/>
          <w:sz w:val="19"/>
          <w:szCs w:val="19"/>
          <w:color w:val="auto"/>
        </w:rPr>
      </w:pPr>
    </w:p>
    <w:p>
      <w:pPr>
        <w:jc w:val="both"/>
        <w:ind w:left="644" w:firstLine="5"/>
        <w:spacing w:after="0" w:line="256" w:lineRule="auto"/>
        <w:tabs>
          <w:tab w:leader="none" w:pos="992" w:val="left"/>
        </w:tabs>
        <w:numPr>
          <w:ilvl w:val="1"/>
          <w:numId w:val="342"/>
        </w:numPr>
        <w:rPr>
          <w:rFonts w:ascii="Arial" w:cs="Arial" w:eastAsia="Arial" w:hAnsi="Arial"/>
          <w:sz w:val="21"/>
          <w:szCs w:val="21"/>
          <w:color w:val="auto"/>
        </w:rPr>
      </w:pPr>
      <w:r>
        <w:rPr>
          <w:rFonts w:ascii="Arial" w:cs="Arial" w:eastAsia="Arial" w:hAnsi="Arial"/>
          <w:sz w:val="21"/>
          <w:szCs w:val="21"/>
          <w:color w:val="auto"/>
        </w:rPr>
        <w:t>incurring, assuming or allowing to remain outstanding such Guarantee Obligations does not and could not otherwise reasonably be expected to have an adverse effect on the ability of the Company or any other Obligor to perform its payment obligations under the Finance Documents and (vi) any event of default (howsoever described) in respect of the WML Debt which references or concerns in any way the First Ranking Liabilities (as defined in the Deed of Appointment and Priority), or any part thereof, will only occur on (in respect of non-payment of any of the First Ranking Liabilities) such non-payment event of default occurring as contemplated by Schedule 10 (</w:t>
      </w:r>
      <w:r>
        <w:rPr>
          <w:rFonts w:ascii="Arial" w:cs="Arial" w:eastAsia="Arial" w:hAnsi="Arial"/>
          <w:sz w:val="21"/>
          <w:szCs w:val="21"/>
          <w:i w:val="1"/>
          <w:iCs w:val="1"/>
          <w:color w:val="auto"/>
        </w:rPr>
        <w:t>Events of</w:t>
      </w:r>
      <w:r>
        <w:rPr>
          <w:rFonts w:ascii="Arial" w:cs="Arial" w:eastAsia="Arial" w:hAnsi="Arial"/>
          <w:sz w:val="21"/>
          <w:szCs w:val="21"/>
          <w:color w:val="auto"/>
        </w:rPr>
        <w:t xml:space="preserve"> </w:t>
      </w:r>
      <w:r>
        <w:rPr>
          <w:rFonts w:ascii="Arial" w:cs="Arial" w:eastAsia="Arial" w:hAnsi="Arial"/>
          <w:sz w:val="21"/>
          <w:szCs w:val="21"/>
          <w:i w:val="1"/>
          <w:iCs w:val="1"/>
          <w:color w:val="auto"/>
        </w:rPr>
        <w:t>Default</w:t>
      </w:r>
      <w:r>
        <w:rPr>
          <w:rFonts w:ascii="Arial" w:cs="Arial" w:eastAsia="Arial" w:hAnsi="Arial"/>
          <w:sz w:val="21"/>
          <w:szCs w:val="21"/>
          <w:color w:val="auto"/>
        </w:rPr>
        <w:t>) of this Agreement and (in respect of any other events or circumstances described in Schedule 10 (</w:t>
      </w:r>
      <w:r>
        <w:rPr>
          <w:rFonts w:ascii="Arial" w:cs="Arial" w:eastAsia="Arial" w:hAnsi="Arial"/>
          <w:sz w:val="21"/>
          <w:szCs w:val="21"/>
          <w:i w:val="1"/>
          <w:iCs w:val="1"/>
          <w:color w:val="auto"/>
        </w:rPr>
        <w:t>Events of Default</w:t>
      </w:r>
      <w:r>
        <w:rPr>
          <w:rFonts w:ascii="Arial" w:cs="Arial" w:eastAsia="Arial" w:hAnsi="Arial"/>
          <w:sz w:val="21"/>
          <w:szCs w:val="21"/>
          <w:color w:val="auto"/>
        </w:rPr>
        <w:t>) of this Agreement) will only occur upon the Intercreditor Agent issuing written notice to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pursuant to (or taking steps contemplated by) Clause 19.2 (</w:t>
      </w:r>
      <w:r>
        <w:rPr>
          <w:rFonts w:ascii="Arial" w:cs="Arial" w:eastAsia="Arial" w:hAnsi="Arial"/>
          <w:sz w:val="21"/>
          <w:szCs w:val="21"/>
          <w:i w:val="1"/>
          <w:iCs w:val="1"/>
          <w:color w:val="auto"/>
        </w:rPr>
        <w:t>Remedies following an Event of Default</w:t>
      </w:r>
      <w:r>
        <w:rPr>
          <w:rFonts w:ascii="Arial" w:cs="Arial" w:eastAsia="Arial" w:hAnsi="Arial"/>
          <w:sz w:val="21"/>
          <w:szCs w:val="21"/>
          <w:color w:val="auto"/>
        </w:rPr>
        <w:t>) of this Agreement; and</w:t>
      </w:r>
    </w:p>
    <w:p>
      <w:pPr>
        <w:sectPr>
          <w:pgSz w:w="11900" w:h="16838" w:orient="portrait"/>
          <w:cols w:equalWidth="0" w:num="1">
            <w:col w:w="10764"/>
          </w:cols>
          <w:pgMar w:left="896" w:top="132" w:right="239" w:bottom="0" w:gutter="0" w:footer="0" w:header="0"/>
        </w:sectPr>
      </w:pPr>
    </w:p>
    <w:bookmarkStart w:id="218" w:name="page219"/>
    <w:bookmarkEnd w:id="218"/>
    <w:p>
      <w:pPr>
        <w:ind w:left="652" w:right="3520" w:hanging="4"/>
        <w:spacing w:after="0" w:line="445" w:lineRule="auto"/>
        <w:tabs>
          <w:tab w:leader="none" w:pos="1300" w:val="left"/>
        </w:tabs>
        <w:numPr>
          <w:ilvl w:val="1"/>
          <w:numId w:val="343"/>
        </w:numPr>
        <w:rPr>
          <w:rFonts w:ascii="Arial" w:cs="Arial" w:eastAsia="Arial" w:hAnsi="Arial"/>
          <w:sz w:val="22"/>
          <w:szCs w:val="22"/>
          <w:color w:val="auto"/>
        </w:rPr>
      </w:pPr>
      <w:r>
        <w:rPr>
          <w:rFonts w:ascii="Arial" w:cs="Arial" w:eastAsia="Arial" w:hAnsi="Arial"/>
          <w:sz w:val="22"/>
          <w:szCs w:val="22"/>
          <w:color w:val="auto"/>
        </w:rPr>
        <w:t>other Financial Indebtedness approved in writing by the Intercreditor Agent, (together, "</w:t>
      </w:r>
      <w:r>
        <w:rPr>
          <w:rFonts w:ascii="Arial" w:cs="Arial" w:eastAsia="Arial" w:hAnsi="Arial"/>
          <w:sz w:val="22"/>
          <w:szCs w:val="22"/>
          <w:b w:val="1"/>
          <w:bCs w:val="1"/>
          <w:color w:val="auto"/>
        </w:rPr>
        <w:t>Permitted Financial Indebtedness</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Limitation on Liens</w:t>
      </w:r>
    </w:p>
    <w:p>
      <w:pPr>
        <w:spacing w:after="0" w:line="225" w:lineRule="exact"/>
        <w:rPr>
          <w:rFonts w:ascii="Arial" w:cs="Arial" w:eastAsia="Arial" w:hAnsi="Arial"/>
          <w:sz w:val="22"/>
          <w:szCs w:val="22"/>
          <w:color w:val="auto"/>
        </w:rPr>
      </w:pPr>
    </w:p>
    <w:p>
      <w:pPr>
        <w:ind w:left="652"/>
        <w:spacing w:after="0" w:line="263" w:lineRule="auto"/>
        <w:rPr>
          <w:rFonts w:ascii="Arial" w:cs="Arial" w:eastAsia="Arial" w:hAnsi="Arial"/>
          <w:sz w:val="22"/>
          <w:szCs w:val="22"/>
          <w:color w:val="auto"/>
        </w:rPr>
      </w:pPr>
      <w:r>
        <w:rPr>
          <w:rFonts w:ascii="Arial" w:cs="Arial" w:eastAsia="Arial" w:hAnsi="Arial"/>
          <w:sz w:val="22"/>
          <w:szCs w:val="22"/>
          <w:color w:val="auto"/>
        </w:rPr>
        <w:t>Create, incur, assume or permit to subsist (or permit any other Obligor to create, incur, assume or permit to subsist) any Lien upon any of its Property, whether now owned or hereafter acquired, except for:</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Liens for taxes not yet due or which are being contested in good faith by appropriate proceedings,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adequate reserves with respect thereto are maintained on the books of the Company and the relevant Obligor in conformity with applicable GAAP;</w:t>
      </w:r>
    </w:p>
    <w:p>
      <w:pPr>
        <w:spacing w:after="0" w:line="185"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188" w:lineRule="exact"/>
        <w:rPr>
          <w:rFonts w:ascii="Arial" w:cs="Arial" w:eastAsia="Arial" w:hAnsi="Arial"/>
          <w:sz w:val="22"/>
          <w:szCs w:val="22"/>
          <w:color w:val="auto"/>
        </w:rPr>
      </w:pPr>
    </w:p>
    <w:p>
      <w:pPr>
        <w:jc w:val="both"/>
        <w:ind w:left="1292" w:hanging="644"/>
        <w:spacing w:after="0" w:line="312" w:lineRule="auto"/>
        <w:tabs>
          <w:tab w:leader="none" w:pos="1292" w:val="left"/>
        </w:tabs>
        <w:numPr>
          <w:ilvl w:val="1"/>
          <w:numId w:val="344"/>
        </w:numPr>
        <w:rPr>
          <w:rFonts w:ascii="Arial" w:cs="Arial" w:eastAsia="Arial" w:hAnsi="Arial"/>
          <w:sz w:val="19"/>
          <w:szCs w:val="19"/>
          <w:color w:val="auto"/>
        </w:rPr>
      </w:pPr>
      <w:r>
        <w:rPr>
          <w:rFonts w:ascii="Arial" w:cs="Arial" w:eastAsia="Arial" w:hAnsi="Arial"/>
          <w:sz w:val="19"/>
          <w:szCs w:val="19"/>
          <w:color w:val="auto"/>
        </w:rPr>
        <w:t xml:space="preserve">pledges or deposits in connection with workers' compensation, unemployment insurance and other social security legislation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pledges are being contested, appropriate reserves (determined in accordance with the applicable GAAP are maintained on the books of the Company and the relevant Obligor;</w:t>
      </w:r>
    </w:p>
    <w:p>
      <w:pPr>
        <w:spacing w:after="0" w:line="133"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deposits by or on behalf of the Company (or the Obligor) to secure the performance of bids, trade contracts (other than for borrowed money), leases, statutory obligations, appeal bonds and other obligations of a like nature incurred in the ordinary course of business;</w:t>
      </w:r>
    </w:p>
    <w:p>
      <w:pPr>
        <w:spacing w:after="0" w:line="185"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 (or the Obligor);</w:t>
      </w:r>
    </w:p>
    <w:p>
      <w:pPr>
        <w:spacing w:after="0" w:line="188" w:lineRule="exact"/>
        <w:rPr>
          <w:rFonts w:ascii="Arial" w:cs="Arial" w:eastAsia="Arial" w:hAnsi="Arial"/>
          <w:sz w:val="22"/>
          <w:szCs w:val="22"/>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Liens created pursuant to paragraph 15.2 of Part A of this Schedule 5;</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219" w:lineRule="exact"/>
        <w:rPr>
          <w:rFonts w:ascii="Arial" w:cs="Arial" w:eastAsia="Arial" w:hAnsi="Arial"/>
          <w:sz w:val="22"/>
          <w:szCs w:val="22"/>
          <w:color w:val="auto"/>
        </w:rPr>
      </w:pPr>
    </w:p>
    <w:p>
      <w:pPr>
        <w:jc w:val="both"/>
        <w:ind w:left="1292" w:right="20" w:hanging="644"/>
        <w:spacing w:after="0" w:line="25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the Company (or the Obligor) in the ordinary course of business and not interfering in any material respect with the ordinary conduct of the business of the Company (or the Obligor);</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any attachment or judgment Lien not constituting an Event of Default;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Liens in favour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Authority to control or regulate the use of any Site and Site Easements or the Cotai Site and Cotai Site Easements;</w:t>
      </w:r>
    </w:p>
    <w:p>
      <w:pPr>
        <w:spacing w:after="0" w:line="174" w:lineRule="exact"/>
        <w:rPr>
          <w:rFonts w:ascii="Arial" w:cs="Arial" w:eastAsia="Arial" w:hAnsi="Arial"/>
          <w:sz w:val="22"/>
          <w:szCs w:val="22"/>
          <w:color w:val="auto"/>
        </w:rPr>
      </w:pPr>
    </w:p>
    <w:p>
      <w:pPr>
        <w:ind w:left="1292" w:right="20" w:hanging="644"/>
        <w:spacing w:after="0" w:line="263" w:lineRule="auto"/>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Liens securing Financial Indebtedness of the Company or Palo incurred pursuant to paragraph 2.1(b) of this Part B to finance the acquisition of fixed or capital assets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74" w:lineRule="exact"/>
        <w:rPr>
          <w:rFonts w:ascii="Arial" w:cs="Arial" w:eastAsia="Arial" w:hAnsi="Arial"/>
          <w:sz w:val="22"/>
          <w:szCs w:val="22"/>
          <w:color w:val="auto"/>
        </w:rPr>
      </w:pPr>
    </w:p>
    <w:p>
      <w:pPr>
        <w:ind w:left="1952" w:right="20" w:hanging="655"/>
        <w:spacing w:after="0" w:line="287" w:lineRule="auto"/>
        <w:tabs>
          <w:tab w:leader="none" w:pos="1952" w:val="left"/>
        </w:tabs>
        <w:numPr>
          <w:ilvl w:val="2"/>
          <w:numId w:val="344"/>
        </w:numPr>
        <w:rPr>
          <w:rFonts w:ascii="Arial" w:cs="Arial" w:eastAsia="Arial" w:hAnsi="Arial"/>
          <w:sz w:val="21"/>
          <w:szCs w:val="21"/>
          <w:color w:val="auto"/>
        </w:rPr>
      </w:pPr>
      <w:r>
        <w:rPr>
          <w:rFonts w:ascii="Arial" w:cs="Arial" w:eastAsia="Arial" w:hAnsi="Arial"/>
          <w:sz w:val="21"/>
          <w:szCs w:val="21"/>
          <w:color w:val="auto"/>
        </w:rPr>
        <w:t>such Liens shall be created substantially simultaneously with the acquisition of such fixed or capital assets (or the refinancing of such Financial Indebtedness as otherwise permitted hereunder);</w:t>
      </w:r>
    </w:p>
    <w:p>
      <w:pPr>
        <w:spacing w:after="0" w:line="151" w:lineRule="exact"/>
        <w:rPr>
          <w:rFonts w:ascii="Arial" w:cs="Arial" w:eastAsia="Arial" w:hAnsi="Arial"/>
          <w:sz w:val="21"/>
          <w:szCs w:val="21"/>
          <w:color w:val="auto"/>
        </w:rPr>
      </w:pPr>
    </w:p>
    <w:p>
      <w:pPr>
        <w:ind w:left="1952" w:right="20" w:hanging="655"/>
        <w:spacing w:after="0" w:line="263" w:lineRule="auto"/>
        <w:tabs>
          <w:tab w:leader="none" w:pos="1952" w:val="left"/>
        </w:tabs>
        <w:numPr>
          <w:ilvl w:val="2"/>
          <w:numId w:val="344"/>
        </w:numPr>
        <w:rPr>
          <w:rFonts w:ascii="Arial" w:cs="Arial" w:eastAsia="Arial" w:hAnsi="Arial"/>
          <w:sz w:val="22"/>
          <w:szCs w:val="22"/>
          <w:color w:val="auto"/>
        </w:rPr>
      </w:pPr>
      <w:r>
        <w:rPr>
          <w:rFonts w:ascii="Arial" w:cs="Arial" w:eastAsia="Arial" w:hAnsi="Arial"/>
          <w:sz w:val="22"/>
          <w:szCs w:val="22"/>
          <w:color w:val="auto"/>
        </w:rPr>
        <w:t>such Liens do not at any time encumber any Property other than the Property (and proceeds of the sale or other disposition thereof) financed by such Financial Indebtedness; and</w:t>
      </w:r>
    </w:p>
    <w:p>
      <w:pPr>
        <w:spacing w:after="0" w:line="174" w:lineRule="exact"/>
        <w:rPr>
          <w:rFonts w:ascii="Arial" w:cs="Arial" w:eastAsia="Arial" w:hAnsi="Arial"/>
          <w:sz w:val="22"/>
          <w:szCs w:val="22"/>
          <w:color w:val="auto"/>
        </w:rPr>
      </w:pPr>
    </w:p>
    <w:p>
      <w:pPr>
        <w:jc w:val="both"/>
        <w:ind w:left="1952" w:hanging="655"/>
        <w:spacing w:after="0" w:line="250" w:lineRule="auto"/>
        <w:tabs>
          <w:tab w:leader="none" w:pos="1952" w:val="left"/>
        </w:tabs>
        <w:numPr>
          <w:ilvl w:val="2"/>
          <w:numId w:val="344"/>
        </w:numPr>
        <w:rPr>
          <w:rFonts w:ascii="Arial" w:cs="Arial" w:eastAsia="Arial" w:hAnsi="Arial"/>
          <w:sz w:val="22"/>
          <w:szCs w:val="22"/>
          <w:color w:val="auto"/>
        </w:rPr>
      </w:pPr>
      <w:r>
        <w:rPr>
          <w:rFonts w:ascii="Arial" w:cs="Arial" w:eastAsia="Arial" w:hAnsi="Arial"/>
          <w:sz w:val="22"/>
          <w:szCs w:val="22"/>
          <w:color w:val="auto"/>
        </w:rPr>
        <w:t>the Property financed by such Financial Indebtedness is not of a type that will become affixed to the Site (and/or all or any part of the buildings therein) or the Cotai Site Facilities such that the removal thereof could reasonably be expected to materially interfere with the ongoing ordinary course of operations of Wynn Macau or the Cotai Project;</w:t>
      </w:r>
    </w:p>
    <w:p>
      <w:pPr>
        <w:spacing w:after="0" w:line="188" w:lineRule="exact"/>
        <w:rPr>
          <w:rFonts w:ascii="Arial" w:cs="Arial" w:eastAsia="Arial" w:hAnsi="Arial"/>
          <w:sz w:val="22"/>
          <w:szCs w:val="22"/>
          <w:color w:val="auto"/>
        </w:rPr>
      </w:pPr>
    </w:p>
    <w:p>
      <w:pPr>
        <w:jc w:val="both"/>
        <w:ind w:left="1292" w:hanging="644"/>
        <w:spacing w:after="0" w:line="294" w:lineRule="auto"/>
        <w:tabs>
          <w:tab w:leader="none" w:pos="1292" w:val="left"/>
        </w:tabs>
        <w:numPr>
          <w:ilvl w:val="1"/>
          <w:numId w:val="344"/>
        </w:numPr>
        <w:rPr>
          <w:rFonts w:ascii="Arial" w:cs="Arial" w:eastAsia="Arial" w:hAnsi="Arial"/>
          <w:sz w:val="19"/>
          <w:szCs w:val="19"/>
          <w:color w:val="auto"/>
        </w:rPr>
      </w:pPr>
      <w:r>
        <w:rPr>
          <w:rFonts w:ascii="Arial" w:cs="Arial" w:eastAsia="Arial" w:hAnsi="Arial"/>
          <w:sz w:val="19"/>
          <w:szCs w:val="19"/>
          <w:color w:val="auto"/>
        </w:rPr>
        <w:t>Liens on cash deposited with, or held for the account of, the Company or Palo securing reimbursement obligations owing by the Company or Palo and permitted to be incurred by it pursuant to paragraph 2.1(c) above under performance bonds, guaranties, commercial or standby letters of credit, bankers' acceptances or similar instruments or the guarantee required to be issued pursuant to clause 7 of the Land Concession Contract or clause 7 of the Cotai Land Concession Contracts, granted in favour of the issuers of such performance bonds, guaranties, commercial letters of credit or bankers' acceptances, so long as (i) any cash used as security for such reimbursement obligations</w:t>
      </w:r>
    </w:p>
    <w:p>
      <w:pPr>
        <w:sectPr>
          <w:pgSz w:w="11900" w:h="16838" w:orient="portrait"/>
          <w:cols w:equalWidth="0" w:num="1">
            <w:col w:w="11412"/>
          </w:cols>
          <w:pgMar w:left="248" w:top="132" w:right="239" w:bottom="0" w:gutter="0" w:footer="0" w:header="0"/>
        </w:sectPr>
      </w:pPr>
    </w:p>
    <w:bookmarkStart w:id="219" w:name="page220"/>
    <w:bookmarkEnd w:id="219"/>
    <w:p>
      <w:pPr>
        <w:jc w:val="both"/>
        <w:ind w:left="1292"/>
        <w:spacing w:after="0" w:line="247" w:lineRule="auto"/>
        <w:rPr>
          <w:sz w:val="20"/>
          <w:szCs w:val="20"/>
          <w:color w:val="auto"/>
        </w:rPr>
      </w:pPr>
      <w:r>
        <w:rPr>
          <w:rFonts w:ascii="Arial" w:cs="Arial" w:eastAsia="Arial" w:hAnsi="Arial"/>
          <w:sz w:val="22"/>
          <w:szCs w:val="22"/>
          <w:color w:val="auto"/>
        </w:rPr>
        <w:t>is invested (if at all) in Permitted Investments only (to the extent the Company or Palo has the right to direct the investment thereof) and is segregated from the Company's or Palo's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194" w:lineRule="exact"/>
        <w:rPr>
          <w:sz w:val="20"/>
          <w:szCs w:val="20"/>
          <w:color w:val="auto"/>
        </w:rPr>
      </w:pPr>
    </w:p>
    <w:p>
      <w:pPr>
        <w:jc w:val="both"/>
        <w:ind w:left="1292" w:hanging="644"/>
        <w:spacing w:after="0" w:line="271" w:lineRule="auto"/>
        <w:tabs>
          <w:tab w:leader="none" w:pos="1292" w:val="left"/>
        </w:tabs>
        <w:numPr>
          <w:ilvl w:val="1"/>
          <w:numId w:val="345"/>
        </w:numPr>
        <w:rPr>
          <w:rFonts w:ascii="Arial" w:cs="Arial" w:eastAsia="Arial" w:hAnsi="Arial"/>
          <w:sz w:val="21"/>
          <w:szCs w:val="21"/>
          <w:color w:val="auto"/>
        </w:rPr>
      </w:pPr>
      <w:r>
        <w:rPr>
          <w:rFonts w:ascii="Arial" w:cs="Arial" w:eastAsia="Arial" w:hAnsi="Arial"/>
          <w:sz w:val="21"/>
          <w:szCs w:val="21"/>
          <w:color w:val="auto"/>
        </w:rPr>
        <w:t>without prejudice to Schedule 6 (</w:t>
      </w:r>
      <w:r>
        <w:rPr>
          <w:rFonts w:ascii="Arial" w:cs="Arial" w:eastAsia="Arial" w:hAnsi="Arial"/>
          <w:sz w:val="21"/>
          <w:szCs w:val="21"/>
          <w:i w:val="1"/>
          <w:iCs w:val="1"/>
          <w:color w:val="auto"/>
        </w:rPr>
        <w:t>Accounts</w:t>
      </w:r>
      <w:r>
        <w:rPr>
          <w:rFonts w:ascii="Arial" w:cs="Arial" w:eastAsia="Arial" w:hAnsi="Arial"/>
          <w:sz w:val="21"/>
          <w:szCs w:val="21"/>
          <w:color w:val="auto"/>
        </w:rPr>
        <w:t>), Liens arising by reason of any netting or set-off arrangements entered into by the Company or any other Obligor in the normal course of its banking arrangements and the standard account operating procedures of the bank for the purpose of netting debit and credit balances;</w:t>
      </w:r>
    </w:p>
    <w:p>
      <w:pPr>
        <w:spacing w:after="0" w:line="167" w:lineRule="exact"/>
        <w:rPr>
          <w:rFonts w:ascii="Arial" w:cs="Arial" w:eastAsia="Arial" w:hAnsi="Arial"/>
          <w:sz w:val="21"/>
          <w:szCs w:val="21"/>
          <w:color w:val="auto"/>
        </w:rPr>
      </w:pPr>
    </w:p>
    <w:p>
      <w:pPr>
        <w:jc w:val="both"/>
        <w:ind w:left="1292" w:hanging="644"/>
        <w:spacing w:after="0" w:line="312" w:lineRule="auto"/>
        <w:tabs>
          <w:tab w:leader="none" w:pos="1292" w:val="left"/>
        </w:tabs>
        <w:numPr>
          <w:ilvl w:val="1"/>
          <w:numId w:val="345"/>
        </w:numPr>
        <w:rPr>
          <w:rFonts w:ascii="Arial" w:cs="Arial" w:eastAsia="Arial" w:hAnsi="Arial"/>
          <w:sz w:val="19"/>
          <w:szCs w:val="19"/>
          <w:color w:val="auto"/>
        </w:rPr>
      </w:pPr>
      <w:r>
        <w:rPr>
          <w:rFonts w:ascii="Arial" w:cs="Arial" w:eastAsia="Arial" w:hAnsi="Arial"/>
          <w:sz w:val="19"/>
          <w:szCs w:val="19"/>
          <w:color w:val="auto"/>
        </w:rPr>
        <w:t xml:space="preserve">Liens arising under title transfer or retention of title arrangements entered into by the Company or any other Obligor in the normal course of its trading activities on the counterparty's standard or usual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arrangements shall be limited to Property of an aggregate value not exceeding USD1,000,000 or its equivalent; and</w:t>
      </w:r>
    </w:p>
    <w:p>
      <w:pPr>
        <w:spacing w:after="0" w:line="133" w:lineRule="exact"/>
        <w:rPr>
          <w:rFonts w:ascii="Arial" w:cs="Arial" w:eastAsia="Arial" w:hAnsi="Arial"/>
          <w:sz w:val="19"/>
          <w:szCs w:val="19"/>
          <w:color w:val="auto"/>
        </w:rPr>
      </w:pPr>
    </w:p>
    <w:p>
      <w:pPr>
        <w:ind w:left="1292" w:hanging="644"/>
        <w:spacing w:after="0"/>
        <w:tabs>
          <w:tab w:leader="none" w:pos="1292" w:val="left"/>
        </w:tabs>
        <w:numPr>
          <w:ilvl w:val="1"/>
          <w:numId w:val="345"/>
        </w:numPr>
        <w:rPr>
          <w:rFonts w:ascii="Arial" w:cs="Arial" w:eastAsia="Arial" w:hAnsi="Arial"/>
          <w:sz w:val="22"/>
          <w:szCs w:val="22"/>
          <w:color w:val="auto"/>
        </w:rPr>
      </w:pPr>
      <w:r>
        <w:rPr>
          <w:rFonts w:ascii="Arial" w:cs="Arial" w:eastAsia="Arial" w:hAnsi="Arial"/>
          <w:sz w:val="22"/>
          <w:szCs w:val="22"/>
          <w:color w:val="auto"/>
        </w:rPr>
        <w:t>other Liens approved in writing by the Intercreditor Agent.</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Limitation on Fundamental Changes</w:t>
      </w:r>
    </w:p>
    <w:p>
      <w:pPr>
        <w:spacing w:after="0" w:line="225" w:lineRule="exact"/>
        <w:rPr>
          <w:rFonts w:ascii="Arial" w:cs="Arial" w:eastAsia="Arial" w:hAnsi="Arial"/>
          <w:sz w:val="22"/>
          <w:szCs w:val="22"/>
          <w:color w:val="auto"/>
        </w:rPr>
      </w:pPr>
    </w:p>
    <w:p>
      <w:pPr>
        <w:jc w:val="both"/>
        <w:ind w:left="652"/>
        <w:spacing w:after="0" w:line="253" w:lineRule="auto"/>
        <w:rPr>
          <w:rFonts w:ascii="Arial" w:cs="Arial" w:eastAsia="Arial" w:hAnsi="Arial"/>
          <w:sz w:val="22"/>
          <w:szCs w:val="22"/>
          <w:color w:val="auto"/>
        </w:rPr>
      </w:pPr>
      <w:r>
        <w:rPr>
          <w:rFonts w:ascii="Arial" w:cs="Arial" w:eastAsia="Arial" w:hAnsi="Arial"/>
          <w:sz w:val="22"/>
          <w:szCs w:val="22"/>
          <w:color w:val="auto"/>
        </w:rPr>
        <w:t>Enter (and ensure no other Obligor shall enter) into any merger, consolidation or amalgamation, or liquidate, wind up or dissolve itself (or suffer any liquidation or dissolution), or Dispose of all or substantially all of its Property or business, except:</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46"/>
        </w:numPr>
        <w:rPr>
          <w:rFonts w:ascii="Arial" w:cs="Arial" w:eastAsia="Arial" w:hAnsi="Arial"/>
          <w:sz w:val="22"/>
          <w:szCs w:val="22"/>
          <w:color w:val="auto"/>
        </w:rPr>
      </w:pPr>
      <w:r>
        <w:rPr>
          <w:rFonts w:ascii="Arial" w:cs="Arial" w:eastAsia="Arial" w:hAnsi="Arial"/>
          <w:sz w:val="22"/>
          <w:szCs w:val="22"/>
          <w:color w:val="auto"/>
        </w:rPr>
        <w:t>that each of the Company and Palo may dispose of any of its Property in accordance with paragraph 5 of this Part B; and</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46"/>
        </w:numPr>
        <w:rPr>
          <w:rFonts w:ascii="Arial" w:cs="Arial" w:eastAsia="Arial" w:hAnsi="Arial"/>
          <w:sz w:val="22"/>
          <w:szCs w:val="22"/>
          <w:color w:val="auto"/>
        </w:rPr>
      </w:pPr>
      <w:r>
        <w:rPr>
          <w:rFonts w:ascii="Arial" w:cs="Arial" w:eastAsia="Arial" w:hAnsi="Arial"/>
          <w:sz w:val="22"/>
          <w:szCs w:val="22"/>
          <w:color w:val="auto"/>
        </w:rPr>
        <w:t>for any voluntary liquidation, winding up or dissolution of, or similar action with respect to, Palo after a Permitted Cotai Reorganisation.</w:t>
      </w:r>
    </w:p>
    <w:p>
      <w:pPr>
        <w:spacing w:after="0" w:line="168" w:lineRule="exact"/>
        <w:rPr>
          <w:rFonts w:ascii="Arial" w:cs="Arial" w:eastAsia="Arial" w:hAnsi="Arial"/>
          <w:sz w:val="22"/>
          <w:szCs w:val="22"/>
          <w:color w:val="auto"/>
        </w:rPr>
      </w:pPr>
    </w:p>
    <w:p>
      <w:pPr>
        <w:ind w:left="652" w:hanging="652"/>
        <w:spacing w:after="0"/>
        <w:tabs>
          <w:tab w:leader="none" w:pos="652"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Limitation on Disposition of Property</w:t>
      </w:r>
    </w:p>
    <w:p>
      <w:pPr>
        <w:spacing w:after="0" w:line="225"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Dispose (and ensure no other Obligor shall dispose) of any of its Property (including, without limitation, receivables and leasehold interests), whether now owned or hereafter acquired, or issue or sell any Capital Stock to any Person, except:</w:t>
      </w:r>
    </w:p>
    <w:p>
      <w:pPr>
        <w:spacing w:after="0" w:line="104"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346"/>
        </w:numPr>
        <w:rPr>
          <w:rFonts w:ascii="Arial" w:cs="Arial" w:eastAsia="Arial" w:hAnsi="Arial"/>
          <w:sz w:val="21"/>
          <w:szCs w:val="21"/>
          <w:color w:val="auto"/>
        </w:rPr>
      </w:pPr>
      <w:r>
        <w:rPr>
          <w:rFonts w:ascii="Arial" w:cs="Arial" w:eastAsia="Arial" w:hAnsi="Arial"/>
          <w:sz w:val="21"/>
          <w:szCs w:val="21"/>
          <w:color w:val="auto"/>
        </w:rPr>
        <w:t xml:space="preserve">the Disposition for fair market value on arm's length commercial terms in the ordinary course of business of any Property or obsolete or worn out Property or Property no longer used or useful in the business of the Company or the Obligor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Disposition could not reasonably be expected to materially adversely affect Wynn Macau, the Cotai Project or any of the Project Security and either:</w:t>
      </w:r>
    </w:p>
    <w:p>
      <w:pPr>
        <w:spacing w:after="0" w:line="175" w:lineRule="exact"/>
        <w:rPr>
          <w:rFonts w:ascii="Arial" w:cs="Arial" w:eastAsia="Arial" w:hAnsi="Arial"/>
          <w:sz w:val="21"/>
          <w:szCs w:val="21"/>
          <w:color w:val="auto"/>
        </w:rPr>
      </w:pPr>
    </w:p>
    <w:p>
      <w:pPr>
        <w:jc w:val="both"/>
        <w:ind w:left="1952" w:hanging="655"/>
        <w:spacing w:after="0" w:line="250" w:lineRule="auto"/>
        <w:tabs>
          <w:tab w:leader="none" w:pos="1952" w:val="left"/>
        </w:tabs>
        <w:numPr>
          <w:ilvl w:val="2"/>
          <w:numId w:val="346"/>
        </w:numPr>
        <w:rPr>
          <w:rFonts w:ascii="Arial" w:cs="Arial" w:eastAsia="Arial" w:hAnsi="Arial"/>
          <w:sz w:val="22"/>
          <w:szCs w:val="22"/>
          <w:color w:val="auto"/>
        </w:rPr>
      </w:pPr>
      <w:r>
        <w:rPr>
          <w:rFonts w:ascii="Arial" w:cs="Arial" w:eastAsia="Arial" w:hAnsi="Arial"/>
          <w:sz w:val="22"/>
          <w:szCs w:val="22"/>
          <w:color w:val="auto"/>
        </w:rPr>
        <w:t>the Net Cash Proceeds from the disposal of all such Property (excluding shares in any Obligor) do not exceed in aggregate an amount equal to USD100,000,000 or its equivalent in any Fiscal Year when taken together with any other Net Cash Proceeds received by the Company or any other Obligor in respect of any Asset Sale in that Fiscal Year; or</w:t>
      </w:r>
    </w:p>
    <w:p>
      <w:pPr>
        <w:spacing w:after="0" w:line="188" w:lineRule="exact"/>
        <w:rPr>
          <w:rFonts w:ascii="Arial" w:cs="Arial" w:eastAsia="Arial" w:hAnsi="Arial"/>
          <w:sz w:val="22"/>
          <w:szCs w:val="22"/>
          <w:color w:val="auto"/>
        </w:rPr>
      </w:pPr>
    </w:p>
    <w:p>
      <w:pPr>
        <w:jc w:val="both"/>
        <w:ind w:left="1952" w:hanging="655"/>
        <w:spacing w:after="0" w:line="290" w:lineRule="auto"/>
        <w:tabs>
          <w:tab w:leader="none" w:pos="1952" w:val="left"/>
        </w:tabs>
        <w:numPr>
          <w:ilvl w:val="2"/>
          <w:numId w:val="346"/>
        </w:numPr>
        <w:rPr>
          <w:rFonts w:ascii="Arial" w:cs="Arial" w:eastAsia="Arial" w:hAnsi="Arial"/>
          <w:sz w:val="19"/>
          <w:szCs w:val="19"/>
          <w:color w:val="auto"/>
        </w:rPr>
      </w:pPr>
      <w:r>
        <w:rPr>
          <w:rFonts w:ascii="Arial" w:cs="Arial" w:eastAsia="Arial" w:hAnsi="Arial"/>
          <w:sz w:val="19"/>
          <w:szCs w:val="19"/>
          <w:color w:val="auto"/>
        </w:rPr>
        <w:t>where such Net Cash Proceeds referred to in sub-paragraph (i) above exceed in aggregate an amount equal to USD100,000,000 or its equivalent in any Fiscal Year (when taken together with any other Net Cash Proceeds received by the Company or any other Obligor in respect of any Asset Sale in that Fiscal Year), such Net Cash Proceeds are reinvested within 12 months of receipt in assets used by the Company or any other Obligor in the conduct of its Permitted Business at Wynn Macau and/or the Cotai Project (and pending such reinvestment are deposited and retained in an Account) and, if such Net Cash Proceeds are not so reinvested within 12 months of receipt, are applied in mandatory prepayment of the Advances pursuant to paragraph 2 of Schedule 9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292" w:hanging="644"/>
        <w:spacing w:after="0" w:line="248" w:lineRule="auto"/>
        <w:tabs>
          <w:tab w:leader="none" w:pos="1292" w:val="left"/>
        </w:tabs>
        <w:numPr>
          <w:ilvl w:val="1"/>
          <w:numId w:val="346"/>
        </w:numPr>
        <w:rPr>
          <w:rFonts w:ascii="Arial" w:cs="Arial" w:eastAsia="Arial" w:hAnsi="Arial"/>
          <w:sz w:val="22"/>
          <w:szCs w:val="22"/>
          <w:color w:val="auto"/>
        </w:rPr>
      </w:pPr>
      <w:r>
        <w:rPr>
          <w:rFonts w:ascii="Arial" w:cs="Arial" w:eastAsia="Arial" w:hAnsi="Arial"/>
          <w:sz w:val="22"/>
          <w:szCs w:val="22"/>
          <w:color w:val="auto"/>
        </w:rPr>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192"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346"/>
        </w:numPr>
        <w:rPr>
          <w:rFonts w:ascii="Arial" w:cs="Arial" w:eastAsia="Arial" w:hAnsi="Arial"/>
          <w:sz w:val="21"/>
          <w:szCs w:val="21"/>
          <w:color w:val="auto"/>
        </w:rPr>
      </w:pPr>
      <w:r>
        <w:rPr>
          <w:rFonts w:ascii="Arial" w:cs="Arial" w:eastAsia="Arial" w:hAnsi="Arial"/>
          <w:sz w:val="21"/>
          <w:szCs w:val="21"/>
          <w:color w:val="auto"/>
        </w:rPr>
        <w:t xml:space="preserve">the sale or issuance of the Company's or any other Obligor's Capital Stock (other than Disqualified Stock) to its direct Shareholders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Capital Stock is fully paid upon such issuance (or, as the case may be, sale) and is subject to the Liens created under the Company Share Pledge or such other Liens created under the Senior Finance Documents with regard to such other Obligor's Capital Stock;</w:t>
      </w:r>
    </w:p>
    <w:p>
      <w:pPr>
        <w:spacing w:after="0" w:line="175" w:lineRule="exact"/>
        <w:rPr>
          <w:rFonts w:ascii="Arial" w:cs="Arial" w:eastAsia="Arial" w:hAnsi="Arial"/>
          <w:sz w:val="21"/>
          <w:szCs w:val="21"/>
          <w:color w:val="auto"/>
        </w:rPr>
      </w:pPr>
    </w:p>
    <w:p>
      <w:pPr>
        <w:jc w:val="both"/>
        <w:ind w:left="1292" w:hanging="644"/>
        <w:spacing w:after="0" w:line="343" w:lineRule="auto"/>
        <w:tabs>
          <w:tab w:leader="none" w:pos="1292" w:val="left"/>
        </w:tabs>
        <w:numPr>
          <w:ilvl w:val="1"/>
          <w:numId w:val="346"/>
        </w:numPr>
        <w:rPr>
          <w:rFonts w:ascii="Arial" w:cs="Arial" w:eastAsia="Arial" w:hAnsi="Arial"/>
          <w:sz w:val="19"/>
          <w:szCs w:val="19"/>
          <w:color w:val="auto"/>
        </w:rPr>
      </w:pPr>
      <w:r>
        <w:rPr>
          <w:rFonts w:ascii="Arial" w:cs="Arial" w:eastAsia="Arial" w:hAnsi="Arial"/>
          <w:sz w:val="19"/>
          <w:szCs w:val="19"/>
          <w:color w:val="auto"/>
        </w:rPr>
        <w:t>the entry into of any leases or licences with respect to any space on or within the Site or the Cotai Site Facilities where the entry into of such leases or licences is not otherwise prohibited by the terms of the Senior Finance</w:t>
      </w:r>
    </w:p>
    <w:p>
      <w:pPr>
        <w:sectPr>
          <w:pgSz w:w="11900" w:h="16838" w:orient="portrait"/>
          <w:cols w:equalWidth="0" w:num="1">
            <w:col w:w="11412"/>
          </w:cols>
          <w:pgMar w:left="248" w:top="132" w:right="239" w:bottom="0" w:gutter="0" w:footer="0" w:header="0"/>
        </w:sectPr>
      </w:pPr>
    </w:p>
    <w:bookmarkStart w:id="220" w:name="page221"/>
    <w:bookmarkEnd w:id="220"/>
    <w:p>
      <w:pPr>
        <w:ind w:left="1300"/>
        <w:spacing w:after="0" w:line="287" w:lineRule="auto"/>
        <w:rPr>
          <w:sz w:val="20"/>
          <w:szCs w:val="20"/>
          <w:color w:val="auto"/>
        </w:rPr>
      </w:pPr>
      <w:r>
        <w:rPr>
          <w:rFonts w:ascii="Arial" w:cs="Arial" w:eastAsia="Arial" w:hAnsi="Arial"/>
          <w:sz w:val="21"/>
          <w:szCs w:val="21"/>
          <w:color w:val="auto"/>
        </w:rPr>
        <w:t>Documents or the cancellation of the Existing Executive Director Shares in connection with an Executive Director Substitution and the issuance of New Executive Director Shares to a New Executive Director;</w:t>
      </w:r>
    </w:p>
    <w:p>
      <w:pPr>
        <w:spacing w:after="0" w:line="152" w:lineRule="exact"/>
        <w:rPr>
          <w:sz w:val="20"/>
          <w:szCs w:val="20"/>
          <w:color w:val="auto"/>
        </w:rPr>
      </w:pPr>
    </w:p>
    <w:p>
      <w:pPr>
        <w:jc w:val="both"/>
        <w:ind w:left="1300" w:hanging="644"/>
        <w:spacing w:after="0" w:line="253"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any Property purchased using the Company's Subconcession proceeds (which is neither comprised in Wynn Macau or the Cotai Project nor necessary or desirable to ensure the full benefit of Wynn Macau or the Cotai Project to the Company);</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347"/>
        </w:numPr>
        <w:rPr>
          <w:rFonts w:ascii="Arial" w:cs="Arial" w:eastAsia="Arial" w:hAnsi="Arial"/>
          <w:sz w:val="21"/>
          <w:szCs w:val="21"/>
          <w:color w:val="auto"/>
        </w:rPr>
      </w:pPr>
      <w:r>
        <w:rPr>
          <w:rFonts w:ascii="Arial" w:cs="Arial" w:eastAsia="Arial" w:hAnsi="Arial"/>
          <w:sz w:val="21"/>
          <w:szCs w:val="21"/>
          <w:color w:val="auto"/>
        </w:rPr>
        <w:t>any Property associated with an Excluded Subsidiary or Excluded Project (which is neither comprised in Wynn Macau or the Cotai Project (other than, in the case of an Excluded Project on the Cotai Site, the grant of any right or interest to use the Cotai Site pursuant to a Cotai Resort Management Agreement) nor necessary or desirable to ensure the full benefit of Wynn Macau or the Cotai Project to the Company);</w:t>
      </w:r>
    </w:p>
    <w:p>
      <w:pPr>
        <w:spacing w:after="0" w:line="175"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any Property associated with Resort Management Agreements (which is neither comprised in Wynn Macau or the Cotai Project (other than, in the case of an Excluded Project on the Cotai Site, the grant of any right or interest to use the Cotai Site pursuant to a Cotai Resort Management Agreement) nor necessary or desirable to ensure the full benefit of Wynn Macau or the Cotai Project to the Company);</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the incurrence of Liens permitted under paragraph 3 of this Part B;</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 xml:space="preserve">any Event of Eminent Domain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requirements of Schedule 9 (</w:t>
      </w:r>
      <w:r>
        <w:rPr>
          <w:rFonts w:ascii="Arial" w:cs="Arial" w:eastAsia="Arial" w:hAnsi="Arial"/>
          <w:sz w:val="22"/>
          <w:szCs w:val="22"/>
          <w:i w:val="1"/>
          <w:iCs w:val="1"/>
          <w:color w:val="auto"/>
        </w:rPr>
        <w:t>Mandatory Prepayment</w:t>
      </w:r>
      <w:r>
        <w:rPr>
          <w:rFonts w:ascii="Arial" w:cs="Arial" w:eastAsia="Arial" w:hAnsi="Arial"/>
          <w:sz w:val="22"/>
          <w:szCs w:val="22"/>
          <w:color w:val="auto"/>
        </w:rPr>
        <w:t>) are complied with in connection therewith;</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subject to compliance with paragraph 17 of this Part B, the Company may enter into Subconcessions;</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 xml:space="preserve">any Disposition by the Company to a Subsidiary Obligor or by a Subsidiary Obligor to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requirements of paragraph 15 of Part A of this Schedule 5 are satisfied with respect to the acquisition by the transferee of the Disposed Property;</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 xml:space="preserve">the Disposition by Palo to the Company of Palo's interest in the Cotai Site (whether by assignment, novation, transfer or replacement of the Cotai Land Concession Contract or otherwise) and/or Palo's ownership of, or interest in, other assets relating to the Cotai Site and/or the Cotai Project pursuant to a Permitted Cotai Reorganisation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conditions in the proviso in the definition of "Permitted Cotai Reorganisation" in Clause 1.1</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Definitions</w:t>
      </w:r>
      <w:r>
        <w:rPr>
          <w:rFonts w:ascii="Arial" w:cs="Arial" w:eastAsia="Arial" w:hAnsi="Arial"/>
          <w:sz w:val="22"/>
          <w:szCs w:val="22"/>
          <w:color w:val="auto"/>
        </w:rPr>
        <w:t>) are satisfied with respect to the same; or</w:t>
      </w:r>
    </w:p>
    <w:p>
      <w:pPr>
        <w:spacing w:after="0" w:line="192"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any Disposition not falling within any of the preceding sub-paragraphs of this paragraph 5 made with the prior written consent of the Intercreditor Agent (such consent not to be unreasonably withheld).</w:t>
      </w:r>
    </w:p>
    <w:p>
      <w:pPr>
        <w:spacing w:after="0" w:line="169"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22"/>
          <w:szCs w:val="22"/>
          <w:color w:val="auto"/>
        </w:rPr>
      </w:pPr>
      <w:r>
        <w:rPr>
          <w:rFonts w:ascii="Arial" w:cs="Arial" w:eastAsia="Arial" w:hAnsi="Arial"/>
          <w:sz w:val="22"/>
          <w:szCs w:val="22"/>
          <w:b w:val="1"/>
          <w:bCs w:val="1"/>
          <w:color w:val="auto"/>
        </w:rPr>
        <w:t>Limitation on Restricted Payments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6.1</w:t>
      </w:r>
    </w:p>
    <w:p>
      <w:pPr>
        <w:spacing w:after="0" w:line="220" w:lineRule="exact"/>
        <w:rPr>
          <w:sz w:val="20"/>
          <w:szCs w:val="20"/>
          <w:color w:val="auto"/>
        </w:rPr>
      </w:pPr>
    </w:p>
    <w:p>
      <w:pPr>
        <w:jc w:val="both"/>
        <w:ind w:left="1300" w:hanging="644"/>
        <w:spacing w:after="0" w:line="246" w:lineRule="auto"/>
        <w:tabs>
          <w:tab w:leader="none" w:pos="130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Declare or pay any dividend on, or make any payment on account of, or set apart assets for a sinking or other analogous fund (and ensure each other Obligor which is a Subsidiary of the Company shall not declare or pay any dividend on, or make any payment on account of, or set apart assets for a sinking or other analogous fund) for, the purchase, redemption, defeasance, retirement or other acquisition of, any Capital Stock of the Company (including any Equity) or such other Obligor, whether now or hereafter outstanding, or make any other distribution in respect thereof, either directly or indirectly, whether in cash or property or in obligations of the Company or such other Obligor;</w:t>
      </w:r>
    </w:p>
    <w:p>
      <w:pPr>
        <w:spacing w:after="0" w:line="197" w:lineRule="exact"/>
        <w:rPr>
          <w:sz w:val="20"/>
          <w:szCs w:val="20"/>
          <w:color w:val="auto"/>
        </w:rPr>
      </w:pPr>
    </w:p>
    <w:p>
      <w:pPr>
        <w:jc w:val="both"/>
        <w:ind w:left="1300" w:hanging="644"/>
        <w:spacing w:after="0" w:line="302" w:lineRule="auto"/>
        <w:tabs>
          <w:tab w:leader="none" w:pos="130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enter (and ensure each other Obligor which is a Subsidiary of the Company shall not enter) into any derivatives or other transaction with any financial institution, commodities or stock exchange or clearinghouse (a "</w:t>
      </w:r>
      <w:r>
        <w:rPr>
          <w:rFonts w:ascii="Arial" w:cs="Arial" w:eastAsia="Arial" w:hAnsi="Arial"/>
          <w:sz w:val="19"/>
          <w:szCs w:val="19"/>
          <w:b w:val="1"/>
          <w:bCs w:val="1"/>
          <w:color w:val="auto"/>
        </w:rPr>
        <w:t>Derivatives</w:t>
      </w:r>
      <w:r>
        <w:rPr>
          <w:rFonts w:ascii="Arial" w:cs="Arial" w:eastAsia="Arial" w:hAnsi="Arial"/>
          <w:sz w:val="19"/>
          <w:szCs w:val="19"/>
          <w:color w:val="auto"/>
        </w:rPr>
        <w:t xml:space="preserve"> </w:t>
      </w:r>
      <w:r>
        <w:rPr>
          <w:rFonts w:ascii="Arial" w:cs="Arial" w:eastAsia="Arial" w:hAnsi="Arial"/>
          <w:sz w:val="19"/>
          <w:szCs w:val="19"/>
          <w:b w:val="1"/>
          <w:bCs w:val="1"/>
          <w:color w:val="auto"/>
        </w:rPr>
        <w:t>Counterparty</w:t>
      </w:r>
      <w:r>
        <w:rPr>
          <w:rFonts w:ascii="Arial" w:cs="Arial" w:eastAsia="Arial" w:hAnsi="Arial"/>
          <w:sz w:val="19"/>
          <w:szCs w:val="19"/>
          <w:color w:val="auto"/>
        </w:rPr>
        <w:t>") obligating the Company or such other Obligor to make payments to such Derivatives Counterparty</w:t>
      </w:r>
      <w:r>
        <w:rPr>
          <w:rFonts w:ascii="Arial" w:cs="Arial" w:eastAsia="Arial" w:hAnsi="Arial"/>
          <w:sz w:val="19"/>
          <w:szCs w:val="19"/>
          <w:b w:val="1"/>
          <w:bCs w:val="1"/>
          <w:color w:val="auto"/>
        </w:rPr>
        <w:t xml:space="preserve"> </w:t>
      </w:r>
      <w:r>
        <w:rPr>
          <w:rFonts w:ascii="Arial" w:cs="Arial" w:eastAsia="Arial" w:hAnsi="Arial"/>
          <w:sz w:val="19"/>
          <w:szCs w:val="19"/>
          <w:color w:val="auto"/>
        </w:rPr>
        <w:t>as a result of any change in market value of any such Capital Stock;</w:t>
      </w:r>
    </w:p>
    <w:p>
      <w:pPr>
        <w:spacing w:after="0" w:line="14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make any repayment of, or pay any interest on or other amount in respect of (and ensure each other Obligor shall not make any repayment of, or pay any interest on or other amount in respect of) the Performance Bond Facility or any other Subordinated Debt (including any Equity) or any WML Debt;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make any payment of IP Fees;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make any payment of Corporate Administrative Fees; or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take any action or make any payment permitted pursuant to, or in connection with any transaction permitted pursuant to, paragraph 10 of this Part B,</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(collectively, "</w:t>
      </w:r>
      <w:r>
        <w:rPr>
          <w:rFonts w:ascii="Arial" w:cs="Arial" w:eastAsia="Arial" w:hAnsi="Arial"/>
          <w:sz w:val="19"/>
          <w:szCs w:val="19"/>
          <w:b w:val="1"/>
          <w:bCs w:val="1"/>
          <w:color w:val="auto"/>
        </w:rPr>
        <w:t>Restricted Payments</w:t>
      </w:r>
      <w:r>
        <w:rPr>
          <w:rFonts w:ascii="Arial" w:cs="Arial" w:eastAsia="Arial" w:hAnsi="Arial"/>
          <w:sz w:val="19"/>
          <w:szCs w:val="19"/>
          <w:color w:val="auto"/>
        </w:rPr>
        <w:t>") except (i) to the extent constituting payment of any Restricted Payment by 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 Obligor to the Company or (ii) the Company and each Obligor may:</w:t>
      </w:r>
    </w:p>
    <w:p>
      <w:pPr>
        <w:sectPr>
          <w:pgSz w:w="11900" w:h="16838" w:orient="portrait"/>
          <w:cols w:equalWidth="0" w:num="1">
            <w:col w:w="11420"/>
          </w:cols>
          <w:pgMar w:left="240" w:top="132" w:right="239" w:bottom="0" w:gutter="0" w:footer="0" w:header="0"/>
        </w:sectPr>
      </w:pPr>
    </w:p>
    <w:bookmarkStart w:id="221" w:name="page222"/>
    <w:bookmarkEnd w:id="221"/>
    <w:p>
      <w:pPr>
        <w:jc w:val="both"/>
        <w:ind w:left="1952" w:hanging="655"/>
        <w:spacing w:after="0" w:line="253" w:lineRule="auto"/>
        <w:tabs>
          <w:tab w:leader="none" w:pos="195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pay dividends, distributions or other payments if (A) permitted under paragraphs 6.2 or 17(d) of this Part B or (B) made using any amounts derived from or under (i) any Resort Management Agreement or (ii) any Excluded Project or Excluded Subsidiary;</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make payments permitted in accordance with the Deed of Appointment and Priority;</w:t>
      </w:r>
    </w:p>
    <w:p>
      <w:pPr>
        <w:spacing w:after="0" w:line="219" w:lineRule="exact"/>
        <w:rPr>
          <w:rFonts w:ascii="Arial" w:cs="Arial" w:eastAsia="Arial" w:hAnsi="Arial"/>
          <w:sz w:val="22"/>
          <w:szCs w:val="22"/>
          <w:color w:val="auto"/>
        </w:rPr>
      </w:pPr>
    </w:p>
    <w:p>
      <w:pPr>
        <w:ind w:left="1952" w:right="20" w:hanging="655"/>
        <w:spacing w:after="0" w:line="263" w:lineRule="auto"/>
        <w:tabs>
          <w:tab w:leader="none" w:pos="195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 xml:space="preserve">pay Approved IP Fees and Approved Corporate Administrative Fees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case, no Event of Default has occurred and is continuing or would result from such payment;</w:t>
      </w:r>
    </w:p>
    <w:p>
      <w:pPr>
        <w:spacing w:after="0" w:line="174" w:lineRule="exact"/>
        <w:rPr>
          <w:rFonts w:ascii="Arial" w:cs="Arial" w:eastAsia="Arial" w:hAnsi="Arial"/>
          <w:sz w:val="22"/>
          <w:szCs w:val="22"/>
          <w:color w:val="auto"/>
        </w:rPr>
      </w:pPr>
    </w:p>
    <w:p>
      <w:pPr>
        <w:jc w:val="both"/>
        <w:ind w:left="1952" w:hanging="655"/>
        <w:spacing w:after="0" w:line="263" w:lineRule="auto"/>
        <w:tabs>
          <w:tab w:leader="none" w:pos="1952" w:val="left"/>
        </w:tabs>
        <w:numPr>
          <w:ilvl w:val="0"/>
          <w:numId w:val="351"/>
        </w:numPr>
        <w:rPr>
          <w:rFonts w:ascii="Arial" w:cs="Arial" w:eastAsia="Arial" w:hAnsi="Arial"/>
          <w:sz w:val="21"/>
          <w:szCs w:val="21"/>
          <w:color w:val="auto"/>
        </w:rPr>
      </w:pPr>
      <w:r>
        <w:rPr>
          <w:rFonts w:ascii="Arial" w:cs="Arial" w:eastAsia="Arial" w:hAnsi="Arial"/>
          <w:sz w:val="21"/>
          <w:szCs w:val="21"/>
          <w:color w:val="auto"/>
        </w:rPr>
        <w:t>pay to any of its Affiliates the direct cost incurred by that Affiliate (excluding any internal administration charges, internal handling fees, internal mark-ups or any other internal fees, costs, charges or impositions of a similar nature levied, imposed or charged by that Affiliate) for the acquisition of any assets, or the procurement or any services, to be used by the Company or such Obligor in its Permitted Business at or directly related to Wynn Macau and/or the Cotai Project;</w:t>
      </w:r>
    </w:p>
    <w:p>
      <w:pPr>
        <w:spacing w:after="0" w:line="175" w:lineRule="exact"/>
        <w:rPr>
          <w:rFonts w:ascii="Arial" w:cs="Arial" w:eastAsia="Arial" w:hAnsi="Arial"/>
          <w:sz w:val="21"/>
          <w:szCs w:val="21"/>
          <w:color w:val="auto"/>
        </w:rPr>
      </w:pPr>
    </w:p>
    <w:p>
      <w:pPr>
        <w:jc w:val="both"/>
        <w:ind w:left="1952" w:hanging="655"/>
        <w:spacing w:after="0" w:line="290" w:lineRule="auto"/>
        <w:tabs>
          <w:tab w:leader="none" w:pos="1952"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make dividends, distributions or other payments (including loans or advances), directly or indirectly, for the purpose of paying any amount with respect to WML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payment would not cause the aggregate amount of such payments made pursuant to this paragraph (v) to exceed USD150,000,000 in any Fiscal Year and (ii) had the WML Debt (and any Guarantee Obligations of the Company or Obligors in connection therewith) been incurred immediately prior to the last Quarterly Date to occur before the incurrence of such WML Debt,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and</w:t>
      </w:r>
    </w:p>
    <w:p>
      <w:pPr>
        <w:spacing w:after="0" w:line="156" w:lineRule="exact"/>
        <w:rPr>
          <w:rFonts w:ascii="Arial" w:cs="Arial" w:eastAsia="Arial" w:hAnsi="Arial"/>
          <w:sz w:val="19"/>
          <w:szCs w:val="19"/>
          <w:color w:val="auto"/>
        </w:rPr>
      </w:pPr>
    </w:p>
    <w:p>
      <w:pPr>
        <w:jc w:val="both"/>
        <w:ind w:left="1952" w:hanging="655"/>
        <w:spacing w:after="0" w:line="290" w:lineRule="auto"/>
        <w:tabs>
          <w:tab w:leader="none" w:pos="1952"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without prejudice to paragraph 6.2, make any payment (other than a payment permitted pursuant to any of sub-paragraphs (i) to (v) (inclusive) above) pursuant to, or in connection with any transaction permitted pursuant to, paragraph 10 of Part B of this Schedule 5 subject to compliance with applicable Legal Requirements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 Event of Default has occurred and is continuing or would otherwise result from the making of such payment and (B) had such payment been made immediately prior to the most recent Quarterly Date,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57" w:lineRule="exact"/>
        <w:rPr>
          <w:sz w:val="20"/>
          <w:szCs w:val="20"/>
          <w:color w:val="auto"/>
        </w:rPr>
      </w:pPr>
    </w:p>
    <w:p>
      <w:pPr>
        <w:jc w:val="both"/>
        <w:ind w:left="652" w:hanging="647"/>
        <w:spacing w:after="0" w:line="302" w:lineRule="auto"/>
        <w:tabs>
          <w:tab w:leader="none" w:pos="63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 xml:space="preserve">At any time after the first Quarterly Date, the Company and each Subsidiary Obligor may declare and/or pay (other than a declaration or payment permitted pursuant to paragraphs 6.1(i)(B), 6.1(ii), 6.1(iii), 6.1(iv) or 6.1(v)) at the times set out in paragraph 6.3 of this Part B by way of dividend or other distribution or make other Restricted Payments, subject to compliance with applicable Legal Requirements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of the following conditions have been satisfied:</w:t>
      </w:r>
    </w:p>
    <w:p>
      <w:pPr>
        <w:spacing w:after="0" w:line="143" w:lineRule="exact"/>
        <w:rPr>
          <w:sz w:val="20"/>
          <w:szCs w:val="20"/>
          <w:color w:val="auto"/>
        </w:rPr>
      </w:pPr>
    </w:p>
    <w:p>
      <w:pPr>
        <w:ind w:left="1952" w:hanging="655"/>
        <w:spacing w:after="0" w:line="343" w:lineRule="auto"/>
        <w:tabs>
          <w:tab w:leader="none" w:pos="195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or might reasonably be expected to occur as a result of the declaration and/or payment of such dividend or other distribution or Restricted Payment; and</w:t>
      </w:r>
    </w:p>
    <w:p>
      <w:pPr>
        <w:spacing w:after="0" w:line="104" w:lineRule="exact"/>
        <w:rPr>
          <w:rFonts w:ascii="Arial" w:cs="Arial" w:eastAsia="Arial" w:hAnsi="Arial"/>
          <w:sz w:val="19"/>
          <w:szCs w:val="19"/>
          <w:color w:val="auto"/>
        </w:rPr>
      </w:pPr>
    </w:p>
    <w:p>
      <w:pPr>
        <w:jc w:val="both"/>
        <w:ind w:left="1952" w:hanging="655"/>
        <w:spacing w:after="0" w:line="302" w:lineRule="auto"/>
        <w:tabs>
          <w:tab w:leader="none" w:pos="195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had such declaration, payment, distribution or other Restricted Payment been made immediately prior to the most recent Quarterly Date, the Company would, as at that Quarterly Date, still have been in compliance with paragraph 1 of Part B of this Schedule 5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43" w:lineRule="exact"/>
        <w:rPr>
          <w:sz w:val="20"/>
          <w:szCs w:val="20"/>
          <w:color w:val="auto"/>
        </w:rPr>
      </w:pPr>
    </w:p>
    <w:p>
      <w:pPr>
        <w:jc w:val="both"/>
        <w:ind w:left="652" w:hanging="647"/>
        <w:spacing w:after="0" w:line="294" w:lineRule="auto"/>
        <w:tabs>
          <w:tab w:leader="none" w:pos="632"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 xml:space="preserve">Any payment or making of dividends or other distribution or Restricted Payment under paragraph 6.2 of this Part B may be made once in each Fiscal Quarter (or such other date or with such other frequency as may be agreed by the Intercreditor Agent)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where such payment or making of dividends or other distributions or Restricted Payments is proposed to be made in the Fiscal Quarter immediately following the end of the previous Fiscal Year, that payment or making of dividends or other distributions or Restricted Payments shall be made after the date of prepayment of Advances under the Facilities in respect of Excess Cash Flow pursuant to paragraph 4 of Schedule 9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50"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The financial ratios set out in paragraph 6.2 of this Part B shall be tested by reference to the financial statements of the Company delivered pursuant to paragraph 1(a) of Part A of this Schedule 5 and/or each Compliance Certificate delivered pursuant to paragraph 2(a) of Part A of this Schedule 5.</w:t>
      </w:r>
    </w:p>
    <w:p>
      <w:pPr>
        <w:spacing w:after="0" w:line="180" w:lineRule="exact"/>
        <w:rPr>
          <w:sz w:val="20"/>
          <w:szCs w:val="20"/>
          <w:color w:val="auto"/>
        </w:rPr>
      </w:pPr>
    </w:p>
    <w:p>
      <w:pPr>
        <w:ind w:left="652" w:hanging="652"/>
        <w:spacing w:after="0"/>
        <w:tabs>
          <w:tab w:leader="none" w:pos="652" w:val="left"/>
        </w:tabs>
        <w:numPr>
          <w:ilvl w:val="0"/>
          <w:numId w:val="353"/>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353"/>
        </w:numPr>
        <w:rPr>
          <w:rFonts w:ascii="Arial" w:cs="Arial" w:eastAsia="Arial" w:hAnsi="Arial"/>
          <w:sz w:val="22"/>
          <w:szCs w:val="22"/>
          <w:color w:val="auto"/>
        </w:rPr>
      </w:pPr>
      <w:r>
        <w:rPr>
          <w:rFonts w:ascii="Arial" w:cs="Arial" w:eastAsia="Arial" w:hAnsi="Arial"/>
          <w:sz w:val="22"/>
          <w:szCs w:val="22"/>
          <w:b w:val="1"/>
          <w:bCs w:val="1"/>
          <w:color w:val="auto"/>
        </w:rPr>
        <w:t>Limitation on Investments</w:t>
      </w:r>
    </w:p>
    <w:p>
      <w:pPr>
        <w:spacing w:after="0" w:line="225" w:lineRule="exact"/>
        <w:rPr>
          <w:rFonts w:ascii="Arial" w:cs="Arial" w:eastAsia="Arial" w:hAnsi="Arial"/>
          <w:sz w:val="22"/>
          <w:szCs w:val="22"/>
          <w:color w:val="auto"/>
        </w:rPr>
      </w:pPr>
    </w:p>
    <w:p>
      <w:pPr>
        <w:jc w:val="both"/>
        <w:ind w:left="652"/>
        <w:spacing w:after="0" w:line="250" w:lineRule="auto"/>
        <w:rPr>
          <w:rFonts w:ascii="Arial" w:cs="Arial" w:eastAsia="Arial" w:hAnsi="Arial"/>
          <w:sz w:val="22"/>
          <w:szCs w:val="22"/>
          <w:color w:val="auto"/>
        </w:rPr>
      </w:pPr>
      <w:r>
        <w:rPr>
          <w:rFonts w:ascii="Arial" w:cs="Arial" w:eastAsia="Arial" w:hAnsi="Arial"/>
          <w:sz w:val="22"/>
          <w:szCs w:val="22"/>
          <w:color w:val="auto"/>
        </w:rPr>
        <w:t>Make (and ensure that no other Obligor shall 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22"/>
          <w:szCs w:val="22"/>
          <w:b w:val="1"/>
          <w:bCs w:val="1"/>
          <w:color w:val="auto"/>
        </w:rPr>
        <w:t>Investments</w:t>
      </w:r>
      <w:r>
        <w:rPr>
          <w:rFonts w:ascii="Arial" w:cs="Arial" w:eastAsia="Arial" w:hAnsi="Arial"/>
          <w:sz w:val="22"/>
          <w:szCs w:val="22"/>
          <w:color w:val="auto"/>
        </w:rPr>
        <w:t>"), except:</w:t>
      </w:r>
    </w:p>
    <w:p>
      <w:pPr>
        <w:sectPr>
          <w:pgSz w:w="11900" w:h="16838" w:orient="portrait"/>
          <w:cols w:equalWidth="0" w:num="1">
            <w:col w:w="11412"/>
          </w:cols>
          <w:pgMar w:left="248" w:top="240" w:right="239" w:bottom="0" w:gutter="0" w:footer="0" w:header="0"/>
        </w:sectPr>
      </w:pPr>
    </w:p>
    <w:bookmarkStart w:id="222" w:name="page223"/>
    <w:bookmarkEnd w:id="222"/>
    <w:p>
      <w:pPr>
        <w:ind w:left="1292" w:hanging="644"/>
        <w:spacing w:after="0" w:line="26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Investments by the Company in any of its Wholly Owned Subsidiaries (other than any Excluded Subsidiary) which is an Obligor;</w:t>
      </w:r>
    </w:p>
    <w:p>
      <w:pPr>
        <w:spacing w:after="0" w:line="174"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54"/>
        </w:numPr>
        <w:rPr>
          <w:rFonts w:ascii="Arial" w:cs="Arial" w:eastAsia="Arial" w:hAnsi="Arial"/>
          <w:sz w:val="21"/>
          <w:szCs w:val="21"/>
          <w:color w:val="auto"/>
        </w:rPr>
      </w:pPr>
      <w:r>
        <w:rPr>
          <w:rFonts w:ascii="Arial" w:cs="Arial" w:eastAsia="Arial" w:hAnsi="Arial"/>
          <w:sz w:val="21"/>
          <w:szCs w:val="21"/>
          <w:color w:val="auto"/>
        </w:rPr>
        <w:t xml:space="preserve">extensions of trade credit in the ordinary course of business (including, without limitation, advances to patrons of Wynn Macau or the Cotai Project casino and gaming operations consistent with ordinary course gaming operations)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extensions are in compliance with all Legal Requirements;</w:t>
      </w:r>
    </w:p>
    <w:p>
      <w:pPr>
        <w:spacing w:after="0" w:line="167" w:lineRule="exact"/>
        <w:rPr>
          <w:rFonts w:ascii="Arial" w:cs="Arial" w:eastAsia="Arial" w:hAnsi="Arial"/>
          <w:sz w:val="21"/>
          <w:szCs w:val="21"/>
          <w:color w:val="auto"/>
        </w:rPr>
      </w:pPr>
    </w:p>
    <w:p>
      <w:pPr>
        <w:ind w:left="1292" w:hanging="644"/>
        <w:spacing w:after="0"/>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Investments made using any amounts derived from or under (i) the grant of any Subconcession, (ii) any Resort Management Agreement or (iii) any Excluded Project or Excluded Subsidiary;</w:t>
      </w:r>
    </w:p>
    <w:p>
      <w:pPr>
        <w:spacing w:after="0" w:line="174"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 xml:space="preserve">Investments in any Excluded Subsidiary or Excluded Project or any third party whose primary business is the development, construction, ownership and operation of hotel resorts and casinos,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Investments are made using amounts which are not required to be applied for any other purpose under or in connection with the Senior Finance Documents;</w:t>
      </w:r>
    </w:p>
    <w:p>
      <w:pPr>
        <w:spacing w:after="0" w:line="188"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loans and advances to employees of the Company or Palo in the ordinary course of business (including, without limitation, for travel, entertainment and relocation expenses) in an aggregate amount not to exceed USD5,000,000 or its equivalent at any one time outstanding;</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Investments consisting of securities received in settlement of debt created in the ordinary course of business and owing to the Company or in satisfaction of judgments;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acquisition of Advances in connection with a Permitted Loan Repurchase;</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loans and advances permitted under paragraph 6.1(v) of this Part B;</w:t>
      </w:r>
    </w:p>
    <w:p>
      <w:pPr>
        <w:spacing w:after="0" w:line="219" w:lineRule="exact"/>
        <w:rPr>
          <w:rFonts w:ascii="Arial" w:cs="Arial" w:eastAsia="Arial" w:hAnsi="Arial"/>
          <w:sz w:val="22"/>
          <w:szCs w:val="22"/>
          <w:color w:val="auto"/>
        </w:rPr>
      </w:pPr>
    </w:p>
    <w:p>
      <w:pPr>
        <w:jc w:val="both"/>
        <w:ind w:left="1292" w:hanging="644"/>
        <w:spacing w:after="0" w:line="302" w:lineRule="auto"/>
        <w:tabs>
          <w:tab w:leader="none" w:pos="1292" w:val="left"/>
        </w:tabs>
        <w:numPr>
          <w:ilvl w:val="1"/>
          <w:numId w:val="354"/>
        </w:numPr>
        <w:rPr>
          <w:rFonts w:ascii="Arial" w:cs="Arial" w:eastAsia="Arial" w:hAnsi="Arial"/>
          <w:sz w:val="19"/>
          <w:szCs w:val="19"/>
          <w:color w:val="auto"/>
        </w:rPr>
      </w:pPr>
      <w:r>
        <w:rPr>
          <w:rFonts w:ascii="Arial" w:cs="Arial" w:eastAsia="Arial" w:hAnsi="Arial"/>
          <w:sz w:val="19"/>
          <w:szCs w:val="19"/>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or any other Obligor in an aggregate amount (valued at cost) not to exceed USD50,000,000 or its equivalent at any one time outstanding;</w:t>
      </w:r>
    </w:p>
    <w:p>
      <w:pPr>
        <w:spacing w:after="0" w:line="142"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Guaranteed Obligations of the Company or any Obligor incurred or assumed or allowed to remain outstanding (in accordance with paragraph 2.1(i) of this Part B with respect to any WML Debt; and</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any Specified Equity Contributions made by way of equity as contemplated by (and, to the extent, and in the manner permitted by) the definition thereof and the definition of "Specified Equity Contributions Conditions", each as set out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355"/>
        </w:numPr>
        <w:rPr>
          <w:rFonts w:ascii="Arial" w:cs="Arial" w:eastAsia="Arial" w:hAnsi="Arial"/>
          <w:sz w:val="22"/>
          <w:szCs w:val="22"/>
          <w:color w:val="auto"/>
        </w:rPr>
      </w:pPr>
      <w:r>
        <w:rPr>
          <w:rFonts w:ascii="Arial" w:cs="Arial" w:eastAsia="Arial" w:hAnsi="Arial"/>
          <w:sz w:val="22"/>
          <w:szCs w:val="22"/>
          <w:b w:val="1"/>
          <w:bCs w:val="1"/>
          <w:color w:val="auto"/>
        </w:rPr>
        <w:t>Limitation on Optional Payments and Modifications of Governing Documents</w:t>
      </w:r>
    </w:p>
    <w:p>
      <w:pPr>
        <w:spacing w:after="0" w:line="225" w:lineRule="exact"/>
        <w:rPr>
          <w:rFonts w:ascii="Arial" w:cs="Arial" w:eastAsia="Arial" w:hAnsi="Arial"/>
          <w:sz w:val="22"/>
          <w:szCs w:val="22"/>
          <w:color w:val="auto"/>
        </w:rPr>
      </w:pPr>
    </w:p>
    <w:p>
      <w:pPr>
        <w:jc w:val="both"/>
        <w:ind w:left="1292" w:hanging="644"/>
        <w:spacing w:after="0" w:line="259" w:lineRule="auto"/>
        <w:tabs>
          <w:tab w:leader="none" w:pos="1292" w:val="left"/>
        </w:tabs>
        <w:numPr>
          <w:ilvl w:val="1"/>
          <w:numId w:val="355"/>
        </w:numPr>
        <w:rPr>
          <w:rFonts w:ascii="Arial" w:cs="Arial" w:eastAsia="Arial" w:hAnsi="Arial"/>
          <w:sz w:val="21"/>
          <w:szCs w:val="21"/>
          <w:color w:val="auto"/>
        </w:rPr>
      </w:pPr>
      <w:r>
        <w:rPr>
          <w:rFonts w:ascii="Arial" w:cs="Arial" w:eastAsia="Arial" w:hAnsi="Arial"/>
          <w:sz w:val="21"/>
          <w:szCs w:val="21"/>
          <w:color w:val="auto"/>
        </w:rPr>
        <w:t>Make or offer to make (and ensure no other Obligor makes or offers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(i) the prepayment of (A) Financial Indebtedness incurred under the Senior Finance Documents in accordance with the terms of the Senior Finance Documents, (B) Permitted Financial Indebtedness (excluding any Subordinated Debt) or (ii) Permitted Loan Repurchases or (C) any Subordinated Debt in accordance with the terms of the Subordination Deed; or</w:t>
      </w:r>
    </w:p>
    <w:p>
      <w:pPr>
        <w:spacing w:after="0" w:line="180" w:lineRule="exact"/>
        <w:rPr>
          <w:rFonts w:ascii="Arial" w:cs="Arial" w:eastAsia="Arial" w:hAnsi="Arial"/>
          <w:sz w:val="21"/>
          <w:szCs w:val="21"/>
          <w:color w:val="auto"/>
        </w:rPr>
      </w:pPr>
    </w:p>
    <w:p>
      <w:pPr>
        <w:jc w:val="both"/>
        <w:ind w:left="1292" w:hanging="644"/>
        <w:spacing w:after="0" w:line="250" w:lineRule="auto"/>
        <w:tabs>
          <w:tab w:leader="none" w:pos="1292" w:val="left"/>
        </w:tabs>
        <w:numPr>
          <w:ilvl w:val="1"/>
          <w:numId w:val="355"/>
        </w:numPr>
        <w:rPr>
          <w:rFonts w:ascii="Arial" w:cs="Arial" w:eastAsia="Arial" w:hAnsi="Arial"/>
          <w:sz w:val="22"/>
          <w:szCs w:val="22"/>
          <w:color w:val="auto"/>
        </w:rPr>
      </w:pPr>
      <w:r>
        <w:rPr>
          <w:rFonts w:ascii="Arial" w:cs="Arial" w:eastAsia="Arial" w:hAnsi="Arial"/>
          <w:sz w:val="22"/>
          <w:szCs w:val="22"/>
          <w:color w:val="auto"/>
        </w:rPr>
        <w:t>amend or modify, or permit the amendment or modification of (and ensure no other Subsidiary Obligor amends, modifies or permits the amendment or modification of) its Governing Documents in any manner adverse to any of the Secured Parties (other than where such amendment or modification could not reasonably be expected to have a Material Adverse Effect).</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355"/>
        </w:numPr>
        <w:rPr>
          <w:rFonts w:ascii="Arial" w:cs="Arial" w:eastAsia="Arial" w:hAnsi="Arial"/>
          <w:sz w:val="22"/>
          <w:szCs w:val="22"/>
          <w:color w:val="auto"/>
        </w:rPr>
      </w:pPr>
      <w:r>
        <w:rPr>
          <w:rFonts w:ascii="Arial" w:cs="Arial" w:eastAsia="Arial" w:hAnsi="Arial"/>
          <w:sz w:val="22"/>
          <w:szCs w:val="22"/>
          <w:b w:val="1"/>
          <w:bCs w:val="1"/>
          <w:color w:val="auto"/>
        </w:rPr>
        <w:t>Limitation on Transactions with Affiliates</w:t>
      </w:r>
    </w:p>
    <w:p>
      <w:pPr>
        <w:spacing w:after="0" w:line="225" w:lineRule="exact"/>
        <w:rPr>
          <w:rFonts w:ascii="Arial" w:cs="Arial" w:eastAsia="Arial" w:hAnsi="Arial"/>
          <w:sz w:val="22"/>
          <w:szCs w:val="22"/>
          <w:color w:val="auto"/>
        </w:rPr>
      </w:pPr>
    </w:p>
    <w:p>
      <w:pPr>
        <w:jc w:val="both"/>
        <w:ind w:left="652"/>
        <w:spacing w:after="0" w:line="302" w:lineRule="auto"/>
        <w:rPr>
          <w:rFonts w:ascii="Arial" w:cs="Arial" w:eastAsia="Arial" w:hAnsi="Arial"/>
          <w:sz w:val="22"/>
          <w:szCs w:val="22"/>
          <w:color w:val="auto"/>
        </w:rPr>
      </w:pPr>
      <w:r>
        <w:rPr>
          <w:rFonts w:ascii="Arial" w:cs="Arial" w:eastAsia="Arial" w:hAnsi="Arial"/>
          <w:sz w:val="19"/>
          <w:szCs w:val="19"/>
          <w:color w:val="auto"/>
        </w:rPr>
        <w:t>Enter (and ensure that no other Obligor shall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142" w:lineRule="exact"/>
        <w:rPr>
          <w:rFonts w:ascii="Arial" w:cs="Arial" w:eastAsia="Arial" w:hAnsi="Arial"/>
          <w:sz w:val="22"/>
          <w:szCs w:val="22"/>
          <w:color w:val="auto"/>
        </w:rPr>
      </w:pPr>
    </w:p>
    <w:p>
      <w:pPr>
        <w:ind w:left="1292" w:hanging="644"/>
        <w:spacing w:after="0"/>
        <w:tabs>
          <w:tab w:leader="none" w:pos="1292" w:val="left"/>
        </w:tabs>
        <w:numPr>
          <w:ilvl w:val="1"/>
          <w:numId w:val="355"/>
        </w:numPr>
        <w:rPr>
          <w:rFonts w:ascii="Arial" w:cs="Arial" w:eastAsia="Arial" w:hAnsi="Arial"/>
          <w:sz w:val="22"/>
          <w:szCs w:val="22"/>
          <w:color w:val="auto"/>
        </w:rPr>
      </w:pPr>
      <w:r>
        <w:rPr>
          <w:rFonts w:ascii="Arial" w:cs="Arial" w:eastAsia="Arial" w:hAnsi="Arial"/>
          <w:sz w:val="22"/>
          <w:szCs w:val="22"/>
          <w:color w:val="auto"/>
        </w:rPr>
        <w:t>the relevant transaction is:</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355"/>
        </w:numPr>
        <w:rPr>
          <w:rFonts w:ascii="Arial" w:cs="Arial" w:eastAsia="Arial" w:hAnsi="Arial"/>
          <w:sz w:val="19"/>
          <w:szCs w:val="19"/>
          <w:color w:val="auto"/>
        </w:rPr>
      </w:pPr>
      <w:r>
        <w:rPr>
          <w:rFonts w:ascii="Arial" w:cs="Arial" w:eastAsia="Arial" w:hAnsi="Arial"/>
          <w:sz w:val="19"/>
          <w:szCs w:val="19"/>
          <w:color w:val="auto"/>
        </w:rPr>
        <w:t>a genuine commercial transaction on terms that are not less favourable to the Company or applicable Obligor</w:t>
      </w:r>
    </w:p>
    <w:p>
      <w:pPr>
        <w:sectPr>
          <w:pgSz w:w="11900" w:h="16838" w:orient="portrait"/>
          <w:cols w:equalWidth="0" w:num="1">
            <w:col w:w="11412"/>
          </w:cols>
          <w:pgMar w:left="248" w:top="132" w:right="239" w:bottom="0" w:gutter="0" w:footer="0" w:header="0"/>
        </w:sectPr>
      </w:pPr>
    </w:p>
    <w:bookmarkStart w:id="223" w:name="page224"/>
    <w:bookmarkEnd w:id="223"/>
    <w:p>
      <w:pPr>
        <w:ind w:left="1960" w:right="20"/>
        <w:spacing w:after="0" w:line="263" w:lineRule="auto"/>
        <w:rPr>
          <w:sz w:val="20"/>
          <w:szCs w:val="20"/>
          <w:color w:val="auto"/>
        </w:rPr>
      </w:pPr>
      <w:r>
        <w:rPr>
          <w:rFonts w:ascii="Arial" w:cs="Arial" w:eastAsia="Arial" w:hAnsi="Arial"/>
          <w:sz w:val="22"/>
          <w:szCs w:val="22"/>
          <w:color w:val="auto"/>
        </w:rPr>
        <w:t>than those that might be obtained at the time in a comparable arm's length transaction with Persons who are not Affiliates of the Company; and</w:t>
      </w:r>
    </w:p>
    <w:p>
      <w:pPr>
        <w:spacing w:after="0" w:line="175" w:lineRule="exact"/>
        <w:rPr>
          <w:sz w:val="20"/>
          <w:szCs w:val="20"/>
          <w:color w:val="auto"/>
        </w:rPr>
      </w:pPr>
    </w:p>
    <w:p>
      <w:pPr>
        <w:ind w:left="1960" w:hanging="655"/>
        <w:spacing w:after="0"/>
        <w:tabs>
          <w:tab w:leader="none" w:pos="1960" w:val="left"/>
        </w:tabs>
        <w:numPr>
          <w:ilvl w:val="2"/>
          <w:numId w:val="356"/>
        </w:numPr>
        <w:rPr>
          <w:rFonts w:ascii="Arial" w:cs="Arial" w:eastAsia="Arial" w:hAnsi="Arial"/>
          <w:sz w:val="22"/>
          <w:szCs w:val="22"/>
          <w:color w:val="auto"/>
        </w:rPr>
      </w:pPr>
      <w:r>
        <w:rPr>
          <w:rFonts w:ascii="Arial" w:cs="Arial" w:eastAsia="Arial" w:hAnsi="Arial"/>
          <w:sz w:val="22"/>
          <w:szCs w:val="22"/>
          <w:color w:val="auto"/>
        </w:rPr>
        <w:t>is not prohibited by the Listing Rules, or</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the relevant transaction is between the Company and its Wholly Owned Subsidiary (other than any Excluded Subsidiary) which is an Obligor.</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Limitation on Sales and Leasebacks</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Save as permitted pursuant to paragraph 5 of this Part B, enter (and ensure that no other Obligor shall enter) into any arrangement with any Person providing for the leasing by the Company or such other Obligor as lessee of Property which has been or is to be sold or transferred by the Company or such other Obligor to such Person or to any other Person to whom funds have been or are to be advanced by such Person on the security of such Property or rental obligations of the Company or such other Obligor.</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Limitation on Changes in Fiscal Periods</w:t>
      </w:r>
    </w:p>
    <w:p>
      <w:pPr>
        <w:spacing w:after="0" w:line="225"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Permit the Fiscal Year of the Company or any other Obligor to end on a day other than December 31 or change the Company's or any other Obligor's method of determining Fiscal Quarters.</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Limitation on Negative Pledge Clauses</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Enter into any agreement that prohibits or limits the ability (and ensure that no other Obligor enters into any agreement that prohibits or limits the ability) of the Company or any other Obligor to create, incur or assume any Lien upon any of its Property or revenues, whether now owned or hereafter acquired, to secure the Obligations other than:</w:t>
      </w:r>
    </w:p>
    <w:p>
      <w:pPr>
        <w:spacing w:after="0" w:line="133" w:lineRule="exact"/>
        <w:rPr>
          <w:rFonts w:ascii="Arial" w:cs="Arial" w:eastAsia="Arial" w:hAnsi="Arial"/>
          <w:sz w:val="22"/>
          <w:szCs w:val="22"/>
          <w:color w:val="auto"/>
        </w:rPr>
      </w:pPr>
    </w:p>
    <w:p>
      <w:pPr>
        <w:ind w:left="1300" w:hanging="644"/>
        <w:spacing w:after="0"/>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Senior Finance Documents;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any agreements governing any purchase money Liens or Capital Lease Obligations otherwise permitted hereby (in which case, any prohibition or limitation shall only be effective against the assets financed thereby and proceeds thereof);</w:t>
      </w:r>
    </w:p>
    <w:p>
      <w:pPr>
        <w:spacing w:after="0" w:line="185" w:lineRule="exact"/>
        <w:rPr>
          <w:rFonts w:ascii="Arial" w:cs="Arial" w:eastAsia="Arial" w:hAnsi="Arial"/>
          <w:sz w:val="22"/>
          <w:szCs w:val="22"/>
          <w:color w:val="auto"/>
        </w:rPr>
      </w:pPr>
    </w:p>
    <w:p>
      <w:pPr>
        <w:jc w:val="both"/>
        <w:ind w:left="1300" w:right="20" w:hanging="644"/>
        <w:spacing w:after="0" w:line="312" w:lineRule="auto"/>
        <w:tabs>
          <w:tab w:leader="none" w:pos="1300" w:val="left"/>
        </w:tabs>
        <w:numPr>
          <w:ilvl w:val="1"/>
          <w:numId w:val="358"/>
        </w:numPr>
        <w:rPr>
          <w:rFonts w:ascii="Arial" w:cs="Arial" w:eastAsia="Arial" w:hAnsi="Arial"/>
          <w:sz w:val="19"/>
          <w:szCs w:val="19"/>
          <w:color w:val="auto"/>
        </w:rPr>
      </w:pPr>
      <w:r>
        <w:rPr>
          <w:rFonts w:ascii="Arial" w:cs="Arial" w:eastAsia="Arial" w:hAnsi="Arial"/>
          <w:sz w:val="19"/>
          <w:szCs w:val="19"/>
          <w:color w:val="auto"/>
        </w:rPr>
        <w:t>in connection with WML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terms of such WML Debt shall not prohibit the creation, incurrence, assumption or subsistence of any Lien in favour of the Secured Parties existing or contemplated under the Senior Finance Documents as such documents are in effect at the time such WML Debt is incurred); and</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as required by applicable Legal Requirements.</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Limitation on Lines of Business</w:t>
      </w:r>
    </w:p>
    <w:p>
      <w:pPr>
        <w:spacing w:after="0" w:line="22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Enter (and ensure that no other Obligor enters) into any business activities, whether directly or indirectly, other than Permitted Businesses.</w:t>
      </w:r>
    </w:p>
    <w:p>
      <w:pPr>
        <w:spacing w:after="0" w:line="174"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Establish (and ensure that no other Obligor establishes) any representative office other than (in the case of the Company) marketing offices or other place of business in a jurisdiction outside the Macau SAR or its place of incorporation unless (in the case of the Company) such office or place of business has been notified to the Intercreditor Agent, the requirements of paragraph 15 of Part A of this Schedule 5 have been satisfied in respect of any Property of the Company which may at any time be located in such jurisdiction within 30 days of such establishment and the Company has taken all such steps as may be required in such jurisdiction to perfect, maintain and protect the Security.</w:t>
      </w:r>
    </w:p>
    <w:p>
      <w:pPr>
        <w:spacing w:after="0" w:line="191" w:lineRule="exact"/>
        <w:rPr>
          <w:rFonts w:ascii="Arial" w:cs="Arial" w:eastAsia="Arial" w:hAnsi="Arial"/>
          <w:sz w:val="22"/>
          <w:szCs w:val="22"/>
          <w:color w:val="auto"/>
        </w:rPr>
      </w:pPr>
    </w:p>
    <w:p>
      <w:pPr>
        <w:ind w:left="660" w:hanging="652"/>
        <w:spacing w:after="0"/>
        <w:tabs>
          <w:tab w:leader="none" w:pos="660"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Restrictions on Changes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Concession Contract, Land Concession Contract, Cotai Land Concession Contract, the Performance Bond Facility</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Agreement and the Concession Contract Performance Bond</w:t>
      </w:r>
    </w:p>
    <w:p>
      <w:pPr>
        <w:spacing w:after="0" w:line="202"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 xml:space="preserve">Agree to any amendment to or termination of, or assign, transfer, cancel or waive any of its rights under the Concession Contract, the Land Concession Contract, the Cotai Land Concession Contract, the Performance Bond Facility Agreement or the Concession Contract Performance Bond without obtaining the prior written consent of the Intercreditor Agent (other than: (i) in relation to the Cotai Land Concession Contract, to increase the gross construction area and/or the contract premium payable thereunder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where such increase is contemplated in connection with an Excluded Project located or to be located on the Cotai Site, the entire Cotai Site must remain part of the Project Security and subject to the Cotai Mortgage and there shall be no adverse effect on the validity or enforceability of, or the effectiveness or ranking of any Security as a result of the Excluded Project being located on the Cotai Site and </w:t>
      </w:r>
      <w:r>
        <w:rPr>
          <w:rFonts w:ascii="Arial" w:cs="Arial" w:eastAsia="Arial" w:hAnsi="Arial"/>
          <w:sz w:val="19"/>
          <w:szCs w:val="19"/>
          <w:i w:val="1"/>
          <w:iCs w:val="1"/>
          <w:color w:val="auto"/>
        </w:rPr>
        <w:t>further provided</w:t>
      </w:r>
      <w:r>
        <w:rPr>
          <w:rFonts w:ascii="Arial" w:cs="Arial" w:eastAsia="Arial" w:hAnsi="Arial"/>
          <w:sz w:val="19"/>
          <w:szCs w:val="19"/>
          <w:color w:val="auto"/>
        </w:rPr>
        <w:t>, in each case, that such</w:t>
      </w:r>
    </w:p>
    <w:p>
      <w:pPr>
        <w:sectPr>
          <w:pgSz w:w="11900" w:h="16838" w:orient="portrait"/>
          <w:cols w:equalWidth="0" w:num="1">
            <w:col w:w="11420"/>
          </w:cols>
          <w:pgMar w:left="240" w:top="132" w:right="239" w:bottom="0" w:gutter="0" w:footer="0" w:header="0"/>
        </w:sectPr>
      </w:pPr>
    </w:p>
    <w:bookmarkStart w:id="224" w:name="page225"/>
    <w:bookmarkEnd w:id="224"/>
    <w:p>
      <w:pPr>
        <w:jc w:val="both"/>
        <w:ind w:left="660"/>
        <w:spacing w:after="0" w:line="290" w:lineRule="auto"/>
        <w:rPr>
          <w:sz w:val="20"/>
          <w:szCs w:val="20"/>
          <w:color w:val="auto"/>
        </w:rPr>
      </w:pPr>
      <w:r>
        <w:rPr>
          <w:rFonts w:ascii="Arial" w:cs="Arial" w:eastAsia="Arial" w:hAnsi="Arial"/>
          <w:sz w:val="19"/>
          <w:szCs w:val="19"/>
          <w:color w:val="auto"/>
        </w:rPr>
        <w:t xml:space="preserve">increase is in accordance with the applicable Macau SAR Legal Requirements and could not reasonably be expected to be prejudicial to the interests of any of the Secured Parties, (ii) any mechanical or administrative amendments or any amendments required by any Macau SAR Governmental Authority of which reasonable prior notice has been given and which could not reasonably be expected to be prejudicial to the interests of any of the Secured Parties, (iii) in relation to the Cotai Land Concession Contract, in connection with a Permitted Cotai Reorganisation and (iv) in relation to the Land Concession Contract, to increase the gross construction area and/or the contract premium payable thereunder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such increase is in accordance with the applicable Macau SAR Legal Requirements and could not reasonably be expected to be prejudicial to the interests of any of the Secured Parties).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Other Contracts</w:t>
      </w:r>
    </w:p>
    <w:p>
      <w:pPr>
        <w:spacing w:after="0" w:line="226" w:lineRule="exact"/>
        <w:rPr>
          <w:sz w:val="20"/>
          <w:szCs w:val="20"/>
          <w:color w:val="auto"/>
        </w:rPr>
      </w:pPr>
    </w:p>
    <w:p>
      <w:pPr>
        <w:jc w:val="both"/>
        <w:ind w:left="1300" w:hanging="644"/>
        <w:spacing w:after="0" w:line="312" w:lineRule="auto"/>
        <w:tabs>
          <w:tab w:leader="none" w:pos="1300" w:val="left"/>
        </w:tabs>
        <w:numPr>
          <w:ilvl w:val="1"/>
          <w:numId w:val="359"/>
        </w:numPr>
        <w:rPr>
          <w:rFonts w:ascii="Arial" w:cs="Arial" w:eastAsia="Arial" w:hAnsi="Arial"/>
          <w:sz w:val="19"/>
          <w:szCs w:val="19"/>
          <w:color w:val="auto"/>
        </w:rPr>
      </w:pPr>
      <w:r>
        <w:rPr>
          <w:rFonts w:ascii="Arial" w:cs="Arial" w:eastAsia="Arial" w:hAnsi="Arial"/>
          <w:sz w:val="19"/>
          <w:szCs w:val="19"/>
          <w:color w:val="auto"/>
        </w:rPr>
        <w:t>Agree to any amendment to (or variation or supplement of) or waive any of its rights under the IP Agreement where such amendment or waiver changes or has (or could reasonably be expected to have) the effect of changing any of the percentages used in the calculation of the IP Fees in a manner that would increase such IP Fees.</w:t>
      </w:r>
    </w:p>
    <w:p>
      <w:pPr>
        <w:spacing w:after="0" w:line="133" w:lineRule="exact"/>
        <w:rPr>
          <w:rFonts w:ascii="Arial" w:cs="Arial" w:eastAsia="Arial" w:hAnsi="Arial"/>
          <w:sz w:val="19"/>
          <w:szCs w:val="19"/>
          <w:color w:val="auto"/>
        </w:rPr>
      </w:pPr>
    </w:p>
    <w:p>
      <w:pPr>
        <w:jc w:val="both"/>
        <w:ind w:left="1300" w:hanging="644"/>
        <w:spacing w:after="0" w:line="286" w:lineRule="auto"/>
        <w:tabs>
          <w:tab w:leader="none" w:pos="1300" w:val="left"/>
        </w:tabs>
        <w:numPr>
          <w:ilvl w:val="1"/>
          <w:numId w:val="359"/>
        </w:numPr>
        <w:rPr>
          <w:rFonts w:ascii="Arial" w:cs="Arial" w:eastAsia="Arial" w:hAnsi="Arial"/>
          <w:sz w:val="19"/>
          <w:szCs w:val="19"/>
          <w:color w:val="auto"/>
        </w:rPr>
      </w:pPr>
      <w:r>
        <w:rPr>
          <w:rFonts w:ascii="Arial" w:cs="Arial" w:eastAsia="Arial" w:hAnsi="Arial"/>
          <w:sz w:val="19"/>
          <w:szCs w:val="19"/>
          <w:color w:val="auto"/>
        </w:rPr>
        <w:t>Directly or indirectly enter into, amend, modify, terminate, supplement or waive a right or permit or consent to the amendment, modification, termination (except expiration in accordance with its terms), supplement or waiver of any of the provisions of, or give any consent or exercise any other discretion under (and ensure that no other Obligor directly or indirectly enters into, amends, modifies, terminates, supplements or waives a right or permits or consents to the amendment, modification, termination (except expiration in accordance with its terms), supplement or waiver of any of the provisions of, or gives any consent or exercises any other discretion under) any Resort Management Agreement unless each claim, interest, liability and right of recourse of any kind of any counterparty to that Resort Management Agreement against or in the Company, Palo or any other member of the Restricted Group or any of their respective assets (including, without limitation, Wynn Macau and the Cotai Project) is and remains at all times limited to an aggregate amount equal to all revenues derived by the Company (or, as the case may be, Palo) in respect of that Excluded Project and any other assets of the Company (or, as the case may be Palo) comprised in that Excluded Project (and which do not form part of and are not necessary to ensure to the Restricted Group the full benefit of Wynn Macau or the Cotai Project).</w:t>
      </w:r>
    </w:p>
    <w:p>
      <w:pPr>
        <w:spacing w:after="0" w:line="161" w:lineRule="exact"/>
        <w:rPr>
          <w:rFonts w:ascii="Arial" w:cs="Arial" w:eastAsia="Arial" w:hAnsi="Arial"/>
          <w:sz w:val="19"/>
          <w:szCs w:val="19"/>
          <w:color w:val="auto"/>
        </w:rPr>
      </w:pPr>
    </w:p>
    <w:p>
      <w:pPr>
        <w:ind w:left="660" w:hanging="652"/>
        <w:spacing w:after="0"/>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b w:val="1"/>
          <w:bCs w:val="1"/>
          <w:color w:val="auto"/>
        </w:rPr>
        <w:t>Limitation on Formation and Acquisition of Subsidiaries</w:t>
      </w:r>
    </w:p>
    <w:p>
      <w:pPr>
        <w:spacing w:after="0" w:line="225" w:lineRule="exact"/>
        <w:rPr>
          <w:rFonts w:ascii="Arial" w:cs="Arial" w:eastAsia="Arial" w:hAnsi="Arial"/>
          <w:sz w:val="22"/>
          <w:szCs w:val="22"/>
          <w:color w:val="auto"/>
        </w:rPr>
      </w:pPr>
    </w:p>
    <w:p>
      <w:pPr>
        <w:jc w:val="both"/>
        <w:ind w:left="660"/>
        <w:spacing w:after="0" w:line="271" w:lineRule="auto"/>
        <w:rPr>
          <w:rFonts w:ascii="Arial" w:cs="Arial" w:eastAsia="Arial" w:hAnsi="Arial"/>
          <w:sz w:val="22"/>
          <w:szCs w:val="22"/>
          <w:color w:val="auto"/>
        </w:rPr>
      </w:pPr>
      <w:r>
        <w:rPr>
          <w:rFonts w:ascii="Arial" w:cs="Arial" w:eastAsia="Arial" w:hAnsi="Arial"/>
          <w:sz w:val="21"/>
          <w:szCs w:val="21"/>
          <w:color w:val="auto"/>
        </w:rPr>
        <w:t>Without the prior written consent of the Intercreditor Agent (such consent not to be unreasonably withheld), form, create or acquire (and ensure that no other Obligor forms, creates or acquires) any direct or indirect Subsidiary other than any Obligor or (in the case of the Company and the Company's Subsidiaries) any Excluded Subsidiary.</w:t>
      </w:r>
    </w:p>
    <w:p>
      <w:pPr>
        <w:spacing w:after="0" w:line="161" w:lineRule="exact"/>
        <w:rPr>
          <w:rFonts w:ascii="Arial" w:cs="Arial" w:eastAsia="Arial" w:hAnsi="Arial"/>
          <w:sz w:val="22"/>
          <w:szCs w:val="22"/>
          <w:color w:val="auto"/>
        </w:rPr>
      </w:pPr>
    </w:p>
    <w:p>
      <w:pPr>
        <w:ind w:left="660" w:hanging="652"/>
        <w:spacing w:after="0"/>
        <w:tabs>
          <w:tab w:leader="none" w:pos="660" w:val="left"/>
        </w:tabs>
        <w:numPr>
          <w:ilvl w:val="0"/>
          <w:numId w:val="360"/>
        </w:numPr>
        <w:rPr>
          <w:rFonts w:ascii="Arial" w:cs="Arial" w:eastAsia="Arial" w:hAnsi="Arial"/>
          <w:sz w:val="22"/>
          <w:szCs w:val="22"/>
          <w:color w:val="auto"/>
        </w:rPr>
      </w:pPr>
      <w:r>
        <w:rPr>
          <w:rFonts w:ascii="Arial" w:cs="Arial" w:eastAsia="Arial" w:hAnsi="Arial"/>
          <w:sz w:val="22"/>
          <w:szCs w:val="22"/>
          <w:b w:val="1"/>
          <w:bCs w:val="1"/>
          <w:color w:val="auto"/>
        </w:rPr>
        <w:t>Limitation on Subconcessions</w:t>
      </w:r>
    </w:p>
    <w:p>
      <w:pPr>
        <w:spacing w:after="0" w:line="22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Grant or enter into any Subconcession unless:</w:t>
      </w:r>
    </w:p>
    <w:p>
      <w:pPr>
        <w:spacing w:after="0" w:line="219"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360"/>
        </w:numPr>
        <w:rPr>
          <w:rFonts w:ascii="Arial" w:cs="Arial" w:eastAsia="Arial" w:hAnsi="Arial"/>
          <w:sz w:val="21"/>
          <w:szCs w:val="21"/>
          <w:color w:val="auto"/>
        </w:rPr>
      </w:pPr>
      <w:r>
        <w:rPr>
          <w:rFonts w:ascii="Arial" w:cs="Arial" w:eastAsia="Arial" w:hAnsi="Arial"/>
          <w:sz w:val="21"/>
          <w:szCs w:val="21"/>
          <w:color w:val="auto"/>
        </w:rPr>
        <w:t>no breach of the Concession Contract shall exist and be continuing at the time such Subconcession is granted or entered into or would occur after or as a result of granting or entering into such Subconcession;</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360"/>
        </w:numPr>
        <w:rPr>
          <w:rFonts w:ascii="Arial" w:cs="Arial" w:eastAsia="Arial" w:hAnsi="Arial"/>
          <w:sz w:val="22"/>
          <w:szCs w:val="22"/>
          <w:color w:val="auto"/>
        </w:rPr>
      </w:pPr>
      <w:r>
        <w:rPr>
          <w:rFonts w:ascii="Arial" w:cs="Arial" w:eastAsia="Arial" w:hAnsi="Arial"/>
          <w:sz w:val="22"/>
          <w:szCs w:val="22"/>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185"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1"/>
          <w:numId w:val="360"/>
        </w:numPr>
        <w:rPr>
          <w:rFonts w:ascii="Arial" w:cs="Arial" w:eastAsia="Arial" w:hAnsi="Arial"/>
          <w:sz w:val="21"/>
          <w:szCs w:val="21"/>
          <w:color w:val="auto"/>
        </w:rPr>
      </w:pPr>
      <w:r>
        <w:rPr>
          <w:rFonts w:ascii="Arial" w:cs="Arial" w:eastAsia="Arial" w:hAnsi="Arial"/>
          <w:sz w:val="21"/>
          <w:szCs w:val="21"/>
          <w:color w:val="auto"/>
        </w:rPr>
        <w:t>such Subconcession and any business or other activities carried out pursuant thereto shall be self-contained and shall not adversely affect the operation of Wynn Macau or the Cotai Project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 and, subject to receipt by the Intercreditor Agent of evidence reasonably satisfactory to it, neither the Subconcession nor any business or other activities carried out pursuant thereto could otherwise reasonably be expected to materially interfere with, impair or detract from the operation of Wynn Macau or the Cotai Project or otherwise have a Material Adverse Effect; and</w:t>
      </w:r>
    </w:p>
    <w:p>
      <w:pPr>
        <w:spacing w:after="0" w:line="18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360"/>
        </w:numPr>
        <w:rPr>
          <w:rFonts w:ascii="Arial" w:cs="Arial" w:eastAsia="Arial" w:hAnsi="Arial"/>
          <w:sz w:val="21"/>
          <w:szCs w:val="21"/>
          <w:color w:val="auto"/>
        </w:rPr>
      </w:pPr>
      <w:r>
        <w:rPr>
          <w:rFonts w:ascii="Arial" w:cs="Arial" w:eastAsia="Arial" w:hAnsi="Arial"/>
          <w:sz w:val="21"/>
          <w:szCs w:val="21"/>
          <w:color w:val="auto"/>
        </w:rPr>
        <w:t xml:space="preserve">if any cash or cash proceeds are paid or received in respect of the grant or entry into such Subconcession, it shall first be deposited into an Account and, after deduction and payment therefrom of all Taxes, costs and expenses incurred in connection with such payment, receipt, grant or entry, may thereafter be used, applied, dividended or otherwise distributed by the Company and applied in its discretion (including, subject to compliance with applicable Legal Requirements, to make Restricted Payments)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Default has occurred and is continuing. Notwithstanding any provisions contained in the Senior Finance Documents to the contrary, upon receipt of any funds distributed by the Company in accordance with this paragraph 17 by any Wynn Obligor, such Wynn Obligor shall also be entitled to use, apply, dividend or otherwise distribute such funds in its discretion (subject to compliance with applicable Legal Requirements).</w:t>
      </w:r>
    </w:p>
    <w:p>
      <w:pPr>
        <w:sectPr>
          <w:pgSz w:w="11900" w:h="16838" w:orient="portrait"/>
          <w:cols w:equalWidth="0" w:num="1">
            <w:col w:w="11420"/>
          </w:cols>
          <w:pgMar w:left="240" w:top="132" w:right="239" w:bottom="0" w:gutter="0" w:footer="0" w:header="0"/>
        </w:sectPr>
      </w:pPr>
    </w:p>
    <w:bookmarkStart w:id="225" w:name="page226"/>
    <w:bookmarkEnd w:id="225"/>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Limitation on Sale or Discount of Receivables</w:t>
      </w:r>
    </w:p>
    <w:p>
      <w:pPr>
        <w:spacing w:after="0" w:line="225"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Except as permitted pursuant to paragraph 5(b) of this Part B, directly or indirectly, sell with recourse, or discount or otherwise sell for less than the face value thereof (and ensure that no other Obligor, directly or indirectly, sells with recourse, or discounts or otherwise sells for less than the face value thereof) any of its notes or accounts receivable other than an assignment for purposes of collection in the ordinary course of business.</w:t>
      </w:r>
    </w:p>
    <w:p>
      <w:pPr>
        <w:spacing w:after="0" w:line="169" w:lineRule="exact"/>
        <w:rPr>
          <w:rFonts w:ascii="Arial" w:cs="Arial" w:eastAsia="Arial" w:hAnsi="Arial"/>
          <w:sz w:val="22"/>
          <w:szCs w:val="22"/>
          <w:color w:val="auto"/>
        </w:rPr>
      </w:pPr>
    </w:p>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Compliance</w:t>
      </w:r>
    </w:p>
    <w:p>
      <w:pPr>
        <w:spacing w:after="0" w:line="225" w:lineRule="exact"/>
        <w:rPr>
          <w:rFonts w:ascii="Arial" w:cs="Arial" w:eastAsia="Arial" w:hAnsi="Arial"/>
          <w:sz w:val="22"/>
          <w:szCs w:val="22"/>
          <w:color w:val="auto"/>
        </w:rPr>
      </w:pPr>
    </w:p>
    <w:p>
      <w:pPr>
        <w:ind w:left="660"/>
        <w:spacing w:after="0" w:line="287" w:lineRule="auto"/>
        <w:rPr>
          <w:rFonts w:ascii="Arial" w:cs="Arial" w:eastAsia="Arial" w:hAnsi="Arial"/>
          <w:sz w:val="22"/>
          <w:szCs w:val="22"/>
          <w:color w:val="auto"/>
        </w:rPr>
      </w:pPr>
      <w:r>
        <w:rPr>
          <w:rFonts w:ascii="Arial" w:cs="Arial" w:eastAsia="Arial" w:hAnsi="Arial"/>
          <w:sz w:val="21"/>
          <w:szCs w:val="21"/>
          <w:color w:val="auto"/>
        </w:rPr>
        <w:t>Use or permit the use of Wynn Macau or the Cotai Project in any manner that could result in such use becoming a non-conforming use under any applicable land use law, rule or regulation that is a Legal Requirement.</w:t>
      </w:r>
    </w:p>
    <w:p>
      <w:pPr>
        <w:spacing w:after="0" w:line="145" w:lineRule="exact"/>
        <w:rPr>
          <w:rFonts w:ascii="Arial" w:cs="Arial" w:eastAsia="Arial" w:hAnsi="Arial"/>
          <w:sz w:val="22"/>
          <w:szCs w:val="22"/>
          <w:color w:val="auto"/>
        </w:rPr>
      </w:pPr>
    </w:p>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Amendment to Transaction Documents</w:t>
      </w:r>
    </w:p>
    <w:p>
      <w:pPr>
        <w:spacing w:after="0" w:line="225" w:lineRule="exact"/>
        <w:rPr>
          <w:rFonts w:ascii="Arial" w:cs="Arial" w:eastAsia="Arial" w:hAnsi="Arial"/>
          <w:sz w:val="22"/>
          <w:szCs w:val="22"/>
          <w:color w:val="auto"/>
        </w:rPr>
      </w:pPr>
    </w:p>
    <w:p>
      <w:pPr>
        <w:jc w:val="both"/>
        <w:ind w:left="660"/>
        <w:spacing w:after="0" w:line="312" w:lineRule="auto"/>
        <w:rPr>
          <w:rFonts w:ascii="Arial" w:cs="Arial" w:eastAsia="Arial" w:hAnsi="Arial"/>
          <w:sz w:val="22"/>
          <w:szCs w:val="22"/>
          <w:color w:val="auto"/>
        </w:rPr>
      </w:pPr>
      <w:r>
        <w:rPr>
          <w:rFonts w:ascii="Arial" w:cs="Arial" w:eastAsia="Arial" w:hAnsi="Arial"/>
          <w:sz w:val="19"/>
          <w:szCs w:val="19"/>
          <w:color w:val="auto"/>
        </w:rPr>
        <w:t>Enter (and ensure that no other Obligor enters) into any agreement (other than the Senior Finance Documents) restricting its ability to amend any of the Transaction Documents where such entry could reasonably be expected to have an adverse effect on the ability of the Company or any other Obligor to perform its payment obligations under the Finance Documents</w:t>
      </w:r>
    </w:p>
    <w:p>
      <w:pPr>
        <w:spacing w:after="0" w:line="127" w:lineRule="exact"/>
        <w:rPr>
          <w:rFonts w:ascii="Arial" w:cs="Arial" w:eastAsia="Arial" w:hAnsi="Arial"/>
          <w:sz w:val="22"/>
          <w:szCs w:val="22"/>
          <w:color w:val="auto"/>
        </w:rPr>
      </w:pPr>
    </w:p>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No Other Powers of Attorney</w:t>
      </w:r>
    </w:p>
    <w:p>
      <w:pPr>
        <w:spacing w:after="0" w:line="225" w:lineRule="exact"/>
        <w:rPr>
          <w:rFonts w:ascii="Arial" w:cs="Arial" w:eastAsia="Arial" w:hAnsi="Arial"/>
          <w:sz w:val="22"/>
          <w:szCs w:val="22"/>
          <w:color w:val="auto"/>
        </w:rPr>
      </w:pPr>
    </w:p>
    <w:p>
      <w:pPr>
        <w:jc w:val="both"/>
        <w:ind w:left="660"/>
        <w:spacing w:after="0" w:line="248" w:lineRule="auto"/>
        <w:rPr>
          <w:rFonts w:ascii="Arial" w:cs="Arial" w:eastAsia="Arial" w:hAnsi="Arial"/>
          <w:sz w:val="22"/>
          <w:szCs w:val="22"/>
          <w:color w:val="auto"/>
        </w:rPr>
      </w:pPr>
      <w:r>
        <w:rPr>
          <w:rFonts w:ascii="Arial" w:cs="Arial" w:eastAsia="Arial" w:hAnsi="Arial"/>
          <w:sz w:val="22"/>
          <w:szCs w:val="22"/>
          <w:color w:val="auto"/>
        </w:rPr>
        <w:t>Execute or deliver (and ensure that no other Obligor executes or delivers)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 or are required to be executed or delivered in the Company's or such other Obligor's ordinary course of business.</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20"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Casino and Gaming Zone Areas</w:t>
      </w:r>
    </w:p>
    <w:p>
      <w:pPr>
        <w:spacing w:after="0" w:line="225" w:lineRule="exact"/>
        <w:rPr>
          <w:rFonts w:ascii="Arial" w:cs="Arial" w:eastAsia="Arial" w:hAnsi="Arial"/>
          <w:sz w:val="22"/>
          <w:szCs w:val="22"/>
          <w:color w:val="auto"/>
        </w:rPr>
      </w:pPr>
    </w:p>
    <w:p>
      <w:pPr>
        <w:jc w:val="both"/>
        <w:ind w:left="660"/>
        <w:spacing w:after="0" w:line="260" w:lineRule="auto"/>
        <w:rPr>
          <w:rFonts w:ascii="Arial" w:cs="Arial" w:eastAsia="Arial" w:hAnsi="Arial"/>
          <w:sz w:val="22"/>
          <w:szCs w:val="22"/>
          <w:color w:val="auto"/>
        </w:rPr>
      </w:pPr>
      <w:r>
        <w:rPr>
          <w:rFonts w:ascii="Arial" w:cs="Arial" w:eastAsia="Arial" w:hAnsi="Arial"/>
          <w:sz w:val="22"/>
          <w:szCs w:val="22"/>
          <w:color w:val="auto"/>
        </w:rPr>
        <w:t>Solely with respect to Wynn Macau (and not the Cotai Project or any Excluded Project), designate any area as a casino or gaming zone unless such designation would not cause the aggregate area which is classified as casino or gaming zones by the Macau SAR to exceed 40,000m</w:t>
      </w:r>
      <w:r>
        <w:rPr>
          <w:rFonts w:ascii="Arial" w:cs="Arial" w:eastAsia="Arial" w:hAnsi="Arial"/>
          <w:sz w:val="28"/>
          <w:szCs w:val="28"/>
          <w:color w:val="auto"/>
          <w:vertAlign w:val="superscript"/>
        </w:rPr>
        <w:t>2</w:t>
      </w:r>
      <w:r>
        <w:rPr>
          <w:rFonts w:ascii="Arial" w:cs="Arial" w:eastAsia="Arial" w:hAnsi="Arial"/>
          <w:sz w:val="22"/>
          <w:szCs w:val="22"/>
          <w:color w:val="auto"/>
        </w:rPr>
        <w:t>.</w:t>
      </w:r>
    </w:p>
    <w:p>
      <w:pPr>
        <w:spacing w:after="0" w:line="82" w:lineRule="exact"/>
        <w:rPr>
          <w:rFonts w:ascii="Arial" w:cs="Arial" w:eastAsia="Arial" w:hAnsi="Arial"/>
          <w:sz w:val="22"/>
          <w:szCs w:val="22"/>
          <w:color w:val="auto"/>
        </w:rPr>
      </w:pPr>
    </w:p>
    <w:p>
      <w:pPr>
        <w:ind w:left="660" w:hanging="652"/>
        <w:spacing w:after="0"/>
        <w:tabs>
          <w:tab w:leader="none" w:pos="660"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Junkets</w:t>
      </w:r>
    </w:p>
    <w:p>
      <w:pPr>
        <w:spacing w:after="0" w:line="225"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Arial" w:cs="Arial" w:eastAsia="Arial" w:hAnsi="Arial"/>
          <w:sz w:val="19"/>
          <w:szCs w:val="19"/>
          <w:color w:val="auto"/>
        </w:rPr>
        <w:t>Enter into or permit to subsist any arrangement with any gaming junket-tour promoters, directors or cooperators unless such Persons and any such arrangement are in compliance with the requirements of the Concession Contract and all other applicable Legal Requirements and the Company shall monitor the activities of such Persons in regard to such arrangements and shall take all necessary or appropriate reasonable measures to ensure such compliance.</w:t>
      </w:r>
    </w:p>
    <w:p>
      <w:pPr>
        <w:spacing w:after="0" w:line="136" w:lineRule="exact"/>
        <w:rPr>
          <w:rFonts w:ascii="Arial" w:cs="Arial" w:eastAsia="Arial" w:hAnsi="Arial"/>
          <w:sz w:val="22"/>
          <w:szCs w:val="22"/>
          <w:color w:val="auto"/>
        </w:rPr>
      </w:pPr>
    </w:p>
    <w:p>
      <w:pPr>
        <w:ind w:left="660" w:hanging="652"/>
        <w:spacing w:after="0"/>
        <w:tabs>
          <w:tab w:leader="none" w:pos="660"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6</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ACCOUNTS</w:t>
      </w:r>
    </w:p>
    <w:p>
      <w:pPr>
        <w:spacing w:after="0" w:line="209"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22"/>
          <w:szCs w:val="22"/>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Accounts</w:t>
      </w:r>
    </w:p>
    <w:p>
      <w:pPr>
        <w:spacing w:after="0" w:line="220" w:lineRule="exact"/>
        <w:rPr>
          <w:sz w:val="20"/>
          <w:szCs w:val="20"/>
          <w:color w:val="auto"/>
        </w:rPr>
      </w:pPr>
    </w:p>
    <w:p>
      <w:pPr>
        <w:jc w:val="both"/>
        <w:ind w:left="1300" w:hanging="644"/>
        <w:spacing w:after="0" w:line="250" w:lineRule="auto"/>
        <w:tabs>
          <w:tab w:leader="none" w:pos="1300" w:val="left"/>
        </w:tabs>
        <w:numPr>
          <w:ilvl w:val="0"/>
          <w:numId w:val="364"/>
        </w:numPr>
        <w:rPr>
          <w:rFonts w:ascii="Arial" w:cs="Arial" w:eastAsia="Arial" w:hAnsi="Arial"/>
          <w:sz w:val="22"/>
          <w:szCs w:val="22"/>
          <w:color w:val="auto"/>
        </w:rPr>
      </w:pPr>
      <w:r>
        <w:rPr>
          <w:rFonts w:ascii="Arial" w:cs="Arial" w:eastAsia="Arial" w:hAnsi="Arial"/>
          <w:sz w:val="22"/>
          <w:szCs w:val="22"/>
          <w:color w:val="auto"/>
        </w:rPr>
        <w:t>The members of the Restricted Group may (but shall not be required to) maintain in accordance with the requirements of this Schedule 6 and the Senior Finance Documents, operating, disbursement and other accounts (which as of the Fifth Amendment Signing Date comprise of the following bank accounts maintained by the Company):</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64"/>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"Term Facility USD Disbursement Account";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64"/>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"Term Facility HKD Disbursement Account";</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364"/>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"Project Facility USD Disbursement Account";</w:t>
      </w:r>
    </w:p>
    <w:p>
      <w:pPr>
        <w:sectPr>
          <w:pgSz w:w="11900" w:h="16838" w:orient="portrait"/>
          <w:cols w:equalWidth="0" w:num="1">
            <w:col w:w="11420"/>
          </w:cols>
          <w:pgMar w:left="240" w:top="126" w:right="239" w:bottom="0" w:gutter="0" w:footer="0" w:header="0"/>
        </w:sectPr>
      </w:pPr>
    </w:p>
    <w:bookmarkStart w:id="226" w:name="page227"/>
    <w:bookmarkEnd w:id="226"/>
    <w:p>
      <w:pPr>
        <w:ind w:left="1960" w:hanging="655"/>
        <w:spacing w:after="0" w:line="263" w:lineRule="auto"/>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"Project Facility HKD Disbursement Account";</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 account denominated in US dollars opened in Macau and designated "USD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 account denominated in HK dollars opened in Macau and designated "HKD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 account denominated in Patacas opened in Macau and designated "MOP Operating Account";</w:t>
      </w:r>
    </w:p>
    <w:p>
      <w:pPr>
        <w:spacing w:after="0" w:line="231" w:lineRule="exact"/>
        <w:rPr>
          <w:rFonts w:ascii="Arial" w:cs="Arial" w:eastAsia="Arial" w:hAnsi="Arial"/>
          <w:sz w:val="21"/>
          <w:szCs w:val="21"/>
          <w:color w:val="auto"/>
        </w:rPr>
      </w:pPr>
    </w:p>
    <w:p>
      <w:pPr>
        <w:ind w:left="1960" w:hanging="655"/>
        <w:spacing w:after="0"/>
        <w:tabs>
          <w:tab w:leader="none" w:pos="196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an account denominated in US dollars opened in Macau and designated "USD Debt Service Account";</w:t>
      </w:r>
    </w:p>
    <w:p>
      <w:pPr>
        <w:spacing w:after="0" w:line="254" w:lineRule="exact"/>
        <w:rPr>
          <w:rFonts w:ascii="Arial" w:cs="Arial" w:eastAsia="Arial" w:hAnsi="Arial"/>
          <w:sz w:val="19"/>
          <w:szCs w:val="19"/>
          <w:color w:val="auto"/>
        </w:rPr>
      </w:pPr>
    </w:p>
    <w:p>
      <w:pPr>
        <w:ind w:left="1960" w:hanging="655"/>
        <w:spacing w:after="0"/>
        <w:tabs>
          <w:tab w:leader="none" w:pos="196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an account denominated in HK dollars opened in Macau and designated "HKD Debt Service Account";</w:t>
      </w:r>
    </w:p>
    <w:p>
      <w:pPr>
        <w:spacing w:after="0" w:line="254"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denominated in US dollars opened in Macau and designated "USD Debt Service Reserve Account";</w:t>
      </w:r>
    </w:p>
    <w:p>
      <w:pPr>
        <w:spacing w:after="0" w:line="174"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denominated in HK dollars opened in Macau and designated "HKD Debt Service Reserve Account";</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an account denominated in Patacas opened in Macau and designated "Special Gaming Tax Account";</w:t>
      </w:r>
    </w:p>
    <w:p>
      <w:pPr>
        <w:spacing w:after="0" w:line="254"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denominated in Patacas opened in Macau (being the account referred to in paragraph B6 of the Gaming Concession Consent Agreement) and an account denominated in US dollars opened in Macau, together designated "Compensation Proceeds Account";</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opened in Macau and designated "Upfront Premium Account"; and</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an account denominated in HK dollars and an account denominated in Patacas each opened in Macau and designated "Construction Disbursement Account"),</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in each case, subject to Security under the relevant Senior Finance Documents and each, for the purposes of the Senior Finance Documents, also an Account.</w:t>
      </w:r>
    </w:p>
    <w:p>
      <w:pPr>
        <w:spacing w:after="0" w:line="175" w:lineRule="exact"/>
        <w:rPr>
          <w:sz w:val="20"/>
          <w:szCs w:val="20"/>
          <w:color w:val="auto"/>
        </w:rPr>
      </w:pPr>
    </w:p>
    <w:p>
      <w:pPr>
        <w:jc w:val="both"/>
        <w:ind w:left="1300" w:hanging="644"/>
        <w:spacing w:after="0" w:line="250" w:lineRule="auto"/>
        <w:tabs>
          <w:tab w:leader="none" w:pos="130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Notwithstanding the provisions of paragraph (a) above, each Obligor and each member of the Restricted Group shall comply with the provisions of paragraphs 1.1(b) and (c), and paragraphs 1.2 to 3.7 (inclusive) of this Schedule 6 (</w:t>
      </w:r>
      <w:r>
        <w:rPr>
          <w:rFonts w:ascii="Arial" w:cs="Arial" w:eastAsia="Arial" w:hAnsi="Arial"/>
          <w:sz w:val="22"/>
          <w:szCs w:val="22"/>
          <w:i w:val="1"/>
          <w:iCs w:val="1"/>
          <w:color w:val="auto"/>
        </w:rPr>
        <w:t>Accounts</w:t>
      </w:r>
      <w:r>
        <w:rPr>
          <w:rFonts w:ascii="Arial" w:cs="Arial" w:eastAsia="Arial" w:hAnsi="Arial"/>
          <w:sz w:val="22"/>
          <w:szCs w:val="22"/>
          <w:color w:val="auto"/>
        </w:rPr>
        <w:t>) and the provisions of the Facility Agreements in respect of the operation of each Development Account, including (without limitation) any withdrawal therefrom.</w:t>
      </w:r>
    </w:p>
    <w:p>
      <w:pPr>
        <w:spacing w:after="0" w:line="188"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Any member of the Restricted Group may open one or more additional operating, disbursement or other accounts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accounts satisfy the requirements of the definition of "Account"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Maintenance of Accounts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Accounts shall, save as otherwise provided by the Charges over Accounts, the Account Bank Notices and Acknowledgements or herein, be maintained by the relevant member of the Restricted Group with the relevant Account Bank in accordance with the Account Bank's usual practice and may from time to time be sub-divided into such sub-accounts as that member of the Restricted Group may reasonably request.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Restrictions</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Each member of the Restricted Group shall maintain each of its Accounts (and shall procure that each other Account is maintained) as a separate account with the relevant Account Bank and:</w:t>
      </w:r>
    </w:p>
    <w:p>
      <w:pPr>
        <w:spacing w:after="0" w:line="175" w:lineRule="exact"/>
        <w:rPr>
          <w:sz w:val="20"/>
          <w:szCs w:val="20"/>
          <w:color w:val="auto"/>
        </w:rPr>
      </w:pPr>
    </w:p>
    <w:p>
      <w:pPr>
        <w:jc w:val="both"/>
        <w:ind w:left="1300" w:hanging="644"/>
        <w:spacing w:after="0" w:line="271" w:lineRule="auto"/>
        <w:tabs>
          <w:tab w:leader="none" w:pos="1300" w:val="left"/>
        </w:tabs>
        <w:numPr>
          <w:ilvl w:val="0"/>
          <w:numId w:val="367"/>
        </w:numPr>
        <w:rPr>
          <w:rFonts w:ascii="Arial" w:cs="Arial" w:eastAsia="Arial" w:hAnsi="Arial"/>
          <w:sz w:val="21"/>
          <w:szCs w:val="21"/>
          <w:color w:val="auto"/>
        </w:rPr>
      </w:pPr>
      <w:r>
        <w:rPr>
          <w:rFonts w:ascii="Arial" w:cs="Arial" w:eastAsia="Arial" w:hAnsi="Arial"/>
          <w:sz w:val="21"/>
          <w:szCs w:val="21"/>
          <w:color w:val="auto"/>
        </w:rPr>
        <w:t>none of the restrictions contained in this Schedule on the withdrawal of funds from Accounts shall affect the obligations of any Obligor to make any payments of any nature required to be made to the Senior Secured Creditors on the due date for payment thereof in accordance with any of the Senior Finance Documents; and</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no withdrawal shall be made from any Account if it would cause such account to become overdrawn.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Credits to Accounts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Save as otherwise provided in any of the Security Documents after enforcement thereof, each member of the Restricted Group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Interest</w:t>
      </w:r>
    </w:p>
    <w:p>
      <w:pPr>
        <w:sectPr>
          <w:pgSz w:w="11900" w:h="16838" w:orient="portrait"/>
          <w:cols w:equalWidth="0" w:num="1">
            <w:col w:w="11420"/>
          </w:cols>
          <w:pgMar w:left="240" w:top="132" w:right="239" w:bottom="0" w:gutter="0" w:footer="0" w:header="0"/>
        </w:sectPr>
      </w:pPr>
    </w:p>
    <w:bookmarkStart w:id="227" w:name="page228"/>
    <w:bookmarkEnd w:id="227"/>
    <w:p>
      <w:pPr>
        <w:jc w:val="both"/>
        <w:ind w:left="660"/>
        <w:spacing w:after="0" w:line="247" w:lineRule="auto"/>
        <w:rPr>
          <w:sz w:val="20"/>
          <w:szCs w:val="20"/>
          <w:color w:val="auto"/>
        </w:rPr>
      </w:pPr>
      <w:r>
        <w:rPr>
          <w:rFonts w:ascii="Arial" w:cs="Arial" w:eastAsia="Arial" w:hAnsi="Arial"/>
          <w:sz w:val="22"/>
          <w:szCs w:val="22"/>
          <w:color w:val="auto"/>
        </w:rPr>
        <w:t>Each amount from time to time standing to the credit of each Account (for the avoidance of doubt excluding amounts for the time being applied in acquiring Permitted Investments) shall bear interest at such rate as may from time to time be agreed between the relevant member of the Restricted Group and the relevant Account Bank, and the relevant member of the Restricted Group shall ensure that such interest is credited to such account at such time or times as may be agreed from time to time between that member of the Restricted Group and the Account Bank or, failing agreement, in arrears on 31 December.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8"/>
          <w:szCs w:val="18"/>
          <w:color w:val="auto"/>
        </w:rPr>
        <w:t>Payments</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Other Accounts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member of the Restricted Group will open or maintain any accounts other than:</w:t>
      </w:r>
    </w:p>
    <w:p>
      <w:pPr>
        <w:spacing w:after="0" w:line="220" w:lineRule="exact"/>
        <w:rPr>
          <w:sz w:val="20"/>
          <w:szCs w:val="20"/>
          <w:color w:val="auto"/>
        </w:rPr>
      </w:pPr>
    </w:p>
    <w:p>
      <w:pPr>
        <w:ind w:left="1960" w:hanging="655"/>
        <w:spacing w:after="0"/>
        <w:tabs>
          <w:tab w:leader="none" w:pos="196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the Accounts;</w:t>
      </w:r>
    </w:p>
    <w:p>
      <w:pPr>
        <w:spacing w:after="0" w:line="219"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any account opened by the Company for the deposit of any amounts derived from or under (i) subject to paragraph 17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the grant of any Subconcession, (ii) any Resort Management Agreement or (iii) any Excluded Project or Excluded Subsidiary;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any Excluded Accounts,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with the prior approval of the Intercreditor Agent.</w:t>
      </w:r>
    </w:p>
    <w:p>
      <w:pPr>
        <w:spacing w:after="0" w:line="214" w:lineRule="exact"/>
        <w:rPr>
          <w:sz w:val="20"/>
          <w:szCs w:val="20"/>
          <w:color w:val="auto"/>
        </w:rPr>
      </w:pPr>
    </w:p>
    <w:p>
      <w:pPr>
        <w:ind w:left="660" w:hanging="652"/>
        <w:spacing w:after="0"/>
        <w:tabs>
          <w:tab w:leader="none" w:pos="660" w:val="left"/>
        </w:tabs>
        <w:numPr>
          <w:ilvl w:val="0"/>
          <w:numId w:val="369"/>
        </w:numPr>
        <w:rPr>
          <w:rFonts w:ascii="Arial" w:cs="Arial" w:eastAsia="Arial" w:hAnsi="Arial"/>
          <w:sz w:val="22"/>
          <w:szCs w:val="22"/>
          <w:color w:val="auto"/>
        </w:rPr>
      </w:pPr>
      <w:r>
        <w:rPr>
          <w:rFonts w:ascii="Arial" w:cs="Arial" w:eastAsia="Arial" w:hAnsi="Arial"/>
          <w:sz w:val="22"/>
          <w:szCs w:val="22"/>
          <w:b w:val="1"/>
          <w:bCs w:val="1"/>
          <w:color w:val="auto"/>
        </w:rPr>
        <w:t>Permitted Investments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Power of Investment</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may require, subject as provided in this Agreement, that such part of the amounts outstanding to the credit of any Account as it considers prudent shall be invested from time to time in Permitted Investments in accordance with this paragraph 2.</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Procedure for Investment</w:t>
      </w:r>
    </w:p>
    <w:p>
      <w:pPr>
        <w:spacing w:after="0" w:line="395"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9"/>
          <w:szCs w:val="19"/>
          <w:color w:val="auto"/>
        </w:rPr>
        <w:t>Unless held for the account of the Company or other member of the Restricted Group and secured by first ranking fixed charge in favour of the Security Agent pursuant to a Charge over Accounts, the Company shall ensure that all Permitted Investments are made in the name of the Company and secured by a first ranking fixed lien in favour of the Security Agent in such form and on such terms as the Intercreditor Agent may reasonably require.</w:t>
      </w:r>
    </w:p>
    <w:p>
      <w:pPr>
        <w:spacing w:after="0" w:line="278"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21"/>
          <w:szCs w:val="21"/>
          <w:color w:val="auto"/>
        </w:rPr>
        <w:t>The Company will at all times seek to match the maturities of the Permitted Investments made out of moneys standing to the credit of an Account having regard to the availability of Permitted Investments which are readily marketable, and shall liquidate (or procure that there are liquidated) Permitted Investments to the extent necessary for the purposes of payment of any amount due under the Senior Finance Documents.</w:t>
      </w:r>
    </w:p>
    <w:p>
      <w:pPr>
        <w:spacing w:after="0" w:line="311"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21"/>
          <w:szCs w:val="21"/>
          <w:color w:val="auto"/>
        </w:rPr>
        <w:t>The Company shall ensure that all documents of title or other documentary evidence of ownership with respect to Permitted Investments made out of any Account are held in the possession of or for the benefit of the Security Agent and, if any such document or other evidence comes into the possession or control of the Company or any other Obligor, it shall procure that the same is delivered immediately to the Security Agent.</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Realisation</w:t>
      </w:r>
    </w:p>
    <w:p>
      <w:pPr>
        <w:spacing w:after="0" w:line="39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22"/>
          <w:szCs w:val="22"/>
          <w:color w:val="auto"/>
        </w:rPr>
        <w:t>The Company shall ensure that, whenever any Investment Proceeds or Investment Income is received in respect of a Permitted Investment made from amounts standing to the credit of an Account the Investment Proceeds and the Investment Income are:</w:t>
      </w:r>
    </w:p>
    <w:p>
      <w:pPr>
        <w:spacing w:after="0" w:line="321" w:lineRule="exact"/>
        <w:rPr>
          <w:sz w:val="20"/>
          <w:szCs w:val="20"/>
          <w:color w:val="auto"/>
        </w:rPr>
      </w:pPr>
    </w:p>
    <w:p>
      <w:pPr>
        <w:ind w:left="1960" w:hanging="655"/>
        <w:spacing w:after="0"/>
        <w:tabs>
          <w:tab w:leader="none" w:pos="196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reinvested in further Permitted Investments; or</w:t>
      </w:r>
    </w:p>
    <w:p>
      <w:pPr>
        <w:spacing w:after="0" w:line="354" w:lineRule="exact"/>
        <w:rPr>
          <w:rFonts w:ascii="Arial" w:cs="Arial" w:eastAsia="Arial" w:hAnsi="Arial"/>
          <w:sz w:val="22"/>
          <w:szCs w:val="22"/>
          <w:color w:val="auto"/>
        </w:rPr>
      </w:pPr>
    </w:p>
    <w:p>
      <w:pPr>
        <w:ind w:left="1960" w:hanging="655"/>
        <w:spacing w:after="0"/>
        <w:tabs>
          <w:tab w:leader="none" w:pos="196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paid into the relevant Account from which the Permitted Investment derives</w:t>
      </w:r>
    </w:p>
    <w:p>
      <w:pPr>
        <w:spacing w:after="0" w:line="3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9"/>
          <w:szCs w:val="19"/>
          <w:color w:val="auto"/>
        </w:rPr>
        <w:t>The Company shall give (and shall ensure that each other Obligor gives) directions to the relevant Account Bank</w:t>
      </w:r>
    </w:p>
    <w:p>
      <w:pPr>
        <w:sectPr>
          <w:pgSz w:w="11900" w:h="16838" w:orient="portrait"/>
          <w:cols w:equalWidth="0" w:num="1">
            <w:col w:w="11420"/>
          </w:cols>
          <w:pgMar w:left="240" w:top="132" w:right="239" w:bottom="0" w:gutter="0" w:footer="0" w:header="0"/>
        </w:sectPr>
      </w:pPr>
    </w:p>
    <w:bookmarkStart w:id="228" w:name="page229"/>
    <w:bookmarkEnd w:id="228"/>
    <w:p>
      <w:pPr>
        <w:jc w:val="both"/>
        <w:ind w:left="1300"/>
        <w:spacing w:after="0" w:line="253" w:lineRule="auto"/>
        <w:rPr>
          <w:sz w:val="20"/>
          <w:szCs w:val="20"/>
          <w:color w:val="auto"/>
        </w:rPr>
      </w:pPr>
      <w:r>
        <w:rPr>
          <w:rFonts w:ascii="Arial" w:cs="Arial" w:eastAsia="Arial" w:hAnsi="Arial"/>
          <w:sz w:val="22"/>
          <w:szCs w:val="22"/>
          <w:color w:val="auto"/>
        </w:rPr>
        <w:t>under paragraph 2.3.1 of this Schedule 6 and otherwise exercise its rights hereunder in such manner as will ensure compliance with the applicable provisions of the Senior Finance Documents with respect to Accounts, Permitted Investments, Investment Proceeds and Investment Income.</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Non-qualifying criteria</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If any Permitted Investment ceases to be a Permitted Investment, the Company will upon becoming aware thereof procure that the relevant investment is replaced by a Permitted Investment or by cash.</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Accounts include Permitted Investments</w:t>
      </w:r>
    </w:p>
    <w:p>
      <w:pPr>
        <w:spacing w:after="0" w:line="395"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9"/>
          <w:szCs w:val="19"/>
          <w:color w:val="auto"/>
        </w:rPr>
        <w:t>Subject to sub-paragraph 2.5.2 of this Schedule 6, any reference herein to the balance standing to the credit of one of the Accounts will be deemed to include a reference to the Permitted Investments in which all or part of such balance is for the time being invested. In the event of any dispute as to the value of the credit of an Account pursuant to this paragraph 2.5, that value shall be determined in good faith by the Intercreditor Agent. If the Company so requests, the Intercreditor Agent will give the Company details of the basis and method of that determination.</w:t>
      </w:r>
    </w:p>
    <w:p>
      <w:pPr>
        <w:spacing w:after="0" w:line="28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21"/>
          <w:szCs w:val="21"/>
          <w:color w:val="auto"/>
        </w:rPr>
        <w:t>If the amount standing to the credit of any Account (excluding for this purpose any amount deemed to be included pursuant to sub-paragraph 2.5.1 of this Schedule 6) is insufficient to make a payment under the Senior Finance Documents when due out of such Account, the Security Agent is authorised, in its discretion and without any liability for loss or damage thereby incurred by the Company or any other Obligor, to require the relevant Account Bank or, as the case may be, the Company to sell or otherwise realise, or to enter into any exchange transaction with respect to, (or, as the case may be, to require the Company to ensure any other Obligor so sells or otherwise releases or enters into any exchange transaction) any Permitted Investment concerned with that Account to the extent that the same is, in the opinion of the Intercreditor Agent, necessary for the payment of any amount due under the Senior Finance Documents which could not otherwise be paid out of the cash balance standing to the credit of the relevant Account.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Information</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Commencing with the quarter in which a Permitted Investment is first made on behalf of the Company or any other Obligor, the Company shall, together with any other statement to be provided under this Schedule, ensure the delivery to the Security Agent of a schedule of the investments made, realised or liquidated during the quarter in respect of each Account, in such detail as the Intercreditor Agent may reasonably require.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No Responsibility</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No Senior Secured Creditor will be responsible for any loss, cost or expense suffered by any Obligor in respect of any of its actions or those of any Account Bank in relation to the acquisition, disposal, deposit or delivery of Permitted Investments pursuant to this Agreement save for any such loss, cost or expense directly caused by its gross negligence or wilful misconduct. The Account Banks shall be acting solely for and on behalf of the Company (or the relevant other Obligor) in acquiring, holding or disposing of any Permitted Investment.</w:t>
      </w:r>
    </w:p>
    <w:p>
      <w:pPr>
        <w:spacing w:after="0" w:line="170"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22"/>
          <w:szCs w:val="22"/>
          <w:color w:val="auto"/>
        </w:rPr>
      </w:pPr>
      <w:r>
        <w:rPr>
          <w:rFonts w:ascii="Arial" w:cs="Arial" w:eastAsia="Arial" w:hAnsi="Arial"/>
          <w:sz w:val="22"/>
          <w:szCs w:val="22"/>
          <w:b w:val="1"/>
          <w:bCs w:val="1"/>
          <w:color w:val="auto"/>
        </w:rPr>
        <w:t>General Account Provisions</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Transfers/Withdrawals</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Save as otherwise agreed in writing with the Intercreditor Agent, the Company shall ensure that where this Schedule expressly provides for the making of payments to, or withdrawals or transfers from any Account, no other payments to, or, as the case may be, other withdrawals or transfers from, such Account shall be made except as expressly permitted under this Schedule or under the Security Documents.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Application of Amounts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ensure that all amounts withdrawn or transferred from any Account for application in or towards making a specific payment or meeting a specific liability shall be applied in or towards making that payment or meeting that liability, and for no other purpose.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Default</w:t>
      </w:r>
    </w:p>
    <w:p>
      <w:pPr>
        <w:spacing w:after="0" w:line="395"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9"/>
          <w:szCs w:val="19"/>
          <w:color w:val="auto"/>
        </w:rPr>
        <w:t>Notwithstanding any other provisions of this Schedule, at any time following an Enforcement Notice, the Intercreditor Agent may request the Security Agent to give notice to any Account Bank and the relevant member of the Restricted Group in whose name the Account has been opened instructing the Account Bank not to act on the instructions or requests of that member of the Restricted Group in relation to any sums at any such time standing to the credit of any of the Accounts and the Company and that member of the Restricted Group shall procure that the</w:t>
      </w:r>
    </w:p>
    <w:p>
      <w:pPr>
        <w:sectPr>
          <w:pgSz w:w="11900" w:h="16838" w:orient="portrait"/>
          <w:cols w:equalWidth="0" w:num="1">
            <w:col w:w="11420"/>
          </w:cols>
          <w:pgMar w:left="240" w:top="132" w:right="239" w:bottom="0" w:gutter="0" w:footer="0" w:header="0"/>
        </w:sectPr>
      </w:pPr>
    </w:p>
    <w:bookmarkStart w:id="229" w:name="page230"/>
    <w:bookmarkEnd w:id="229"/>
    <w:p>
      <w:pPr>
        <w:jc w:val="both"/>
        <w:ind w:left="1300" w:right="20"/>
        <w:spacing w:after="0" w:line="250" w:lineRule="auto"/>
        <w:rPr>
          <w:sz w:val="20"/>
          <w:szCs w:val="20"/>
          <w:color w:val="auto"/>
        </w:rPr>
      </w:pPr>
      <w:r>
        <w:rPr>
          <w:rFonts w:ascii="Arial" w:cs="Arial" w:eastAsia="Arial" w:hAnsi="Arial"/>
          <w:sz w:val="22"/>
          <w:szCs w:val="22"/>
          <w:color w:val="auto"/>
        </w:rPr>
        <w:t>Account Bank shall, in accordance with the Charges over Accounts and the Account Bank Notices and Acknowledgements, not so act and the Company or, as the case may be, any other member of the Restricted Group shall not be entitled (and the Company shall ensure such other member of the Restricted Group is not entitled) to give or make any further such instructions or requests.</w:t>
      </w:r>
    </w:p>
    <w:p>
      <w:pPr>
        <w:spacing w:after="0" w:line="3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21"/>
          <w:szCs w:val="21"/>
          <w:color w:val="auto"/>
        </w:rPr>
        <w:t>Notwithstanding the other provisions of this Agreement, at any time following an Enforcement Notice, the</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Intercreditor Agent may request the Security Agent to:</w:t>
      </w:r>
    </w:p>
    <w:p>
      <w:pPr>
        <w:spacing w:after="0" w:line="161" w:lineRule="exact"/>
        <w:rPr>
          <w:sz w:val="20"/>
          <w:szCs w:val="20"/>
          <w:color w:val="auto"/>
        </w:rPr>
      </w:pPr>
    </w:p>
    <w:p>
      <w:pPr>
        <w:jc w:val="both"/>
        <w:ind w:left="1960" w:hanging="655"/>
        <w:spacing w:after="0" w:line="253" w:lineRule="auto"/>
        <w:tabs>
          <w:tab w:leader="none" w:pos="196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give written notice to any Account Bank (with a copy to the relevant member of the Restricted Group in whose name the Account has been opened) that the Security Agent shall be the sole signatory in relation to the Accounts;</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apply the credit balances in the Accounts in or towards repayment of the Facilities and such other liabilities of the Obligors as the Intercreditor Agent may elect; and</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generally use amounts standing to the credit of the Accounts at its discretion in order to discharge the Obligors' obligations under the Transaction Documents,</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and, pursuant to the Charges over Accounts and the Account Bank Notices and Acknowledgements, the Company and the relevant member of the Restricted Group in whose name the Account has been opened shall procure that the Account Bank so acts and makes such payments accordingly.</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Review of Accounts</w:t>
      </w:r>
    </w:p>
    <w:p>
      <w:pPr>
        <w:spacing w:after="0" w:line="220"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 xml:space="preserve">The Company and each other member of the Restricted Group irrevocably grants, solely for the purposes of its role as agent of the Senior Secured Creditors hereunder, (and the Company shall ensure each such other member of the Restricted Group shall so grant) the Security Agent or any of its appointed representatives access to review the books and records of the Accounts (and shall irrevocably authorise (and the Company shall ensure each other member of the Restricted Group authorises) each Account Bank to disclose the same to the Security Agent and its appointed representatives) and irrevocably waives (and the Company shall ensure each other member of the Restricted Group so waives) any right of confidentiality which may exist in respect of such books and records solely to the extent necessary to allow disclosure of such books and records to any Senior Secured Creditor and its advisers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such right of confidentiality does exist and the information comprised in such books and records is not otherwise in the public domain or required to be notified by the Company or any other member of the Restricted Group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color w:val="auto"/>
        </w:rPr>
        <w:t>Statements</w:t>
      </w:r>
    </w:p>
    <w:p>
      <w:pPr>
        <w:spacing w:after="0" w:line="220"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The Company and each other member of the Restricted Group shall arrange (and the Company shall ensure each such member of the Restricted Group so arranges) for each Account Bank to provide to the Security Agent, at the latter's request:</w:t>
      </w:r>
    </w:p>
    <w:p>
      <w:pPr>
        <w:spacing w:after="0" w:line="105" w:lineRule="exact"/>
        <w:rPr>
          <w:sz w:val="20"/>
          <w:szCs w:val="20"/>
          <w:color w:val="auto"/>
        </w:rPr>
      </w:pPr>
    </w:p>
    <w:p>
      <w:pPr>
        <w:ind w:left="1300" w:hanging="644"/>
        <w:spacing w:after="0"/>
        <w:tabs>
          <w:tab w:leader="none" w:pos="1300" w:val="left"/>
        </w:tabs>
        <w:numPr>
          <w:ilvl w:val="0"/>
          <w:numId w:val="373"/>
        </w:numPr>
        <w:rPr>
          <w:rFonts w:ascii="Arial" w:cs="Arial" w:eastAsia="Arial" w:hAnsi="Arial"/>
          <w:sz w:val="22"/>
          <w:szCs w:val="22"/>
          <w:color w:val="auto"/>
        </w:rPr>
      </w:pPr>
      <w:r>
        <w:rPr>
          <w:rFonts w:ascii="Arial" w:cs="Arial" w:eastAsia="Arial" w:hAnsi="Arial"/>
          <w:sz w:val="22"/>
          <w:szCs w:val="22"/>
          <w:color w:val="auto"/>
        </w:rPr>
        <w:t>a list of all Accounts maintained with it;</w:t>
      </w:r>
    </w:p>
    <w:p>
      <w:pPr>
        <w:spacing w:after="0" w:line="219"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upon the reasonable request of the Security Agent, 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373"/>
        </w:numPr>
        <w:rPr>
          <w:rFonts w:ascii="Arial" w:cs="Arial" w:eastAsia="Arial" w:hAnsi="Arial"/>
          <w:sz w:val="22"/>
          <w:szCs w:val="22"/>
          <w:color w:val="auto"/>
        </w:rPr>
      </w:pPr>
      <w:r>
        <w:rPr>
          <w:rFonts w:ascii="Arial" w:cs="Arial" w:eastAsia="Arial" w:hAnsi="Arial"/>
          <w:sz w:val="22"/>
          <w:szCs w:val="22"/>
          <w:color w:val="auto"/>
        </w:rPr>
        <w:t>such other information concerning the Accounts as the Security Agent may require.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Waiver of Rights</w:t>
      </w:r>
    </w:p>
    <w:p>
      <w:pPr>
        <w:spacing w:after="0" w:line="3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9"/>
          <w:szCs w:val="19"/>
          <w:color w:val="auto"/>
        </w:rPr>
        <w:t>Waiver of rights by the Company</w:t>
      </w:r>
    </w:p>
    <w:p>
      <w:pPr>
        <w:spacing w:after="0" w:line="214"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Save as provided in this Agreement, the Company and each other member of the Restricted Group agrees not to (and the Company shall ensure each other member of Restricted Group does not) exercise any right which it (or such other member of the Restricted Group) may have under any applicable law to direct the transfer of any amount standing to the credit of an Account to the Company or any other member of the Restricted Group or its order or to direct the transfer of any Permitted Investment to the Company or any other member of the Restricted Group or to its order.</w:t>
      </w:r>
    </w:p>
    <w:p>
      <w:pPr>
        <w:spacing w:after="0" w:line="3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9"/>
          <w:szCs w:val="19"/>
          <w:color w:val="auto"/>
        </w:rPr>
        <w:t>Waiver of rights by Account Banks</w:t>
      </w:r>
    </w:p>
    <w:p>
      <w:pPr>
        <w:sectPr>
          <w:pgSz w:w="11900" w:h="16838" w:orient="portrait"/>
          <w:cols w:equalWidth="0" w:num="1">
            <w:col w:w="11420"/>
          </w:cols>
          <w:pgMar w:left="240" w:top="132" w:right="239" w:bottom="257" w:gutter="0" w:footer="0" w:header="0"/>
        </w:sectPr>
      </w:pPr>
    </w:p>
    <w:bookmarkStart w:id="230" w:name="page231"/>
    <w:bookmarkEnd w:id="230"/>
    <w:p>
      <w:pPr>
        <w:jc w:val="both"/>
        <w:ind w:left="1300"/>
        <w:spacing w:after="0" w:line="260" w:lineRule="auto"/>
        <w:rPr>
          <w:sz w:val="20"/>
          <w:szCs w:val="20"/>
          <w:color w:val="auto"/>
        </w:rPr>
      </w:pPr>
      <w:r>
        <w:rPr>
          <w:rFonts w:ascii="Arial" w:cs="Arial" w:eastAsia="Arial" w:hAnsi="Arial"/>
          <w:sz w:val="21"/>
          <w:szCs w:val="21"/>
          <w:color w:val="auto"/>
        </w:rPr>
        <w:t>The Company and each other member of the Restricted Group shall procure (and the Company shall ensure each such other member of the Restricted Group procures) that each Account Bank acknowledges and agrees that each Account and Permitted Investment is the subject of a Lien in favour of the Senior Secured Creditors collectively and acknowledges and agrees that (save, in the case of the Performance Bond Provider, as permitted pursuant to (i) section 2.6 of the Performance Bond Facility Agreement prior to the issuance of an Enforcement Notice) it is not entitled to, and shall undertake not to, claim or exercise any lien, right of set-off, combination of accounts or other right, remedy or security with respect to:</w:t>
      </w:r>
    </w:p>
    <w:p>
      <w:pPr>
        <w:spacing w:after="0" w:line="357" w:lineRule="exact"/>
        <w:rPr>
          <w:sz w:val="20"/>
          <w:szCs w:val="20"/>
          <w:color w:val="auto"/>
        </w:rPr>
      </w:pPr>
    </w:p>
    <w:p>
      <w:pPr>
        <w:ind w:left="1960" w:hanging="655"/>
        <w:spacing w:after="0"/>
        <w:tabs>
          <w:tab w:leader="none" w:pos="1960" w:val="left"/>
        </w:tabs>
        <w:numPr>
          <w:ilvl w:val="0"/>
          <w:numId w:val="374"/>
        </w:numPr>
        <w:rPr>
          <w:rFonts w:ascii="Arial" w:cs="Arial" w:eastAsia="Arial" w:hAnsi="Arial"/>
          <w:sz w:val="19"/>
          <w:szCs w:val="19"/>
          <w:color w:val="auto"/>
        </w:rPr>
      </w:pPr>
      <w:r>
        <w:rPr>
          <w:rFonts w:ascii="Arial" w:cs="Arial" w:eastAsia="Arial" w:hAnsi="Arial"/>
          <w:sz w:val="19"/>
          <w:szCs w:val="19"/>
          <w:color w:val="auto"/>
        </w:rPr>
        <w:t>moneys standing to the credit of such Account or in the course of being credited to it or any earnings; or</w:t>
      </w:r>
    </w:p>
    <w:p>
      <w:pPr>
        <w:spacing w:after="0" w:line="389" w:lineRule="exact"/>
        <w:rPr>
          <w:rFonts w:ascii="Arial" w:cs="Arial" w:eastAsia="Arial" w:hAnsi="Arial"/>
          <w:sz w:val="19"/>
          <w:szCs w:val="19"/>
          <w:color w:val="auto"/>
        </w:rPr>
      </w:pPr>
    </w:p>
    <w:p>
      <w:pPr>
        <w:ind w:left="1960" w:hanging="655"/>
        <w:spacing w:after="0"/>
        <w:tabs>
          <w:tab w:leader="none" w:pos="196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any Permitted Investment.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Closing of Accounts</w:t>
      </w:r>
    </w:p>
    <w:p>
      <w:pPr>
        <w:spacing w:after="0" w:line="220"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 xml:space="preserve">The Company and each other member of the Restricted Group may close any Account and instruct each Account Bank to transfer any credit balances on any Account maintained with it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all balances standing to the credit of any such Account are transferred before the closure of such Account to another account or combination of accounts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account satisfies the requirements of the definition of "Account" in Clause 1.1 (</w:t>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7</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INSURANCE</w:t>
      </w:r>
    </w:p>
    <w:p>
      <w:pPr>
        <w:spacing w:after="0" w:line="209"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 USED</w:t>
      </w:r>
      <w:r>
        <w:rPr>
          <w:rFonts w:ascii="Arial" w:cs="Arial" w:eastAsia="Arial" w:hAnsi="Arial"/>
          <w:sz w:val="22"/>
          <w:szCs w:val="22"/>
          <w:color w:val="auto"/>
        </w:rPr>
        <w:t>]</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HEDGING ARRANGEMENTS</w:t>
      </w:r>
    </w:p>
    <w:p>
      <w:pPr>
        <w:spacing w:after="0" w:line="215" w:lineRule="exact"/>
        <w:rPr>
          <w:sz w:val="20"/>
          <w:szCs w:val="20"/>
          <w:color w:val="auto"/>
        </w:rPr>
      </w:pPr>
    </w:p>
    <w:p>
      <w:pPr>
        <w:ind w:left="660" w:right="20" w:hanging="652"/>
        <w:spacing w:after="0" w:line="263" w:lineRule="auto"/>
        <w:tabs>
          <w:tab w:leader="none" w:pos="66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Company shall, no later than 180 days after the Fifth Amendment Effective Date, enter into agreements to the extent necessary to ensure that an amount equal to the higher of:</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375"/>
        </w:numPr>
        <w:rPr>
          <w:rFonts w:ascii="Arial" w:cs="Arial" w:eastAsia="Arial" w:hAnsi="Arial"/>
          <w:sz w:val="22"/>
          <w:szCs w:val="22"/>
          <w:color w:val="auto"/>
        </w:rPr>
      </w:pPr>
      <w:r>
        <w:rPr>
          <w:rFonts w:ascii="Arial" w:cs="Arial" w:eastAsia="Arial" w:hAnsi="Arial"/>
          <w:sz w:val="22"/>
          <w:szCs w:val="22"/>
          <w:color w:val="auto"/>
        </w:rPr>
        <w:t>at least 30% of the aggregate amount then drawn under the Term Loan Facilities;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75"/>
        </w:numPr>
        <w:rPr>
          <w:rFonts w:ascii="Arial" w:cs="Arial" w:eastAsia="Arial" w:hAnsi="Arial"/>
          <w:sz w:val="22"/>
          <w:szCs w:val="22"/>
          <w:color w:val="auto"/>
        </w:rPr>
      </w:pPr>
      <w:r>
        <w:rPr>
          <w:rFonts w:ascii="Arial" w:cs="Arial" w:eastAsia="Arial" w:hAnsi="Arial"/>
          <w:sz w:val="22"/>
          <w:szCs w:val="22"/>
          <w:color w:val="auto"/>
        </w:rPr>
        <w:t>an equivalent amount of USD750,000,000,</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is subject, through interest rate swaps, caps, collars or other products agreed with the Intercreditor Agent, to either a fixed interest rate or interest rate protection for such period as reflects the repayment schedule for such Facility and with a final maturity date of not earlier than 31 July 2017.</w:t>
      </w:r>
    </w:p>
    <w:p>
      <w:pPr>
        <w:spacing w:after="0" w:line="186" w:lineRule="exact"/>
        <w:rPr>
          <w:sz w:val="20"/>
          <w:szCs w:val="20"/>
          <w:color w:val="auto"/>
        </w:rPr>
      </w:pPr>
    </w:p>
    <w:p>
      <w:pPr>
        <w:ind w:left="660" w:hanging="652"/>
        <w:spacing w:after="0"/>
        <w:tabs>
          <w:tab w:leader="none" w:pos="6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No Obligor may enter into any derivative transaction, other than: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76"/>
        </w:numPr>
        <w:rPr>
          <w:rFonts w:ascii="Arial" w:cs="Arial" w:eastAsia="Arial" w:hAnsi="Arial"/>
          <w:sz w:val="22"/>
          <w:szCs w:val="22"/>
          <w:color w:val="auto"/>
        </w:rPr>
      </w:pPr>
      <w:r>
        <w:rPr>
          <w:rFonts w:ascii="Arial" w:cs="Arial" w:eastAsia="Arial" w:hAnsi="Arial"/>
          <w:sz w:val="22"/>
          <w:szCs w:val="22"/>
          <w:color w:val="auto"/>
        </w:rPr>
        <w:t>prior to 31 July 2017, Hedging Agreements as contemplated by paragraph 1 above; and</w:t>
      </w:r>
    </w:p>
    <w:p>
      <w:pPr>
        <w:spacing w:after="0" w:line="219" w:lineRule="exact"/>
        <w:rPr>
          <w:rFonts w:ascii="Arial" w:cs="Arial" w:eastAsia="Arial" w:hAnsi="Arial"/>
          <w:sz w:val="22"/>
          <w:szCs w:val="22"/>
          <w:color w:val="auto"/>
        </w:rPr>
      </w:pPr>
    </w:p>
    <w:p>
      <w:pPr>
        <w:ind w:left="1300" w:right="20" w:hanging="644"/>
        <w:spacing w:after="0" w:line="343" w:lineRule="auto"/>
        <w:tabs>
          <w:tab w:leader="none" w:pos="1300" w:val="left"/>
        </w:tabs>
        <w:numPr>
          <w:ilvl w:val="1"/>
          <w:numId w:val="376"/>
        </w:numPr>
        <w:rPr>
          <w:rFonts w:ascii="Arial" w:cs="Arial" w:eastAsia="Arial" w:hAnsi="Arial"/>
          <w:sz w:val="19"/>
          <w:szCs w:val="19"/>
          <w:color w:val="auto"/>
        </w:rPr>
      </w:pPr>
      <w:r>
        <w:rPr>
          <w:rFonts w:ascii="Arial" w:cs="Arial" w:eastAsia="Arial" w:hAnsi="Arial"/>
          <w:sz w:val="19"/>
          <w:szCs w:val="19"/>
          <w:color w:val="auto"/>
        </w:rPr>
        <w:t xml:space="preserve">on and after 31 July 2017, any Permitted Swap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counterparty to any such Permitted Swap Transaction shall have any Liens or any right to share in the Security or any interest in the Project Security.</w:t>
      </w:r>
    </w:p>
    <w:p>
      <w:pPr>
        <w:spacing w:after="0" w:line="104"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Only a Lender or an Affiliate of a Lender may act as a Hedging Counterparty in respect of the Hedging Arrangements required by paragraph 1 above.</w:t>
      </w:r>
    </w:p>
    <w:p>
      <w:pPr>
        <w:spacing w:after="0" w:line="174"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The Hedging Agreements are to be on the terms of the 1992 standard International Swap &amp; Dealers Association, Inc. Master Agreement (the "</w:t>
      </w:r>
      <w:r>
        <w:rPr>
          <w:rFonts w:ascii="Arial" w:cs="Arial" w:eastAsia="Arial" w:hAnsi="Arial"/>
          <w:sz w:val="21"/>
          <w:szCs w:val="21"/>
          <w:b w:val="1"/>
          <w:bCs w:val="1"/>
          <w:color w:val="auto"/>
        </w:rPr>
        <w:t>ISDA Master Agreement</w:t>
      </w:r>
      <w:r>
        <w:rPr>
          <w:rFonts w:ascii="Arial" w:cs="Arial" w:eastAsia="Arial" w:hAnsi="Arial"/>
          <w:sz w:val="21"/>
          <w:szCs w:val="21"/>
          <w:color w:val="auto"/>
        </w:rPr>
        <w:t>") and the ISDA Schedule, together with such amendments as are acceptable to the Intercreditor Agent, acting reasonably. All Hedging Agreements for 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21"/>
          <w:szCs w:val="21"/>
          <w:b w:val="1"/>
          <w:bCs w:val="1"/>
          <w:color w:val="auto"/>
        </w:rPr>
        <w:t>2000 Definitions</w:t>
      </w:r>
      <w:r>
        <w:rPr>
          <w:rFonts w:ascii="Arial" w:cs="Arial" w:eastAsia="Arial" w:hAnsi="Arial"/>
          <w:sz w:val="21"/>
          <w:szCs w:val="21"/>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180"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Hedging Counterparties in respect of the Hedging Agreements required pursuant to paragraph 1 above shall have equal security over the assets of the Company with the Senior Secured Creditors in accordance with the terms of this Agreement and the Deed of Appointment and Priority.</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[Not used]</w:t>
      </w:r>
    </w:p>
    <w:p>
      <w:pPr>
        <w:sectPr>
          <w:pgSz w:w="11900" w:h="16838" w:orient="portrait"/>
          <w:cols w:equalWidth="0" w:num="1">
            <w:col w:w="11420"/>
          </w:cols>
          <w:pgMar w:left="240" w:top="132" w:right="239" w:bottom="0" w:gutter="0" w:footer="0" w:header="0"/>
        </w:sectPr>
      </w:pPr>
    </w:p>
    <w:bookmarkStart w:id="231" w:name="page232"/>
    <w:bookmarkEnd w:id="231"/>
    <w:p>
      <w:pPr>
        <w:jc w:val="both"/>
        <w:ind w:left="660" w:hanging="652"/>
        <w:spacing w:after="0" w:line="262" w:lineRule="auto"/>
        <w:tabs>
          <w:tab w:leader="none" w:pos="660" w:val="left"/>
        </w:tabs>
        <w:numPr>
          <w:ilvl w:val="0"/>
          <w:numId w:val="377"/>
        </w:numPr>
        <w:rPr>
          <w:rFonts w:ascii="Arial" w:cs="Arial" w:eastAsia="Arial" w:hAnsi="Arial"/>
          <w:sz w:val="21"/>
          <w:szCs w:val="21"/>
          <w:color w:val="auto"/>
        </w:rPr>
      </w:pPr>
      <w:r>
        <w:rPr>
          <w:rFonts w:ascii="Arial" w:cs="Arial" w:eastAsia="Arial" w:hAnsi="Arial"/>
          <w:sz w:val="21"/>
          <w:szCs w:val="21"/>
          <w:color w:val="auto"/>
        </w:rPr>
        <w:t>In paragraph 8 and paragraph 11 below, "</w:t>
      </w:r>
      <w:r>
        <w:rPr>
          <w:rFonts w:ascii="Arial" w:cs="Arial" w:eastAsia="Arial" w:hAnsi="Arial"/>
          <w:sz w:val="21"/>
          <w:szCs w:val="21"/>
          <w:b w:val="1"/>
          <w:bCs w:val="1"/>
          <w:color w:val="auto"/>
        </w:rPr>
        <w:t>Realised Hedge Loss</w:t>
      </w:r>
      <w:r>
        <w:rPr>
          <w:rFonts w:ascii="Arial" w:cs="Arial" w:eastAsia="Arial" w:hAnsi="Arial"/>
          <w:sz w:val="21"/>
          <w:szCs w:val="21"/>
          <w:color w:val="auto"/>
        </w:rPr>
        <w:t>" means, in relation to a Hedging Counterparty at any time, the amount (if any) payable (but 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179"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Payments due from the Company under the Hedging Agreements, including any Realised Hedge Loss plus any accrued default interest in accordance with paragraph 10 below, shall (save for any such amounts paid by another Obligor) be a Financing Cost.</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Except with the prior consent of the Intercreditor Agent acting reasonably, no amendments may be made to a Hedging Agreement to an extent that might reasonably be expected to result in:</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77"/>
        </w:numPr>
        <w:rPr>
          <w:rFonts w:ascii="Arial" w:cs="Arial" w:eastAsia="Arial" w:hAnsi="Arial"/>
          <w:sz w:val="22"/>
          <w:szCs w:val="22"/>
          <w:color w:val="auto"/>
        </w:rPr>
      </w:pPr>
      <w:r>
        <w:rPr>
          <w:rFonts w:ascii="Arial" w:cs="Arial" w:eastAsia="Arial" w:hAnsi="Arial"/>
          <w:sz w:val="22"/>
          <w:szCs w:val="22"/>
          <w:color w:val="auto"/>
        </w:rPr>
        <w:t>any payment under the Hedging Agreement being required to be made by the Company on any date other than the dates originally provided for in the Hedging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77"/>
        </w:numPr>
        <w:rPr>
          <w:rFonts w:ascii="Arial" w:cs="Arial" w:eastAsia="Arial" w:hAnsi="Arial"/>
          <w:sz w:val="22"/>
          <w:szCs w:val="22"/>
          <w:color w:val="auto"/>
        </w:rPr>
      </w:pPr>
      <w:r>
        <w:rPr>
          <w:rFonts w:ascii="Arial" w:cs="Arial" w:eastAsia="Arial" w:hAnsi="Arial"/>
          <w:sz w:val="22"/>
          <w:szCs w:val="22"/>
          <w:color w:val="auto"/>
        </w:rPr>
        <w:t>the Company becoming liable to make an additional payment under any Hedging Agreement which liability does not arise from the original provisions of the Hedging Agreement; or</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77"/>
        </w:numPr>
        <w:rPr>
          <w:rFonts w:ascii="Arial" w:cs="Arial" w:eastAsia="Arial" w:hAnsi="Arial"/>
          <w:sz w:val="22"/>
          <w:szCs w:val="22"/>
          <w:color w:val="auto"/>
        </w:rPr>
      </w:pPr>
      <w:r>
        <w:rPr>
          <w:rFonts w:ascii="Arial" w:cs="Arial" w:eastAsia="Arial" w:hAnsi="Arial"/>
          <w:sz w:val="22"/>
          <w:szCs w:val="22"/>
          <w:color w:val="auto"/>
        </w:rPr>
        <w:t>the Company becoming liable to make any payment under the Hedging Agreement in any currency other than in the currency provided for under the original provisions of the Hedging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2" w:lineRule="exact"/>
        <w:rPr>
          <w:sz w:val="20"/>
          <w:szCs w:val="20"/>
          <w:color w:val="auto"/>
        </w:rPr>
      </w:pPr>
    </w:p>
    <w:p>
      <w:pPr>
        <w:jc w:val="both"/>
        <w:ind w:left="1300" w:hanging="644"/>
        <w:spacing w:after="0" w:line="300" w:lineRule="auto"/>
        <w:tabs>
          <w:tab w:leader="none" w:pos="130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 xml:space="preserve">The Company may terminate a transaction under a Hedging Agreement prior to its stated maturity only in circumstances provided for in such Hedging Agreement and with the approval of the Intercreditor Agent acting reasonably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approval of the Intercreditor Agent shall not be required in the case of any termination by reason of illegality when the requirements of paragraph 1 above are met following such termination.</w:t>
      </w:r>
    </w:p>
    <w:p>
      <w:pPr>
        <w:spacing w:after="0" w:line="145"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A Hedging Counterparty may terminate a transaction under a Hedging Agreement prior to its stated maturity only in circumstances provided for in such Hedging Agreement.</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Unless a Hedging Counterparty has already exercised such rights in accordance with sub-paragraph (b) above, the Intercreditor Agent may require a Hedging Counterparty to terminate transactions under a Hedging Agreement where a declaration has been made by the Intercreditor Agent pursuant to Clause 19.2.2 (</w:t>
      </w:r>
      <w:r>
        <w:rPr>
          <w:rFonts w:ascii="Arial" w:cs="Arial" w:eastAsia="Arial" w:hAnsi="Arial"/>
          <w:sz w:val="22"/>
          <w:szCs w:val="22"/>
          <w:i w:val="1"/>
          <w:iCs w:val="1"/>
          <w:color w:val="auto"/>
        </w:rPr>
        <w:t>Remedies following an</w:t>
      </w:r>
      <w:r>
        <w:rPr>
          <w:rFonts w:ascii="Arial" w:cs="Arial" w:eastAsia="Arial" w:hAnsi="Arial"/>
          <w:sz w:val="22"/>
          <w:szCs w:val="22"/>
          <w:color w:val="auto"/>
        </w:rPr>
        <w:t xml:space="preserve"> </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left="1960" w:hanging="655"/>
        <w:spacing w:after="0" w:line="262" w:lineRule="auto"/>
        <w:tabs>
          <w:tab w:leader="none" w:pos="1960" w:val="left"/>
        </w:tabs>
        <w:numPr>
          <w:ilvl w:val="0"/>
          <w:numId w:val="379"/>
        </w:numPr>
        <w:rPr>
          <w:rFonts w:ascii="Arial" w:cs="Arial" w:eastAsia="Arial" w:hAnsi="Arial"/>
          <w:sz w:val="21"/>
          <w:szCs w:val="21"/>
          <w:color w:val="auto"/>
        </w:rPr>
      </w:pPr>
      <w:r>
        <w:rPr>
          <w:rFonts w:ascii="Arial" w:cs="Arial" w:eastAsia="Arial" w:hAnsi="Arial"/>
          <w:sz w:val="21"/>
          <w:szCs w:val="21"/>
          <w:color w:val="auto"/>
        </w:rPr>
        <w:t>If at any time the aggregate amount of the "</w:t>
      </w:r>
      <w:r>
        <w:rPr>
          <w:rFonts w:ascii="Arial" w:cs="Arial" w:eastAsia="Arial" w:hAnsi="Arial"/>
          <w:sz w:val="21"/>
          <w:szCs w:val="21"/>
          <w:b w:val="1"/>
          <w:bCs w:val="1"/>
          <w:color w:val="auto"/>
        </w:rPr>
        <w:t>Notional Amounts</w:t>
      </w:r>
      <w:r>
        <w:rPr>
          <w:rFonts w:ascii="Arial" w:cs="Arial" w:eastAsia="Arial" w:hAnsi="Arial"/>
          <w:sz w:val="21"/>
          <w:szCs w:val="21"/>
          <w:color w:val="auto"/>
        </w:rPr>
        <w:t>" (as defined in the 2000 Definitions) of all Hedging Agreements and Permitted Swap Transactions at such time are greater than 125% of the principal amounts outstanding under the Term Loan Facilities, the Company shall immediately unwind in order of maturity (unless otherwise agreed by the Intercreditor Agent) sufficient transactions under the Hedging Agreements and Permitted Swap Transactions and pay associated breakage costs on:</w:t>
      </w:r>
    </w:p>
    <w:p>
      <w:pPr>
        <w:spacing w:after="0" w:line="176" w:lineRule="exact"/>
        <w:rPr>
          <w:rFonts w:ascii="Arial" w:cs="Arial" w:eastAsia="Arial" w:hAnsi="Arial"/>
          <w:sz w:val="21"/>
          <w:szCs w:val="21"/>
          <w:color w:val="auto"/>
        </w:rPr>
      </w:pPr>
    </w:p>
    <w:p>
      <w:pPr>
        <w:ind w:left="2600" w:hanging="647"/>
        <w:spacing w:after="0"/>
        <w:tabs>
          <w:tab w:leader="none" w:pos="2600" w:val="left"/>
        </w:tabs>
        <w:numPr>
          <w:ilvl w:val="1"/>
          <w:numId w:val="379"/>
        </w:numPr>
        <w:rPr>
          <w:rFonts w:ascii="Arial" w:cs="Arial" w:eastAsia="Arial" w:hAnsi="Arial"/>
          <w:sz w:val="22"/>
          <w:szCs w:val="22"/>
          <w:color w:val="auto"/>
        </w:rPr>
      </w:pPr>
      <w:r>
        <w:rPr>
          <w:rFonts w:ascii="Arial" w:cs="Arial" w:eastAsia="Arial" w:hAnsi="Arial"/>
          <w:sz w:val="22"/>
          <w:szCs w:val="22"/>
          <w:color w:val="auto"/>
        </w:rPr>
        <w:t>the first Payment Date (as defined in the 2000 Definitions); or</w:t>
      </w:r>
    </w:p>
    <w:p>
      <w:pPr>
        <w:spacing w:after="0" w:line="219" w:lineRule="exact"/>
        <w:rPr>
          <w:rFonts w:ascii="Arial" w:cs="Arial" w:eastAsia="Arial" w:hAnsi="Arial"/>
          <w:sz w:val="22"/>
          <w:szCs w:val="22"/>
          <w:color w:val="auto"/>
        </w:rPr>
      </w:pPr>
    </w:p>
    <w:p>
      <w:pPr>
        <w:jc w:val="both"/>
        <w:ind w:left="2600" w:hanging="647"/>
        <w:spacing w:after="0" w:line="253" w:lineRule="auto"/>
        <w:tabs>
          <w:tab w:leader="none" w:pos="2600" w:val="left"/>
        </w:tabs>
        <w:numPr>
          <w:ilvl w:val="1"/>
          <w:numId w:val="379"/>
        </w:numPr>
        <w:rPr>
          <w:rFonts w:ascii="Arial" w:cs="Arial" w:eastAsia="Arial" w:hAnsi="Arial"/>
          <w:sz w:val="22"/>
          <w:szCs w:val="22"/>
          <w:color w:val="auto"/>
        </w:rPr>
      </w:pPr>
      <w:r>
        <w:rPr>
          <w:rFonts w:ascii="Arial" w:cs="Arial" w:eastAsia="Arial" w:hAnsi="Arial"/>
          <w:sz w:val="22"/>
          <w:szCs w:val="22"/>
          <w:color w:val="auto"/>
        </w:rPr>
        <w:t>where the Overhedging Date falls within 5 Business Days (as defined in the relevant Hedging Agreement or Permitted Swap Transaction) prior to such first Payment Date, the second Payment Date,</w:t>
      </w:r>
    </w:p>
    <w:p>
      <w:pPr>
        <w:spacing w:after="0" w:line="186" w:lineRule="exact"/>
        <w:rPr>
          <w:sz w:val="20"/>
          <w:szCs w:val="20"/>
          <w:color w:val="auto"/>
        </w:rPr>
      </w:pPr>
    </w:p>
    <w:p>
      <w:pPr>
        <w:jc w:val="both"/>
        <w:ind w:left="1960"/>
        <w:spacing w:after="0" w:line="265" w:lineRule="auto"/>
        <w:rPr>
          <w:sz w:val="20"/>
          <w:szCs w:val="20"/>
          <w:color w:val="auto"/>
        </w:rPr>
      </w:pPr>
      <w:r>
        <w:rPr>
          <w:rFonts w:ascii="Arial" w:cs="Arial" w:eastAsia="Arial" w:hAnsi="Arial"/>
          <w:sz w:val="21"/>
          <w:szCs w:val="21"/>
          <w:color w:val="auto"/>
        </w:rPr>
        <w:t>in respect of such transaction immediately succeeding the Overhedging Date, such that the Intercreditor Agent is satisfied that, following such terminations, the aggregate Notional Amounts of all transactions under all Hedging Agreements and Permitted Swap Transactions is not less than 30% and not more than 125% of the principal amounts outstanding under the Term Loan Facilities.</w:t>
      </w:r>
    </w:p>
    <w:p>
      <w:pPr>
        <w:spacing w:after="0" w:line="170" w:lineRule="exact"/>
        <w:rPr>
          <w:sz w:val="20"/>
          <w:szCs w:val="20"/>
          <w:color w:val="auto"/>
        </w:rPr>
      </w:pPr>
    </w:p>
    <w:p>
      <w:pPr>
        <w:jc w:val="both"/>
        <w:ind w:left="1960" w:hanging="655"/>
        <w:spacing w:after="0" w:line="256" w:lineRule="auto"/>
        <w:tabs>
          <w:tab w:leader="none" w:pos="1960" w:val="left"/>
        </w:tabs>
        <w:numPr>
          <w:ilvl w:val="1"/>
          <w:numId w:val="380"/>
        </w:numPr>
        <w:rPr>
          <w:rFonts w:ascii="Arial" w:cs="Arial" w:eastAsia="Arial" w:hAnsi="Arial"/>
          <w:sz w:val="22"/>
          <w:szCs w:val="22"/>
          <w:color w:val="auto"/>
        </w:rPr>
      </w:pPr>
      <w:r>
        <w:rPr>
          <w:rFonts w:ascii="Arial" w:cs="Arial" w:eastAsia="Arial" w:hAnsi="Arial"/>
          <w:sz w:val="22"/>
          <w:szCs w:val="22"/>
          <w:color w:val="auto"/>
        </w:rPr>
        <w:t>For the purposes of the above paragraph, the "</w:t>
      </w:r>
      <w:r>
        <w:rPr>
          <w:rFonts w:ascii="Arial" w:cs="Arial" w:eastAsia="Arial" w:hAnsi="Arial"/>
          <w:sz w:val="22"/>
          <w:szCs w:val="22"/>
          <w:b w:val="1"/>
          <w:bCs w:val="1"/>
          <w:color w:val="auto"/>
        </w:rPr>
        <w:t>Overhedging Date</w:t>
      </w:r>
      <w:r>
        <w:rPr>
          <w:rFonts w:ascii="Arial" w:cs="Arial" w:eastAsia="Arial" w:hAnsi="Arial"/>
          <w:sz w:val="22"/>
          <w:szCs w:val="22"/>
          <w:color w:val="auto"/>
        </w:rPr>
        <w:t>" means any date on which the aggregate Notional Amounts of all Hedging Agreements and Permitted Swap Transactions are greater than 125% of the principal amounts outstanding under the Term Loan Facilities.</w:t>
      </w:r>
    </w:p>
    <w:p>
      <w:pPr>
        <w:spacing w:after="0" w:line="182"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381"/>
        </w:numPr>
        <w:rPr>
          <w:rFonts w:ascii="Arial" w:cs="Arial" w:eastAsia="Arial" w:hAnsi="Arial"/>
          <w:sz w:val="21"/>
          <w:szCs w:val="21"/>
          <w:color w:val="auto"/>
        </w:rPr>
      </w:pPr>
      <w:r>
        <w:rPr>
          <w:rFonts w:ascii="Arial" w:cs="Arial" w:eastAsia="Arial" w:hAnsi="Arial"/>
          <w:sz w:val="21"/>
          <w:szCs w:val="21"/>
          <w:color w:val="auto"/>
        </w:rPr>
        <w:t>In the event that a Hedging Agreement is terminated and the Company fails to pay any Realised Hedge Loss, such Realised Hedge Loss shall comprise an Unpaid Sum and interest shall accrue in respect thereof accordingly.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HEDGING COUNTERPARTY'S DEED OF ACCESSION</w:t>
      </w:r>
    </w:p>
    <w:p>
      <w:pPr>
        <w:sectPr>
          <w:pgSz w:w="11900" w:h="16838" w:orient="portrait"/>
          <w:cols w:equalWidth="0" w:num="1">
            <w:col w:w="11420"/>
          </w:cols>
          <w:pgMar w:left="240" w:top="126" w:right="239" w:bottom="94" w:gutter="0" w:footer="0" w:header="0"/>
        </w:sectPr>
      </w:pPr>
    </w:p>
    <w:bookmarkStart w:id="232" w:name="page233"/>
    <w:bookmarkEnd w:id="232"/>
    <w:p>
      <w:pPr>
        <w:jc w:val="both"/>
        <w:spacing w:after="0" w:line="252" w:lineRule="auto"/>
        <w:rPr>
          <w:sz w:val="20"/>
          <w:szCs w:val="20"/>
          <w:color w:val="auto"/>
        </w:rPr>
      </w:pPr>
      <w:r>
        <w:rPr>
          <w:rFonts w:ascii="Arial" w:cs="Arial" w:eastAsia="Arial" w:hAnsi="Arial"/>
          <w:sz w:val="22"/>
          <w:szCs w:val="22"/>
          <w:color w:val="auto"/>
        </w:rPr>
        <w:t>THIS DEED dated [ ] is supplemental to (i) a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as Company and the Senior Secured Creditors (as defined therein) and (ii) each of the Security Documents as defined in the Common Terms Agreement to which the Senior Secured Creditors are expressed to be party (the "</w:t>
      </w:r>
      <w:r>
        <w:rPr>
          <w:rFonts w:ascii="Arial" w:cs="Arial" w:eastAsia="Arial" w:hAnsi="Arial"/>
          <w:sz w:val="22"/>
          <w:szCs w:val="22"/>
          <w:b w:val="1"/>
          <w:bCs w:val="1"/>
          <w:color w:val="auto"/>
        </w:rPr>
        <w:t>Security Documents</w:t>
      </w:r>
      <w:r>
        <w:rPr>
          <w:rFonts w:ascii="Arial" w:cs="Arial" w:eastAsia="Arial" w:hAnsi="Arial"/>
          <w:sz w:val="22"/>
          <w:szCs w:val="22"/>
          <w:color w:val="auto"/>
        </w:rPr>
        <w:t>").</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name of new Hedging Counterparty</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New Hedging Counterparty</w:t>
      </w:r>
      <w:r>
        <w:rPr>
          <w:rFonts w:ascii="Arial" w:cs="Arial" w:eastAsia="Arial" w:hAnsi="Arial"/>
          <w:sz w:val="22"/>
          <w:szCs w:val="22"/>
          <w:color w:val="auto"/>
        </w:rPr>
        <w:t>") of</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address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agrees with each other Person who</w:t>
      </w:r>
      <w:r>
        <w:rPr>
          <w:rFonts w:ascii="Arial" w:cs="Arial" w:eastAsia="Arial" w:hAnsi="Arial"/>
          <w:sz w:val="22"/>
          <w:szCs w:val="22"/>
          <w:b w:val="1"/>
          <w:bCs w:val="1"/>
          <w:color w:val="auto"/>
        </w:rPr>
        <w:t xml:space="preserve"> </w:t>
      </w:r>
      <w:r>
        <w:rPr>
          <w:rFonts w:ascii="Arial" w:cs="Arial" w:eastAsia="Arial" w:hAnsi="Arial"/>
          <w:sz w:val="22"/>
          <w:szCs w:val="22"/>
          <w:color w:val="auto"/>
        </w:rPr>
        <w:t>is or who becomes a party to the Common Terms Agreement that with effect on and from the date of this Deed it shall be bound by the Common Terms Agreement and be entitled to exercise rights and be subject to obligations thereunder as a Hedging Counterparty.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New Hedging Counterparty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Senior Secured Creditor.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initial telephone number, fax number, address and person designated by the New Hedging Counterparty for the purposes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Clause 29 (</w:t>
      </w:r>
      <w:r>
        <w:rPr>
          <w:rFonts w:ascii="Arial" w:cs="Arial" w:eastAsia="Arial" w:hAnsi="Arial"/>
          <w:sz w:val="22"/>
          <w:szCs w:val="22"/>
          <w:i w:val="1"/>
          <w:iCs w:val="1"/>
          <w:color w:val="auto"/>
        </w:rPr>
        <w:t>Notices</w:t>
      </w:r>
      <w:r>
        <w:rPr>
          <w:rFonts w:ascii="Arial" w:cs="Arial" w:eastAsia="Arial" w:hAnsi="Arial"/>
          <w:sz w:val="22"/>
          <w:szCs w:val="22"/>
          <w:color w:val="auto"/>
        </w:rPr>
        <w:t>) of the Common Terms Agreement 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Executed as a deed by</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i w:val="1"/>
                <w:iCs w:val="1"/>
                <w:color w:val="auto"/>
                <w:w w:val="91"/>
              </w:rPr>
              <w:t>insert name of New Hedging</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i w:val="1"/>
                <w:iCs w:val="1"/>
                <w:color w:val="auto"/>
                <w:w w:val="96"/>
              </w:rPr>
              <w:t>Counterparty and execution</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320" w:type="dxa"/>
            <w:vAlign w:val="bottom"/>
          </w:tcPr>
          <w:p>
            <w:pPr>
              <w:spacing w:after="0"/>
              <w:rPr>
                <w:sz w:val="20"/>
                <w:szCs w:val="20"/>
                <w:color w:val="auto"/>
              </w:rPr>
            </w:pPr>
            <w:r>
              <w:rPr>
                <w:rFonts w:ascii="Arial" w:cs="Arial" w:eastAsia="Arial" w:hAnsi="Arial"/>
                <w:sz w:val="22"/>
                <w:szCs w:val="22"/>
                <w:i w:val="1"/>
                <w:iCs w:val="1"/>
                <w:color w:val="auto"/>
                <w:w w:val="89"/>
              </w:rPr>
              <w:t>clause appropriate thereto</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r>
      <w:tr>
        <w:trPr>
          <w:trHeight w:val="473"/>
        </w:trPr>
        <w:tc>
          <w:tcPr>
            <w:tcW w:w="2620" w:type="dxa"/>
            <w:vAlign w:val="bottom"/>
            <w:gridSpan w:val="2"/>
          </w:tcPr>
          <w:p>
            <w:pPr>
              <w:spacing w:after="0"/>
              <w:rPr>
                <w:sz w:val="20"/>
                <w:szCs w:val="20"/>
                <w:color w:val="auto"/>
              </w:rPr>
            </w:pPr>
            <w:r>
              <w:rPr>
                <w:rFonts w:ascii="Arial" w:cs="Arial" w:eastAsia="Arial" w:hAnsi="Arial"/>
                <w:sz w:val="22"/>
                <w:szCs w:val="22"/>
                <w:i w:val="1"/>
                <w:iCs w:val="1"/>
                <w:color w:val="auto"/>
                <w:w w:val="94"/>
              </w:rPr>
              <w:t>and to manner of execution</w:t>
            </w:r>
            <w:r>
              <w:rPr>
                <w:rFonts w:ascii="Arial" w:cs="Arial" w:eastAsia="Arial" w:hAnsi="Arial"/>
                <w:sz w:val="22"/>
                <w:szCs w:val="22"/>
                <w:b w:val="1"/>
                <w:bCs w:val="1"/>
                <w:color w:val="auto"/>
                <w:w w:val="94"/>
              </w:rPr>
              <w:t>]</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Schedule 9</w:t>
      </w:r>
    </w:p>
    <w:p>
      <w:pPr>
        <w:spacing w:after="0" w:line="2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MANDATORY PREPAYMENT</w:t>
      </w:r>
    </w:p>
    <w:p>
      <w:pPr>
        <w:spacing w:after="0" w:line="215" w:lineRule="exact"/>
        <w:rPr>
          <w:sz w:val="20"/>
          <w:szCs w:val="20"/>
          <w:color w:val="auto"/>
        </w:rPr>
      </w:pPr>
    </w:p>
    <w:p>
      <w:pPr>
        <w:jc w:val="both"/>
        <w:ind w:left="660" w:hanging="652"/>
        <w:spacing w:after="0" w:line="292" w:lineRule="auto"/>
        <w:tabs>
          <w:tab w:leader="none" w:pos="660" w:val="left"/>
        </w:tabs>
        <w:numPr>
          <w:ilvl w:val="0"/>
          <w:numId w:val="382"/>
        </w:numPr>
        <w:rPr>
          <w:rFonts w:ascii="Arial" w:cs="Arial" w:eastAsia="Arial" w:hAnsi="Arial"/>
          <w:sz w:val="19"/>
          <w:szCs w:val="19"/>
          <w:color w:val="auto"/>
        </w:rPr>
      </w:pPr>
      <w:r>
        <w:rPr>
          <w:rFonts w:ascii="Arial" w:cs="Arial" w:eastAsia="Arial" w:hAnsi="Arial"/>
          <w:sz w:val="19"/>
          <w:szCs w:val="19"/>
          <w:color w:val="auto"/>
        </w:rPr>
        <w:t>To the extent that any Equity Issuance Proceeds are received by (or paid to the order of) the Company or any other Obligor, the Company shall ensure that an amount equal to the amount of such Equity Issuance Proceeds (excluding any such Equity Issuance Proceeds derived from any Equity to the extent such Equity is required or permitted under this Agreement to fund the design, development, construction, ownership, operation, maintenance or refurbishment of Wynn Macau or the Cotai Project or, for the avoidance of doubt, any Specified Equity Contributions) shall be applied on the next Interest Payment Date after such receipt (or payment) towards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pending such application, shall be deposited and retained in an Account.</w:t>
      </w:r>
    </w:p>
    <w:p>
      <w:pPr>
        <w:spacing w:after="0" w:line="151" w:lineRule="exact"/>
        <w:rPr>
          <w:rFonts w:ascii="Arial" w:cs="Arial" w:eastAsia="Arial" w:hAnsi="Arial"/>
          <w:sz w:val="19"/>
          <w:szCs w:val="19"/>
          <w:color w:val="auto"/>
        </w:rPr>
      </w:pPr>
    </w:p>
    <w:p>
      <w:pPr>
        <w:jc w:val="both"/>
        <w:ind w:left="660" w:hanging="652"/>
        <w:spacing w:after="0" w:line="290" w:lineRule="auto"/>
        <w:tabs>
          <w:tab w:leader="none" w:pos="660" w:val="left"/>
        </w:tabs>
        <w:numPr>
          <w:ilvl w:val="0"/>
          <w:numId w:val="382"/>
        </w:numPr>
        <w:rPr>
          <w:rFonts w:ascii="Arial" w:cs="Arial" w:eastAsia="Arial" w:hAnsi="Arial"/>
          <w:sz w:val="19"/>
          <w:szCs w:val="19"/>
          <w:color w:val="auto"/>
        </w:rPr>
      </w:pPr>
      <w:r>
        <w:rPr>
          <w:rFonts w:ascii="Arial" w:cs="Arial" w:eastAsia="Arial" w:hAnsi="Arial"/>
          <w:sz w:val="19"/>
          <w:szCs w:val="19"/>
          <w:color w:val="auto"/>
        </w:rPr>
        <w:t>With respect to the Net Cash Proceeds from any Asset Sale (where such Net Cash Proceeds exceed in aggregate an amount equal to USD100,000,000 or its equivalent in any Fiscal Year when taken together with any other Net Cash Proceeds received by the Company or any other Obligor in respect of any Asset Sale in that Fiscal Year) made by the Company or any other Obligor as to which the Company or any other Obligor has not re-invested such Net Cash Proceeds within 12 months of receipt in assets used by the Company or any other Obligor in the conduct of its Permitted Business at Wynn Macau and/or the Cotai Project, such Net Cash Proceeds shall be applied on the next Interest Payment Date after the date falling 12 months from the date of receipt towards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pending such application, shall be deposited and retained in an Account.</w:t>
      </w:r>
    </w:p>
    <w:p>
      <w:pPr>
        <w:spacing w:after="0" w:line="156" w:lineRule="exact"/>
        <w:rPr>
          <w:rFonts w:ascii="Arial" w:cs="Arial" w:eastAsia="Arial" w:hAnsi="Arial"/>
          <w:sz w:val="19"/>
          <w:szCs w:val="19"/>
          <w:color w:val="auto"/>
        </w:rPr>
      </w:pPr>
    </w:p>
    <w:p>
      <w:pPr>
        <w:ind w:left="660" w:hanging="652"/>
        <w:spacing w:after="0"/>
        <w:tabs>
          <w:tab w:leader="none" w:pos="66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On the next Interest Payment Date following the date on which the Company or any other Obligor receives: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82"/>
        </w:numPr>
        <w:rPr>
          <w:rFonts w:ascii="Arial" w:cs="Arial" w:eastAsia="Arial" w:hAnsi="Arial"/>
          <w:sz w:val="22"/>
          <w:szCs w:val="22"/>
          <w:color w:val="auto"/>
        </w:rPr>
      </w:pPr>
      <w:r>
        <w:rPr>
          <w:rFonts w:ascii="Arial" w:cs="Arial" w:eastAsia="Arial" w:hAnsi="Arial"/>
          <w:sz w:val="22"/>
          <w:szCs w:val="22"/>
          <w:color w:val="auto"/>
        </w:rPr>
        <w:t>any Termination Proceeds; or</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82"/>
        </w:numPr>
        <w:rPr>
          <w:rFonts w:ascii="Arial" w:cs="Arial" w:eastAsia="Arial" w:hAnsi="Arial"/>
          <w:sz w:val="22"/>
          <w:szCs w:val="22"/>
          <w:color w:val="auto"/>
        </w:rPr>
      </w:pPr>
      <w:r>
        <w:rPr>
          <w:rFonts w:ascii="Arial" w:cs="Arial" w:eastAsia="Arial" w:hAnsi="Arial"/>
          <w:sz w:val="22"/>
          <w:szCs w:val="22"/>
          <w:color w:val="auto"/>
        </w:rPr>
        <w:t>any Eminent Domain Proceeds which, when taken together with all other Eminent Domain Proceeds received, exceed, in aggregate, USD1,000,000 or its equivalent,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shall ensure that such proceeds are applied towards prepayment and cancellation 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pending such application, shall be deposited and retained in an Account.</w:t>
      </w:r>
    </w:p>
    <w:p>
      <w:pPr>
        <w:sectPr>
          <w:pgSz w:w="11900" w:h="16838" w:orient="portrait"/>
          <w:cols w:equalWidth="0" w:num="1">
            <w:col w:w="11420"/>
          </w:cols>
          <w:pgMar w:left="240" w:top="126" w:right="239" w:bottom="0" w:gutter="0" w:footer="0" w:header="0"/>
        </w:sectPr>
      </w:pPr>
    </w:p>
    <w:bookmarkStart w:id="233" w:name="page234"/>
    <w:bookmarkEnd w:id="233"/>
    <w:p>
      <w:pPr>
        <w:jc w:val="both"/>
        <w:ind w:left="652" w:hanging="652"/>
        <w:spacing w:after="0" w:line="250" w:lineRule="auto"/>
        <w:tabs>
          <w:tab w:leader="none" w:pos="652" w:val="left"/>
        </w:tabs>
        <w:numPr>
          <w:ilvl w:val="0"/>
          <w:numId w:val="383"/>
        </w:numPr>
        <w:rPr>
          <w:rFonts w:ascii="Arial" w:cs="Arial" w:eastAsia="Arial" w:hAnsi="Arial"/>
          <w:sz w:val="22"/>
          <w:szCs w:val="22"/>
          <w:color w:val="auto"/>
        </w:rPr>
      </w:pPr>
      <w:r>
        <w:rPr>
          <w:rFonts w:ascii="Arial" w:cs="Arial" w:eastAsia="Arial" w:hAnsi="Arial"/>
          <w:sz w:val="22"/>
          <w:szCs w:val="22"/>
          <w:color w:val="auto"/>
        </w:rPr>
        <w:t>If, for any Fiscal Year for which any payment in respect of Excess Cash Flow is required to be made and for which there shall be Excess Cash Flow, the Company shall apply the ECF Percentage of such Excess Cash Flow towards prepayment and cancellation 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Each such prepayment shall be made on the next Interest Payment Date following the earlier of:</w:t>
      </w:r>
    </w:p>
    <w:p>
      <w:pPr>
        <w:spacing w:after="0" w:line="188"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83"/>
        </w:numPr>
        <w:rPr>
          <w:rFonts w:ascii="Arial" w:cs="Arial" w:eastAsia="Arial" w:hAnsi="Arial"/>
          <w:sz w:val="22"/>
          <w:szCs w:val="22"/>
          <w:color w:val="auto"/>
        </w:rPr>
      </w:pPr>
      <w:r>
        <w:rPr>
          <w:rFonts w:ascii="Arial" w:cs="Arial" w:eastAsia="Arial" w:hAnsi="Arial"/>
          <w:sz w:val="22"/>
          <w:szCs w:val="22"/>
          <w:color w:val="auto"/>
        </w:rPr>
        <w:t>the date on which the financial statements of the Company referred to in paragraph 1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for the Fiscal Year with respect to which such prepayment is made, are required to be delivered to the Lenders; and</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383"/>
        </w:numPr>
        <w:rPr>
          <w:rFonts w:ascii="Arial" w:cs="Arial" w:eastAsia="Arial" w:hAnsi="Arial"/>
          <w:sz w:val="22"/>
          <w:szCs w:val="22"/>
          <w:color w:val="auto"/>
        </w:rPr>
      </w:pPr>
      <w:r>
        <w:rPr>
          <w:rFonts w:ascii="Arial" w:cs="Arial" w:eastAsia="Arial" w:hAnsi="Arial"/>
          <w:sz w:val="22"/>
          <w:szCs w:val="22"/>
          <w:color w:val="auto"/>
        </w:rPr>
        <w:t>the date such financial statements are actually delivered,</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pending such application, shall be deposited and retained in an Account.</w:t>
      </w:r>
    </w:p>
    <w:p>
      <w:pPr>
        <w:spacing w:after="0" w:line="220" w:lineRule="exact"/>
        <w:rPr>
          <w:sz w:val="20"/>
          <w:szCs w:val="20"/>
          <w:color w:val="auto"/>
        </w:rPr>
      </w:pPr>
    </w:p>
    <w:p>
      <w:pPr>
        <w:jc w:val="both"/>
        <w:ind w:left="652" w:hanging="652"/>
        <w:spacing w:after="0" w:line="294" w:lineRule="auto"/>
        <w:tabs>
          <w:tab w:leader="none" w:pos="652" w:val="left"/>
        </w:tabs>
        <w:numPr>
          <w:ilvl w:val="0"/>
          <w:numId w:val="384"/>
        </w:numPr>
        <w:rPr>
          <w:rFonts w:ascii="Arial" w:cs="Arial" w:eastAsia="Arial" w:hAnsi="Arial"/>
          <w:sz w:val="19"/>
          <w:szCs w:val="19"/>
          <w:color w:val="auto"/>
        </w:rPr>
      </w:pPr>
      <w:r>
        <w:rPr>
          <w:rFonts w:ascii="Arial" w:cs="Arial" w:eastAsia="Arial" w:hAnsi="Arial"/>
          <w:sz w:val="19"/>
          <w:szCs w:val="19"/>
          <w:color w:val="auto"/>
        </w:rPr>
        <w:t>An amount equal to any Insurance Proceeds (other than those received by the Company or any other Obligor for any single loss or series of related losses not in excess of USD50,000,000 or its equivalent) shall be applied to the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on the next Interest Payment Date falling not less than 30 days after the Company's or Obligor's receipt of such Insurance Proceeds, unless each of the following conditions are satisfied or waived by the Intercreditor Agent within such 30 day period, in which event such amounts shall be applied to the repair or restoration of Wynn Macau or the Cotai Project, as appropriate:</w:t>
      </w:r>
    </w:p>
    <w:p>
      <w:pPr>
        <w:spacing w:after="0" w:line="149"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384"/>
        </w:numPr>
        <w:rPr>
          <w:rFonts w:ascii="Arial" w:cs="Arial" w:eastAsia="Arial" w:hAnsi="Arial"/>
          <w:sz w:val="22"/>
          <w:szCs w:val="22"/>
          <w:color w:val="auto"/>
        </w:rPr>
      </w:pPr>
      <w:r>
        <w:rPr>
          <w:rFonts w:ascii="Arial" w:cs="Arial" w:eastAsia="Arial" w:hAnsi="Arial"/>
          <w:sz w:val="22"/>
          <w:szCs w:val="22"/>
          <w:color w:val="auto"/>
        </w:rPr>
        <w:t>the damage or destruction does not constitute the destruction of all or substantially all of Wynn Macau or the Cotai Project, as the case may be;</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84"/>
        </w:numPr>
        <w:rPr>
          <w:rFonts w:ascii="Arial" w:cs="Arial" w:eastAsia="Arial" w:hAnsi="Arial"/>
          <w:sz w:val="22"/>
          <w:szCs w:val="22"/>
          <w:color w:val="auto"/>
        </w:rPr>
      </w:pPr>
      <w:r>
        <w:rPr>
          <w:rFonts w:ascii="Arial" w:cs="Arial" w:eastAsia="Arial" w:hAnsi="Arial"/>
          <w:sz w:val="22"/>
          <w:szCs w:val="22"/>
          <w:color w:val="auto"/>
        </w:rPr>
        <w:t>an Event of Default has not occurred and is continuing (other than an Event of Default resulting solely from such damage or destruction) and after giving effect to any proposed repair and restoration, no Event of Default will result from such damage or destruction or proposed repair and restoration;</w:t>
      </w:r>
    </w:p>
    <w:p>
      <w:pPr>
        <w:spacing w:after="0" w:line="185"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84"/>
        </w:numPr>
        <w:rPr>
          <w:rFonts w:ascii="Arial" w:cs="Arial" w:eastAsia="Arial" w:hAnsi="Arial"/>
          <w:sz w:val="21"/>
          <w:szCs w:val="21"/>
          <w:color w:val="auto"/>
        </w:rPr>
      </w:pPr>
      <w:r>
        <w:rPr>
          <w:rFonts w:ascii="Arial" w:cs="Arial" w:eastAsia="Arial" w:hAnsi="Arial"/>
          <w:sz w:val="21"/>
          <w:szCs w:val="21"/>
          <w:color w:val="auto"/>
        </w:rPr>
        <w:t>the Company certifies that repair or restoration of Wynn Macau or the Cotai Project, as the case may be, to a condition substantially similar to its condition immediately prior to the event or events to which the relevant Insurance Proceeds relate, is technically and economically feasible within a 12 month period;</w:t>
      </w:r>
    </w:p>
    <w:p>
      <w:pPr>
        <w:spacing w:after="0" w:line="161" w:lineRule="exact"/>
        <w:rPr>
          <w:rFonts w:ascii="Arial" w:cs="Arial" w:eastAsia="Arial" w:hAnsi="Arial"/>
          <w:sz w:val="21"/>
          <w:szCs w:val="21"/>
          <w:color w:val="auto"/>
        </w:rPr>
      </w:pPr>
    </w:p>
    <w:p>
      <w:pPr>
        <w:ind w:left="1292" w:hanging="644"/>
        <w:spacing w:after="0" w:line="269" w:lineRule="auto"/>
        <w:tabs>
          <w:tab w:leader="none" w:pos="1292" w:val="left"/>
        </w:tabs>
        <w:numPr>
          <w:ilvl w:val="1"/>
          <w:numId w:val="384"/>
        </w:numPr>
        <w:rPr>
          <w:rFonts w:ascii="Arial" w:cs="Arial" w:eastAsia="Arial" w:hAnsi="Arial"/>
          <w:sz w:val="22"/>
          <w:szCs w:val="22"/>
          <w:color w:val="auto"/>
        </w:rPr>
      </w:pPr>
      <w:r>
        <w:rPr>
          <w:rFonts w:ascii="Arial" w:cs="Arial" w:eastAsia="Arial" w:hAnsi="Arial"/>
          <w:sz w:val="22"/>
          <w:szCs w:val="22"/>
          <w:color w:val="auto"/>
        </w:rPr>
        <w:t>the Company delivers to the Intercreditor Agent a plan (the "</w:t>
      </w:r>
      <w:r>
        <w:rPr>
          <w:rFonts w:ascii="Arial" w:cs="Arial" w:eastAsia="Arial" w:hAnsi="Arial"/>
          <w:sz w:val="22"/>
          <w:szCs w:val="22"/>
          <w:b w:val="1"/>
          <w:bCs w:val="1"/>
          <w:color w:val="auto"/>
        </w:rPr>
        <w:t>Repair Plan</w:t>
      </w:r>
      <w:r>
        <w:rPr>
          <w:rFonts w:ascii="Arial" w:cs="Arial" w:eastAsia="Arial" w:hAnsi="Arial"/>
          <w:sz w:val="22"/>
          <w:szCs w:val="22"/>
          <w:color w:val="auto"/>
        </w:rPr>
        <w:t>") describing the nature of the repairs or restoration to be effected and the anticipated costs and schedule associated therewith; and</w:t>
      </w:r>
    </w:p>
    <w:p>
      <w:pPr>
        <w:spacing w:after="0" w:line="168" w:lineRule="exact"/>
        <w:rPr>
          <w:rFonts w:ascii="Arial" w:cs="Arial" w:eastAsia="Arial" w:hAnsi="Arial"/>
          <w:sz w:val="22"/>
          <w:szCs w:val="22"/>
          <w:color w:val="auto"/>
        </w:rPr>
      </w:pPr>
    </w:p>
    <w:p>
      <w:pPr>
        <w:jc w:val="both"/>
        <w:ind w:left="1292" w:hanging="644"/>
        <w:spacing w:after="0" w:line="246" w:lineRule="auto"/>
        <w:tabs>
          <w:tab w:leader="none" w:pos="1292" w:val="left"/>
        </w:tabs>
        <w:numPr>
          <w:ilvl w:val="1"/>
          <w:numId w:val="384"/>
        </w:numPr>
        <w:rPr>
          <w:rFonts w:ascii="Arial" w:cs="Arial" w:eastAsia="Arial" w:hAnsi="Arial"/>
          <w:sz w:val="22"/>
          <w:szCs w:val="22"/>
          <w:color w:val="auto"/>
        </w:rPr>
      </w:pPr>
      <w:r>
        <w:rPr>
          <w:rFonts w:ascii="Arial" w:cs="Arial" w:eastAsia="Arial" w:hAnsi="Arial"/>
          <w:sz w:val="22"/>
          <w:szCs w:val="22"/>
          <w:color w:val="auto"/>
        </w:rPr>
        <w:t>the Company certifies that (A) the Company has sufficient funds to achieve construction completion of Wynn Macau or the Cotai Project, as the case may be, to operate its business as it is then conducted and pay its debts when due and (B)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during such repair period (and including or, as the case may be, taking into account any Contribution as further contemplated by (and as set out in) paragraph (d) of the definition of "Specified Equity Contribution Conditions"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9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and, pending such application, such amount shall be deposited and retained in an Account.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Company shall procure that all such repair and restoration of Wynn Macau or the Cotai Project (as the case may be):</w:t>
      </w:r>
    </w:p>
    <w:p>
      <w:pPr>
        <w:spacing w:after="0" w:line="254" w:lineRule="exact"/>
        <w:rPr>
          <w:sz w:val="20"/>
          <w:szCs w:val="20"/>
          <w:color w:val="auto"/>
        </w:rPr>
      </w:pPr>
    </w:p>
    <w:p>
      <w:pPr>
        <w:ind w:left="1292" w:hanging="644"/>
        <w:spacing w:after="0"/>
        <w:tabs>
          <w:tab w:leader="none" w:pos="1292" w:val="left"/>
        </w:tabs>
        <w:numPr>
          <w:ilvl w:val="0"/>
          <w:numId w:val="385"/>
        </w:numPr>
        <w:rPr>
          <w:rFonts w:ascii="Arial" w:cs="Arial" w:eastAsia="Arial" w:hAnsi="Arial"/>
          <w:sz w:val="22"/>
          <w:szCs w:val="22"/>
          <w:color w:val="auto"/>
        </w:rPr>
      </w:pPr>
      <w:r>
        <w:rPr>
          <w:rFonts w:ascii="Arial" w:cs="Arial" w:eastAsia="Arial" w:hAnsi="Arial"/>
          <w:sz w:val="22"/>
          <w:szCs w:val="22"/>
          <w:color w:val="auto"/>
        </w:rPr>
        <w:t>is diligently pursued and promptly completed; and</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0"/>
          <w:numId w:val="385"/>
        </w:numPr>
        <w:rPr>
          <w:rFonts w:ascii="Arial" w:cs="Arial" w:eastAsia="Arial" w:hAnsi="Arial"/>
          <w:sz w:val="22"/>
          <w:szCs w:val="22"/>
          <w:color w:val="auto"/>
        </w:rPr>
      </w:pPr>
      <w:r>
        <w:rPr>
          <w:rFonts w:ascii="Arial" w:cs="Arial" w:eastAsia="Arial" w:hAnsi="Arial"/>
          <w:sz w:val="22"/>
          <w:szCs w:val="22"/>
          <w:color w:val="auto"/>
        </w:rPr>
        <w:t>does not materially prejudice or adversely affect the interests of the Senior Secured Creditors hereunder or under the applicable Project Security or the Security.</w:t>
      </w:r>
    </w:p>
    <w:p>
      <w:pPr>
        <w:spacing w:after="0" w:line="175" w:lineRule="exact"/>
        <w:rPr>
          <w:sz w:val="20"/>
          <w:szCs w:val="20"/>
          <w:color w:val="auto"/>
        </w:rPr>
      </w:pPr>
    </w:p>
    <w:p>
      <w:pPr>
        <w:jc w:val="both"/>
        <w:ind w:left="652"/>
        <w:spacing w:after="0" w:line="312" w:lineRule="auto"/>
        <w:rPr>
          <w:sz w:val="20"/>
          <w:szCs w:val="20"/>
          <w:color w:val="auto"/>
        </w:rPr>
      </w:pPr>
      <w:r>
        <w:rPr>
          <w:rFonts w:ascii="Arial" w:cs="Arial" w:eastAsia="Arial" w:hAnsi="Arial"/>
          <w:sz w:val="19"/>
          <w:szCs w:val="19"/>
          <w:color w:val="auto"/>
        </w:rPr>
        <w:t>After Insurance Proceeds have been applied to the repair or restoration of Wynn Macau or the Cotai Project, as the case may be, as provided in this Agreement, any excess Insurance Proceeds shall be applied on the next Interest Payment Date thereafter to the prepayment and cancellation of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w:t>
      </w:r>
    </w:p>
    <w:p>
      <w:pPr>
        <w:spacing w:after="0" w:line="128" w:lineRule="exact"/>
        <w:rPr>
          <w:sz w:val="20"/>
          <w:szCs w:val="20"/>
          <w:color w:val="auto"/>
        </w:rPr>
      </w:pPr>
    </w:p>
    <w:p>
      <w:pPr>
        <w:ind w:left="652" w:hanging="652"/>
        <w:spacing w:after="0"/>
        <w:tabs>
          <w:tab w:leader="none" w:pos="652" w:val="left"/>
        </w:tabs>
        <w:numPr>
          <w:ilvl w:val="0"/>
          <w:numId w:val="386"/>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Not used.</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jc w:val="both"/>
        <w:ind w:left="652" w:hanging="652"/>
        <w:spacing w:after="0" w:line="302" w:lineRule="auto"/>
        <w:tabs>
          <w:tab w:leader="none" w:pos="652" w:val="left"/>
        </w:tabs>
        <w:numPr>
          <w:ilvl w:val="0"/>
          <w:numId w:val="386"/>
        </w:numPr>
        <w:rPr>
          <w:rFonts w:ascii="Arial" w:cs="Arial" w:eastAsia="Arial" w:hAnsi="Arial"/>
          <w:sz w:val="19"/>
          <w:szCs w:val="19"/>
          <w:color w:val="auto"/>
        </w:rPr>
      </w:pPr>
      <w:r>
        <w:rPr>
          <w:rFonts w:ascii="Arial" w:cs="Arial" w:eastAsia="Arial" w:hAnsi="Arial"/>
          <w:sz w:val="19"/>
          <w:szCs w:val="19"/>
          <w:color w:val="auto"/>
        </w:rPr>
        <w:t>If all or substantially all of Wynn Macau or the Cotai Project is lost, damaged or destroyed or declared by any relevant Insurer to be a constructive total loss, the Company shall prepay and cancel the Facilities in accordance with Clause 8.3 (</w:t>
      </w:r>
      <w:r>
        <w:rPr>
          <w:rFonts w:ascii="Arial" w:cs="Arial" w:eastAsia="Arial" w:hAnsi="Arial"/>
          <w:sz w:val="19"/>
          <w:szCs w:val="19"/>
          <w:i w:val="1"/>
          <w:iCs w:val="1"/>
          <w:color w:val="auto"/>
        </w:rPr>
        <w:t>Mandatory Prepayment</w:t>
      </w:r>
      <w:r>
        <w:rPr>
          <w:rFonts w:ascii="Arial" w:cs="Arial" w:eastAsia="Arial" w:hAnsi="Arial"/>
          <w:sz w:val="19"/>
          <w:szCs w:val="19"/>
          <w:color w:val="auto"/>
        </w:rPr>
        <w:t>) and prepay all other amounts outstanding under the Senior Finance Documents within 90 days or, if earlier, upon receipt of Insurance Proceeds in respect of such loss, damage, destruction or declaration.</w:t>
      </w:r>
    </w:p>
    <w:p>
      <w:pPr>
        <w:spacing w:after="0" w:line="142" w:lineRule="exact"/>
        <w:rPr>
          <w:rFonts w:ascii="Arial" w:cs="Arial" w:eastAsia="Arial" w:hAnsi="Arial"/>
          <w:sz w:val="19"/>
          <w:szCs w:val="19"/>
          <w:color w:val="auto"/>
        </w:rPr>
      </w:pPr>
    </w:p>
    <w:p>
      <w:pPr>
        <w:jc w:val="both"/>
        <w:ind w:left="652" w:hanging="652"/>
        <w:spacing w:after="0" w:line="312" w:lineRule="auto"/>
        <w:tabs>
          <w:tab w:leader="none" w:pos="652" w:val="left"/>
        </w:tabs>
        <w:numPr>
          <w:ilvl w:val="0"/>
          <w:numId w:val="386"/>
        </w:numPr>
        <w:rPr>
          <w:rFonts w:ascii="Arial" w:cs="Arial" w:eastAsia="Arial" w:hAnsi="Arial"/>
          <w:sz w:val="19"/>
          <w:szCs w:val="19"/>
          <w:color w:val="auto"/>
        </w:rPr>
      </w:pPr>
      <w:r>
        <w:rPr>
          <w:rFonts w:ascii="Arial" w:cs="Arial" w:eastAsia="Arial" w:hAnsi="Arial"/>
          <w:sz w:val="19"/>
          <w:szCs w:val="19"/>
          <w:color w:val="auto"/>
        </w:rPr>
        <w:t>On the next Interest Payment Date following the date on which the Company or any other Obligor receives any Claim Proceeds in relation to a Major Project Document (other than a Resort Management Agreement that is not a Cotai Resort Management Agreement), the Company shall apply an amount equal to such proceeds towards prepayment and cancellation</w:t>
      </w:r>
    </w:p>
    <w:p>
      <w:pPr>
        <w:sectPr>
          <w:pgSz w:w="11900" w:h="16838" w:orient="portrait"/>
          <w:cols w:equalWidth="0" w:num="1">
            <w:col w:w="11412"/>
          </w:cols>
          <w:pgMar w:left="248" w:top="132" w:right="239" w:bottom="0" w:gutter="0" w:footer="0" w:header="0"/>
        </w:sectPr>
      </w:pPr>
    </w:p>
    <w:bookmarkStart w:id="234" w:name="page235"/>
    <w:bookmarkEnd w:id="234"/>
    <w:p>
      <w:pPr>
        <w:ind w:left="652"/>
        <w:spacing w:after="0" w:line="263" w:lineRule="auto"/>
        <w:rPr>
          <w:sz w:val="20"/>
          <w:szCs w:val="20"/>
          <w:color w:val="auto"/>
        </w:rPr>
      </w:pPr>
      <w:r>
        <w:rPr>
          <w:rFonts w:ascii="Arial" w:cs="Arial" w:eastAsia="Arial" w:hAnsi="Arial"/>
          <w:sz w:val="22"/>
          <w:szCs w:val="22"/>
          <w:color w:val="auto"/>
        </w:rPr>
        <w:t>of the Facilities in accordance with Clause 8.3 (</w:t>
      </w:r>
      <w:r>
        <w:rPr>
          <w:rFonts w:ascii="Arial" w:cs="Arial" w:eastAsia="Arial" w:hAnsi="Arial"/>
          <w:sz w:val="22"/>
          <w:szCs w:val="22"/>
          <w:i w:val="1"/>
          <w:iCs w:val="1"/>
          <w:color w:val="auto"/>
        </w:rPr>
        <w:t>Mandatory Prepayment</w:t>
      </w:r>
      <w:r>
        <w:rPr>
          <w:rFonts w:ascii="Arial" w:cs="Arial" w:eastAsia="Arial" w:hAnsi="Arial"/>
          <w:sz w:val="22"/>
          <w:szCs w:val="22"/>
          <w:color w:val="auto"/>
        </w:rPr>
        <w:t>) and, pending such application, shall deposit and retain such proceeds in an Account.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52"/>
        <w:spacing w:after="0"/>
        <w:rPr>
          <w:sz w:val="20"/>
          <w:szCs w:val="20"/>
          <w:color w:val="auto"/>
        </w:rPr>
      </w:pPr>
      <w:r>
        <w:rPr>
          <w:rFonts w:ascii="Arial" w:cs="Arial" w:eastAsia="Arial" w:hAnsi="Arial"/>
          <w:sz w:val="22"/>
          <w:szCs w:val="22"/>
          <w:b w:val="1"/>
          <w:bCs w:val="1"/>
          <w:color w:val="auto"/>
        </w:rPr>
        <w:t>Schedule 10</w:t>
      </w:r>
    </w:p>
    <w:p>
      <w:pPr>
        <w:spacing w:after="0" w:line="28" w:lineRule="exact"/>
        <w:rPr>
          <w:sz w:val="20"/>
          <w:szCs w:val="20"/>
          <w:color w:val="auto"/>
        </w:rPr>
      </w:pPr>
    </w:p>
    <w:p>
      <w:pPr>
        <w:ind w:left="4572"/>
        <w:spacing w:after="0"/>
        <w:rPr>
          <w:sz w:val="20"/>
          <w:szCs w:val="20"/>
          <w:color w:val="auto"/>
        </w:rPr>
      </w:pPr>
      <w:r>
        <w:rPr>
          <w:rFonts w:ascii="Arial" w:cs="Arial" w:eastAsia="Arial" w:hAnsi="Arial"/>
          <w:sz w:val="22"/>
          <w:szCs w:val="22"/>
          <w:b w:val="1"/>
          <w:bCs w:val="1"/>
          <w:color w:val="auto"/>
        </w:rPr>
        <w:t>EVENTS OF DEFAULT</w:t>
      </w:r>
    </w:p>
    <w:p>
      <w:pPr>
        <w:spacing w:after="0" w:line="215" w:lineRule="exact"/>
        <w:rPr>
          <w:sz w:val="20"/>
          <w:szCs w:val="20"/>
          <w:color w:val="auto"/>
        </w:rPr>
      </w:pPr>
    </w:p>
    <w:p>
      <w:pPr>
        <w:ind w:left="1292" w:right="20" w:hanging="1292"/>
        <w:spacing w:after="0" w:line="263" w:lineRule="auto"/>
        <w:tabs>
          <w:tab w:leader="none" w:pos="644"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 The Company shall have failed to pay any principal of any Advance when due in accordance with the terms of the relevant Facility Agreement; or</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the Company shall have failed to pay any interest on any Advance within 5 days after any such interest becomes due in accordance with the terms of the relevant Senior Finance Document; or</w:t>
      </w:r>
    </w:p>
    <w:p>
      <w:pPr>
        <w:spacing w:after="0" w:line="174"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any other Obligor or a Wynn Non-Obligor Subordination Deed Party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192" w:lineRule="exact"/>
        <w:rPr>
          <w:rFonts w:ascii="Arial" w:cs="Arial" w:eastAsia="Arial" w:hAnsi="Arial"/>
          <w:sz w:val="22"/>
          <w:szCs w:val="22"/>
          <w:color w:val="auto"/>
        </w:rPr>
      </w:pPr>
    </w:p>
    <w:p>
      <w:pPr>
        <w:jc w:val="both"/>
        <w:ind w:left="652" w:hanging="652"/>
        <w:spacing w:after="0" w:line="284" w:lineRule="auto"/>
        <w:tabs>
          <w:tab w:leader="none" w:pos="652" w:val="left"/>
        </w:tabs>
        <w:numPr>
          <w:ilvl w:val="0"/>
          <w:numId w:val="387"/>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any Obligor or a Wynn Non Obligor Subordination Deed Party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21.1, 21.2 and 21.3 of Schedule 4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xml:space="preserve">), in any respect) on or as of the date made or deemed made, and, in the case of an Obligor (other than the Company or a Wynn Obligor) or a Wynn Non-Obligor Subordination Deed Party, such event, could reasonably be expected to give rise to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Event of Default under this paragraph (b) will occur if the misrepresentation is capable of remedy and remedied within 30 days of the earlier to occur of</w:t>
      </w:r>
    </w:p>
    <w:p>
      <w:pPr>
        <w:spacing w:after="0" w:line="2" w:lineRule="exact"/>
        <w:rPr>
          <w:rFonts w:ascii="Arial" w:cs="Arial" w:eastAsia="Arial" w:hAnsi="Arial"/>
          <w:sz w:val="19"/>
          <w:szCs w:val="19"/>
          <w:color w:val="auto"/>
        </w:rPr>
      </w:pPr>
    </w:p>
    <w:p>
      <w:pPr>
        <w:jc w:val="both"/>
        <w:ind w:left="652" w:hanging="4"/>
        <w:spacing w:after="0" w:line="245" w:lineRule="auto"/>
        <w:tabs>
          <w:tab w:leader="none" w:pos="978" w:val="left"/>
        </w:tabs>
        <w:numPr>
          <w:ilvl w:val="1"/>
          <w:numId w:val="387"/>
        </w:numPr>
        <w:rPr>
          <w:rFonts w:ascii="Arial" w:cs="Arial" w:eastAsia="Arial" w:hAnsi="Arial"/>
          <w:sz w:val="22"/>
          <w:szCs w:val="22"/>
          <w:color w:val="auto"/>
        </w:rPr>
      </w:pPr>
      <w:r>
        <w:rPr>
          <w:rFonts w:ascii="Arial" w:cs="Arial" w:eastAsia="Arial" w:hAnsi="Arial"/>
          <w:sz w:val="22"/>
          <w:szCs w:val="22"/>
          <w:color w:val="auto"/>
        </w:rPr>
        <w:t>the Intercreditor Agent giving notice of such misrepresentation to the relevant Obligor or Wynn Non Obligor Subordination Deed Party (as the case may be) and (ii) the relevant Obligor or Wynn Non Obligor Subordination Deed Party (as the case may be) becoming aware of such misrepresentation.</w:t>
      </w:r>
    </w:p>
    <w:p>
      <w:pPr>
        <w:spacing w:after="0" w:line="193" w:lineRule="exact"/>
        <w:rPr>
          <w:rFonts w:ascii="Arial" w:cs="Arial" w:eastAsia="Arial" w:hAnsi="Arial"/>
          <w:sz w:val="22"/>
          <w:szCs w:val="22"/>
          <w:color w:val="auto"/>
        </w:rPr>
      </w:pPr>
    </w:p>
    <w:p>
      <w:pPr>
        <w:ind w:left="652" w:hanging="652"/>
        <w:spacing w:after="0"/>
        <w:tabs>
          <w:tab w:leader="none" w:pos="652"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Company shall default in the observance or performance of:</w:t>
      </w:r>
    </w:p>
    <w:p>
      <w:pPr>
        <w:spacing w:after="0" w:line="219"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paragraph 12(a)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other than in respect of a Default arising by reason of paragraphs (v), (w) or (z) of Schedule 10 (</w:t>
      </w:r>
      <w:r>
        <w:rPr>
          <w:rFonts w:ascii="Arial" w:cs="Arial" w:eastAsia="Arial" w:hAnsi="Arial"/>
          <w:sz w:val="22"/>
          <w:szCs w:val="22"/>
          <w:i w:val="1"/>
          <w:iCs w:val="1"/>
          <w:color w:val="auto"/>
        </w:rPr>
        <w:t>Events of Default</w:t>
      </w:r>
      <w:r>
        <w:rPr>
          <w:rFonts w:ascii="Arial" w:cs="Arial" w:eastAsia="Arial" w:hAnsi="Arial"/>
          <w:sz w:val="22"/>
          <w:szCs w:val="22"/>
          <w:color w:val="auto"/>
        </w:rPr>
        <w:t>), such default shall continue unremedied for a period of 30 days;</w:t>
      </w:r>
    </w:p>
    <w:p>
      <w:pPr>
        <w:spacing w:after="0" w:line="18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paragraph 12(b)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 in so far as it relates to the Concession Contract or the Land Concession Contract;</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paragraph 24 of Part A of Schedule 5 (</w:t>
      </w:r>
      <w:r>
        <w:rPr>
          <w:rFonts w:ascii="Arial" w:cs="Arial" w:eastAsia="Arial" w:hAnsi="Arial"/>
          <w:sz w:val="22"/>
          <w:szCs w:val="22"/>
          <w:i w:val="1"/>
          <w:iCs w:val="1"/>
          <w:color w:val="auto"/>
        </w:rPr>
        <w:t>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paragraph 1 of Part B of Schedule 5 (</w:t>
      </w:r>
      <w:r>
        <w:rPr>
          <w:rFonts w:ascii="Arial" w:cs="Arial" w:eastAsia="Arial" w:hAnsi="Arial"/>
          <w:sz w:val="22"/>
          <w:szCs w:val="22"/>
          <w:i w:val="1"/>
          <w:iCs w:val="1"/>
          <w:color w:val="auto"/>
        </w:rPr>
        <w:t>Covenants</w:t>
      </w:r>
      <w:r>
        <w:rPr>
          <w:rFonts w:ascii="Arial" w:cs="Arial" w:eastAsia="Arial" w:hAnsi="Arial"/>
          <w:sz w:val="22"/>
          <w:szCs w:val="22"/>
          <w:color w:val="auto"/>
        </w:rPr>
        <w:t>) and such default shall continue unremedied for a period of 5 days; or</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261" w:lineRule="auto"/>
        <w:tabs>
          <w:tab w:leader="none" w:pos="652" w:val="left"/>
        </w:tabs>
        <w:numPr>
          <w:ilvl w:val="0"/>
          <w:numId w:val="387"/>
        </w:numPr>
        <w:rPr>
          <w:rFonts w:ascii="Arial" w:cs="Arial" w:eastAsia="Arial" w:hAnsi="Arial"/>
          <w:sz w:val="21"/>
          <w:szCs w:val="21"/>
          <w:color w:val="auto"/>
        </w:rPr>
      </w:pPr>
      <w:r>
        <w:rPr>
          <w:rFonts w:ascii="Arial" w:cs="Arial" w:eastAsia="Arial" w:hAnsi="Arial"/>
          <w:sz w:val="21"/>
          <w:szCs w:val="21"/>
          <w:color w:val="auto"/>
        </w:rPr>
        <w:t xml:space="preserve">Any Obligor or the Performance Bond Provider (or a Wynn Non-Obligor Subordination Deed Party) shall default in the observance or performance of any other covenant or agreement contained in any Senior Finance Document to which it is a party (other than as provided in paragraphs (a) through (c) of this Schedule), and such default shall continue unremedied for a period of 30 days 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the relevant Obligor or the Performance Bond Provider (or Wynn Non-Obligor Subordination Deed Party) is diligently pursuing action to remedy the default and it is of a nature that it is capable of being remedied, 60 days after the earlier of:</w:t>
      </w:r>
    </w:p>
    <w:p>
      <w:pPr>
        <w:spacing w:after="0" w:line="180" w:lineRule="exact"/>
        <w:rPr>
          <w:rFonts w:ascii="Arial" w:cs="Arial" w:eastAsia="Arial" w:hAnsi="Arial"/>
          <w:sz w:val="21"/>
          <w:szCs w:val="21"/>
          <w:color w:val="auto"/>
        </w:rPr>
      </w:pPr>
    </w:p>
    <w:p>
      <w:pPr>
        <w:ind w:left="1292" w:hanging="644"/>
        <w:spacing w:after="0" w:line="263" w:lineRule="auto"/>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the Company or such Obligor (or such Wynn Non-Obligor Subordination Deed Party) becoming aware of such default; and</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87"/>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default.</w:t>
      </w:r>
    </w:p>
    <w:p>
      <w:pPr>
        <w:spacing w:after="0" w:line="219"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387"/>
        </w:numPr>
        <w:rPr>
          <w:rFonts w:ascii="Arial" w:cs="Arial" w:eastAsia="Arial" w:hAnsi="Arial"/>
          <w:sz w:val="22"/>
          <w:szCs w:val="22"/>
          <w:color w:val="auto"/>
        </w:rPr>
      </w:pPr>
      <w:r>
        <w:rPr>
          <w:rFonts w:ascii="Arial" w:cs="Arial" w:eastAsia="Arial" w:hAnsi="Arial"/>
          <w:sz w:val="22"/>
          <w:szCs w:val="22"/>
          <w:color w:val="auto"/>
        </w:rPr>
        <w:t>Save where paragraph (a) of this Schedule applies, the Company or any other Obligor (or, in relation to any Financial Indebtedness that is Guaranteed WML Debt, WML or any Obligor that has incurred, assumed or allowed to remain outstanding any Guarantee Obligation with respect to such Guaranteed WML Debt) shall:</w:t>
      </w:r>
    </w:p>
    <w:p>
      <w:pPr>
        <w:spacing w:after="0" w:line="185" w:lineRule="exact"/>
        <w:rPr>
          <w:rFonts w:ascii="Arial" w:cs="Arial" w:eastAsia="Arial" w:hAnsi="Arial"/>
          <w:sz w:val="22"/>
          <w:szCs w:val="22"/>
          <w:color w:val="auto"/>
        </w:rPr>
      </w:pPr>
    </w:p>
    <w:p>
      <w:pPr>
        <w:ind w:left="1292" w:hanging="644"/>
        <w:spacing w:after="0" w:line="287" w:lineRule="auto"/>
        <w:tabs>
          <w:tab w:leader="none" w:pos="1292" w:val="left"/>
        </w:tabs>
        <w:numPr>
          <w:ilvl w:val="1"/>
          <w:numId w:val="387"/>
        </w:numPr>
        <w:rPr>
          <w:rFonts w:ascii="Arial" w:cs="Arial" w:eastAsia="Arial" w:hAnsi="Arial"/>
          <w:sz w:val="21"/>
          <w:szCs w:val="21"/>
          <w:color w:val="auto"/>
        </w:rPr>
      </w:pPr>
      <w:r>
        <w:rPr>
          <w:rFonts w:ascii="Arial" w:cs="Arial" w:eastAsia="Arial" w:hAnsi="Arial"/>
          <w:sz w:val="21"/>
          <w:szCs w:val="21"/>
          <w:color w:val="auto"/>
        </w:rPr>
        <w:t>default in making any payment of any principal of any Financial Indebtedness (including, without limitation, any Guarantee Obligation, but excluding the Advances) on the scheduled due date with respect thereto;</w:t>
      </w:r>
    </w:p>
    <w:p>
      <w:pPr>
        <w:sectPr>
          <w:pgSz w:w="11900" w:h="16838" w:orient="portrait"/>
          <w:cols w:equalWidth="0" w:num="1">
            <w:col w:w="11412"/>
          </w:cols>
          <w:pgMar w:left="248" w:top="132" w:right="239" w:bottom="0" w:gutter="0" w:footer="0" w:header="0"/>
        </w:sectPr>
      </w:pPr>
    </w:p>
    <w:bookmarkStart w:id="235" w:name="page236"/>
    <w:bookmarkEnd w:id="235"/>
    <w:p>
      <w:pPr>
        <w:spacing w:after="0" w:line="55" w:lineRule="exact"/>
        <w:rPr>
          <w:sz w:val="20"/>
          <w:szCs w:val="20"/>
          <w:color w:val="auto"/>
        </w:rPr>
      </w:pPr>
    </w:p>
    <w:p>
      <w:pPr>
        <w:ind w:left="1292" w:hanging="644"/>
        <w:spacing w:after="0" w:line="343" w:lineRule="auto"/>
        <w:tabs>
          <w:tab w:leader="none" w:pos="1292" w:val="left"/>
        </w:tabs>
        <w:numPr>
          <w:ilvl w:val="0"/>
          <w:numId w:val="388"/>
        </w:numPr>
        <w:rPr>
          <w:rFonts w:ascii="Arial" w:cs="Arial" w:eastAsia="Arial" w:hAnsi="Arial"/>
          <w:sz w:val="19"/>
          <w:szCs w:val="19"/>
          <w:color w:val="auto"/>
        </w:rPr>
      </w:pPr>
      <w:r>
        <w:rPr>
          <w:rFonts w:ascii="Arial" w:cs="Arial" w:eastAsia="Arial" w:hAnsi="Arial"/>
          <w:sz w:val="19"/>
          <w:szCs w:val="19"/>
          <w:color w:val="auto"/>
        </w:rPr>
        <w:t>default in making any payment of any interest on any such Financial Indebtedness beyond the period of grace, if any, provided in the instrument or agreement under which such Financial Indebtedness was created; or</w:t>
      </w:r>
    </w:p>
    <w:p>
      <w:pPr>
        <w:spacing w:after="0" w:line="104" w:lineRule="exact"/>
        <w:rPr>
          <w:rFonts w:ascii="Arial" w:cs="Arial" w:eastAsia="Arial" w:hAnsi="Arial"/>
          <w:sz w:val="19"/>
          <w:szCs w:val="19"/>
          <w:color w:val="auto"/>
        </w:rPr>
      </w:pPr>
    </w:p>
    <w:p>
      <w:pPr>
        <w:jc w:val="both"/>
        <w:ind w:left="1292" w:hanging="644"/>
        <w:spacing w:after="0" w:line="247" w:lineRule="auto"/>
        <w:tabs>
          <w:tab w:leader="none" w:pos="1292" w:val="left"/>
        </w:tabs>
        <w:numPr>
          <w:ilvl w:val="0"/>
          <w:numId w:val="388"/>
        </w:numPr>
        <w:rPr>
          <w:rFonts w:ascii="Arial" w:cs="Arial" w:eastAsia="Arial" w:hAnsi="Arial"/>
          <w:sz w:val="22"/>
          <w:szCs w:val="22"/>
          <w:color w:val="auto"/>
        </w:rPr>
      </w:pPr>
      <w:r>
        <w:rPr>
          <w:rFonts w:ascii="Arial" w:cs="Arial" w:eastAsia="Arial" w:hAnsi="Arial"/>
          <w:sz w:val="22"/>
          <w:szCs w:val="22"/>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194" w:lineRule="exact"/>
        <w:rPr>
          <w:sz w:val="20"/>
          <w:szCs w:val="20"/>
          <w:color w:val="auto"/>
        </w:rPr>
      </w:pPr>
    </w:p>
    <w:p>
      <w:pPr>
        <w:jc w:val="both"/>
        <w:ind w:left="652"/>
        <w:spacing w:after="0" w:line="29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default event or condition described in sub-paragraphs (i), (ii) or (iii) of this paragraph (e) shall not at any</w:t>
      </w:r>
      <w:r>
        <w:rPr>
          <w:rFonts w:ascii="Arial" w:cs="Arial" w:eastAsia="Arial" w:hAnsi="Arial"/>
          <w:sz w:val="19"/>
          <w:szCs w:val="19"/>
          <w:i w:val="1"/>
          <w:iCs w:val="1"/>
          <w:color w:val="auto"/>
        </w:rPr>
        <w:t xml:space="preserve"> </w:t>
      </w:r>
      <w:r>
        <w:rPr>
          <w:rFonts w:ascii="Arial" w:cs="Arial" w:eastAsia="Arial" w:hAnsi="Arial"/>
          <w:sz w:val="19"/>
          <w:szCs w:val="19"/>
          <w:color w:val="auto"/>
        </w:rPr>
        <w:t>time constitute a Default or Event of Default unless, at such time, the aggregate amount of the default in the principal payment in the case of sub-paragraph (i), the default in the interest payment in the case of sub-paragraph (ii) and the amount accelerated in the case of sub-paragraph (iii) of this paragraph (e) exceeds USD25,000,000 or its equivalent in the case of the Company and the other Obligors taken as a whole (or, where such default event or condition relates to Financial Indebtedness that is Guaranteed WML Debt, WML and any Obligors that have incurred, assumed or allowed to remain outstanding any Guarantee Obligation with respect to such Guaranteed WML Debt taken as a whole).</w:t>
      </w:r>
    </w:p>
    <w:p>
      <w:pPr>
        <w:spacing w:after="0" w:line="151" w:lineRule="exact"/>
        <w:rPr>
          <w:sz w:val="20"/>
          <w:szCs w:val="20"/>
          <w:color w:val="auto"/>
        </w:rPr>
      </w:pPr>
    </w:p>
    <w:p>
      <w:pPr>
        <w:ind w:left="1292" w:hanging="1292"/>
        <w:spacing w:after="0" w:line="289" w:lineRule="auto"/>
        <w:tabs>
          <w:tab w:leader="none" w:pos="644" w:val="left"/>
        </w:tabs>
        <w:numPr>
          <w:ilvl w:val="0"/>
          <w:numId w:val="389"/>
        </w:numPr>
        <w:rPr>
          <w:rFonts w:ascii="Arial" w:cs="Arial" w:eastAsia="Arial" w:hAnsi="Arial"/>
          <w:sz w:val="19"/>
          <w:szCs w:val="19"/>
          <w:color w:val="auto"/>
        </w:rPr>
      </w:pPr>
      <w:r>
        <w:rPr>
          <w:rFonts w:ascii="Arial" w:cs="Arial" w:eastAsia="Arial" w:hAnsi="Arial"/>
          <w:sz w:val="19"/>
          <w:szCs w:val="19"/>
          <w:color w:val="auto"/>
        </w:rPr>
        <w:t>(i) Any Obligor or the Performance Bond Provider shall commence any case, proceeding or other action (A) under any existing or future law of any jurisdiction, domestic or foreign, relating to bankruptcy, insolvency, reorganization or relief of debtors, (x) seeking to have an order for relief entered with respect to itself, or seeking to adjudicate itself a bankrupt or insolvent, or (y) seeking reorganization, administration, arrangement, adjustment, winding-up, liquidation, dissolution, composition or other relief with respect to itself or its debts, or (B) seeking appointment of a receiver, trustee, custodian, conservator or other similar official for itself or for all or any substantial part of its assets, or any Obligor or the Performance Bond Provider shall make a general assignment for the benefit of its creditors, but excluding in the case of sub-paragraph (A)(y) any voluntary liquidation, winding-up or dissolution of, or similar action with respect to, Palo after a Permitted Cotai Reorganisation;</w:t>
      </w:r>
    </w:p>
    <w:p>
      <w:pPr>
        <w:spacing w:after="0" w:line="157" w:lineRule="exact"/>
        <w:rPr>
          <w:rFonts w:ascii="Arial" w:cs="Arial" w:eastAsia="Arial" w:hAnsi="Arial"/>
          <w:sz w:val="19"/>
          <w:szCs w:val="19"/>
          <w:color w:val="auto"/>
        </w:rPr>
      </w:pPr>
    </w:p>
    <w:p>
      <w:pPr>
        <w:jc w:val="both"/>
        <w:ind w:left="1292" w:hanging="644"/>
        <w:spacing w:after="0" w:line="247" w:lineRule="auto"/>
        <w:tabs>
          <w:tab w:leader="none" w:pos="1292"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there shall be commenced against any Obligor or the Performance Bond Provider any case, proceeding or other action of a nature referred to in sub-paragraph (i) above that (A) results in the entry of an order for relief as specified in sub-paragraph (i)(A) or (i)(B) above or any such adjudication or appointment and (B) where such order, adjudication or appointment may under applicable law be dismissed, discharged or bonded, remains undismissed, undischarged or unbonded for a period of 60 days (or such shorter period as may be specified pursuant to any applicable law);</w:t>
      </w:r>
    </w:p>
    <w:p>
      <w:pPr>
        <w:spacing w:after="0" w:line="193" w:lineRule="exact"/>
        <w:rPr>
          <w:rFonts w:ascii="Arial" w:cs="Arial" w:eastAsia="Arial" w:hAnsi="Arial"/>
          <w:sz w:val="22"/>
          <w:szCs w:val="22"/>
          <w:color w:val="auto"/>
        </w:rPr>
      </w:pPr>
    </w:p>
    <w:p>
      <w:pPr>
        <w:jc w:val="both"/>
        <w:ind w:left="1292" w:hanging="644"/>
        <w:spacing w:after="0" w:line="302" w:lineRule="auto"/>
        <w:tabs>
          <w:tab w:leader="none" w:pos="1292" w:val="left"/>
        </w:tabs>
        <w:numPr>
          <w:ilvl w:val="1"/>
          <w:numId w:val="389"/>
        </w:numPr>
        <w:rPr>
          <w:rFonts w:ascii="Arial" w:cs="Arial" w:eastAsia="Arial" w:hAnsi="Arial"/>
          <w:sz w:val="19"/>
          <w:szCs w:val="19"/>
          <w:color w:val="auto"/>
        </w:rPr>
      </w:pPr>
      <w:r>
        <w:rPr>
          <w:rFonts w:ascii="Arial" w:cs="Arial" w:eastAsia="Arial" w:hAnsi="Arial"/>
          <w:sz w:val="19"/>
          <w:szCs w:val="19"/>
          <w:color w:val="auto"/>
        </w:rPr>
        <w:t>there shall be commenced against any Obligor or the Performance Bond Provider any case, proceeding or other action seeking issuance of a warrant of attachment, execution, distraint or similar process against all or any substantial part of its assets that results in the entry of an order for any such relief and such order shall not have been vacated, discharged, or stayed or bonded pending appeal within 60 days from the entry thereof;</w:t>
      </w:r>
    </w:p>
    <w:p>
      <w:pPr>
        <w:spacing w:after="0" w:line="142"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389"/>
        </w:numPr>
        <w:rPr>
          <w:rFonts w:ascii="Arial" w:cs="Arial" w:eastAsia="Arial" w:hAnsi="Arial"/>
          <w:sz w:val="22"/>
          <w:szCs w:val="22"/>
          <w:color w:val="auto"/>
        </w:rPr>
      </w:pPr>
      <w:r>
        <w:rPr>
          <w:rFonts w:ascii="Arial" w:cs="Arial" w:eastAsia="Arial" w:hAnsi="Arial"/>
          <w:sz w:val="22"/>
          <w:szCs w:val="22"/>
          <w:color w:val="auto"/>
        </w:rPr>
        <w:t>any Obligor or the Performance Bond Provider shall consent to, approve, or acquiesce in, any of the acts set forth in sub-paragraphs (i), (ii) or (iii) above; or</w:t>
      </w:r>
    </w:p>
    <w:p>
      <w:pPr>
        <w:spacing w:after="0" w:line="174"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389"/>
        </w:numPr>
        <w:rPr>
          <w:rFonts w:ascii="Arial" w:cs="Arial" w:eastAsia="Arial" w:hAnsi="Arial"/>
          <w:sz w:val="22"/>
          <w:szCs w:val="22"/>
          <w:color w:val="auto"/>
        </w:rPr>
      </w:pPr>
      <w:r>
        <w:rPr>
          <w:rFonts w:ascii="Arial" w:cs="Arial" w:eastAsia="Arial" w:hAnsi="Arial"/>
          <w:sz w:val="22"/>
          <w:szCs w:val="22"/>
          <w:color w:val="auto"/>
        </w:rPr>
        <w:t>any Obligor or the Performance Bond Provider shall generally not, or shall be unable to, or shall admit in writing its inability to, pay its debts as they become due,</w:t>
      </w:r>
    </w:p>
    <w:p>
      <w:pPr>
        <w:spacing w:after="0" w:line="175"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 Event of Default shall be deemed to have occurred under this paragraph (f) as a result of any such action,</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condition by, against or concerning the Performance Bond Provider if:</w:t>
      </w:r>
    </w:p>
    <w:p>
      <w:pPr>
        <w:spacing w:after="0" w:line="175" w:lineRule="exact"/>
        <w:rPr>
          <w:sz w:val="20"/>
          <w:szCs w:val="20"/>
          <w:color w:val="auto"/>
        </w:rPr>
      </w:pPr>
    </w:p>
    <w:p>
      <w:pPr>
        <w:jc w:val="both"/>
        <w:ind w:left="1292" w:hanging="644"/>
        <w:spacing w:after="0" w:line="253" w:lineRule="auto"/>
        <w:tabs>
          <w:tab w:leader="none" w:pos="1292" w:val="left"/>
        </w:tabs>
        <w:numPr>
          <w:ilvl w:val="1"/>
          <w:numId w:val="390"/>
        </w:numPr>
        <w:rPr>
          <w:rFonts w:ascii="Arial" w:cs="Arial" w:eastAsia="Arial" w:hAnsi="Arial"/>
          <w:sz w:val="22"/>
          <w:szCs w:val="22"/>
          <w:color w:val="auto"/>
        </w:rPr>
      </w:pPr>
      <w:r>
        <w:rPr>
          <w:rFonts w:ascii="Arial" w:cs="Arial" w:eastAsia="Arial" w:hAnsi="Arial"/>
          <w:sz w:val="22"/>
          <w:szCs w:val="22"/>
          <w:color w:val="auto"/>
        </w:rPr>
        <w:t>immediately upon (and, in any event, no more than five Business Days after) becoming aware or receiving notice thereof, the Company gives notice to the Intercreditor Agent of its intention to replace the Performance Bond Provider; and</w:t>
      </w:r>
    </w:p>
    <w:p>
      <w:pPr>
        <w:spacing w:after="0" w:line="185"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1"/>
          <w:numId w:val="390"/>
        </w:numPr>
        <w:rPr>
          <w:rFonts w:ascii="Arial" w:cs="Arial" w:eastAsia="Arial" w:hAnsi="Arial"/>
          <w:sz w:val="21"/>
          <w:szCs w:val="21"/>
          <w:color w:val="auto"/>
        </w:rPr>
      </w:pPr>
      <w:r>
        <w:rPr>
          <w:rFonts w:ascii="Arial" w:cs="Arial" w:eastAsia="Arial" w:hAnsi="Arial"/>
          <w:sz w:val="21"/>
          <w:szCs w:val="21"/>
          <w:color w:val="auto"/>
        </w:rPr>
        <w:t>within 60 days (or such shorter period as may be required pursuant to the Concession Contract) after such action, event or condition has occurred, the Company shall have made application to the Macau SAR for a replacement Performance Bond Provider who is acceptable to the Intercreditor Agent, acting reasonably.</w:t>
      </w:r>
    </w:p>
    <w:p>
      <w:pPr>
        <w:spacing w:after="0" w:line="167" w:lineRule="exact"/>
        <w:rPr>
          <w:rFonts w:ascii="Arial" w:cs="Arial" w:eastAsia="Arial" w:hAnsi="Arial"/>
          <w:sz w:val="21"/>
          <w:szCs w:val="21"/>
          <w:color w:val="auto"/>
        </w:rPr>
      </w:pPr>
    </w:p>
    <w:p>
      <w:pPr>
        <w:ind w:left="652" w:hanging="652"/>
        <w:spacing w:after="0"/>
        <w:tabs>
          <w:tab w:leader="none" w:pos="65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250" w:lineRule="auto"/>
        <w:tabs>
          <w:tab w:leader="none" w:pos="652" w:val="left"/>
        </w:tabs>
        <w:numPr>
          <w:ilvl w:val="0"/>
          <w:numId w:val="391"/>
        </w:numPr>
        <w:rPr>
          <w:rFonts w:ascii="Arial" w:cs="Arial" w:eastAsia="Arial" w:hAnsi="Arial"/>
          <w:sz w:val="22"/>
          <w:szCs w:val="22"/>
          <w:color w:val="auto"/>
        </w:rPr>
      </w:pPr>
      <w:r>
        <w:rPr>
          <w:rFonts w:ascii="Arial" w:cs="Arial" w:eastAsia="Arial" w:hAnsi="Arial"/>
          <w:sz w:val="22"/>
          <w:szCs w:val="22"/>
          <w:color w:val="auto"/>
        </w:rPr>
        <w:t>One or more judgments or decrees shall be entered against the Company or any other Obligor involving for the Company and the other Obligors taken as a whole a liability (not paid or covered by insurance) of USD50,000,000 or its equivalent or more, and all such judgments or decrees, in either case, shall not have been vacated, discharged, stayed or bonded pending appeal within 30 days from the entry thereof.</w:t>
      </w:r>
    </w:p>
    <w:p>
      <w:pPr>
        <w:spacing w:after="0" w:line="188" w:lineRule="exact"/>
        <w:rPr>
          <w:rFonts w:ascii="Arial" w:cs="Arial" w:eastAsia="Arial" w:hAnsi="Arial"/>
          <w:sz w:val="22"/>
          <w:szCs w:val="22"/>
          <w:color w:val="auto"/>
        </w:rPr>
      </w:pPr>
    </w:p>
    <w:p>
      <w:pPr>
        <w:jc w:val="both"/>
        <w:ind w:left="652" w:hanging="652"/>
        <w:spacing w:after="0" w:line="343" w:lineRule="auto"/>
        <w:tabs>
          <w:tab w:leader="none" w:pos="652" w:val="left"/>
        </w:tabs>
        <w:numPr>
          <w:ilvl w:val="0"/>
          <w:numId w:val="391"/>
        </w:numPr>
        <w:rPr>
          <w:rFonts w:ascii="Arial" w:cs="Arial" w:eastAsia="Arial" w:hAnsi="Arial"/>
          <w:sz w:val="19"/>
          <w:szCs w:val="19"/>
          <w:color w:val="auto"/>
        </w:rPr>
      </w:pPr>
      <w:r>
        <w:rPr>
          <w:rFonts w:ascii="Arial" w:cs="Arial" w:eastAsia="Arial" w:hAnsi="Arial"/>
          <w:sz w:val="19"/>
          <w:szCs w:val="19"/>
          <w:color w:val="auto"/>
        </w:rPr>
        <w:t>Any of the Senior Finance Documents shall cease, for any reason (other than pursuant to the terms thereof or, in respect of any Palo Security Document, as a result of the matters contemplated by Clause 18.3.4(a) (</w:t>
      </w:r>
      <w:r>
        <w:rPr>
          <w:rFonts w:ascii="Arial" w:cs="Arial" w:eastAsia="Arial" w:hAnsi="Arial"/>
          <w:sz w:val="19"/>
          <w:szCs w:val="19"/>
          <w:i w:val="1"/>
          <w:iCs w:val="1"/>
          <w:color w:val="auto"/>
        </w:rPr>
        <w:t>Permitted Cotai Reorganisation;</w:t>
      </w:r>
    </w:p>
    <w:p>
      <w:pPr>
        <w:sectPr>
          <w:pgSz w:w="11900" w:h="16893" w:orient="portrait"/>
          <w:cols w:equalWidth="0" w:num="1">
            <w:col w:w="11412"/>
          </w:cols>
          <w:pgMar w:left="248" w:top="172" w:right="239" w:bottom="0" w:gutter="0" w:footer="0" w:header="0"/>
        </w:sectPr>
      </w:pPr>
    </w:p>
    <w:bookmarkStart w:id="236" w:name="page237"/>
    <w:bookmarkEnd w:id="236"/>
    <w:p>
      <w:pPr>
        <w:jc w:val="both"/>
        <w:ind w:left="652"/>
        <w:spacing w:after="0" w:line="263" w:lineRule="auto"/>
        <w:rPr>
          <w:sz w:val="20"/>
          <w:szCs w:val="20"/>
          <w:color w:val="auto"/>
        </w:rPr>
      </w:pPr>
      <w:r>
        <w:rPr>
          <w:rFonts w:ascii="Arial" w:cs="Arial" w:eastAsia="Arial" w:hAnsi="Arial"/>
          <w:sz w:val="21"/>
          <w:szCs w:val="21"/>
          <w:i w:val="1"/>
          <w:iCs w:val="1"/>
          <w:color w:val="auto"/>
        </w:rPr>
        <w:t>Release of Palo Security</w:t>
      </w:r>
      <w:r>
        <w:rPr>
          <w:rFonts w:ascii="Arial" w:cs="Arial" w:eastAsia="Arial" w:hAnsi="Arial"/>
          <w:sz w:val="21"/>
          <w:szCs w:val="21"/>
          <w:color w:val="auto"/>
        </w:rPr>
        <w:t>) of this Agreement following a Permitted Cotai Reorganisation), to be in full force and effect, or</w:t>
      </w:r>
      <w:r>
        <w:rPr>
          <w:rFonts w:ascii="Arial" w:cs="Arial" w:eastAsia="Arial" w:hAnsi="Arial"/>
          <w:sz w:val="21"/>
          <w:szCs w:val="21"/>
          <w:i w:val="1"/>
          <w:iCs w:val="1"/>
          <w:color w:val="auto"/>
        </w:rPr>
        <w:t xml:space="preserve"> </w:t>
      </w:r>
      <w:r>
        <w:rPr>
          <w:rFonts w:ascii="Arial" w:cs="Arial" w:eastAsia="Arial" w:hAnsi="Arial"/>
          <w:sz w:val="21"/>
          <w:szCs w:val="21"/>
          <w:color w:val="auto"/>
        </w:rPr>
        <w:t>any Obligor (or a Wynn Non Obligor Subordination Deed Party, in respect of the Subordination Deed only) shall in writing to any Senior Secured Creditor in the event that any Senior Secured Creditor is seeking to exercise its rights or in any Proceedings so assert, or any Lien created or acknowledged by any of the Security Documents shall cease to be enforceable and of the same effect and priority purported to be created or acknowledged thereby.</w:t>
      </w:r>
    </w:p>
    <w:p>
      <w:pPr>
        <w:spacing w:after="0" w:line="176" w:lineRule="exact"/>
        <w:rPr>
          <w:sz w:val="20"/>
          <w:szCs w:val="20"/>
          <w:color w:val="auto"/>
        </w:rPr>
      </w:pPr>
    </w:p>
    <w:p>
      <w:pPr>
        <w:jc w:val="both"/>
        <w:ind w:left="652" w:hanging="652"/>
        <w:spacing w:after="0" w:line="263" w:lineRule="auto"/>
        <w:tabs>
          <w:tab w:leader="none" w:pos="652" w:val="left"/>
        </w:tabs>
        <w:numPr>
          <w:ilvl w:val="0"/>
          <w:numId w:val="392"/>
        </w:numPr>
        <w:rPr>
          <w:rFonts w:ascii="Arial" w:cs="Arial" w:eastAsia="Arial" w:hAnsi="Arial"/>
          <w:sz w:val="21"/>
          <w:szCs w:val="21"/>
          <w:color w:val="auto"/>
        </w:rPr>
      </w:pPr>
      <w:r>
        <w:rPr>
          <w:rFonts w:ascii="Arial" w:cs="Arial" w:eastAsia="Arial" w:hAnsi="Arial"/>
          <w:sz w:val="21"/>
          <w:szCs w:val="21"/>
          <w:color w:val="auto"/>
        </w:rPr>
        <w:t>The Company or any other Obligor shall breach or default under in any material respect any material term, condition, provision, covenant, representation or warranty contained in any Major Project Document (other than as set forth in the proviso at the end of this paragraph (j)) and such breach or default shall continue unremedied for 30 or, save in the case of any payment default, provided the Company or such Obligor is diligently pursuing action to remedy the default and it is of a nature that is capable of being remedied, 60 days after the earlier of:</w:t>
      </w:r>
    </w:p>
    <w:p>
      <w:pPr>
        <w:spacing w:after="0" w:line="175" w:lineRule="exact"/>
        <w:rPr>
          <w:rFonts w:ascii="Arial" w:cs="Arial" w:eastAsia="Arial" w:hAnsi="Arial"/>
          <w:sz w:val="21"/>
          <w:szCs w:val="21"/>
          <w:color w:val="auto"/>
        </w:rPr>
      </w:pPr>
    </w:p>
    <w:p>
      <w:pPr>
        <w:ind w:left="1292" w:hanging="644"/>
        <w:spacing w:after="0"/>
        <w:tabs>
          <w:tab w:leader="none" w:pos="1292" w:val="left"/>
        </w:tabs>
        <w:numPr>
          <w:ilvl w:val="1"/>
          <w:numId w:val="392"/>
        </w:numPr>
        <w:rPr>
          <w:rFonts w:ascii="Arial" w:cs="Arial" w:eastAsia="Arial" w:hAnsi="Arial"/>
          <w:sz w:val="22"/>
          <w:szCs w:val="22"/>
          <w:color w:val="auto"/>
        </w:rPr>
      </w:pPr>
      <w:r>
        <w:rPr>
          <w:rFonts w:ascii="Arial" w:cs="Arial" w:eastAsia="Arial" w:hAnsi="Arial"/>
          <w:sz w:val="22"/>
          <w:szCs w:val="22"/>
          <w:color w:val="auto"/>
        </w:rPr>
        <w:t>the Company or such Obligor becoming aware of such breach or default;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92"/>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breach or default,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i w:val="1"/>
          <w:iCs w:val="1"/>
          <w:color w:val="auto"/>
        </w:rPr>
        <w:t>provided that</w:t>
      </w:r>
      <w:r>
        <w:rPr>
          <w:rFonts w:ascii="Arial" w:cs="Arial" w:eastAsia="Arial" w:hAnsi="Arial"/>
          <w:sz w:val="22"/>
          <w:szCs w:val="22"/>
          <w:color w:val="auto"/>
        </w:rPr>
        <w:t>:</w:t>
      </w:r>
    </w:p>
    <w:p>
      <w:pPr>
        <w:spacing w:after="0" w:line="220" w:lineRule="exact"/>
        <w:rPr>
          <w:sz w:val="20"/>
          <w:szCs w:val="20"/>
          <w:color w:val="auto"/>
        </w:rPr>
      </w:pPr>
    </w:p>
    <w:p>
      <w:pPr>
        <w:jc w:val="both"/>
        <w:ind w:left="1292" w:hanging="644"/>
        <w:spacing w:after="0" w:line="253" w:lineRule="auto"/>
        <w:tabs>
          <w:tab w:leader="none" w:pos="1292" w:val="left"/>
        </w:tabs>
        <w:numPr>
          <w:ilvl w:val="1"/>
          <w:numId w:val="393"/>
        </w:numPr>
        <w:rPr>
          <w:rFonts w:ascii="Arial" w:cs="Arial" w:eastAsia="Arial" w:hAnsi="Arial"/>
          <w:sz w:val="22"/>
          <w:szCs w:val="22"/>
          <w:color w:val="auto"/>
        </w:rPr>
      </w:pPr>
      <w:r>
        <w:rPr>
          <w:rFonts w:ascii="Arial" w:cs="Arial" w:eastAsia="Arial" w:hAnsi="Arial"/>
          <w:sz w:val="22"/>
          <w:szCs w:val="22"/>
          <w:color w:val="auto"/>
        </w:rPr>
        <w:t>in respect of a Resort Management Agreement, this paragraph (j) shall only apply to any such breach or default under such Resort Management Agreement where such breach or default has not been remedied as set forth above and such breach of default could reasonably be expected to prejudice:</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93"/>
        </w:numPr>
        <w:rPr>
          <w:rFonts w:ascii="Arial" w:cs="Arial" w:eastAsia="Arial" w:hAnsi="Arial"/>
          <w:sz w:val="22"/>
          <w:szCs w:val="22"/>
          <w:color w:val="auto"/>
        </w:rPr>
      </w:pPr>
      <w:r>
        <w:rPr>
          <w:rFonts w:ascii="Arial" w:cs="Arial" w:eastAsia="Arial" w:hAnsi="Arial"/>
          <w:sz w:val="22"/>
          <w:szCs w:val="22"/>
          <w:color w:val="auto"/>
        </w:rPr>
        <w:t>the Concession Contract (or any rights, benefits or interests arising thereunder);</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393"/>
        </w:numPr>
        <w:rPr>
          <w:rFonts w:ascii="Arial" w:cs="Arial" w:eastAsia="Arial" w:hAnsi="Arial"/>
          <w:sz w:val="22"/>
          <w:szCs w:val="22"/>
          <w:color w:val="auto"/>
        </w:rPr>
      </w:pPr>
      <w:r>
        <w:rPr>
          <w:rFonts w:ascii="Arial" w:cs="Arial" w:eastAsia="Arial" w:hAnsi="Arial"/>
          <w:sz w:val="22"/>
          <w:szCs w:val="22"/>
          <w:color w:val="auto"/>
        </w:rPr>
        <w:t>the Land Concession Contract (or any rights, benefits or interests arising thereunder); or</w:t>
      </w:r>
    </w:p>
    <w:p>
      <w:pPr>
        <w:spacing w:after="0" w:line="219" w:lineRule="exact"/>
        <w:rPr>
          <w:rFonts w:ascii="Arial" w:cs="Arial" w:eastAsia="Arial" w:hAnsi="Arial"/>
          <w:sz w:val="22"/>
          <w:szCs w:val="22"/>
          <w:color w:val="auto"/>
        </w:rPr>
      </w:pPr>
    </w:p>
    <w:p>
      <w:pPr>
        <w:jc w:val="both"/>
        <w:ind w:left="1952" w:hanging="655"/>
        <w:spacing w:after="0" w:line="271" w:lineRule="auto"/>
        <w:tabs>
          <w:tab w:leader="none" w:pos="1952" w:val="left"/>
        </w:tabs>
        <w:numPr>
          <w:ilvl w:val="2"/>
          <w:numId w:val="393"/>
        </w:numPr>
        <w:rPr>
          <w:rFonts w:ascii="Arial" w:cs="Arial" w:eastAsia="Arial" w:hAnsi="Arial"/>
          <w:sz w:val="21"/>
          <w:szCs w:val="21"/>
          <w:color w:val="auto"/>
        </w:rPr>
      </w:pPr>
      <w:r>
        <w:rPr>
          <w:rFonts w:ascii="Arial" w:cs="Arial" w:eastAsia="Arial" w:hAnsi="Arial"/>
          <w:sz w:val="21"/>
          <w:szCs w:val="21"/>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167"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1"/>
          <w:numId w:val="393"/>
        </w:numPr>
        <w:rPr>
          <w:rFonts w:ascii="Arial" w:cs="Arial" w:eastAsia="Arial" w:hAnsi="Arial"/>
          <w:sz w:val="19"/>
          <w:szCs w:val="19"/>
          <w:color w:val="auto"/>
        </w:rPr>
      </w:pPr>
      <w:r>
        <w:rPr>
          <w:rFonts w:ascii="Arial" w:cs="Arial" w:eastAsia="Arial" w:hAnsi="Arial"/>
          <w:sz w:val="19"/>
          <w:szCs w:val="19"/>
          <w:color w:val="auto"/>
        </w:rPr>
        <w:t>in respect of the Cotai Land Concession Contract, this paragraph (j)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142" w:lineRule="exact"/>
        <w:rPr>
          <w:rFonts w:ascii="Arial" w:cs="Arial" w:eastAsia="Arial" w:hAnsi="Arial"/>
          <w:sz w:val="19"/>
          <w:szCs w:val="19"/>
          <w:color w:val="auto"/>
        </w:rPr>
      </w:pPr>
    </w:p>
    <w:p>
      <w:pPr>
        <w:jc w:val="both"/>
        <w:ind w:left="652" w:hanging="652"/>
        <w:spacing w:after="0" w:line="271" w:lineRule="auto"/>
        <w:tabs>
          <w:tab w:leader="none" w:pos="652" w:val="left"/>
        </w:tabs>
        <w:numPr>
          <w:ilvl w:val="0"/>
          <w:numId w:val="394"/>
        </w:numPr>
        <w:rPr>
          <w:rFonts w:ascii="Arial" w:cs="Arial" w:eastAsia="Arial" w:hAnsi="Arial"/>
          <w:sz w:val="21"/>
          <w:szCs w:val="21"/>
          <w:color w:val="auto"/>
        </w:rPr>
      </w:pPr>
      <w:r>
        <w:rPr>
          <w:rFonts w:ascii="Arial" w:cs="Arial" w:eastAsia="Arial" w:hAnsi="Arial"/>
          <w:sz w:val="21"/>
          <w:szCs w:val="21"/>
          <w:color w:val="auto"/>
        </w:rPr>
        <w:t>Any party (other than the Company) shall breach or default under any term, condition, provision, covenant, representation or warranty contained in any Major Project Document (other than as set forth in the proviso at the end of this paragraph (k)) and such breach or default shall continue unremedied for 90 days after the earlier of:</w:t>
      </w:r>
    </w:p>
    <w:p>
      <w:pPr>
        <w:spacing w:after="0" w:line="168" w:lineRule="exact"/>
        <w:rPr>
          <w:sz w:val="20"/>
          <w:szCs w:val="20"/>
          <w:color w:val="auto"/>
        </w:rPr>
      </w:pPr>
    </w:p>
    <w:p>
      <w:pPr>
        <w:ind w:left="1292" w:hanging="644"/>
        <w:spacing w:after="0"/>
        <w:tabs>
          <w:tab w:leader="none" w:pos="1292"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Company or any other Obligor becoming aware of such breach or default;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395"/>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breach or default,</w:t>
      </w:r>
    </w:p>
    <w:p>
      <w:pPr>
        <w:spacing w:after="0" w:line="220" w:lineRule="exact"/>
        <w:rPr>
          <w:sz w:val="20"/>
          <w:szCs w:val="20"/>
          <w:color w:val="auto"/>
        </w:rPr>
      </w:pPr>
    </w:p>
    <w:p>
      <w:pPr>
        <w:ind w:left="652" w:right="2860"/>
        <w:spacing w:after="0" w:line="448" w:lineRule="auto"/>
        <w:rPr>
          <w:sz w:val="20"/>
          <w:szCs w:val="20"/>
          <w:color w:val="auto"/>
        </w:rPr>
      </w:pPr>
      <w:r>
        <w:rPr>
          <w:rFonts w:ascii="Arial" w:cs="Arial" w:eastAsia="Arial" w:hAnsi="Arial"/>
          <w:sz w:val="22"/>
          <w:szCs w:val="22"/>
          <w:color w:val="auto"/>
        </w:rPr>
        <w:t xml:space="preserve">and such breach or default could reasonably be expected to have a Material Adverse Effect, </w:t>
      </w:r>
      <w:r>
        <w:rPr>
          <w:rFonts w:ascii="Arial" w:cs="Arial" w:eastAsia="Arial" w:hAnsi="Arial"/>
          <w:sz w:val="22"/>
          <w:szCs w:val="22"/>
          <w:i w:val="1"/>
          <w:iCs w:val="1"/>
          <w:color w:val="auto"/>
        </w:rPr>
        <w:t>provided that:</w:t>
      </w:r>
    </w:p>
    <w:p>
      <w:pPr>
        <w:spacing w:after="0" w:line="1" w:lineRule="exact"/>
        <w:rPr>
          <w:sz w:val="20"/>
          <w:szCs w:val="20"/>
          <w:color w:val="auto"/>
        </w:rPr>
      </w:pPr>
    </w:p>
    <w:p>
      <w:pPr>
        <w:jc w:val="both"/>
        <w:ind w:left="1292" w:hanging="644"/>
        <w:spacing w:after="0" w:line="253" w:lineRule="auto"/>
        <w:tabs>
          <w:tab w:leader="none" w:pos="1292" w:val="left"/>
        </w:tabs>
        <w:numPr>
          <w:ilvl w:val="1"/>
          <w:numId w:val="396"/>
        </w:numPr>
        <w:rPr>
          <w:rFonts w:ascii="Arial" w:cs="Arial" w:eastAsia="Arial" w:hAnsi="Arial"/>
          <w:sz w:val="22"/>
          <w:szCs w:val="22"/>
          <w:color w:val="auto"/>
        </w:rPr>
      </w:pPr>
      <w:r>
        <w:rPr>
          <w:rFonts w:ascii="Arial" w:cs="Arial" w:eastAsia="Arial" w:hAnsi="Arial"/>
          <w:sz w:val="22"/>
          <w:szCs w:val="22"/>
          <w:color w:val="auto"/>
        </w:rPr>
        <w:t>in respect of a Resort Management Agreement, this paragraph (k) shall only apply to any such breach or default under such Resort Management Agreement where such breach or default has not been remedied as set forth above and such breach of default could reasonably be expected to prejudice:</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96"/>
        </w:numPr>
        <w:rPr>
          <w:rFonts w:ascii="Arial" w:cs="Arial" w:eastAsia="Arial" w:hAnsi="Arial"/>
          <w:sz w:val="22"/>
          <w:szCs w:val="22"/>
          <w:color w:val="auto"/>
        </w:rPr>
      </w:pPr>
      <w:r>
        <w:rPr>
          <w:rFonts w:ascii="Arial" w:cs="Arial" w:eastAsia="Arial" w:hAnsi="Arial"/>
          <w:sz w:val="22"/>
          <w:szCs w:val="22"/>
          <w:color w:val="auto"/>
        </w:rPr>
        <w:t>the Concession Contract (or any rights, benefits or interests arising thereunder);</w:t>
      </w:r>
    </w:p>
    <w:p>
      <w:pPr>
        <w:spacing w:after="0" w:line="219" w:lineRule="exact"/>
        <w:rPr>
          <w:rFonts w:ascii="Arial" w:cs="Arial" w:eastAsia="Arial" w:hAnsi="Arial"/>
          <w:sz w:val="22"/>
          <w:szCs w:val="22"/>
          <w:color w:val="auto"/>
        </w:rPr>
      </w:pPr>
    </w:p>
    <w:p>
      <w:pPr>
        <w:ind w:left="1952" w:hanging="655"/>
        <w:spacing w:after="0"/>
        <w:tabs>
          <w:tab w:leader="none" w:pos="1952" w:val="left"/>
        </w:tabs>
        <w:numPr>
          <w:ilvl w:val="2"/>
          <w:numId w:val="396"/>
        </w:numPr>
        <w:rPr>
          <w:rFonts w:ascii="Arial" w:cs="Arial" w:eastAsia="Arial" w:hAnsi="Arial"/>
          <w:sz w:val="22"/>
          <w:szCs w:val="22"/>
          <w:color w:val="auto"/>
        </w:rPr>
      </w:pPr>
      <w:r>
        <w:rPr>
          <w:rFonts w:ascii="Arial" w:cs="Arial" w:eastAsia="Arial" w:hAnsi="Arial"/>
          <w:sz w:val="22"/>
          <w:szCs w:val="22"/>
          <w:color w:val="auto"/>
        </w:rPr>
        <w:t>the Land Concession Contract (or any rights, benefits or interests arising thereunder); or</w:t>
      </w:r>
    </w:p>
    <w:p>
      <w:pPr>
        <w:spacing w:after="0" w:line="219" w:lineRule="exact"/>
        <w:rPr>
          <w:rFonts w:ascii="Arial" w:cs="Arial" w:eastAsia="Arial" w:hAnsi="Arial"/>
          <w:sz w:val="22"/>
          <w:szCs w:val="22"/>
          <w:color w:val="auto"/>
        </w:rPr>
      </w:pPr>
    </w:p>
    <w:p>
      <w:pPr>
        <w:jc w:val="both"/>
        <w:ind w:left="1952" w:hanging="655"/>
        <w:spacing w:after="0" w:line="271" w:lineRule="auto"/>
        <w:tabs>
          <w:tab w:leader="none" w:pos="1952" w:val="left"/>
        </w:tabs>
        <w:numPr>
          <w:ilvl w:val="2"/>
          <w:numId w:val="396"/>
        </w:numPr>
        <w:rPr>
          <w:rFonts w:ascii="Arial" w:cs="Arial" w:eastAsia="Arial" w:hAnsi="Arial"/>
          <w:sz w:val="21"/>
          <w:szCs w:val="21"/>
          <w:color w:val="auto"/>
        </w:rPr>
      </w:pPr>
      <w:r>
        <w:rPr>
          <w:rFonts w:ascii="Arial" w:cs="Arial" w:eastAsia="Arial" w:hAnsi="Arial"/>
          <w:sz w:val="21"/>
          <w:szCs w:val="21"/>
          <w:color w:val="auto"/>
        </w:rPr>
        <w:t>the Cotai Land Concession Contract (or any rights, benefits or interests arising thereunder) and such prejudice could reasonably be expected to have an adverse effect on the ability of the Company or any other Obligor to perform its payment obligations under the Senior Finance Documents; and</w:t>
      </w:r>
    </w:p>
    <w:p>
      <w:pPr>
        <w:spacing w:after="0" w:line="167" w:lineRule="exact"/>
        <w:rPr>
          <w:rFonts w:ascii="Arial" w:cs="Arial" w:eastAsia="Arial" w:hAnsi="Arial"/>
          <w:sz w:val="21"/>
          <w:szCs w:val="21"/>
          <w:color w:val="auto"/>
        </w:rPr>
      </w:pPr>
    </w:p>
    <w:p>
      <w:pPr>
        <w:jc w:val="both"/>
        <w:ind w:left="1292" w:hanging="644"/>
        <w:spacing w:after="0" w:line="302" w:lineRule="auto"/>
        <w:tabs>
          <w:tab w:leader="none" w:pos="1292" w:val="left"/>
        </w:tabs>
        <w:numPr>
          <w:ilvl w:val="1"/>
          <w:numId w:val="396"/>
        </w:numPr>
        <w:rPr>
          <w:rFonts w:ascii="Arial" w:cs="Arial" w:eastAsia="Arial" w:hAnsi="Arial"/>
          <w:sz w:val="19"/>
          <w:szCs w:val="19"/>
          <w:color w:val="auto"/>
        </w:rPr>
      </w:pPr>
      <w:r>
        <w:rPr>
          <w:rFonts w:ascii="Arial" w:cs="Arial" w:eastAsia="Arial" w:hAnsi="Arial"/>
          <w:sz w:val="19"/>
          <w:szCs w:val="19"/>
          <w:color w:val="auto"/>
        </w:rPr>
        <w:t>in respect of the Cotai Land Concession Contract, this paragraph (k) shall only apply to such breach or default under the Cotai Land Concession Contract where such breach or default has not been remedied as set forth above and such breach of default could reasonably be expected to have an adverse effect on the ability of the Company or any other Obligor to perform its payment obligations under the Senior Finance Documents).</w:t>
      </w:r>
    </w:p>
    <w:p>
      <w:pPr>
        <w:spacing w:after="0" w:line="142" w:lineRule="exact"/>
        <w:rPr>
          <w:rFonts w:ascii="Arial" w:cs="Arial" w:eastAsia="Arial" w:hAnsi="Arial"/>
          <w:sz w:val="19"/>
          <w:szCs w:val="19"/>
          <w:color w:val="auto"/>
        </w:rPr>
      </w:pPr>
    </w:p>
    <w:p>
      <w:pPr>
        <w:jc w:val="both"/>
        <w:ind w:left="652" w:hanging="652"/>
        <w:spacing w:after="0" w:line="312" w:lineRule="auto"/>
        <w:tabs>
          <w:tab w:leader="none" w:pos="652" w:val="left"/>
        </w:tabs>
        <w:numPr>
          <w:ilvl w:val="0"/>
          <w:numId w:val="397"/>
        </w:numPr>
        <w:rPr>
          <w:rFonts w:ascii="Arial" w:cs="Arial" w:eastAsia="Arial" w:hAnsi="Arial"/>
          <w:sz w:val="19"/>
          <w:szCs w:val="19"/>
          <w:color w:val="auto"/>
        </w:rPr>
      </w:pPr>
      <w:r>
        <w:rPr>
          <w:rFonts w:ascii="Arial" w:cs="Arial" w:eastAsia="Arial" w:hAnsi="Arial"/>
          <w:sz w:val="19"/>
          <w:szCs w:val="19"/>
          <w:color w:val="auto"/>
        </w:rPr>
        <w:t>Any of the Transaction Documents shall terminate or be terminated or cancelled, become invalid or illegal or otherwise cease to be in full force and effect prior to its stated expiration date (other than any such termination, cancellation, invalidity, illegality or other ceasing to be in full force and effect prior to its stated expiration date in respect of any Palo</w:t>
      </w:r>
    </w:p>
    <w:p>
      <w:pPr>
        <w:sectPr>
          <w:pgSz w:w="11900" w:h="16838" w:orient="portrait"/>
          <w:cols w:equalWidth="0" w:num="1">
            <w:col w:w="11412"/>
          </w:cols>
          <w:pgMar w:left="248" w:top="132" w:right="239" w:bottom="0" w:gutter="0" w:footer="0" w:header="0"/>
        </w:sectPr>
      </w:pPr>
    </w:p>
    <w:bookmarkStart w:id="237" w:name="page238"/>
    <w:bookmarkEnd w:id="237"/>
    <w:p>
      <w:pPr>
        <w:jc w:val="both"/>
        <w:ind w:left="652"/>
        <w:spacing w:after="0" w:line="289" w:lineRule="auto"/>
        <w:rPr>
          <w:sz w:val="20"/>
          <w:szCs w:val="20"/>
          <w:color w:val="auto"/>
        </w:rPr>
      </w:pPr>
      <w:r>
        <w:rPr>
          <w:rFonts w:ascii="Arial" w:cs="Arial" w:eastAsia="Arial" w:hAnsi="Arial"/>
          <w:sz w:val="19"/>
          <w:szCs w:val="19"/>
          <w:color w:val="auto"/>
        </w:rPr>
        <w:t>Security Document as a result of the matters contemplated by Clause 18.3.4(a) (</w:t>
      </w:r>
      <w:r>
        <w:rPr>
          <w:rFonts w:ascii="Arial" w:cs="Arial" w:eastAsia="Arial" w:hAnsi="Arial"/>
          <w:sz w:val="19"/>
          <w:szCs w:val="19"/>
          <w:i w:val="1"/>
          <w:iCs w:val="1"/>
          <w:color w:val="auto"/>
        </w:rPr>
        <w:t>Permitted Cotai Reorganisation; Release of</w:t>
      </w:r>
      <w:r>
        <w:rPr>
          <w:rFonts w:ascii="Arial" w:cs="Arial" w:eastAsia="Arial" w:hAnsi="Arial"/>
          <w:sz w:val="19"/>
          <w:szCs w:val="19"/>
          <w:color w:val="auto"/>
        </w:rPr>
        <w:t xml:space="preserve"> </w:t>
      </w:r>
      <w:r>
        <w:rPr>
          <w:rFonts w:ascii="Arial" w:cs="Arial" w:eastAsia="Arial" w:hAnsi="Arial"/>
          <w:sz w:val="19"/>
          <w:szCs w:val="19"/>
          <w:i w:val="1"/>
          <w:iCs w:val="1"/>
          <w:color w:val="auto"/>
        </w:rPr>
        <w:t>Palo Security</w:t>
      </w:r>
      <w:r>
        <w:rPr>
          <w:rFonts w:ascii="Arial" w:cs="Arial" w:eastAsia="Arial" w:hAnsi="Arial"/>
          <w:sz w:val="19"/>
          <w:szCs w:val="19"/>
          <w:color w:val="auto"/>
        </w:rPr>
        <w:t>) of this Agreement following a Permitted Cotai Reorganisation)</w:t>
      </w:r>
      <w:r>
        <w:rPr>
          <w:rFonts w:ascii="Arial" w:cs="Arial" w:eastAsia="Arial" w:hAnsi="Arial"/>
          <w:sz w:val="19"/>
          <w:szCs w:val="19"/>
          <w:i w:val="1"/>
          <w:iCs w:val="1"/>
          <w:color w:val="auto"/>
        </w:rPr>
        <w:t xml:space="preserve"> provided </w:t>
      </w:r>
      <w:r>
        <w:rPr>
          <w:rFonts w:ascii="Arial" w:cs="Arial" w:eastAsia="Arial" w:hAnsi="Arial"/>
          <w:sz w:val="19"/>
          <w:szCs w:val="19"/>
          <w:color w:val="auto"/>
        </w:rPr>
        <w:t>that the occurrence of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foregoing events with respect to the Cotai Land Concession Contract shall constitute an Event of Default under this paragraph (l) only if the same could reasonably be expected to have an adverse effect on the ability of the Company or any other Obligor to perform its payment obligations under the Senior Finance Documents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the occurrence of any of the foregoing events with respect to any Major Project Document (other than the Concession Contract, the Land Concession Contract, the Cotai Land Concession Contract or the IP Agreement) shall constitute an Event of Default under this paragraph (l) only if the same could reasonably be expected to result in a Material Adverse Effect and the same shall continue unremedied for 90 days after the earlier of:</w:t>
      </w:r>
    </w:p>
    <w:p>
      <w:pPr>
        <w:spacing w:after="0" w:line="158" w:lineRule="exact"/>
        <w:rPr>
          <w:sz w:val="20"/>
          <w:szCs w:val="20"/>
          <w:color w:val="auto"/>
        </w:rPr>
      </w:pPr>
    </w:p>
    <w:p>
      <w:pPr>
        <w:ind w:left="1292" w:hanging="644"/>
        <w:spacing w:after="0"/>
        <w:tabs>
          <w:tab w:leader="none" w:pos="1292" w:val="left"/>
        </w:tabs>
        <w:numPr>
          <w:ilvl w:val="0"/>
          <w:numId w:val="398"/>
        </w:numPr>
        <w:rPr>
          <w:rFonts w:ascii="Arial" w:cs="Arial" w:eastAsia="Arial" w:hAnsi="Arial"/>
          <w:sz w:val="22"/>
          <w:szCs w:val="22"/>
          <w:color w:val="auto"/>
        </w:rPr>
      </w:pPr>
      <w:r>
        <w:rPr>
          <w:rFonts w:ascii="Arial" w:cs="Arial" w:eastAsia="Arial" w:hAnsi="Arial"/>
          <w:sz w:val="22"/>
          <w:szCs w:val="22"/>
          <w:color w:val="auto"/>
        </w:rPr>
        <w:t>the Company or any other Obligor becoming aware of such occurrence;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398"/>
        </w:numPr>
        <w:rPr>
          <w:rFonts w:ascii="Arial" w:cs="Arial" w:eastAsia="Arial" w:hAnsi="Arial"/>
          <w:sz w:val="22"/>
          <w:szCs w:val="22"/>
          <w:color w:val="auto"/>
        </w:rPr>
      </w:pPr>
      <w:r>
        <w:rPr>
          <w:rFonts w:ascii="Arial" w:cs="Arial" w:eastAsia="Arial" w:hAnsi="Arial"/>
          <w:sz w:val="22"/>
          <w:szCs w:val="22"/>
          <w:color w:val="auto"/>
        </w:rPr>
        <w:t>receipt by the Company of notice from the Intercreditor Agent or any Lender of such occurrence,</w:t>
      </w:r>
    </w:p>
    <w:p>
      <w:pPr>
        <w:spacing w:after="0" w:line="220" w:lineRule="exact"/>
        <w:rPr>
          <w:sz w:val="20"/>
          <w:szCs w:val="20"/>
          <w:color w:val="auto"/>
        </w:rPr>
      </w:pPr>
    </w:p>
    <w:p>
      <w:pPr>
        <w:jc w:val="both"/>
        <w:ind w:left="652"/>
        <w:spacing w:after="0" w:line="246"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the case of any such Major Project Document (other than the Concession Contract, the Land Concession</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 the Cotai Land Concession 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(l) if the Company provides written notice to the Intercreditor Agent immediately upon (but in no event more than 10 Business Days after) the Company or such other Obligor becoming aware of such occurrence that it intends to replace such Major Project Document and:</w:t>
      </w:r>
    </w:p>
    <w:p>
      <w:pPr>
        <w:spacing w:after="0" w:line="197" w:lineRule="exact"/>
        <w:rPr>
          <w:sz w:val="20"/>
          <w:szCs w:val="20"/>
          <w:color w:val="auto"/>
        </w:rPr>
      </w:pPr>
    </w:p>
    <w:p>
      <w:pPr>
        <w:ind w:left="1292" w:hanging="644"/>
        <w:spacing w:after="0"/>
        <w:tabs>
          <w:tab w:leader="none" w:pos="1292" w:val="left"/>
        </w:tabs>
        <w:numPr>
          <w:ilvl w:val="1"/>
          <w:numId w:val="399"/>
        </w:numPr>
        <w:rPr>
          <w:rFonts w:ascii="Arial" w:cs="Arial" w:eastAsia="Arial" w:hAnsi="Arial"/>
          <w:sz w:val="22"/>
          <w:szCs w:val="22"/>
          <w:color w:val="auto"/>
        </w:rPr>
      </w:pPr>
      <w:r>
        <w:rPr>
          <w:rFonts w:ascii="Arial" w:cs="Arial" w:eastAsia="Arial" w:hAnsi="Arial"/>
          <w:sz w:val="22"/>
          <w:szCs w:val="22"/>
          <w:color w:val="auto"/>
        </w:rPr>
        <w:t>the Company obtains a replacement obligor or obligors for the affected party;</w:t>
      </w:r>
    </w:p>
    <w:p>
      <w:pPr>
        <w:spacing w:after="0" w:line="179" w:lineRule="exact"/>
        <w:rPr>
          <w:rFonts w:ascii="Arial" w:cs="Arial" w:eastAsia="Arial" w:hAnsi="Arial"/>
          <w:sz w:val="22"/>
          <w:szCs w:val="22"/>
          <w:color w:val="auto"/>
        </w:rPr>
      </w:pPr>
    </w:p>
    <w:p>
      <w:pPr>
        <w:jc w:val="both"/>
        <w:ind w:left="1292" w:hanging="644"/>
        <w:spacing w:after="0" w:line="297" w:lineRule="auto"/>
        <w:tabs>
          <w:tab w:leader="none" w:pos="1292" w:val="left"/>
        </w:tabs>
        <w:numPr>
          <w:ilvl w:val="1"/>
          <w:numId w:val="399"/>
        </w:numPr>
        <w:rPr>
          <w:rFonts w:ascii="Arial" w:cs="Arial" w:eastAsia="Arial" w:hAnsi="Arial"/>
          <w:sz w:val="19"/>
          <w:szCs w:val="19"/>
          <w:color w:val="auto"/>
        </w:rPr>
      </w:pPr>
      <w:r>
        <w:rPr>
          <w:rFonts w:ascii="Arial" w:cs="Arial" w:eastAsia="Arial" w:hAnsi="Arial"/>
          <w:sz w:val="19"/>
          <w:szCs w:val="19"/>
          <w:color w:val="auto"/>
        </w:rPr>
        <w:t xml:space="preserve">the Company or such other Obligor enters into a replacement Major Project Document on terms no less beneficial to the Company or such other Obligor and the Senior Secured Creditors in any material respect than the Major Project Document being replaced within 60 days of such occurrence,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replacement Major Project Document may require the Company or such other Obligor to pay amounts under the replacement Major Project Document in excess of those that would have been payable under the replaced Major Project Document; and</w:t>
      </w:r>
    </w:p>
    <w:p>
      <w:pPr>
        <w:spacing w:after="0" w:line="106"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399"/>
        </w:numPr>
        <w:rPr>
          <w:rFonts w:ascii="Arial" w:cs="Arial" w:eastAsia="Arial" w:hAnsi="Arial"/>
          <w:sz w:val="22"/>
          <w:szCs w:val="22"/>
          <w:color w:val="auto"/>
        </w:rPr>
      </w:pPr>
      <w:r>
        <w:rPr>
          <w:rFonts w:ascii="Arial" w:cs="Arial" w:eastAsia="Arial" w:hAnsi="Arial"/>
          <w:sz w:val="22"/>
          <w:szCs w:val="22"/>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145" w:lineRule="exact"/>
        <w:rPr>
          <w:rFonts w:ascii="Arial" w:cs="Arial" w:eastAsia="Arial" w:hAnsi="Arial"/>
          <w:sz w:val="22"/>
          <w:szCs w:val="22"/>
          <w:color w:val="auto"/>
        </w:rPr>
      </w:pPr>
    </w:p>
    <w:p>
      <w:pPr>
        <w:ind w:left="652" w:hanging="652"/>
        <w:spacing w:after="0"/>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A Change of Control shall occur.</w:t>
      </w:r>
    </w:p>
    <w:p>
      <w:pPr>
        <w:spacing w:after="0" w:line="219"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Any Subordinated Debt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185" w:lineRule="exact"/>
        <w:rPr>
          <w:rFonts w:ascii="Arial" w:cs="Arial" w:eastAsia="Arial" w:hAnsi="Arial"/>
          <w:sz w:val="22"/>
          <w:szCs w:val="22"/>
          <w:color w:val="auto"/>
        </w:rPr>
      </w:pPr>
    </w:p>
    <w:p>
      <w:pPr>
        <w:ind w:left="652" w:hanging="652"/>
        <w:spacing w:after="0"/>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302" w:lineRule="auto"/>
        <w:tabs>
          <w:tab w:leader="none" w:pos="65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(i) The Company shall abandon Wynn Macau or (ii) Palo (or, following a Permitted Cotai Reorganisation, the Company) shall abandon the Cotai Project or otherwise cease to pursue it (development of the Cotai Project having ceased for a period of at least ninety days) where such abandonment or cessation could reasonably be expected to have an adverse effect on the ability of the Company or any other Obligor to perform its payment obligations under the Finance Documents.</w:t>
      </w:r>
    </w:p>
    <w:p>
      <w:pPr>
        <w:spacing w:after="0" w:line="142"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Any call or drawing made by the Macau SAR under the Concession Contract Performance Bond unless the Concession Contract Performance Bond is fully reinstated within 30 days thereof in accordance with the Concession Contract, no other Event of Default has occurred or will result from such reinstatement.</w:t>
      </w:r>
    </w:p>
    <w:p>
      <w:pPr>
        <w:spacing w:after="0" w:line="185" w:lineRule="exact"/>
        <w:rPr>
          <w:rFonts w:ascii="Arial" w:cs="Arial" w:eastAsia="Arial" w:hAnsi="Arial"/>
          <w:sz w:val="22"/>
          <w:szCs w:val="22"/>
          <w:color w:val="auto"/>
        </w:rPr>
      </w:pPr>
    </w:p>
    <w:p>
      <w:pPr>
        <w:ind w:left="652" w:hanging="652"/>
        <w:spacing w:after="0"/>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312" w:lineRule="auto"/>
        <w:tabs>
          <w:tab w:leader="none" w:pos="65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The authority or ability of the Company or any other Obligor to conduct its business or operations as currently conducted and as proposed to be conducted, or a material part thereof, is wholly or substantially curtailed by any seizure, expropriation, nationalisation, intervention, restriction or other action by or on behalf of any Governmental Authority.</w:t>
      </w:r>
    </w:p>
    <w:p>
      <w:pPr>
        <w:spacing w:after="0" w:line="133" w:lineRule="exact"/>
        <w:rPr>
          <w:rFonts w:ascii="Arial" w:cs="Arial" w:eastAsia="Arial" w:hAnsi="Arial"/>
          <w:sz w:val="19"/>
          <w:szCs w:val="19"/>
          <w:color w:val="auto"/>
        </w:rPr>
      </w:pPr>
    </w:p>
    <w:p>
      <w:pPr>
        <w:ind w:left="652" w:hanging="652"/>
        <w:spacing w:after="0"/>
        <w:tabs>
          <w:tab w:leader="none" w:pos="65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Any temporary administrative intervention is made by the Macau SAR pursuant to article 79 of the Concession Contract.</w:t>
      </w:r>
    </w:p>
    <w:p>
      <w:pPr>
        <w:spacing w:after="0" w:line="254"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Macau SAR takes any formal measure seeking the unilateral dissolution of the Concession Contract pursuant to article 80 thereof or the Macau SAR gives notice pursuant to article 80(3) of the Concession Contract and the Company fails to comply with the terms thereof within the grace period specified therein.</w:t>
      </w:r>
    </w:p>
    <w:p>
      <w:pPr>
        <w:sectPr>
          <w:pgSz w:w="11900" w:h="16838" w:orient="portrait"/>
          <w:cols w:equalWidth="0" w:num="1">
            <w:col w:w="11412"/>
          </w:cols>
          <w:pgMar w:left="248" w:top="132" w:right="239" w:bottom="0" w:gutter="0" w:footer="0" w:header="0"/>
        </w:sectPr>
      </w:pPr>
    </w:p>
    <w:bookmarkStart w:id="238" w:name="page239"/>
    <w:bookmarkEnd w:id="238"/>
    <w:p>
      <w:pPr>
        <w:ind w:left="652" w:hanging="652"/>
        <w:spacing w:after="0"/>
        <w:tabs>
          <w:tab w:leader="none" w:pos="652" w:val="left"/>
        </w:tabs>
        <w:numPr>
          <w:ilvl w:val="0"/>
          <w:numId w:val="401"/>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01"/>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jc w:val="both"/>
        <w:ind w:left="652" w:hanging="652"/>
        <w:spacing w:after="0" w:line="260" w:lineRule="auto"/>
        <w:tabs>
          <w:tab w:leader="none" w:pos="652" w:val="left"/>
        </w:tabs>
        <w:numPr>
          <w:ilvl w:val="0"/>
          <w:numId w:val="401"/>
        </w:numPr>
        <w:rPr>
          <w:rFonts w:ascii="Arial" w:cs="Arial" w:eastAsia="Arial" w:hAnsi="Arial"/>
          <w:sz w:val="21"/>
          <w:szCs w:val="21"/>
          <w:color w:val="auto"/>
        </w:rPr>
      </w:pPr>
      <w:r>
        <w:rPr>
          <w:rFonts w:ascii="Arial" w:cs="Arial" w:eastAsia="Arial" w:hAnsi="Arial"/>
          <w:sz w:val="21"/>
          <w:szCs w:val="21"/>
          <w:color w:val="auto"/>
        </w:rPr>
        <w:t xml:space="preserve">The Land Concession Contract or the Cotai Land Concession Contract is terminated or rescinded or the Macau SAR takes any formal measure seeking any termination of (i) the Land Concession Contract pursuant to Clause 15 thereof or any rescission pursuant to Clause 16 thereof or (ii) the Cotai Land Concession Contract pursuant to Clause 14 thereof or any rescission pursuant to Clause 15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occurrence of the foregoing events with respect to the Cotai Land Concession Contract shall constitute an Event of Default under this paragraph (z), only if the same could reasonably be expected to have an adverse effect on the ability of the Company or any other Obligor to perform its payment obligations under the Senior Finance Documents.</w:t>
      </w:r>
    </w:p>
    <w:p>
      <w:pPr>
        <w:spacing w:after="0" w:line="181" w:lineRule="exact"/>
        <w:rPr>
          <w:sz w:val="20"/>
          <w:szCs w:val="20"/>
          <w:color w:val="auto"/>
        </w:rPr>
      </w:pPr>
    </w:p>
    <w:p>
      <w:pPr>
        <w:ind w:left="652" w:hanging="652"/>
        <w:spacing w:after="0"/>
        <w:tabs>
          <w:tab w:leader="none" w:pos="652" w:val="left"/>
        </w:tabs>
        <w:numPr>
          <w:ilvl w:val="0"/>
          <w:numId w:val="402"/>
        </w:numPr>
        <w:rPr>
          <w:rFonts w:ascii="Arial" w:cs="Arial" w:eastAsia="Arial" w:hAnsi="Arial"/>
          <w:sz w:val="22"/>
          <w:szCs w:val="22"/>
          <w:color w:val="auto"/>
        </w:rPr>
      </w:pPr>
      <w:r>
        <w:rPr>
          <w:rFonts w:ascii="Arial" w:cs="Arial" w:eastAsia="Arial" w:hAnsi="Arial"/>
          <w:sz w:val="22"/>
          <w:szCs w:val="22"/>
          <w:color w:val="auto"/>
        </w:rPr>
        <w:t>[Not used]</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402"/>
        </w:numPr>
        <w:rPr>
          <w:rFonts w:ascii="Arial" w:cs="Arial" w:eastAsia="Arial" w:hAnsi="Arial"/>
          <w:sz w:val="22"/>
          <w:szCs w:val="22"/>
          <w:color w:val="auto"/>
        </w:rPr>
      </w:pPr>
      <w:r>
        <w:rPr>
          <w:rFonts w:ascii="Arial" w:cs="Arial" w:eastAsia="Arial" w:hAnsi="Arial"/>
          <w:sz w:val="22"/>
          <w:szCs w:val="22"/>
          <w:color w:val="auto"/>
        </w:rPr>
        <w:t>A Material Adverse Effect has occurred which is continuing.</w:t>
      </w:r>
    </w:p>
    <w:p>
      <w:pPr>
        <w:sectPr>
          <w:pgSz w:w="11900" w:h="16838" w:orient="portrait"/>
          <w:cols w:equalWidth="0" w:num="1">
            <w:col w:w="11412"/>
          </w:cols>
          <w:pgMar w:left="248" w:top="132" w:right="239" w:bottom="1440" w:gutter="0" w:footer="0" w:header="0"/>
        </w:sectPr>
      </w:pPr>
    </w:p>
    <w:bookmarkStart w:id="239" w:name="page240"/>
    <w:bookmarkEnd w:id="239"/>
    <w:p>
      <w:pPr>
        <w:ind w:left="5060"/>
        <w:spacing w:after="0"/>
        <w:rPr>
          <w:sz w:val="20"/>
          <w:szCs w:val="20"/>
          <w:color w:val="auto"/>
        </w:rPr>
      </w:pPr>
      <w:r>
        <w:rPr>
          <w:rFonts w:ascii="Arial" w:cs="Arial" w:eastAsia="Arial" w:hAnsi="Arial"/>
          <w:sz w:val="22"/>
          <w:szCs w:val="22"/>
          <w:b w:val="1"/>
          <w:bCs w:val="1"/>
          <w:color w:val="auto"/>
        </w:rPr>
        <w:t>Schedule 11</w:t>
      </w:r>
    </w:p>
    <w:p>
      <w:pPr>
        <w:spacing w:after="0" w:line="28"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TRANSFERS AND ACCESSION</w:t>
      </w:r>
    </w:p>
    <w:p>
      <w:pPr>
        <w:spacing w:after="0" w:line="20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Part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Agent's Deed of Accession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DEED dated [ ] is supplemental to each of the Senior Finance Documents as defined in a common terms agreement (the "</w:t>
      </w:r>
      <w:r>
        <w:rPr>
          <w:rFonts w:ascii="Arial" w:cs="Arial" w:eastAsia="Arial" w:hAnsi="Arial"/>
          <w:sz w:val="19"/>
          <w:szCs w:val="19"/>
          <w:b w:val="1"/>
          <w:bCs w:val="1"/>
          <w:color w:val="auto"/>
        </w:rPr>
        <w:t>Common Terms Agreement</w:t>
      </w:r>
      <w:r>
        <w:rPr>
          <w:rFonts w:ascii="Arial" w:cs="Arial" w:eastAsia="Arial" w:hAnsi="Arial"/>
          <w:sz w:val="19"/>
          <w:szCs w:val="19"/>
          <w:color w:val="auto"/>
        </w:rPr>
        <w:t xml:space="preserve">") dated 14 September 2004 between Wynn Resorts (Macau) S.A. and the Senior Secured Creditors (as defined therein) to which </w:t>
      </w:r>
      <w:r>
        <w:rPr>
          <w:rFonts w:ascii="Arial" w:cs="Arial" w:eastAsia="Arial" w:hAnsi="Arial"/>
          <w:sz w:val="19"/>
          <w:szCs w:val="19"/>
          <w:b w:val="1"/>
          <w:bCs w:val="1"/>
          <w:color w:val="auto"/>
        </w:rPr>
        <w:t>[</w:t>
      </w:r>
      <w:r>
        <w:rPr>
          <w:rFonts w:ascii="Arial" w:cs="Arial" w:eastAsia="Arial" w:hAnsi="Arial"/>
          <w:sz w:val="19"/>
          <w:szCs w:val="19"/>
          <w:i w:val="1"/>
          <w:iCs w:val="1"/>
          <w:color w:val="auto"/>
        </w:rPr>
        <w:t>name of existing Agent</w:t>
      </w:r>
      <w:r>
        <w:rPr>
          <w:rFonts w:ascii="Arial" w:cs="Arial" w:eastAsia="Arial" w:hAnsi="Arial"/>
          <w:sz w:val="19"/>
          <w:szCs w:val="19"/>
          <w:b w:val="1"/>
          <w:bCs w:val="1"/>
          <w:color w:val="auto"/>
        </w:rPr>
        <w:t>]</w:t>
      </w:r>
      <w:r>
        <w:rPr>
          <w:rFonts w:ascii="Arial" w:cs="Arial" w:eastAsia="Arial" w:hAnsi="Arial"/>
          <w:sz w:val="19"/>
          <w:szCs w:val="19"/>
          <w:color w:val="auto"/>
        </w:rPr>
        <w:t xml:space="preserve"> is expressed to be a party (the "</w:t>
      </w:r>
      <w:r>
        <w:rPr>
          <w:rFonts w:ascii="Arial" w:cs="Arial" w:eastAsia="Arial" w:hAnsi="Arial"/>
          <w:sz w:val="19"/>
          <w:szCs w:val="19"/>
          <w:b w:val="1"/>
          <w:bCs w:val="1"/>
          <w:color w:val="auto"/>
        </w:rPr>
        <w:t>Senior Finance Documents</w:t>
      </w:r>
      <w:r>
        <w:rPr>
          <w:rFonts w:ascii="Arial" w:cs="Arial" w:eastAsia="Arial" w:hAnsi="Arial"/>
          <w:sz w:val="19"/>
          <w:szCs w:val="19"/>
          <w:color w:val="auto"/>
        </w:rPr>
        <w:t>").</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i w:val="1"/>
          <w:iCs w:val="1"/>
          <w:color w:val="auto"/>
        </w:rPr>
        <w:t>name of new Agent</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New Agent</w:t>
      </w:r>
      <w:r>
        <w:rPr>
          <w:rFonts w:ascii="Arial" w:cs="Arial" w:eastAsia="Arial" w:hAnsi="Arial"/>
          <w:sz w:val="21"/>
          <w:szCs w:val="21"/>
          <w:color w:val="auto"/>
        </w:rPr>
        <w:t>") of</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address</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agrees with each other Person who is or who becomes a party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Senior Finance Documents that with effect on and from the date of this Deed it shall be bound by the Senior Finance Documents and be entitled to exercise rights and be subject to obligations thereunder as </w:t>
      </w:r>
      <w:r>
        <w:rPr>
          <w:rFonts w:ascii="Arial" w:cs="Arial" w:eastAsia="Arial" w:hAnsi="Arial"/>
          <w:sz w:val="21"/>
          <w:szCs w:val="21"/>
          <w:b w:val="1"/>
          <w:bCs w:val="1"/>
          <w:color w:val="auto"/>
        </w:rPr>
        <w:t>[</w:t>
      </w:r>
      <w:r>
        <w:rPr>
          <w:rFonts w:ascii="Arial" w:cs="Arial" w:eastAsia="Arial" w:hAnsi="Arial"/>
          <w:sz w:val="21"/>
          <w:szCs w:val="21"/>
          <w:i w:val="1"/>
          <w:iCs w:val="1"/>
          <w:color w:val="auto"/>
        </w:rPr>
        <w:t>specify Agent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The Facility Office of the New Agent is located at [ ].</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initial telephone number, fax number, address and Person designated by the New Agent for the purposes of Clause 29 (</w:t>
      </w:r>
      <w:r>
        <w:rPr>
          <w:rFonts w:ascii="Arial" w:cs="Arial" w:eastAsia="Arial" w:hAnsi="Arial"/>
          <w:sz w:val="19"/>
          <w:szCs w:val="19"/>
          <w:i w:val="1"/>
          <w:iCs w:val="1"/>
          <w:color w:val="auto"/>
        </w:rPr>
        <w:t>Notices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the Common Terms Agreement 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p>
      <w:pPr>
        <w:spacing w:after="0"/>
        <w:tabs>
          <w:tab w:leader="none" w:pos="2560" w:val="left"/>
        </w:tabs>
        <w:rPr>
          <w:sz w:val="20"/>
          <w:szCs w:val="20"/>
          <w:color w:val="auto"/>
        </w:rPr>
      </w:pPr>
      <w:r>
        <w:rPr>
          <w:rFonts w:ascii="Arial" w:cs="Arial" w:eastAsia="Arial" w:hAnsi="Arial"/>
          <w:sz w:val="22"/>
          <w:szCs w:val="22"/>
          <w:color w:val="auto"/>
        </w:rPr>
        <w:t>Executed as a deed by</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625"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i w:val="1"/>
          <w:iCs w:val="1"/>
          <w:color w:val="auto"/>
        </w:rPr>
        <w:t>insert name of new Agent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sectPr>
          <w:pgSz w:w="11900" w:h="16838" w:orient="portrait"/>
          <w:cols w:equalWidth="0" w:num="2">
            <w:col w:w="2660" w:space="220"/>
            <w:col w:w="8540"/>
          </w:cols>
          <w:pgMar w:left="240" w:top="625"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execution clause appropriate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2">
            <w:col w:w="2520" w:space="440"/>
            <w:col w:w="8460"/>
          </w:cols>
          <w:pgMar w:left="240" w:top="6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thereto and to manner of</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140" w:space="440"/>
            <w:col w:w="8840"/>
          </w:cols>
          <w:pgMar w:left="240" w:top="625"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execution</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1060" w:space="720"/>
            <w:col w:w="9640"/>
          </w:cols>
          <w:pgMar w:left="240" w:top="625" w:right="239" w:bottom="1440" w:gutter="0" w:footer="0" w:header="0"/>
          <w:type w:val="continuous"/>
        </w:sectPr>
      </w:pPr>
    </w:p>
    <w:bookmarkStart w:id="240" w:name="page241"/>
    <w:bookmarkEnd w:id="240"/>
    <w:p>
      <w:pPr>
        <w:jc w:val="center"/>
        <w:ind w:right="220"/>
        <w:spacing w:after="0"/>
        <w:rPr>
          <w:sz w:val="20"/>
          <w:szCs w:val="20"/>
          <w:color w:val="auto"/>
        </w:rPr>
      </w:pPr>
      <w:r>
        <w:rPr>
          <w:rFonts w:ascii="Arial" w:cs="Arial" w:eastAsia="Arial" w:hAnsi="Arial"/>
          <w:sz w:val="22"/>
          <w:szCs w:val="22"/>
          <w:b w:val="1"/>
          <w:bCs w:val="1"/>
          <w:color w:val="auto"/>
        </w:rPr>
        <w:t>Part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Novation Certificate</w:t>
      </w:r>
    </w:p>
    <w:p>
      <w:pPr>
        <w:spacing w:after="0" w:line="226" w:lineRule="exact"/>
        <w:rPr>
          <w:sz w:val="20"/>
          <w:szCs w:val="20"/>
          <w:color w:val="auto"/>
        </w:rPr>
      </w:pPr>
    </w:p>
    <w:p>
      <w:pPr>
        <w:spacing w:after="0"/>
        <w:tabs>
          <w:tab w:leader="none" w:pos="480" w:val="left"/>
          <w:tab w:leader="none" w:pos="100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NOVATION CERTIFICATE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relating to </w:t>
      </w:r>
      <w:r>
        <w:rPr>
          <w:rFonts w:ascii="Arial" w:cs="Arial" w:eastAsia="Arial" w:hAnsi="Arial"/>
          <w:sz w:val="22"/>
          <w:szCs w:val="22"/>
          <w:b w:val="1"/>
          <w:bCs w:val="1"/>
          <w:color w:val="auto"/>
        </w:rPr>
        <w:t>[</w:t>
      </w:r>
      <w:r>
        <w:rPr>
          <w:rFonts w:ascii="Arial" w:cs="Arial" w:eastAsia="Arial" w:hAnsi="Arial"/>
          <w:sz w:val="22"/>
          <w:szCs w:val="22"/>
          <w:i w:val="1"/>
          <w:iCs w:val="1"/>
          <w:color w:val="auto"/>
        </w:rPr>
        <w:t>description of the relevant Facility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Facility Agreement</w:t>
      </w:r>
      <w:r>
        <w:rPr>
          <w:rFonts w:ascii="Arial" w:cs="Arial" w:eastAsia="Arial" w:hAnsi="Arial"/>
          <w:sz w:val="22"/>
          <w:szCs w:val="22"/>
          <w:color w:val="auto"/>
        </w:rPr>
        <w:t>") dated [</w:t>
      </w:r>
      <w:r>
        <w:rPr>
          <w:rFonts w:ascii="Arial" w:cs="Arial" w:eastAsia="Arial" w:hAnsi="Arial"/>
          <w:sz w:val="22"/>
          <w:szCs w:val="22"/>
          <w:i w:val="1"/>
          <w:iCs w:val="1"/>
          <w:color w:val="auto"/>
        </w:rPr>
        <w:t>date of the relevant Facility</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between Wynn Resorts (Macau) S.A. (the "</w:t>
      </w:r>
      <w:r>
        <w:rPr>
          <w:rFonts w:ascii="Arial" w:cs="Arial" w:eastAsia="Arial" w:hAnsi="Arial"/>
          <w:sz w:val="22"/>
          <w:szCs w:val="22"/>
          <w:b w:val="1"/>
          <w:bCs w:val="1"/>
          <w:color w:val="auto"/>
        </w:rPr>
        <w:t>Company</w:t>
      </w:r>
      <w:r>
        <w:rPr>
          <w:rFonts w:ascii="Arial" w:cs="Arial" w:eastAsia="Arial" w:hAnsi="Arial"/>
          <w:sz w:val="22"/>
          <w:szCs w:val="22"/>
          <w:color w:val="auto"/>
        </w:rPr>
        <w:t>") and</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w:t>
      </w:r>
      <w:r>
        <w:rPr>
          <w:rFonts w:ascii="Arial" w:cs="Arial" w:eastAsia="Arial" w:hAnsi="Arial"/>
          <w:sz w:val="22"/>
          <w:szCs w:val="22"/>
          <w:i w:val="1"/>
          <w:iCs w:val="1"/>
          <w:color w:val="auto"/>
        </w:rPr>
        <w:t>list other parties</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common terms agreement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the Company and the Senior Secured Creditors (as defined therein).</w:t>
      </w:r>
    </w:p>
    <w:p>
      <w:pPr>
        <w:spacing w:after="0" w:line="186" w:lineRule="exact"/>
        <w:rPr>
          <w:sz w:val="20"/>
          <w:szCs w:val="20"/>
          <w:color w:val="auto"/>
        </w:rPr>
      </w:pPr>
    </w:p>
    <w:p>
      <w:pPr>
        <w:jc w:val="both"/>
        <w:ind w:left="660" w:hanging="652"/>
        <w:spacing w:after="0" w:line="312" w:lineRule="auto"/>
        <w:tabs>
          <w:tab w:leader="none" w:pos="660" w:val="left"/>
        </w:tabs>
        <w:numPr>
          <w:ilvl w:val="0"/>
          <w:numId w:val="403"/>
        </w:numPr>
        <w:rPr>
          <w:rFonts w:ascii="Arial" w:cs="Arial" w:eastAsia="Arial" w:hAnsi="Arial"/>
          <w:sz w:val="19"/>
          <w:szCs w:val="19"/>
          <w:color w:val="auto"/>
        </w:rPr>
      </w:pPr>
      <w:r>
        <w:rPr>
          <w:rFonts w:ascii="Arial" w:cs="Arial" w:eastAsia="Arial" w:hAnsi="Arial"/>
          <w:sz w:val="19"/>
          <w:szCs w:val="19"/>
          <w:color w:val="auto"/>
        </w:rPr>
        <w:t>Terms defined in the Common Terms Agreement shall, subject to any contrary indication, have the same meanings herein and the principles of construction and rules of interpretation set out therein shall also apply. The terms Lender, Transferee, Proposed Transfer Date, Lender's Participation and Amount Transferred are defined in the schedule hereto.</w:t>
      </w:r>
    </w:p>
    <w:p>
      <w:pPr>
        <w:spacing w:after="0" w:line="133" w:lineRule="exact"/>
        <w:rPr>
          <w:rFonts w:ascii="Arial" w:cs="Arial" w:eastAsia="Arial" w:hAnsi="Arial"/>
          <w:sz w:val="19"/>
          <w:szCs w:val="19"/>
          <w:color w:val="auto"/>
        </w:rPr>
      </w:pPr>
    </w:p>
    <w:p>
      <w:pPr>
        <w:jc w:val="both"/>
        <w:ind w:left="660" w:hanging="652"/>
        <w:spacing w:after="0" w:line="259" w:lineRule="auto"/>
        <w:tabs>
          <w:tab w:leader="none" w:pos="66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The Lender confirms that the Lender's Participation is an accurate summary of its participation in the Facility Agreement and requests the Transferee to accept and procure the transfer by novation to the Transferee of a percentage of the Lender's Participation (equal to the percentage that the Amount Transferred is of the aggregate of the component amounts (as set out in the schedule hereto) of the Lender's Participation the "</w:t>
      </w:r>
      <w:r>
        <w:rPr>
          <w:rFonts w:ascii="Arial" w:cs="Arial" w:eastAsia="Arial" w:hAnsi="Arial"/>
          <w:sz w:val="21"/>
          <w:szCs w:val="21"/>
          <w:b w:val="1"/>
          <w:bCs w:val="1"/>
          <w:color w:val="auto"/>
        </w:rPr>
        <w:t>Transferred Percentage</w:t>
      </w:r>
      <w:r>
        <w:rPr>
          <w:rFonts w:ascii="Arial" w:cs="Arial" w:eastAsia="Arial" w:hAnsi="Arial"/>
          <w:sz w:val="21"/>
          <w:szCs w:val="21"/>
          <w:color w:val="auto"/>
        </w:rPr>
        <w:t>") by counter-signing and delivering this Novation Certificate to the Intercreditor Agent at its address for the service of notices specified in the Common Terms Agreement, in accordance with Clause 21.6 (</w:t>
      </w:r>
      <w:r>
        <w:rPr>
          <w:rFonts w:ascii="Arial" w:cs="Arial" w:eastAsia="Arial" w:hAnsi="Arial"/>
          <w:sz w:val="21"/>
          <w:szCs w:val="21"/>
          <w:i w:val="1"/>
          <w:iCs w:val="1"/>
          <w:color w:val="auto"/>
        </w:rPr>
        <w:t>Transfers by Lenders</w:t>
      </w:r>
      <w:r>
        <w:rPr>
          <w:rFonts w:ascii="Arial" w:cs="Arial" w:eastAsia="Arial" w:hAnsi="Arial"/>
          <w:sz w:val="21"/>
          <w:szCs w:val="21"/>
          <w:color w:val="auto"/>
        </w:rPr>
        <w:t>) of the Common Terms Agreement. The Lender assigns, subject to the aforementioned acceptance by the Transferee, a proportion of the rights and benefits held by the Lender (in its capacity as such) under or in connection with the Senior Finance Documents which proportion shall be equal to the Transferred Percentage.</w:t>
      </w:r>
    </w:p>
    <w:p>
      <w:pPr>
        <w:spacing w:after="0" w:line="180" w:lineRule="exact"/>
        <w:rPr>
          <w:rFonts w:ascii="Arial" w:cs="Arial" w:eastAsia="Arial" w:hAnsi="Arial"/>
          <w:sz w:val="21"/>
          <w:szCs w:val="21"/>
          <w:color w:val="auto"/>
        </w:rPr>
      </w:pPr>
    </w:p>
    <w:p>
      <w:pPr>
        <w:jc w:val="both"/>
        <w:ind w:left="660" w:hanging="652"/>
        <w:spacing w:after="0" w:line="250" w:lineRule="auto"/>
        <w:tabs>
          <w:tab w:leader="none" w:pos="6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The Transferee hereby requests the Intercreditor Agent to accept this Novation Certificate as being delivered to the Intercreditor Agent pursuant to and for the purposes of Clause 21.6 (</w:t>
      </w:r>
      <w:r>
        <w:rPr>
          <w:rFonts w:ascii="Arial" w:cs="Arial" w:eastAsia="Arial" w:hAnsi="Arial"/>
          <w:sz w:val="22"/>
          <w:szCs w:val="22"/>
          <w:i w:val="1"/>
          <w:iCs w:val="1"/>
          <w:color w:val="auto"/>
        </w:rPr>
        <w:t>Transfers by Lenders</w:t>
      </w:r>
      <w:r>
        <w:rPr>
          <w:rFonts w:ascii="Arial" w:cs="Arial" w:eastAsia="Arial" w:hAnsi="Arial"/>
          <w:sz w:val="22"/>
          <w:szCs w:val="22"/>
          <w:color w:val="auto"/>
        </w:rPr>
        <w:t>) of the Common Terms Agreement so as to take effect in accordance with the terms thereof on the Proposed Transfer Date or on such later date as may be determined in accordance with the terms thereof.</w:t>
      </w:r>
    </w:p>
    <w:p>
      <w:pPr>
        <w:spacing w:after="0" w:line="188"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The Transferee confirms that it has received a copy of each of the Senior Finance Documents together with such other information as it has required in connection with this transaction and that it has not relied and shall not hereafter rely on the Lender to check or enquire on its behalf into the legality, validity, effectiveness, adequacy, accuracy or completeness of any such information and further agrees that it has not relied and shall not rely on the Lender to assess or keep under review on its behalf the financial condition, creditworthiness, condition, affairs, status or nature of the Obligors, Wynn Macau or the Cotai Project.</w:t>
      </w:r>
    </w:p>
    <w:p>
      <w:pPr>
        <w:spacing w:after="0" w:line="193"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The Transferee hereby undertakes with the Lender and each of the other parties to the Facility Agreement that it shall perform in accordance with their terms all those</w:t>
      </w:r>
    </w:p>
    <w:p>
      <w:pPr>
        <w:sectPr>
          <w:pgSz w:w="11900" w:h="16838" w:orient="portrait"/>
          <w:cols w:equalWidth="0" w:num="1">
            <w:col w:w="11420"/>
          </w:cols>
          <w:pgMar w:left="240" w:top="625" w:right="239" w:bottom="1440" w:gutter="0" w:footer="0" w:header="0"/>
        </w:sectPr>
      </w:pPr>
    </w:p>
    <w:bookmarkStart w:id="241" w:name="page242"/>
    <w:bookmarkEnd w:id="241"/>
    <w:p>
      <w:pPr>
        <w:jc w:val="both"/>
        <w:ind w:left="660"/>
        <w:spacing w:after="0" w:line="253" w:lineRule="auto"/>
        <w:rPr>
          <w:sz w:val="20"/>
          <w:szCs w:val="20"/>
          <w:color w:val="auto"/>
        </w:rPr>
      </w:pPr>
      <w:r>
        <w:rPr>
          <w:rFonts w:ascii="Arial" w:cs="Arial" w:eastAsia="Arial" w:hAnsi="Arial"/>
          <w:sz w:val="22"/>
          <w:szCs w:val="22"/>
          <w:color w:val="auto"/>
        </w:rPr>
        <w:t>obligations which by the terms of the Facility Agreement shall be assumed by it after delivery of this Novation Certificate to the Intercreditor Agent and satisfaction of the conditions (if any) subject to which this Novation Certificate is expressed to take effect.</w:t>
      </w:r>
    </w:p>
    <w:p>
      <w:pPr>
        <w:spacing w:after="0" w:line="186" w:lineRule="exact"/>
        <w:rPr>
          <w:sz w:val="20"/>
          <w:szCs w:val="20"/>
          <w:color w:val="auto"/>
        </w:rPr>
      </w:pPr>
    </w:p>
    <w:p>
      <w:pPr>
        <w:ind w:left="660" w:right="20" w:hanging="652"/>
        <w:spacing w:after="0" w:line="343" w:lineRule="auto"/>
        <w:tabs>
          <w:tab w:leader="none" w:pos="66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Transferee also agrees that, with effect from the Proposed Transfer Date or such later date as may be determined in accordance with Clause 21.6 (</w:t>
      </w:r>
      <w:r>
        <w:rPr>
          <w:rFonts w:ascii="Arial" w:cs="Arial" w:eastAsia="Arial" w:hAnsi="Arial"/>
          <w:sz w:val="19"/>
          <w:szCs w:val="19"/>
          <w:i w:val="1"/>
          <w:iCs w:val="1"/>
          <w:color w:val="auto"/>
        </w:rPr>
        <w:t>Transfers by Lenders</w:t>
      </w:r>
      <w:r>
        <w:rPr>
          <w:rFonts w:ascii="Arial" w:cs="Arial" w:eastAsia="Arial" w:hAnsi="Arial"/>
          <w:sz w:val="19"/>
          <w:szCs w:val="19"/>
          <w:color w:val="auto"/>
        </w:rPr>
        <w:t>) of the Common Terms Agreement, it shall be bound by the terms of:</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 xml:space="preserve">the Common Terms Agreement as if it had been a party to such agreement in the capacity of a </w:t>
      </w:r>
      <w:r>
        <w:rPr>
          <w:rFonts w:ascii="Arial" w:cs="Arial" w:eastAsia="Arial" w:hAnsi="Arial"/>
          <w:sz w:val="19"/>
          <w:szCs w:val="19"/>
          <w:b w:val="1"/>
          <w:bCs w:val="1"/>
          <w:color w:val="auto"/>
        </w:rPr>
        <w:t>[</w:t>
      </w:r>
      <w:r>
        <w:rPr>
          <w:rFonts w:ascii="Arial" w:cs="Arial" w:eastAsia="Arial" w:hAnsi="Arial"/>
          <w:sz w:val="19"/>
          <w:szCs w:val="19"/>
          <w:i w:val="1"/>
          <w:iCs w:val="1"/>
          <w:color w:val="auto"/>
        </w:rPr>
        <w:t>specify Lender</w:t>
      </w:r>
      <w:r>
        <w:rPr>
          <w:rFonts w:ascii="Arial" w:cs="Arial" w:eastAsia="Arial" w:hAnsi="Arial"/>
          <w:sz w:val="19"/>
          <w:szCs w:val="19"/>
          <w:b w:val="1"/>
          <w:bCs w:val="1"/>
          <w:color w:val="auto"/>
        </w:rPr>
        <w:t>]</w:t>
      </w:r>
      <w:r>
        <w:rPr>
          <w:rFonts w:ascii="Arial" w:cs="Arial" w:eastAsia="Arial" w:hAnsi="Arial"/>
          <w:sz w:val="19"/>
          <w:szCs w:val="19"/>
          <w:color w:val="auto"/>
        </w:rPr>
        <w:t>; and</w:t>
      </w:r>
    </w:p>
    <w:p>
      <w:pPr>
        <w:spacing w:after="0" w:line="260" w:lineRule="exact"/>
        <w:rPr>
          <w:rFonts w:ascii="Arial" w:cs="Arial" w:eastAsia="Arial" w:hAnsi="Arial"/>
          <w:sz w:val="19"/>
          <w:szCs w:val="19"/>
          <w:color w:val="auto"/>
        </w:rPr>
      </w:pPr>
    </w:p>
    <w:p>
      <w:pPr>
        <w:ind w:left="1300" w:right="20" w:hanging="644"/>
        <w:spacing w:after="0" w:line="263" w:lineRule="auto"/>
        <w:tabs>
          <w:tab w:leader="none" w:pos="1300" w:val="left"/>
        </w:tabs>
        <w:numPr>
          <w:ilvl w:val="1"/>
          <w:numId w:val="404"/>
        </w:numPr>
        <w:rPr>
          <w:rFonts w:ascii="Arial" w:cs="Arial" w:eastAsia="Arial" w:hAnsi="Arial"/>
          <w:sz w:val="22"/>
          <w:szCs w:val="22"/>
          <w:color w:val="auto"/>
        </w:rPr>
      </w:pPr>
      <w:r>
        <w:rPr>
          <w:rFonts w:ascii="Arial" w:cs="Arial" w:eastAsia="Arial" w:hAnsi="Arial"/>
          <w:sz w:val="22"/>
          <w:szCs w:val="22"/>
          <w:color w:val="auto"/>
        </w:rPr>
        <w:t>each of the Security Documents to which the Lenders are party as if it had been a party to those documents in the capacity of a Lender thereunder.</w:t>
      </w:r>
    </w:p>
    <w:p>
      <w:pPr>
        <w:spacing w:after="0" w:line="174" w:lineRule="exact"/>
        <w:rPr>
          <w:rFonts w:ascii="Arial" w:cs="Arial" w:eastAsia="Arial" w:hAnsi="Arial"/>
          <w:sz w:val="22"/>
          <w:szCs w:val="22"/>
          <w:color w:val="auto"/>
        </w:rPr>
      </w:pPr>
    </w:p>
    <w:p>
      <w:pPr>
        <w:jc w:val="both"/>
        <w:ind w:left="660" w:hanging="652"/>
        <w:spacing w:after="0" w:line="263" w:lineRule="auto"/>
        <w:tabs>
          <w:tab w:leader="none" w:pos="660" w:val="left"/>
        </w:tabs>
        <w:numPr>
          <w:ilvl w:val="0"/>
          <w:numId w:val="404"/>
        </w:numPr>
        <w:rPr>
          <w:rFonts w:ascii="Arial" w:cs="Arial" w:eastAsia="Arial" w:hAnsi="Arial"/>
          <w:sz w:val="21"/>
          <w:szCs w:val="21"/>
          <w:color w:val="auto"/>
        </w:rPr>
      </w:pPr>
      <w:r>
        <w:rPr>
          <w:rFonts w:ascii="Arial" w:cs="Arial" w:eastAsia="Arial" w:hAnsi="Arial"/>
          <w:sz w:val="21"/>
          <w:szCs w:val="21"/>
          <w:color w:val="auto"/>
        </w:rPr>
        <w:t>The Lender makes no representation or warranty and assumes no responsibility with respect to the legality, validity, effectiveness, adequacy or enforceability of the Senior Finance Documents or any document relating thereto and assumes no responsibility for the financial condition of the Obligors or for the performance and observance by the Obligors of any of their obligations under the Senior Finance Documents or any document relating thereto and any and all such conditions and warranties, whether express or implied by law or otherwise, are hereby excluded.</w:t>
      </w:r>
    </w:p>
    <w:p>
      <w:pPr>
        <w:spacing w:after="0" w:line="175" w:lineRule="exact"/>
        <w:rPr>
          <w:rFonts w:ascii="Arial" w:cs="Arial" w:eastAsia="Arial" w:hAnsi="Arial"/>
          <w:sz w:val="21"/>
          <w:szCs w:val="21"/>
          <w:color w:val="auto"/>
        </w:rPr>
      </w:pPr>
    </w:p>
    <w:p>
      <w:pPr>
        <w:jc w:val="both"/>
        <w:ind w:left="660" w:hanging="652"/>
        <w:spacing w:after="0" w:line="294" w:lineRule="auto"/>
        <w:tabs>
          <w:tab w:leader="none" w:pos="66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The Lender hereby gives notice that nothing herein or in the Senior Finance Documents (or any document relating thereto) shall oblige the Lender to (a) accept a re-transfer from the Transferee of the whole or any part of its rights, benefits and/or obligations under the Senior Finance Documents transferred pursuant hereto or (b) support any losses directly or indirectly sustained or incurred by the Transferee for any reason whatsoever including the non-performance by any of the Obligors or any other party to the Senior Finance Documents (or any document relating thereto) of its obligations under any such document. The Transferee hereby acknowledges the absence of any such obligation as is referred to in (a) or (b).</w:t>
      </w:r>
    </w:p>
    <w:p>
      <w:pPr>
        <w:spacing w:after="0" w:line="149"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This Novation Certificate and the rights, benefits and obligations of the parties hereunder shall be governed by and construed in accordance with English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SCHEDULE</w:t>
      </w:r>
    </w:p>
    <w:p>
      <w:pPr>
        <w:spacing w:after="0" w:line="226" w:lineRule="exact"/>
        <w:rPr>
          <w:sz w:val="20"/>
          <w:szCs w:val="20"/>
          <w:color w:val="auto"/>
        </w:rPr>
      </w:pPr>
    </w:p>
    <w:p>
      <w:pPr>
        <w:ind w:left="660" w:hanging="652"/>
        <w:spacing w:after="0"/>
        <w:tabs>
          <w:tab w:leader="none" w:pos="66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Lender:</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Transferee: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Proposed Transfer Date: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Lender's Participation:</w:t>
      </w:r>
    </w:p>
    <w:p>
      <w:pPr>
        <w:spacing w:after="0" w:line="368" w:lineRule="exact"/>
        <w:rPr>
          <w:sz w:val="20"/>
          <w:szCs w:val="20"/>
          <w:color w:val="auto"/>
        </w:rPr>
      </w:pPr>
    </w:p>
    <w:p>
      <w:pPr>
        <w:ind w:left="1300"/>
        <w:spacing w:after="0"/>
        <w:tabs>
          <w:tab w:leader="none" w:pos="6300" w:val="left"/>
        </w:tabs>
        <w:rPr>
          <w:sz w:val="20"/>
          <w:szCs w:val="20"/>
          <w:color w:val="auto"/>
        </w:rPr>
      </w:pPr>
      <w:r>
        <w:rPr>
          <w:rFonts w:ascii="Arial" w:cs="Arial" w:eastAsia="Arial" w:hAnsi="Arial"/>
          <w:sz w:val="22"/>
          <w:szCs w:val="22"/>
          <w:color w:val="auto"/>
        </w:rPr>
        <w:t>Lender's undrawn Available Commitment*</w:t>
      </w:r>
      <w:r>
        <w:rPr>
          <w:sz w:val="20"/>
          <w:szCs w:val="20"/>
          <w:color w:val="auto"/>
        </w:rPr>
        <w:tab/>
      </w:r>
      <w:r>
        <w:rPr>
          <w:rFonts w:ascii="Arial" w:cs="Arial" w:eastAsia="Arial" w:hAnsi="Arial"/>
          <w:sz w:val="19"/>
          <w:szCs w:val="19"/>
          <w:color w:val="auto"/>
        </w:rPr>
        <w:t>Lender's Portion of each Advance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406"/>
        </w:numPr>
        <w:rPr>
          <w:rFonts w:ascii="Arial" w:cs="Arial" w:eastAsia="Arial" w:hAnsi="Arial"/>
          <w:sz w:val="22"/>
          <w:szCs w:val="22"/>
          <w:color w:val="auto"/>
        </w:rPr>
      </w:pPr>
      <w:r>
        <w:rPr>
          <w:rFonts w:ascii="Arial" w:cs="Arial" w:eastAsia="Arial" w:hAnsi="Arial"/>
          <w:sz w:val="22"/>
          <w:szCs w:val="22"/>
          <w:color w:val="auto"/>
        </w:rPr>
        <w:t>Amount Transferred:</w:t>
      </w:r>
    </w:p>
    <w:p>
      <w:pPr>
        <w:sectPr>
          <w:pgSz w:w="11900" w:h="16838" w:orient="portrait"/>
          <w:cols w:equalWidth="0" w:num="1">
            <w:col w:w="11420"/>
          </w:cols>
          <w:pgMar w:left="240" w:top="631" w:right="239" w:bottom="1440" w:gutter="0" w:footer="0" w:header="0"/>
        </w:sectPr>
      </w:pPr>
    </w:p>
    <w:bookmarkStart w:id="242" w:name="page243"/>
    <w:bookmarkEnd w:id="242"/>
    <w:p>
      <w:pPr>
        <w:spacing w:after="0"/>
        <w:tabs>
          <w:tab w:leader="none" w:pos="182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Lender</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Transferee</w:t>
      </w:r>
      <w:r>
        <w:rPr>
          <w:rFonts w:ascii="Arial" w:cs="Arial" w:eastAsia="Arial" w:hAnsi="Arial"/>
          <w:sz w:val="19"/>
          <w:szCs w:val="19"/>
          <w:b w:val="1"/>
          <w:bCs w:val="1"/>
          <w:color w:val="auto"/>
        </w:rPr>
        <w:t>]</w:t>
      </w:r>
    </w:p>
    <w:p>
      <w:pPr>
        <w:spacing w:after="0" w:line="22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20"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20" w:lineRule="exact"/>
        <w:rPr>
          <w:sz w:val="20"/>
          <w:szCs w:val="20"/>
          <w:color w:val="auto"/>
        </w:rPr>
      </w:pPr>
    </w:p>
    <w:p>
      <w:pPr>
        <w:ind w:left="520" w:hanging="512"/>
        <w:spacing w:after="0"/>
        <w:tabs>
          <w:tab w:leader="none" w:pos="52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as Intercreditor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Details of Transferee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Account for Payments: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Standing Payment Instruction: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Telex: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Telephone: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20" w:lineRule="exact"/>
        <w:rPr>
          <w:sz w:val="20"/>
          <w:szCs w:val="20"/>
          <w:color w:val="auto"/>
        </w:rPr>
      </w:pPr>
    </w:p>
    <w:p>
      <w:pPr>
        <w:ind w:left="180" w:hanging="172"/>
        <w:spacing w:after="0"/>
        <w:tabs>
          <w:tab w:leader="none" w:pos="180" w:val="left"/>
        </w:tabs>
        <w:numPr>
          <w:ilvl w:val="0"/>
          <w:numId w:val="408"/>
        </w:numPr>
        <w:rPr>
          <w:rFonts w:ascii="Arial" w:cs="Arial" w:eastAsia="Arial" w:hAnsi="Arial"/>
          <w:sz w:val="19"/>
          <w:szCs w:val="19"/>
          <w:color w:val="auto"/>
        </w:rPr>
      </w:pPr>
      <w:r>
        <w:rPr>
          <w:rFonts w:ascii="Arial" w:cs="Arial" w:eastAsia="Arial" w:hAnsi="Arial"/>
          <w:sz w:val="19"/>
          <w:szCs w:val="19"/>
          <w:color w:val="auto"/>
        </w:rPr>
        <w:t>Details of the Lender's undrawn Available Commitment should not be completed after the last day of the Availability Period.</w:t>
      </w:r>
    </w:p>
    <w:p>
      <w:pPr>
        <w:spacing w:after="0" w:line="248" w:lineRule="exact"/>
        <w:rPr>
          <w:rFonts w:ascii="Arial" w:cs="Arial" w:eastAsia="Arial" w:hAnsi="Arial"/>
          <w:sz w:val="19"/>
          <w:szCs w:val="19"/>
          <w:color w:val="auto"/>
        </w:rPr>
      </w:pPr>
    </w:p>
    <w:p>
      <w:pPr>
        <w:ind w:left="5300"/>
        <w:spacing w:after="0"/>
        <w:rPr>
          <w:rFonts w:ascii="Arial" w:cs="Arial" w:eastAsia="Arial" w:hAnsi="Arial"/>
          <w:sz w:val="19"/>
          <w:szCs w:val="19"/>
          <w:color w:val="auto"/>
        </w:rPr>
      </w:pPr>
      <w:r>
        <w:rPr>
          <w:rFonts w:ascii="Arial" w:cs="Arial" w:eastAsia="Arial" w:hAnsi="Arial"/>
          <w:sz w:val="22"/>
          <w:szCs w:val="22"/>
          <w:b w:val="1"/>
          <w:bCs w:val="1"/>
          <w:color w:val="auto"/>
        </w:rPr>
        <w:t>Part C</w:t>
      </w:r>
    </w:p>
    <w:p>
      <w:pPr>
        <w:spacing w:after="0" w:line="27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Form of Confidentiality Undertaking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i w:val="1"/>
          <w:iCs w:val="1"/>
          <w:color w:val="auto"/>
        </w:rPr>
        <w:t>Insert name of potential Transferee/participant</w:t>
      </w:r>
      <w:r>
        <w:rPr>
          <w:rFonts w:ascii="Arial" w:cs="Arial" w:eastAsia="Arial" w:hAnsi="Arial"/>
          <w:sz w:val="19"/>
          <w:szCs w:val="19"/>
          <w:b w:val="1"/>
          <w:bCs w:val="1"/>
          <w:color w:val="auto"/>
        </w:rPr>
        <w: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Date</w:t>
      </w:r>
      <w:r>
        <w:rPr>
          <w:rFonts w:ascii="Arial" w:cs="Arial" w:eastAsia="Arial" w:hAnsi="Arial"/>
          <w:sz w:val="22"/>
          <w:szCs w:val="22"/>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We understand that you are considering </w:t>
      </w:r>
      <w:r>
        <w:rPr>
          <w:rFonts w:ascii="Arial" w:cs="Arial" w:eastAsia="Arial" w:hAnsi="Arial"/>
          <w:sz w:val="22"/>
          <w:szCs w:val="22"/>
          <w:b w:val="1"/>
          <w:bCs w:val="1"/>
          <w:color w:val="auto"/>
        </w:rPr>
        <w:t>[</w:t>
      </w:r>
      <w:r>
        <w:rPr>
          <w:rFonts w:ascii="Arial" w:cs="Arial" w:eastAsia="Arial" w:hAnsi="Arial"/>
          <w:sz w:val="22"/>
          <w:szCs w:val="22"/>
          <w:color w:val="auto"/>
        </w:rPr>
        <w:t>acquiring an interest (the "</w:t>
      </w:r>
      <w:r>
        <w:rPr>
          <w:rFonts w:ascii="Arial" w:cs="Arial" w:eastAsia="Arial" w:hAnsi="Arial"/>
          <w:sz w:val="22"/>
          <w:szCs w:val="22"/>
          <w:b w:val="1"/>
          <w:bCs w:val="1"/>
          <w:color w:val="auto"/>
        </w:rPr>
        <w:t>Acquisition</w:t>
      </w:r>
      <w:r>
        <w:rPr>
          <w:rFonts w:ascii="Arial" w:cs="Arial" w:eastAsia="Arial" w:hAnsi="Arial"/>
          <w:sz w:val="22"/>
          <w:szCs w:val="22"/>
          <w:color w:val="auto"/>
        </w:rPr>
        <w:t xml:space="preserve">") in/accepting an appointment as facility agent under </w:t>
      </w:r>
      <w:r>
        <w:rPr>
          <w:rFonts w:ascii="Arial" w:cs="Arial" w:eastAsia="Arial" w:hAnsi="Arial"/>
          <w:sz w:val="22"/>
          <w:szCs w:val="22"/>
          <w:b w:val="1"/>
          <w:bCs w:val="1"/>
          <w:color w:val="auto"/>
        </w:rPr>
        <w:t>[</w:t>
      </w:r>
      <w:r>
        <w:rPr>
          <w:rFonts w:ascii="Arial" w:cs="Arial" w:eastAsia="Arial" w:hAnsi="Arial"/>
          <w:sz w:val="22"/>
          <w:szCs w:val="22"/>
          <w:i w:val="1"/>
          <w:iCs w:val="1"/>
          <w:color w:val="auto"/>
        </w:rPr>
        <w:t>description of the relevant Facility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Facility Agreement</w:t>
      </w:r>
      <w:r>
        <w:rPr>
          <w:rFonts w:ascii="Arial" w:cs="Arial" w:eastAsia="Arial" w:hAnsi="Arial"/>
          <w:sz w:val="22"/>
          <w:szCs w:val="22"/>
          <w:color w:val="auto"/>
        </w:rPr>
        <w:t>")/accepting an appointment as intercreditor agent under the Senior Finance Documents (the "</w:t>
      </w:r>
      <w:r>
        <w:rPr>
          <w:rFonts w:ascii="Arial" w:cs="Arial" w:eastAsia="Arial" w:hAnsi="Arial"/>
          <w:sz w:val="22"/>
          <w:szCs w:val="22"/>
          <w:b w:val="1"/>
          <w:bCs w:val="1"/>
          <w:color w:val="auto"/>
        </w:rPr>
        <w:t>Appointment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in relation to the design, development, construction, ownership, operation and maintenance of the Wynn Macau hotel, retail and destination gaming resort project ("</w:t>
      </w:r>
      <w:r>
        <w:rPr>
          <w:rFonts w:ascii="Arial" w:cs="Arial" w:eastAsia="Arial" w:hAnsi="Arial"/>
          <w:sz w:val="22"/>
          <w:szCs w:val="22"/>
          <w:b w:val="1"/>
          <w:bCs w:val="1"/>
          <w:color w:val="auto"/>
        </w:rPr>
        <w:t>Wynn Macau</w:t>
      </w:r>
      <w:r>
        <w:rPr>
          <w:rFonts w:ascii="Arial" w:cs="Arial" w:eastAsia="Arial" w:hAnsi="Arial"/>
          <w:sz w:val="22"/>
          <w:szCs w:val="22"/>
          <w:color w:val="auto"/>
        </w:rPr>
        <w:t>") and the Wynn Palace hotel, retail and destination gaming resort</w:t>
      </w:r>
    </w:p>
    <w:p>
      <w:pPr>
        <w:sectPr>
          <w:pgSz w:w="11900" w:h="16838" w:orient="portrait"/>
          <w:cols w:equalWidth="0" w:num="1">
            <w:col w:w="11420"/>
          </w:cols>
          <w:pgMar w:left="240" w:top="626" w:right="239" w:bottom="1440" w:gutter="0" w:footer="0" w:header="0"/>
        </w:sectPr>
      </w:pPr>
    </w:p>
    <w:bookmarkStart w:id="243" w:name="page244"/>
    <w:bookmarkEnd w:id="243"/>
    <w:p>
      <w:pPr>
        <w:spacing w:after="0" w:line="269" w:lineRule="auto"/>
        <w:rPr>
          <w:sz w:val="20"/>
          <w:szCs w:val="20"/>
          <w:color w:val="auto"/>
        </w:rPr>
      </w:pPr>
      <w:r>
        <w:rPr>
          <w:rFonts w:ascii="Arial" w:cs="Arial" w:eastAsia="Arial" w:hAnsi="Arial"/>
          <w:sz w:val="22"/>
          <w:szCs w:val="22"/>
          <w:color w:val="auto"/>
        </w:rPr>
        <w:t>project (the "</w:t>
      </w:r>
      <w:r>
        <w:rPr>
          <w:rFonts w:ascii="Arial" w:cs="Arial" w:eastAsia="Arial" w:hAnsi="Arial"/>
          <w:sz w:val="22"/>
          <w:szCs w:val="22"/>
          <w:b w:val="1"/>
          <w:bCs w:val="1"/>
          <w:color w:val="auto"/>
        </w:rPr>
        <w:t>Cotai Project</w:t>
      </w:r>
      <w:r>
        <w:rPr>
          <w:rFonts w:ascii="Arial" w:cs="Arial" w:eastAsia="Arial" w:hAnsi="Arial"/>
          <w:sz w:val="22"/>
          <w:szCs w:val="22"/>
          <w:color w:val="auto"/>
        </w:rPr>
        <w:t>"). In consideration of us agreeing to make available to you certain information, by your signature of a copy of this letter you agree as follows:</w:t>
      </w:r>
    </w:p>
    <w:p>
      <w:pPr>
        <w:spacing w:after="0" w:line="168" w:lineRule="exact"/>
        <w:rPr>
          <w:sz w:val="20"/>
          <w:szCs w:val="20"/>
          <w:color w:val="auto"/>
        </w:rPr>
      </w:pPr>
    </w:p>
    <w:p>
      <w:pPr>
        <w:jc w:val="both"/>
        <w:ind w:left="660" w:hanging="652"/>
        <w:spacing w:after="0" w:line="246" w:lineRule="auto"/>
        <w:tabs>
          <w:tab w:leader="none" w:pos="660" w:val="left"/>
        </w:tabs>
        <w:numPr>
          <w:ilvl w:val="0"/>
          <w:numId w:val="409"/>
        </w:numPr>
        <w:rPr>
          <w:rFonts w:ascii="Arial" w:cs="Arial" w:eastAsia="Arial" w:hAnsi="Arial"/>
          <w:sz w:val="22"/>
          <w:szCs w:val="22"/>
          <w:color w:val="auto"/>
        </w:rPr>
      </w:pPr>
      <w:r>
        <w:rPr>
          <w:rFonts w:ascii="Arial" w:cs="Arial" w:eastAsia="Arial" w:hAnsi="Arial"/>
          <w:sz w:val="22"/>
          <w:szCs w:val="22"/>
          <w:i w:val="1"/>
          <w:iCs w:val="1"/>
          <w:color w:val="auto"/>
        </w:rPr>
        <w:t xml:space="preserve">Confidentiality Undertaking </w:t>
      </w:r>
      <w:r>
        <w:rPr>
          <w:rFonts w:ascii="Arial" w:cs="Arial" w:eastAsia="Arial" w:hAnsi="Arial"/>
          <w:sz w:val="22"/>
          <w:szCs w:val="22"/>
          <w:color w:val="auto"/>
        </w:rPr>
        <w:t>You undertake (a) to keep the Confidential Information confidential and not to disclose it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anyone except as provided for by 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w:t>
      </w:r>
      <w:r>
        <w:rPr>
          <w:rFonts w:ascii="Arial" w:cs="Arial" w:eastAsia="Arial" w:hAnsi="Arial"/>
          <w:sz w:val="22"/>
          <w:szCs w:val="22"/>
          <w:b w:val="1"/>
          <w:bCs w:val="1"/>
          <w:color w:val="auto"/>
        </w:rPr>
        <w:t>[</w:t>
      </w:r>
      <w:r>
        <w:rPr>
          <w:rFonts w:ascii="Arial" w:cs="Arial" w:eastAsia="Arial" w:hAnsi="Arial"/>
          <w:sz w:val="22"/>
          <w:szCs w:val="22"/>
          <w:color w:val="auto"/>
        </w:rPr>
        <w:t>Acquisition/Appointment</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ind w:left="660" w:hanging="652"/>
        <w:spacing w:after="0"/>
        <w:tabs>
          <w:tab w:leader="none" w:pos="660" w:val="left"/>
        </w:tabs>
        <w:numPr>
          <w:ilvl w:val="0"/>
          <w:numId w:val="409"/>
        </w:numPr>
        <w:rPr>
          <w:rFonts w:ascii="Arial" w:cs="Arial" w:eastAsia="Arial" w:hAnsi="Arial"/>
          <w:sz w:val="22"/>
          <w:szCs w:val="22"/>
          <w:color w:val="auto"/>
        </w:rPr>
      </w:pPr>
      <w:r>
        <w:rPr>
          <w:rFonts w:ascii="Arial" w:cs="Arial" w:eastAsia="Arial" w:hAnsi="Arial"/>
          <w:sz w:val="22"/>
          <w:szCs w:val="22"/>
          <w:i w:val="1"/>
          <w:iCs w:val="1"/>
          <w:color w:val="auto"/>
        </w:rPr>
        <w:t xml:space="preserve">Permitted Disclosure </w:t>
      </w:r>
      <w:r>
        <w:rPr>
          <w:rFonts w:ascii="Arial" w:cs="Arial" w:eastAsia="Arial" w:hAnsi="Arial"/>
          <w:sz w:val="22"/>
          <w:szCs w:val="22"/>
          <w:color w:val="auto"/>
        </w:rPr>
        <w:t>We agree that you may disclose Confidential Information:</w:t>
      </w:r>
    </w:p>
    <w:p>
      <w:pPr>
        <w:spacing w:after="0" w:line="213" w:lineRule="exact"/>
        <w:rPr>
          <w:rFonts w:ascii="Arial" w:cs="Arial" w:eastAsia="Arial" w:hAnsi="Arial"/>
          <w:sz w:val="22"/>
          <w:szCs w:val="22"/>
          <w:color w:val="auto"/>
        </w:rPr>
      </w:pPr>
    </w:p>
    <w:p>
      <w:pPr>
        <w:ind w:left="1300" w:right="20" w:hanging="644"/>
        <w:spacing w:after="0" w:line="350" w:lineRule="auto"/>
        <w:tabs>
          <w:tab w:leader="none" w:pos="1300" w:val="left"/>
        </w:tabs>
        <w:numPr>
          <w:ilvl w:val="1"/>
          <w:numId w:val="409"/>
        </w:numPr>
        <w:rPr>
          <w:rFonts w:ascii="Arial" w:cs="Arial" w:eastAsia="Arial" w:hAnsi="Arial"/>
          <w:sz w:val="19"/>
          <w:szCs w:val="19"/>
          <w:color w:val="auto"/>
        </w:rPr>
      </w:pPr>
      <w:r>
        <w:rPr>
          <w:rFonts w:ascii="Arial" w:cs="Arial" w:eastAsia="Arial" w:hAnsi="Arial"/>
          <w:sz w:val="19"/>
          <w:szCs w:val="19"/>
          <w:color w:val="auto"/>
        </w:rPr>
        <w:t xml:space="preserve">to members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 and their officers, directors, employees and professional advisers to the extent necessary for the Permitted Purpose and to any auditors of members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w:t>
      </w:r>
    </w:p>
    <w:p>
      <w:pPr>
        <w:spacing w:after="0" w:line="92"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409"/>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subject to the requirements of the Senior Finance Documents, to any person to (or through) whom you assign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(or may potentially assign or transfer) all or any of the rights, benefits and obligations which you may acquire under the Facility Agreement or with (or through) whom you enter into (or may potentially enter into) any sub-participation in relation to, or any other transaction under which payments are to be made by reference to, the Senior Finance Documents or any of the Obligors so long as that person has delivered a letter to you in equivalent form to this letter;</w:t>
      </w:r>
      <w:r>
        <w:rPr>
          <w:rFonts w:ascii="Arial" w:cs="Arial" w:eastAsia="Arial" w:hAnsi="Arial"/>
          <w:sz w:val="22"/>
          <w:szCs w:val="22"/>
          <w:b w:val="1"/>
          <w:bCs w:val="1"/>
          <w:color w:val="auto"/>
        </w:rPr>
        <w:t>]</w:t>
      </w:r>
      <w:r>
        <w:rPr>
          <w:rFonts w:ascii="Arial" w:cs="Arial" w:eastAsia="Arial" w:hAnsi="Arial"/>
          <w:sz w:val="22"/>
          <w:szCs w:val="22"/>
          <w:color w:val="auto"/>
        </w:rPr>
        <w:t xml:space="preserve"> and</w:t>
      </w:r>
    </w:p>
    <w:p>
      <w:pPr>
        <w:spacing w:after="0" w:line="193"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1"/>
          <w:numId w:val="409"/>
        </w:numPr>
        <w:rPr>
          <w:rFonts w:ascii="Arial" w:cs="Arial" w:eastAsia="Arial" w:hAnsi="Arial"/>
          <w:sz w:val="19"/>
          <w:szCs w:val="19"/>
          <w:color w:val="auto"/>
        </w:rPr>
      </w:pPr>
      <w:r>
        <w:rPr>
          <w:rFonts w:ascii="Arial" w:cs="Arial" w:eastAsia="Arial" w:hAnsi="Arial"/>
          <w:sz w:val="19"/>
          <w:szCs w:val="19"/>
          <w:color w:val="auto"/>
        </w:rPr>
        <w:t xml:space="preserve">(i) where requested or required by any court of competent jurisdiction or any competent judicial, governmental, supervisory or regulatory body, (ii) where required by the rules of any stock exchange on which the shares or other securities of any member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 are listed or (iii) where required by the laws or regulations of any country with jurisdiction over the affairs of any member of the </w:t>
      </w:r>
      <w:r>
        <w:rPr>
          <w:rFonts w:ascii="Arial" w:cs="Arial" w:eastAsia="Arial" w:hAnsi="Arial"/>
          <w:sz w:val="19"/>
          <w:szCs w:val="19"/>
          <w:b w:val="1"/>
          <w:bCs w:val="1"/>
          <w:color w:val="auto"/>
        </w:rPr>
        <w:t>[</w:t>
      </w:r>
      <w:r>
        <w:rPr>
          <w:rFonts w:ascii="Arial" w:cs="Arial" w:eastAsia="Arial" w:hAnsi="Arial"/>
          <w:sz w:val="19"/>
          <w:szCs w:val="19"/>
          <w:color w:val="auto"/>
        </w:rPr>
        <w:t>Purchaser/Appointee</w:t>
      </w:r>
      <w:r>
        <w:rPr>
          <w:rFonts w:ascii="Arial" w:cs="Arial" w:eastAsia="Arial" w:hAnsi="Arial"/>
          <w:sz w:val="19"/>
          <w:szCs w:val="19"/>
          <w:b w:val="1"/>
          <w:bCs w:val="1"/>
          <w:color w:val="auto"/>
        </w:rPr>
        <w:t>]</w:t>
      </w:r>
      <w:r>
        <w:rPr>
          <w:rFonts w:ascii="Arial" w:cs="Arial" w:eastAsia="Arial" w:hAnsi="Arial"/>
          <w:sz w:val="19"/>
          <w:szCs w:val="19"/>
          <w:color w:val="auto"/>
        </w:rPr>
        <w:t xml:space="preserve"> Group.</w:t>
      </w:r>
    </w:p>
    <w:p>
      <w:pPr>
        <w:spacing w:after="0" w:line="142"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409"/>
        </w:numPr>
        <w:rPr>
          <w:rFonts w:ascii="Arial" w:cs="Arial" w:eastAsia="Arial" w:hAnsi="Arial"/>
          <w:sz w:val="22"/>
          <w:szCs w:val="22"/>
          <w:color w:val="auto"/>
        </w:rPr>
      </w:pPr>
      <w:r>
        <w:rPr>
          <w:rFonts w:ascii="Arial" w:cs="Arial" w:eastAsia="Arial" w:hAnsi="Arial"/>
          <w:sz w:val="22"/>
          <w:szCs w:val="22"/>
          <w:i w:val="1"/>
          <w:iCs w:val="1"/>
          <w:color w:val="auto"/>
        </w:rPr>
        <w:t xml:space="preserve">Notification of Required or Unauthorised Disclosure </w:t>
      </w:r>
      <w:r>
        <w:rPr>
          <w:rFonts w:ascii="Arial" w:cs="Arial" w:eastAsia="Arial" w:hAnsi="Arial"/>
          <w:sz w:val="22"/>
          <w:szCs w:val="22"/>
          <w:color w:val="auto"/>
        </w:rPr>
        <w:t>You agree (to the extent permitted by law) to inform us of the full</w:t>
      </w:r>
      <w:r>
        <w:rPr>
          <w:rFonts w:ascii="Arial" w:cs="Arial" w:eastAsia="Arial" w:hAnsi="Arial"/>
          <w:sz w:val="22"/>
          <w:szCs w:val="22"/>
          <w:i w:val="1"/>
          <w:iCs w:val="1"/>
          <w:color w:val="auto"/>
        </w:rPr>
        <w:t xml:space="preserve"> </w:t>
      </w:r>
      <w:r>
        <w:rPr>
          <w:rFonts w:ascii="Arial" w:cs="Arial" w:eastAsia="Arial" w:hAnsi="Arial"/>
          <w:sz w:val="22"/>
          <w:szCs w:val="22"/>
          <w:color w:val="auto"/>
        </w:rPr>
        <w:t>circumstances of any disclosure under paragraph 2</w:t>
      </w:r>
      <w:r>
        <w:rPr>
          <w:rFonts w:ascii="Arial" w:cs="Arial" w:eastAsia="Arial" w:hAnsi="Arial"/>
          <w:sz w:val="22"/>
          <w:szCs w:val="22"/>
          <w:b w:val="1"/>
          <w:bCs w:val="1"/>
          <w:color w:val="auto"/>
        </w:rPr>
        <w:t>[</w:t>
      </w:r>
      <w:r>
        <w:rPr>
          <w:rFonts w:ascii="Arial" w:cs="Arial" w:eastAsia="Arial" w:hAnsi="Arial"/>
          <w:sz w:val="22"/>
          <w:szCs w:val="22"/>
          <w:color w:val="auto"/>
        </w:rPr>
        <w:t>(c)/(b)</w:t>
      </w:r>
      <w:r>
        <w:rPr>
          <w:rFonts w:ascii="Arial" w:cs="Arial" w:eastAsia="Arial" w:hAnsi="Arial"/>
          <w:sz w:val="22"/>
          <w:szCs w:val="22"/>
          <w:b w:val="1"/>
          <w:bCs w:val="1"/>
          <w:color w:val="auto"/>
        </w:rPr>
        <w:t>]</w:t>
      </w:r>
      <w:r>
        <w:rPr>
          <w:rFonts w:ascii="Arial" w:cs="Arial" w:eastAsia="Arial" w:hAnsi="Arial"/>
          <w:sz w:val="22"/>
          <w:szCs w:val="22"/>
          <w:color w:val="auto"/>
        </w:rPr>
        <w:t xml:space="preserve"> or upon becoming aware that Confidential Information has been disclosed in breach of this letter.</w:t>
      </w:r>
    </w:p>
    <w:p>
      <w:pPr>
        <w:spacing w:after="0" w:line="185"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409"/>
        </w:numPr>
        <w:rPr>
          <w:rFonts w:ascii="Arial" w:cs="Arial" w:eastAsia="Arial" w:hAnsi="Arial"/>
          <w:sz w:val="19"/>
          <w:szCs w:val="19"/>
          <w:color w:val="auto"/>
        </w:rPr>
      </w:pPr>
      <w:r>
        <w:rPr>
          <w:rFonts w:ascii="Arial" w:cs="Arial" w:eastAsia="Arial" w:hAnsi="Arial"/>
          <w:sz w:val="19"/>
          <w:szCs w:val="19"/>
          <w:i w:val="1"/>
          <w:iCs w:val="1"/>
          <w:color w:val="auto"/>
        </w:rPr>
        <w:t xml:space="preserve">Return of Copies </w:t>
      </w:r>
      <w:r>
        <w:rPr>
          <w:rFonts w:ascii="Arial" w:cs="Arial" w:eastAsia="Arial" w:hAnsi="Arial"/>
          <w:sz w:val="19"/>
          <w:szCs w:val="19"/>
          <w:color w:val="auto"/>
        </w:rPr>
        <w:t>If we so request in writing, you shall return all Confidential Information supplied to you by us and destroy</w:t>
      </w:r>
      <w:r>
        <w:rPr>
          <w:rFonts w:ascii="Arial" w:cs="Arial" w:eastAsia="Arial" w:hAnsi="Arial"/>
          <w:sz w:val="19"/>
          <w:szCs w:val="19"/>
          <w:i w:val="1"/>
          <w:iCs w:val="1"/>
          <w:color w:val="auto"/>
        </w:rPr>
        <w:t xml:space="preserve"> </w:t>
      </w:r>
      <w:r>
        <w:rPr>
          <w:rFonts w:ascii="Arial" w:cs="Arial" w:eastAsia="Arial" w:hAnsi="Arial"/>
          <w:sz w:val="19"/>
          <w:szCs w:val="19"/>
          <w:color w:val="auto"/>
        </w:rPr>
        <w:t>or permanently erase all copies 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w:t>
      </w:r>
    </w:p>
    <w:p>
      <w:pPr>
        <w:sectPr>
          <w:pgSz w:w="11900" w:h="16838" w:orient="portrait"/>
          <w:cols w:equalWidth="0" w:num="1">
            <w:col w:w="11420"/>
          </w:cols>
          <w:pgMar w:left="240" w:top="625" w:right="239" w:bottom="1440" w:gutter="0" w:footer="0" w:header="0"/>
        </w:sectPr>
      </w:pPr>
    </w:p>
    <w:bookmarkStart w:id="244" w:name="page245"/>
    <w:bookmarkEnd w:id="244"/>
    <w:p>
      <w:pPr>
        <w:ind w:left="652"/>
        <w:spacing w:after="0" w:line="263" w:lineRule="auto"/>
        <w:rPr>
          <w:sz w:val="20"/>
          <w:szCs w:val="20"/>
          <w:color w:val="auto"/>
        </w:rPr>
      </w:pPr>
      <w:r>
        <w:rPr>
          <w:rFonts w:ascii="Arial" w:cs="Arial" w:eastAsia="Arial" w:hAnsi="Arial"/>
          <w:sz w:val="22"/>
          <w:szCs w:val="22"/>
          <w:color w:val="auto"/>
        </w:rPr>
        <w:t>supervisory or regulatory body or in accordance with internal policy, or where the Confidential Information has been disclosed under paragraph 2</w:t>
      </w:r>
      <w:r>
        <w:rPr>
          <w:rFonts w:ascii="Arial" w:cs="Arial" w:eastAsia="Arial" w:hAnsi="Arial"/>
          <w:sz w:val="22"/>
          <w:szCs w:val="22"/>
          <w:b w:val="1"/>
          <w:bCs w:val="1"/>
          <w:color w:val="auto"/>
        </w:rPr>
        <w:t>[</w:t>
      </w:r>
      <w:r>
        <w:rPr>
          <w:rFonts w:ascii="Arial" w:cs="Arial" w:eastAsia="Arial" w:hAnsi="Arial"/>
          <w:sz w:val="22"/>
          <w:szCs w:val="22"/>
          <w:color w:val="auto"/>
        </w:rPr>
        <w:t>(c)/(b)</w:t>
      </w:r>
      <w:r>
        <w:rPr>
          <w:rFonts w:ascii="Arial" w:cs="Arial" w:eastAsia="Arial" w:hAnsi="Arial"/>
          <w:sz w:val="22"/>
          <w:szCs w:val="22"/>
          <w:b w:val="1"/>
          <w:bCs w:val="1"/>
          <w:color w:val="auto"/>
        </w:rPr>
        <w:t>]</w:t>
      </w:r>
      <w:r>
        <w:rPr>
          <w:rFonts w:ascii="Arial" w:cs="Arial" w:eastAsia="Arial" w:hAnsi="Arial"/>
          <w:sz w:val="22"/>
          <w:szCs w:val="22"/>
          <w:color w:val="auto"/>
        </w:rPr>
        <w:t xml:space="preserve"> above.</w:t>
      </w:r>
    </w:p>
    <w:p>
      <w:pPr>
        <w:spacing w:after="0" w:line="175" w:lineRule="exact"/>
        <w:rPr>
          <w:sz w:val="20"/>
          <w:szCs w:val="20"/>
          <w:color w:val="auto"/>
        </w:rPr>
      </w:pPr>
    </w:p>
    <w:p>
      <w:pPr>
        <w:jc w:val="both"/>
        <w:ind w:left="652" w:hanging="652"/>
        <w:spacing w:after="0" w:line="292" w:lineRule="auto"/>
        <w:tabs>
          <w:tab w:leader="none" w:pos="652" w:val="left"/>
        </w:tabs>
        <w:numPr>
          <w:ilvl w:val="0"/>
          <w:numId w:val="410"/>
        </w:numPr>
        <w:rPr>
          <w:rFonts w:ascii="Arial" w:cs="Arial" w:eastAsia="Arial" w:hAnsi="Arial"/>
          <w:sz w:val="19"/>
          <w:szCs w:val="19"/>
          <w:color w:val="auto"/>
        </w:rPr>
      </w:pPr>
      <w:r>
        <w:rPr>
          <w:rFonts w:ascii="Arial" w:cs="Arial" w:eastAsia="Arial" w:hAnsi="Arial"/>
          <w:sz w:val="19"/>
          <w:szCs w:val="19"/>
          <w:i w:val="1"/>
          <w:iCs w:val="1"/>
          <w:color w:val="auto"/>
        </w:rPr>
        <w:t xml:space="preserve">Continuing Obligations </w:t>
      </w:r>
      <w:r>
        <w:rPr>
          <w:rFonts w:ascii="Arial" w:cs="Arial" w:eastAsia="Arial" w:hAnsi="Arial"/>
          <w:sz w:val="19"/>
          <w:szCs w:val="19"/>
          <w:color w:val="auto"/>
        </w:rPr>
        <w:t>The obligations in this letter are continuing and, in particular, shall survive the termination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discussions or negotiations between you and us. Notwithstanding the previous sentence, the obligations in this letter shall cease (a) if you become a party to </w:t>
      </w:r>
      <w:r>
        <w:rPr>
          <w:rFonts w:ascii="Arial" w:cs="Arial" w:eastAsia="Arial" w:hAnsi="Arial"/>
          <w:sz w:val="19"/>
          <w:szCs w:val="19"/>
          <w:b w:val="1"/>
          <w:bCs w:val="1"/>
          <w:color w:val="auto"/>
        </w:rPr>
        <w:t>[</w:t>
      </w:r>
      <w:r>
        <w:rPr>
          <w:rFonts w:ascii="Arial" w:cs="Arial" w:eastAsia="Arial" w:hAnsi="Arial"/>
          <w:sz w:val="19"/>
          <w:szCs w:val="19"/>
          <w:color w:val="auto"/>
        </w:rPr>
        <w:t>or otherwise acquire (by assignment or sub-participation) an interest, direct or indirect, in] the [Facility Agreement/Senior Finance Documents</w:t>
      </w:r>
      <w:r>
        <w:rPr>
          <w:rFonts w:ascii="Arial" w:cs="Arial" w:eastAsia="Arial" w:hAnsi="Arial"/>
          <w:sz w:val="19"/>
          <w:szCs w:val="19"/>
          <w:b w:val="1"/>
          <w:bCs w:val="1"/>
          <w:color w:val="auto"/>
        </w:rPr>
        <w:t>]</w:t>
      </w:r>
      <w:r>
        <w:rPr>
          <w:rFonts w:ascii="Arial" w:cs="Arial" w:eastAsia="Arial" w:hAnsi="Arial"/>
          <w:sz w:val="19"/>
          <w:szCs w:val="19"/>
          <w:color w:val="auto"/>
        </w:rPr>
        <w:t xml:space="preserve">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151" w:lineRule="exact"/>
        <w:rPr>
          <w:rFonts w:ascii="Arial" w:cs="Arial" w:eastAsia="Arial" w:hAnsi="Arial"/>
          <w:sz w:val="19"/>
          <w:szCs w:val="19"/>
          <w:color w:val="auto"/>
        </w:rPr>
      </w:pPr>
    </w:p>
    <w:p>
      <w:pPr>
        <w:ind w:left="652" w:hanging="652"/>
        <w:spacing w:after="0"/>
        <w:tabs>
          <w:tab w:leader="none" w:pos="652" w:val="left"/>
        </w:tabs>
        <w:numPr>
          <w:ilvl w:val="0"/>
          <w:numId w:val="410"/>
        </w:numPr>
        <w:rPr>
          <w:rFonts w:ascii="Arial" w:cs="Arial" w:eastAsia="Arial" w:hAnsi="Arial"/>
          <w:sz w:val="22"/>
          <w:szCs w:val="22"/>
          <w:color w:val="auto"/>
        </w:rPr>
      </w:pPr>
      <w:r>
        <w:rPr>
          <w:rFonts w:ascii="Arial" w:cs="Arial" w:eastAsia="Arial" w:hAnsi="Arial"/>
          <w:sz w:val="22"/>
          <w:szCs w:val="22"/>
          <w:i w:val="1"/>
          <w:iCs w:val="1"/>
          <w:color w:val="auto"/>
        </w:rPr>
        <w:t xml:space="preserve">No Representation; Consequences of Breach, etc </w:t>
      </w:r>
      <w:r>
        <w:rPr>
          <w:rFonts w:ascii="Arial" w:cs="Arial" w:eastAsia="Arial" w:hAnsi="Arial"/>
          <w:sz w:val="22"/>
          <w:szCs w:val="22"/>
          <w:color w:val="auto"/>
        </w:rPr>
        <w:t>You acknowledge and agree that:</w:t>
      </w:r>
    </w:p>
    <w:p>
      <w:pPr>
        <w:spacing w:after="0" w:line="213" w:lineRule="exact"/>
        <w:rPr>
          <w:rFonts w:ascii="Arial" w:cs="Arial" w:eastAsia="Arial" w:hAnsi="Arial"/>
          <w:sz w:val="22"/>
          <w:szCs w:val="22"/>
          <w:color w:val="auto"/>
        </w:rPr>
      </w:pPr>
    </w:p>
    <w:p>
      <w:pPr>
        <w:jc w:val="both"/>
        <w:ind w:left="1292" w:hanging="644"/>
        <w:spacing w:after="0" w:line="295" w:lineRule="auto"/>
        <w:tabs>
          <w:tab w:leader="none" w:pos="1292" w:val="left"/>
        </w:tabs>
        <w:numPr>
          <w:ilvl w:val="1"/>
          <w:numId w:val="410"/>
        </w:numPr>
        <w:rPr>
          <w:rFonts w:ascii="Arial" w:cs="Arial" w:eastAsia="Arial" w:hAnsi="Arial"/>
          <w:sz w:val="19"/>
          <w:szCs w:val="19"/>
          <w:color w:val="auto"/>
        </w:rPr>
      </w:pPr>
      <w:r>
        <w:rPr>
          <w:rFonts w:ascii="Arial" w:cs="Arial" w:eastAsia="Arial" w:hAnsi="Arial"/>
          <w:sz w:val="19"/>
          <w:szCs w:val="19"/>
          <w:color w:val="auto"/>
        </w:rPr>
        <w:t>neither we nor any Obligor nor any of our or their respective officers, employees or advisers (each a "</w:t>
      </w:r>
      <w:r>
        <w:rPr>
          <w:rFonts w:ascii="Arial" w:cs="Arial" w:eastAsia="Arial" w:hAnsi="Arial"/>
          <w:sz w:val="19"/>
          <w:szCs w:val="19"/>
          <w:b w:val="1"/>
          <w:bCs w:val="1"/>
          <w:color w:val="auto"/>
        </w:rPr>
        <w:t>Relevant</w:t>
      </w:r>
      <w:r>
        <w:rPr>
          <w:rFonts w:ascii="Arial" w:cs="Arial" w:eastAsia="Arial" w:hAnsi="Arial"/>
          <w:sz w:val="19"/>
          <w:szCs w:val="19"/>
          <w:color w:val="auto"/>
        </w:rPr>
        <w:t xml:space="preserve"> </w:t>
      </w:r>
      <w:r>
        <w:rPr>
          <w:rFonts w:ascii="Arial" w:cs="Arial" w:eastAsia="Arial" w:hAnsi="Arial"/>
          <w:sz w:val="19"/>
          <w:szCs w:val="19"/>
          <w:b w:val="1"/>
          <w:bCs w:val="1"/>
          <w:color w:val="auto"/>
        </w:rPr>
        <w:t>Person</w:t>
      </w:r>
      <w:r>
        <w:rPr>
          <w:rFonts w:ascii="Arial" w:cs="Arial" w:eastAsia="Arial" w:hAnsi="Arial"/>
          <w:sz w:val="19"/>
          <w:szCs w:val="19"/>
          <w:color w:val="auto"/>
        </w:rPr>
        <w:t>") (i) make any representation or warranty, express or implied, as to, or assume any responsibility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150" w:lineRule="exact"/>
        <w:rPr>
          <w:rFonts w:ascii="Arial" w:cs="Arial" w:eastAsia="Arial" w:hAnsi="Arial"/>
          <w:sz w:val="19"/>
          <w:szCs w:val="19"/>
          <w:color w:val="auto"/>
        </w:rPr>
      </w:pPr>
    </w:p>
    <w:p>
      <w:pPr>
        <w:jc w:val="both"/>
        <w:ind w:left="1292" w:hanging="644"/>
        <w:spacing w:after="0" w:line="253" w:lineRule="auto"/>
        <w:tabs>
          <w:tab w:leader="none" w:pos="1292" w:val="left"/>
        </w:tabs>
        <w:numPr>
          <w:ilvl w:val="1"/>
          <w:numId w:val="410"/>
        </w:numPr>
        <w:rPr>
          <w:rFonts w:ascii="Arial" w:cs="Arial" w:eastAsia="Arial" w:hAnsi="Arial"/>
          <w:sz w:val="22"/>
          <w:szCs w:val="22"/>
          <w:color w:val="auto"/>
        </w:rPr>
      </w:pPr>
      <w:r>
        <w:rPr>
          <w:rFonts w:ascii="Arial" w:cs="Arial" w:eastAsia="Arial" w:hAnsi="Arial"/>
          <w:sz w:val="22"/>
          <w:szCs w:val="22"/>
          <w:color w:val="auto"/>
        </w:rPr>
        <w:t>we or any Obligor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185" w:lineRule="exact"/>
        <w:rPr>
          <w:rFonts w:ascii="Arial" w:cs="Arial" w:eastAsia="Arial" w:hAnsi="Arial"/>
          <w:sz w:val="22"/>
          <w:szCs w:val="22"/>
          <w:color w:val="auto"/>
        </w:rPr>
      </w:pPr>
    </w:p>
    <w:p>
      <w:pPr>
        <w:jc w:val="both"/>
        <w:ind w:left="652" w:hanging="652"/>
        <w:spacing w:after="0" w:line="263" w:lineRule="auto"/>
        <w:tabs>
          <w:tab w:leader="none" w:pos="652" w:val="left"/>
        </w:tabs>
        <w:numPr>
          <w:ilvl w:val="0"/>
          <w:numId w:val="410"/>
        </w:numPr>
        <w:rPr>
          <w:rFonts w:ascii="Arial" w:cs="Arial" w:eastAsia="Arial" w:hAnsi="Arial"/>
          <w:sz w:val="21"/>
          <w:szCs w:val="21"/>
          <w:color w:val="auto"/>
        </w:rPr>
      </w:pPr>
      <w:r>
        <w:rPr>
          <w:rFonts w:ascii="Arial" w:cs="Arial" w:eastAsia="Arial" w:hAnsi="Arial"/>
          <w:sz w:val="21"/>
          <w:szCs w:val="21"/>
          <w:i w:val="1"/>
          <w:iCs w:val="1"/>
          <w:color w:val="auto"/>
        </w:rPr>
        <w:t xml:space="preserve">No Waiver; Amendments, etc </w:t>
      </w:r>
      <w:r>
        <w:rPr>
          <w:rFonts w:ascii="Arial" w:cs="Arial" w:eastAsia="Arial" w:hAnsi="Arial"/>
          <w:sz w:val="21"/>
          <w:szCs w:val="21"/>
          <w:color w:val="auto"/>
        </w:rPr>
        <w:t>This letter sets out the full extent of your obligations of confidentiality owed to us in relation</w:t>
      </w:r>
      <w:r>
        <w:rPr>
          <w:rFonts w:ascii="Arial" w:cs="Arial" w:eastAsia="Arial" w:hAnsi="Arial"/>
          <w:sz w:val="21"/>
          <w:szCs w:val="21"/>
          <w:i w:val="1"/>
          <w:iCs w:val="1"/>
          <w:color w:val="auto"/>
        </w:rPr>
        <w:t xml:space="preserve"> </w:t>
      </w:r>
      <w:r>
        <w:rPr>
          <w:rFonts w:ascii="Arial" w:cs="Arial" w:eastAsia="Arial" w:hAnsi="Arial"/>
          <w:sz w:val="21"/>
          <w:szCs w:val="21"/>
          <w:color w:val="auto"/>
        </w:rPr>
        <w:t>to the information the subject of 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175" w:lineRule="exact"/>
        <w:rPr>
          <w:rFonts w:ascii="Arial" w:cs="Arial" w:eastAsia="Arial" w:hAnsi="Arial"/>
          <w:sz w:val="21"/>
          <w:szCs w:val="21"/>
          <w:color w:val="auto"/>
        </w:rPr>
      </w:pPr>
    </w:p>
    <w:p>
      <w:pPr>
        <w:jc w:val="both"/>
        <w:ind w:left="652" w:right="20" w:hanging="652"/>
        <w:spacing w:after="0" w:line="271" w:lineRule="auto"/>
        <w:tabs>
          <w:tab w:leader="none" w:pos="652" w:val="left"/>
        </w:tabs>
        <w:numPr>
          <w:ilvl w:val="0"/>
          <w:numId w:val="410"/>
        </w:numPr>
        <w:rPr>
          <w:rFonts w:ascii="Arial" w:cs="Arial" w:eastAsia="Arial" w:hAnsi="Arial"/>
          <w:sz w:val="21"/>
          <w:szCs w:val="21"/>
          <w:color w:val="auto"/>
        </w:rPr>
      </w:pPr>
      <w:r>
        <w:rPr>
          <w:rFonts w:ascii="Arial" w:cs="Arial" w:eastAsia="Arial" w:hAnsi="Arial"/>
          <w:sz w:val="21"/>
          <w:szCs w:val="21"/>
          <w:i w:val="1"/>
          <w:iCs w:val="1"/>
          <w:color w:val="auto"/>
        </w:rPr>
        <w:t xml:space="preserve">Inside Information </w:t>
      </w:r>
      <w:r>
        <w:rPr>
          <w:rFonts w:ascii="Arial" w:cs="Arial" w:eastAsia="Arial" w:hAnsi="Arial"/>
          <w:sz w:val="21"/>
          <w:szCs w:val="21"/>
          <w:color w:val="auto"/>
        </w:rPr>
        <w:t>You acknowledge that some or all of the Confidential Information is or may be price-sensitive</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and that the use of such information may be regulated or prohibited by applicable legislation relating to insider dealing and you undertake not to use any Confidential Information for any unlawful purpose.</w:t>
      </w:r>
    </w:p>
    <w:p>
      <w:pPr>
        <w:spacing w:after="0" w:line="167" w:lineRule="exact"/>
        <w:rPr>
          <w:rFonts w:ascii="Arial" w:cs="Arial" w:eastAsia="Arial" w:hAnsi="Arial"/>
          <w:sz w:val="21"/>
          <w:szCs w:val="21"/>
          <w:color w:val="auto"/>
        </w:rPr>
      </w:pPr>
    </w:p>
    <w:p>
      <w:pPr>
        <w:ind w:left="652" w:hanging="652"/>
        <w:spacing w:after="0" w:line="263" w:lineRule="auto"/>
        <w:tabs>
          <w:tab w:leader="none" w:pos="652" w:val="left"/>
        </w:tabs>
        <w:numPr>
          <w:ilvl w:val="0"/>
          <w:numId w:val="410"/>
        </w:numPr>
        <w:rPr>
          <w:rFonts w:ascii="Arial" w:cs="Arial" w:eastAsia="Arial" w:hAnsi="Arial"/>
          <w:sz w:val="22"/>
          <w:szCs w:val="22"/>
          <w:color w:val="auto"/>
        </w:rPr>
      </w:pPr>
      <w:r>
        <w:rPr>
          <w:rFonts w:ascii="Arial" w:cs="Arial" w:eastAsia="Arial" w:hAnsi="Arial"/>
          <w:sz w:val="22"/>
          <w:szCs w:val="22"/>
          <w:i w:val="1"/>
          <w:iCs w:val="1"/>
          <w:color w:val="auto"/>
        </w:rPr>
        <w:t xml:space="preserve">Nature of Undertakings </w:t>
      </w:r>
      <w:r>
        <w:rPr>
          <w:rFonts w:ascii="Arial" w:cs="Arial" w:eastAsia="Arial" w:hAnsi="Arial"/>
          <w:sz w:val="22"/>
          <w:szCs w:val="22"/>
          <w:color w:val="auto"/>
        </w:rPr>
        <w:t>The undertakings given by you under this letter are given to us and (without implying any fiduciary</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on our part) are also given for the benefit of each Obligor.</w:t>
      </w:r>
    </w:p>
    <w:p>
      <w:pPr>
        <w:sectPr>
          <w:pgSz w:w="11900" w:h="16838" w:orient="portrait"/>
          <w:cols w:equalWidth="0" w:num="1">
            <w:col w:w="11412"/>
          </w:cols>
          <w:pgMar w:left="248" w:top="632" w:right="239" w:bottom="1440" w:gutter="0" w:footer="0" w:header="0"/>
        </w:sectPr>
      </w:pPr>
    </w:p>
    <w:bookmarkStart w:id="245" w:name="page246"/>
    <w:bookmarkEnd w:id="245"/>
    <w:p>
      <w:pPr>
        <w:ind w:left="660" w:hanging="652"/>
        <w:spacing w:after="0"/>
        <w:tabs>
          <w:tab w:leader="none" w:pos="660" w:val="left"/>
        </w:tabs>
        <w:numPr>
          <w:ilvl w:val="0"/>
          <w:numId w:val="411"/>
        </w:numPr>
        <w:rPr>
          <w:rFonts w:ascii="Arial" w:cs="Arial" w:eastAsia="Arial" w:hAnsi="Arial"/>
          <w:sz w:val="22"/>
          <w:szCs w:val="22"/>
          <w:color w:val="auto"/>
        </w:rPr>
      </w:pPr>
      <w:r>
        <w:rPr>
          <w:rFonts w:ascii="Arial" w:cs="Arial" w:eastAsia="Arial" w:hAnsi="Arial"/>
          <w:sz w:val="22"/>
          <w:szCs w:val="22"/>
          <w:i w:val="1"/>
          <w:iCs w:val="1"/>
          <w:color w:val="auto"/>
        </w:rPr>
        <w:t>Third party rights</w:t>
      </w:r>
    </w:p>
    <w:p>
      <w:pPr>
        <w:spacing w:after="0" w:line="219"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411"/>
        </w:numPr>
        <w:rPr>
          <w:rFonts w:ascii="Arial" w:cs="Arial" w:eastAsia="Arial" w:hAnsi="Arial"/>
          <w:sz w:val="22"/>
          <w:szCs w:val="22"/>
          <w:color w:val="auto"/>
        </w:rPr>
      </w:pPr>
      <w:r>
        <w:rPr>
          <w:rFonts w:ascii="Arial" w:cs="Arial" w:eastAsia="Arial" w:hAnsi="Arial"/>
          <w:sz w:val="22"/>
          <w:szCs w:val="22"/>
          <w:color w:val="auto"/>
        </w:rPr>
        <w:t>Subject to this paragraph 10 and to paragraphs 6 and 9, a person who is not a party to this letter has no right under the Contracts (Rights of Third Parties) Act 1999 (the "</w:t>
      </w:r>
      <w:r>
        <w:rPr>
          <w:rFonts w:ascii="Arial" w:cs="Arial" w:eastAsia="Arial" w:hAnsi="Arial"/>
          <w:sz w:val="22"/>
          <w:szCs w:val="22"/>
          <w:b w:val="1"/>
          <w:bCs w:val="1"/>
          <w:color w:val="auto"/>
        </w:rPr>
        <w:t>Third Parties Act</w:t>
      </w:r>
      <w:r>
        <w:rPr>
          <w:rFonts w:ascii="Arial" w:cs="Arial" w:eastAsia="Arial" w:hAnsi="Arial"/>
          <w:sz w:val="22"/>
          <w:szCs w:val="22"/>
          <w:color w:val="auto"/>
        </w:rPr>
        <w:t>") to enforce or to enjoy the benefit of any term of this letter.</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11"/>
        </w:numPr>
        <w:rPr>
          <w:rFonts w:ascii="Arial" w:cs="Arial" w:eastAsia="Arial" w:hAnsi="Arial"/>
          <w:sz w:val="22"/>
          <w:szCs w:val="22"/>
          <w:color w:val="auto"/>
        </w:rPr>
      </w:pPr>
      <w:r>
        <w:rPr>
          <w:rFonts w:ascii="Arial" w:cs="Arial" w:eastAsia="Arial" w:hAnsi="Arial"/>
          <w:sz w:val="22"/>
          <w:szCs w:val="22"/>
          <w:color w:val="auto"/>
        </w:rPr>
        <w:t>The Relevant Persons may enjoy the benefit of the terms of paragraphs 6 and 9 subject to and in accordance with this paragraph 10 and the provisions of the Third Parties Act.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411"/>
        </w:numPr>
        <w:rPr>
          <w:rFonts w:ascii="Arial" w:cs="Arial" w:eastAsia="Arial" w:hAnsi="Arial"/>
          <w:sz w:val="19"/>
          <w:szCs w:val="19"/>
          <w:color w:val="auto"/>
        </w:rPr>
      </w:pPr>
      <w:r>
        <w:rPr>
          <w:rFonts w:ascii="Arial" w:cs="Arial" w:eastAsia="Arial" w:hAnsi="Arial"/>
          <w:sz w:val="19"/>
          <w:szCs w:val="19"/>
          <w:color w:val="auto"/>
        </w:rPr>
        <w:t>The parties to this letter do not require the consent of the Relevant Persons to rescind or vary this letter at any time.</w:t>
      </w:r>
    </w:p>
    <w:p>
      <w:pPr>
        <w:spacing w:after="0" w:line="254"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411"/>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and Jurisdiction </w:t>
      </w:r>
      <w:r>
        <w:rPr>
          <w:rFonts w:ascii="Arial" w:cs="Arial" w:eastAsia="Arial" w:hAnsi="Arial"/>
          <w:sz w:val="22"/>
          <w:szCs w:val="22"/>
          <w:color w:val="auto"/>
        </w:rPr>
        <w:t>This letter (including the agreement constituted by your acknowledgement of its terms)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governed by and construed in accordance with the laws of England and the parties submit to the non-exclusive jurisdiction of the English courts.</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411"/>
        </w:numPr>
        <w:rPr>
          <w:rFonts w:ascii="Arial" w:cs="Arial" w:eastAsia="Arial" w:hAnsi="Arial"/>
          <w:sz w:val="22"/>
          <w:szCs w:val="22"/>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In this letter (including the acknowledgement set out below) terms defined in or by reference to the Facility</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unless the context otherwise requires, have the same meaning, the principles of construction and rules of interpretation referred to therein shall also apply and:</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means any information relating to Wynn Macau, the Cotai Project, any Obligor, the Transaction Documents, any agreement relating to the </w:t>
      </w:r>
      <w:r>
        <w:rPr>
          <w:rFonts w:ascii="Arial" w:cs="Arial" w:eastAsia="Arial" w:hAnsi="Arial"/>
          <w:sz w:val="22"/>
          <w:szCs w:val="22"/>
          <w:b w:val="1"/>
          <w:bCs w:val="1"/>
          <w:color w:val="auto"/>
        </w:rPr>
        <w:t>[</w:t>
      </w:r>
      <w:r>
        <w:rPr>
          <w:rFonts w:ascii="Arial" w:cs="Arial" w:eastAsia="Arial" w:hAnsi="Arial"/>
          <w:sz w:val="22"/>
          <w:szCs w:val="22"/>
          <w:color w:val="auto"/>
        </w:rPr>
        <w:t>Facility Agreement/Senior Finance Documents</w:t>
      </w:r>
      <w:r>
        <w:rPr>
          <w:rFonts w:ascii="Arial" w:cs="Arial" w:eastAsia="Arial" w:hAnsi="Arial"/>
          <w:sz w:val="22"/>
          <w:szCs w:val="22"/>
          <w:b w:val="1"/>
          <w:bCs w:val="1"/>
          <w:color w:val="auto"/>
        </w:rPr>
        <w:t>]</w:t>
      </w:r>
      <w:r>
        <w:rPr>
          <w:rFonts w:ascii="Arial" w:cs="Arial" w:eastAsia="Arial" w:hAnsi="Arial"/>
          <w:sz w:val="22"/>
          <w:szCs w:val="22"/>
          <w:color w:val="auto"/>
        </w:rPr>
        <w:t xml:space="preserve"> and/or the </w:t>
      </w:r>
      <w:r>
        <w:rPr>
          <w:rFonts w:ascii="Arial" w:cs="Arial" w:eastAsia="Arial" w:hAnsi="Arial"/>
          <w:sz w:val="22"/>
          <w:szCs w:val="22"/>
          <w:b w:val="1"/>
          <w:bCs w:val="1"/>
          <w:color w:val="auto"/>
        </w:rPr>
        <w:t>[</w:t>
      </w:r>
      <w:r>
        <w:rPr>
          <w:rFonts w:ascii="Arial" w:cs="Arial" w:eastAsia="Arial" w:hAnsi="Arial"/>
          <w:sz w:val="22"/>
          <w:szCs w:val="22"/>
          <w:color w:val="auto"/>
        </w:rPr>
        <w:t>Acquisition/Appointment</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Obligors and which, in either case, as far as you are aware, has not been obtained in violation of, and is not otherwise subject to, any obligation of confidentiality.</w:t>
      </w:r>
    </w:p>
    <w:p>
      <w:pPr>
        <w:spacing w:after="0" w:line="19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Obligors</w:t>
      </w:r>
      <w:r>
        <w:rPr>
          <w:rFonts w:ascii="Arial" w:cs="Arial" w:eastAsia="Arial" w:hAnsi="Arial"/>
          <w:sz w:val="22"/>
          <w:szCs w:val="22"/>
          <w:color w:val="auto"/>
        </w:rPr>
        <w:t>" means Wynn Resorts (Macau) S.A. and certain other persons, as defined in the Senior Finance Documents, who have a direct or indirect interest in its share capital.</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Purpose</w:t>
      </w:r>
      <w:r>
        <w:rPr>
          <w:rFonts w:ascii="Arial" w:cs="Arial" w:eastAsia="Arial" w:hAnsi="Arial"/>
          <w:sz w:val="21"/>
          <w:szCs w:val="21"/>
          <w:color w:val="auto"/>
        </w:rPr>
        <w:t xml:space="preserve">" means considering and evaluating whether to </w:t>
      </w:r>
      <w:r>
        <w:rPr>
          <w:rFonts w:ascii="Arial" w:cs="Arial" w:eastAsia="Arial" w:hAnsi="Arial"/>
          <w:sz w:val="21"/>
          <w:szCs w:val="21"/>
          <w:b w:val="1"/>
          <w:bCs w:val="1"/>
          <w:color w:val="auto"/>
        </w:rPr>
        <w:t>[</w:t>
      </w:r>
      <w:r>
        <w:rPr>
          <w:rFonts w:ascii="Arial" w:cs="Arial" w:eastAsia="Arial" w:hAnsi="Arial"/>
          <w:sz w:val="21"/>
          <w:szCs w:val="21"/>
          <w:color w:val="auto"/>
        </w:rPr>
        <w:t>enter into/accept</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w:t>
      </w:r>
      <w:r>
        <w:rPr>
          <w:rFonts w:ascii="Arial" w:cs="Arial" w:eastAsia="Arial" w:hAnsi="Arial"/>
          <w:sz w:val="21"/>
          <w:szCs w:val="21"/>
          <w:color w:val="auto"/>
        </w:rPr>
        <w:t>Acquisition/Appointment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3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Documents</w:t>
      </w:r>
      <w:r>
        <w:rPr>
          <w:rFonts w:ascii="Arial" w:cs="Arial" w:eastAsia="Arial" w:hAnsi="Arial"/>
          <w:sz w:val="22"/>
          <w:szCs w:val="22"/>
          <w:color w:val="auto"/>
        </w:rPr>
        <w:t>" means the documents entered into by Wynn Resorts (Macau) S.A. and its contractors or subcontractors in connection with Wynn Macau.</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[Purchaser/Appointee] Group</w:t>
      </w:r>
      <w:r>
        <w:rPr>
          <w:rFonts w:ascii="Arial" w:cs="Arial" w:eastAsia="Arial" w:hAnsi="Arial"/>
          <w:sz w:val="22"/>
          <w:szCs w:val="22"/>
          <w:color w:val="auto"/>
        </w:rPr>
        <w:t>" means you, each of your holding companies and subsidiaries and each subsidiary of each of your holding companies (as each such term is defined in the Companies Act 1985).</w:t>
      </w:r>
    </w:p>
    <w:p>
      <w:pPr>
        <w:sectPr>
          <w:pgSz w:w="11900" w:h="16838" w:orient="portrait"/>
          <w:cols w:equalWidth="0" w:num="1">
            <w:col w:w="11420"/>
          </w:cols>
          <w:pgMar w:left="240" w:top="631" w:right="239" w:bottom="1440" w:gutter="0" w:footer="0" w:header="0"/>
        </w:sectPr>
      </w:pPr>
    </w:p>
    <w:bookmarkStart w:id="246" w:name="page247"/>
    <w:bookmarkEnd w:id="246"/>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Finance Documents</w:t>
      </w:r>
      <w:r>
        <w:rPr>
          <w:rFonts w:ascii="Arial" w:cs="Arial" w:eastAsia="Arial" w:hAnsi="Arial"/>
          <w:sz w:val="22"/>
          <w:szCs w:val="22"/>
          <w:color w:val="auto"/>
        </w:rPr>
        <w:t>" means the Facility Agreement, the Common Terms Agreement dated 14 September 2004 between Wynn Resorts (Macau) S.A. and certain financial institutions and other Senior Finance Documents as defined in such Common Terms Agreement.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the Senior Finance Documents and the Project Documents.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Please acknowledge your agreement to the above by signing and returning the enclosed copy.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Insert name of Lender/Agent</w:t>
      </w:r>
      <w:r>
        <w:rPr>
          <w:rFonts w:ascii="Arial" w:cs="Arial" w:eastAsia="Arial" w:hAnsi="Arial"/>
          <w:sz w:val="22"/>
          <w:szCs w:val="22"/>
          <w:b w:val="1"/>
          <w:bCs w:val="1"/>
          <w:color w:val="auto"/>
        </w:rPr>
        <w:t>]</w:t>
      </w:r>
    </w:p>
    <w:p>
      <w:pPr>
        <w:sectPr>
          <w:pgSz w:w="11900" w:h="16838" w:orient="portrait"/>
          <w:cols w:equalWidth="0" w:num="1">
            <w:col w:w="11420"/>
          </w:cols>
          <w:pgMar w:left="240" w:top="625" w:right="239" w:bottom="1440" w:gutter="0" w:footer="0" w:header="0"/>
        </w:sectPr>
      </w:pPr>
    </w:p>
    <w:bookmarkStart w:id="247" w:name="page248"/>
    <w:bookmarkEnd w:id="247"/>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Lender/Agent</w:t>
      </w:r>
      <w:r>
        <w:rPr>
          <w:rFonts w:ascii="Arial" w:cs="Arial" w:eastAsia="Arial" w:hAnsi="Arial"/>
          <w:sz w:val="19"/>
          <w:szCs w:val="19"/>
          <w:b w:val="1"/>
          <w:bCs w:val="1"/>
          <w:color w:val="auto"/>
        </w:rPr>
        <w:t>]</w:t>
      </w:r>
    </w:p>
    <w:p>
      <w:pPr>
        <w:sectPr>
          <w:pgSz w:w="11900" w:h="16838" w:orient="portrait"/>
          <w:cols w:equalWidth="0" w:num="1">
            <w:col w:w="10219"/>
          </w:cols>
          <w:pgMar w:left="240" w:top="626" w:right="1440" w:bottom="1440" w:gutter="0" w:footer="0" w:header="0"/>
        </w:sectPr>
      </w:pPr>
    </w:p>
    <w:bookmarkStart w:id="248" w:name="page249"/>
    <w:bookmarkEnd w:id="248"/>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The Obligors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and agree to the above: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Transferee/participant/appointee]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12</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13</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Schedule 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ADDITIONAL LENDER'S ACCESSION DEED</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THIS DEED dated [ ] is supplemental to a common terms agreement (the "</w:t>
      </w:r>
      <w:r>
        <w:rPr>
          <w:rFonts w:ascii="Arial" w:cs="Arial" w:eastAsia="Arial" w:hAnsi="Arial"/>
          <w:sz w:val="22"/>
          <w:szCs w:val="22"/>
          <w:b w:val="1"/>
          <w:bCs w:val="1"/>
          <w:color w:val="auto"/>
        </w:rPr>
        <w:t>Common Terms Agreement</w:t>
      </w:r>
      <w:r>
        <w:rPr>
          <w:rFonts w:ascii="Arial" w:cs="Arial" w:eastAsia="Arial" w:hAnsi="Arial"/>
          <w:sz w:val="22"/>
          <w:szCs w:val="22"/>
          <w:color w:val="auto"/>
        </w:rPr>
        <w:t>") dated 14 September 2004 between Wynn Resorts (Macau) S.A. and the Senior Secured Creditors (as defined therein).</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Words and expressions defined in the Common Terms Agreement have the same meaning when used in this Deed and the principles of construction and rules of interpretation set out therein shall also apply.</w:t>
      </w:r>
    </w:p>
    <w:p>
      <w:pPr>
        <w:spacing w:after="0" w:line="16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i w:val="1"/>
          <w:iCs w:val="1"/>
          <w:color w:val="auto"/>
        </w:rPr>
        <w:t>name of Additional Lender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New Additional Lender</w:t>
      </w:r>
      <w:r>
        <w:rPr>
          <w:rFonts w:ascii="Arial" w:cs="Arial" w:eastAsia="Arial" w:hAnsi="Arial"/>
          <w:sz w:val="19"/>
          <w:szCs w:val="19"/>
          <w:color w:val="auto"/>
        </w:rPr>
        <w:t>")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address</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agrees with each other person who is or who</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 party to the Common Terms Agreement that with effect on and from the date of this Deed it shall be bound by the Common Terms Agreement and be entitled to exercise rights and be subject to obligations thereunder as an Additional Lender.</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initial telephone number, fax number, address and person designated by the New Additional Lender for the purposes of Clause 29 (</w:t>
      </w:r>
      <w:r>
        <w:rPr>
          <w:rFonts w:ascii="Arial" w:cs="Arial" w:eastAsia="Arial" w:hAnsi="Arial"/>
          <w:sz w:val="22"/>
          <w:szCs w:val="22"/>
          <w:i w:val="1"/>
          <w:iCs w:val="1"/>
          <w:color w:val="auto"/>
        </w:rPr>
        <w:t>Notices</w:t>
      </w:r>
      <w:r>
        <w:rPr>
          <w:rFonts w:ascii="Arial" w:cs="Arial" w:eastAsia="Arial" w:hAnsi="Arial"/>
          <w:sz w:val="22"/>
          <w:szCs w:val="22"/>
          <w:color w:val="auto"/>
        </w:rPr>
        <w:t>) of the Common Terms Agreement 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Deed is governed by and shall be construed in accordance with English law.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w w:val="92"/>
              </w:rPr>
              <w:t>Executed as a deed by</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b w:val="1"/>
                <w:bCs w:val="1"/>
                <w:color w:val="auto"/>
                <w:w w:val="99"/>
              </w:rPr>
              <w:t>[</w:t>
            </w:r>
            <w:r>
              <w:rPr>
                <w:rFonts w:ascii="Arial" w:cs="Arial" w:eastAsia="Arial" w:hAnsi="Arial"/>
                <w:sz w:val="22"/>
                <w:szCs w:val="22"/>
                <w:i w:val="1"/>
                <w:iCs w:val="1"/>
                <w:color w:val="auto"/>
                <w:w w:val="99"/>
              </w:rPr>
              <w:t>insert name of Additional</w:t>
            </w:r>
          </w:p>
        </w:tc>
        <w:tc>
          <w:tcPr>
            <w:tcW w:w="280" w:type="dxa"/>
            <w:vAlign w:val="bottom"/>
          </w:tcPr>
          <w:p>
            <w:pPr>
              <w:spacing w:after="0"/>
              <w:rPr>
                <w:sz w:val="20"/>
                <w:szCs w:val="20"/>
                <w:color w:val="auto"/>
              </w:rPr>
            </w:pPr>
            <w:r>
              <w:rPr>
                <w:rFonts w:ascii="Arial" w:cs="Arial" w:eastAsia="Arial" w:hAnsi="Arial"/>
                <w:sz w:val="22"/>
                <w:szCs w:val="22"/>
                <w:color w:val="auto"/>
              </w:rPr>
              <w:t>)</w:t>
            </w: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i w:val="1"/>
                <w:iCs w:val="1"/>
                <w:color w:val="auto"/>
                <w:w w:val="88"/>
              </w:rPr>
              <w:t>Lender and execution clause</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73"/>
        </w:trPr>
        <w:tc>
          <w:tcPr>
            <w:tcW w:w="2500" w:type="dxa"/>
            <w:vAlign w:val="bottom"/>
            <w:gridSpan w:val="2"/>
          </w:tcPr>
          <w:p>
            <w:pPr>
              <w:spacing w:after="0"/>
              <w:rPr>
                <w:sz w:val="20"/>
                <w:szCs w:val="20"/>
                <w:color w:val="auto"/>
              </w:rPr>
            </w:pPr>
            <w:r>
              <w:rPr>
                <w:rFonts w:ascii="Arial" w:cs="Arial" w:eastAsia="Arial" w:hAnsi="Arial"/>
                <w:sz w:val="22"/>
                <w:szCs w:val="22"/>
                <w:i w:val="1"/>
                <w:iCs w:val="1"/>
                <w:color w:val="auto"/>
                <w:w w:val="97"/>
              </w:rPr>
              <w:t>appropriate thereto and to</w:t>
            </w:r>
          </w:p>
        </w:tc>
        <w:tc>
          <w:tcPr>
            <w:tcW w:w="280" w:type="dxa"/>
            <w:vAlign w:val="bottom"/>
          </w:tcPr>
          <w:p>
            <w:pPr>
              <w:spacing w:after="0"/>
              <w:rPr>
                <w:sz w:val="20"/>
                <w:szCs w:val="20"/>
                <w:color w:val="auto"/>
              </w:rPr>
            </w:pPr>
            <w:r>
              <w:rPr>
                <w:rFonts w:ascii="Arial" w:cs="Arial" w:eastAsia="Arial" w:hAnsi="Arial"/>
                <w:sz w:val="22"/>
                <w:szCs w:val="22"/>
                <w:color w:val="auto"/>
              </w:rPr>
              <w:t>)</w:t>
            </w:r>
          </w:p>
        </w:tc>
      </w:tr>
      <w:tr>
        <w:trPr>
          <w:trHeight w:val="473"/>
        </w:trPr>
        <w:tc>
          <w:tcPr>
            <w:tcW w:w="2100" w:type="dxa"/>
            <w:vAlign w:val="bottom"/>
          </w:tcPr>
          <w:p>
            <w:pPr>
              <w:spacing w:after="0"/>
              <w:rPr>
                <w:sz w:val="20"/>
                <w:szCs w:val="20"/>
                <w:color w:val="auto"/>
              </w:rPr>
            </w:pPr>
            <w:r>
              <w:rPr>
                <w:rFonts w:ascii="Arial" w:cs="Arial" w:eastAsia="Arial" w:hAnsi="Arial"/>
                <w:sz w:val="22"/>
                <w:szCs w:val="22"/>
                <w:i w:val="1"/>
                <w:iCs w:val="1"/>
                <w:color w:val="auto"/>
              </w:rPr>
              <w:t>manner of execution</w:t>
            </w:r>
            <w:r>
              <w:rPr>
                <w:rFonts w:ascii="Arial" w:cs="Arial" w:eastAsia="Arial" w:hAnsi="Arial"/>
                <w:sz w:val="22"/>
                <w:szCs w:val="22"/>
                <w:b w:val="1"/>
                <w:bCs w:val="1"/>
                <w:color w:val="auto"/>
              </w:rPr>
              <w:t>]</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15</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FORM OF COMPLIANCE CERTIFICATE</w:t>
      </w:r>
    </w:p>
    <w:p>
      <w:pPr>
        <w:sectPr>
          <w:pgSz w:w="11900" w:h="16904" w:orient="portrait"/>
          <w:cols w:equalWidth="0" w:num="1">
            <w:col w:w="11420"/>
          </w:cols>
          <w:pgMar w:left="240" w:top="888" w:right="239" w:bottom="0" w:gutter="0" w:footer="0" w:header="0"/>
        </w:sectPr>
      </w:pPr>
    </w:p>
    <w:bookmarkStart w:id="249" w:name="page250"/>
    <w:bookmarkEnd w:id="249"/>
    <w:p>
      <w:pPr>
        <w:spacing w:after="0"/>
        <w:tabs>
          <w:tab w:leader="none" w:pos="480" w:val="left"/>
          <w:tab w:leader="none" w:pos="100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Intercreditor Agent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We refer to an agreement (the "</w:t>
      </w:r>
      <w:r>
        <w:rPr>
          <w:rFonts w:ascii="Arial" w:cs="Arial" w:eastAsia="Arial" w:hAnsi="Arial"/>
          <w:sz w:val="19"/>
          <w:szCs w:val="19"/>
          <w:b w:val="1"/>
          <w:bCs w:val="1"/>
          <w:color w:val="auto"/>
        </w:rPr>
        <w:t>Common Terms Agreement</w:t>
      </w:r>
      <w:r>
        <w:rPr>
          <w:rFonts w:ascii="Arial" w:cs="Arial" w:eastAsia="Arial" w:hAnsi="Arial"/>
          <w:sz w:val="19"/>
          <w:szCs w:val="19"/>
          <w:color w:val="auto"/>
        </w:rPr>
        <w:t>") dated 14 September 2004 between Wynn Resorts (Macau) S.A. and the financial institutions named therein as Senior Secured Creditors. Terms defined in the Common Terms Agreement shall bear the same meaning herein and the principles of construction and rules of interpretation set out therein shall also apply.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We confirm on </w:t>
      </w:r>
      <w:r>
        <w:rPr>
          <w:rFonts w:ascii="Arial" w:cs="Arial" w:eastAsia="Arial" w:hAnsi="Arial"/>
          <w:sz w:val="22"/>
          <w:szCs w:val="22"/>
          <w:b w:val="1"/>
          <w:bCs w:val="1"/>
          <w:color w:val="auto"/>
        </w:rPr>
        <w:t>[</w:t>
      </w:r>
      <w:r>
        <w:rPr>
          <w:rFonts w:ascii="Arial" w:cs="Arial" w:eastAsia="Arial" w:hAnsi="Arial"/>
          <w:sz w:val="22"/>
          <w:szCs w:val="22"/>
          <w:i w:val="1"/>
          <w:iCs w:val="1"/>
          <w:color w:val="auto"/>
        </w:rPr>
        <w:t>insert date of relevant financial statements</w:t>
      </w:r>
      <w:r>
        <w:rPr>
          <w:rFonts w:ascii="Arial" w:cs="Arial" w:eastAsia="Arial" w:hAnsi="Arial"/>
          <w:sz w:val="22"/>
          <w:szCs w:val="22"/>
          <w:b w:val="1"/>
          <w:bCs w:val="1"/>
          <w:color w:val="auto"/>
        </w:rPr>
        <w:t>]</w:t>
      </w:r>
      <w:r>
        <w:rPr>
          <w:rFonts w:ascii="Arial" w:cs="Arial" w:eastAsia="Arial" w:hAnsi="Arial"/>
          <w:sz w:val="22"/>
          <w:szCs w:val="22"/>
          <w:color w:val="auto"/>
        </w:rPr>
        <w:t xml:space="preserve"> the following:</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8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w w:val="91"/>
              </w:rPr>
              <w:t>Actual</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w w:val="89"/>
              </w:rPr>
              <w:t>Required</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1.</w:t>
            </w:r>
          </w:p>
        </w:tc>
        <w:tc>
          <w:tcPr>
            <w:tcW w:w="4440" w:type="dxa"/>
            <w:vAlign w:val="bottom"/>
          </w:tcPr>
          <w:p>
            <w:pPr>
              <w:ind w:left="40"/>
              <w:spacing w:after="0"/>
              <w:rPr>
                <w:sz w:val="20"/>
                <w:szCs w:val="20"/>
                <w:color w:val="auto"/>
              </w:rPr>
            </w:pPr>
            <w:r>
              <w:rPr>
                <w:rFonts w:ascii="Arial" w:cs="Arial" w:eastAsia="Arial" w:hAnsi="Arial"/>
                <w:sz w:val="22"/>
                <w:szCs w:val="22"/>
                <w:color w:val="auto"/>
              </w:rPr>
              <w:t>Leverage Ratio</w:t>
            </w: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rPr>
              <w:t>[ ]</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rPr>
              <w:t>[ ]</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2.</w:t>
            </w:r>
          </w:p>
        </w:tc>
        <w:tc>
          <w:tcPr>
            <w:tcW w:w="4440" w:type="dxa"/>
            <w:vAlign w:val="bottom"/>
          </w:tcPr>
          <w:p>
            <w:pPr>
              <w:ind w:left="40"/>
              <w:spacing w:after="0"/>
              <w:rPr>
                <w:sz w:val="20"/>
                <w:szCs w:val="20"/>
                <w:color w:val="auto"/>
              </w:rPr>
            </w:pPr>
            <w:r>
              <w:rPr>
                <w:rFonts w:ascii="Arial" w:cs="Arial" w:eastAsia="Arial" w:hAnsi="Arial"/>
                <w:sz w:val="22"/>
                <w:szCs w:val="22"/>
                <w:color w:val="auto"/>
              </w:rPr>
              <w:t>Interest Coverage Ratio</w:t>
            </w:r>
          </w:p>
        </w:tc>
        <w:tc>
          <w:tcPr>
            <w:tcW w:w="3080" w:type="dxa"/>
            <w:vAlign w:val="bottom"/>
          </w:tcPr>
          <w:p>
            <w:pPr>
              <w:jc w:val="center"/>
              <w:ind w:left="2132"/>
              <w:spacing w:after="0"/>
              <w:rPr>
                <w:sz w:val="20"/>
                <w:szCs w:val="20"/>
                <w:color w:val="auto"/>
              </w:rPr>
            </w:pPr>
            <w:r>
              <w:rPr>
                <w:rFonts w:ascii="Arial" w:cs="Arial" w:eastAsia="Arial" w:hAnsi="Arial"/>
                <w:sz w:val="22"/>
                <w:szCs w:val="22"/>
                <w:color w:val="auto"/>
              </w:rPr>
              <w:t>[ ]</w:t>
            </w:r>
          </w:p>
        </w:tc>
        <w:tc>
          <w:tcPr>
            <w:tcW w:w="1640" w:type="dxa"/>
            <w:vAlign w:val="bottom"/>
          </w:tcPr>
          <w:p>
            <w:pPr>
              <w:jc w:val="center"/>
              <w:ind w:left="732"/>
              <w:spacing w:after="0"/>
              <w:rPr>
                <w:sz w:val="20"/>
                <w:szCs w:val="20"/>
                <w:color w:val="auto"/>
              </w:rPr>
            </w:pPr>
            <w:r>
              <w:rPr>
                <w:rFonts w:ascii="Arial" w:cs="Arial" w:eastAsia="Arial" w:hAnsi="Arial"/>
                <w:sz w:val="22"/>
                <w:szCs w:val="22"/>
                <w:color w:val="auto"/>
              </w:rPr>
              <w:t>[ ]</w:t>
            </w:r>
          </w:p>
        </w:tc>
      </w:tr>
      <w:tr>
        <w:trPr>
          <w:trHeight w:val="702"/>
        </w:trPr>
        <w:tc>
          <w:tcPr>
            <w:tcW w:w="1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color w:val="auto"/>
              </w:rPr>
              <w:t>Actual</w:t>
            </w:r>
          </w:p>
        </w:tc>
      </w:tr>
      <w:tr>
        <w:trPr>
          <w:trHeight w:val="702"/>
        </w:trPr>
        <w:tc>
          <w:tcPr>
            <w:tcW w:w="180" w:type="dxa"/>
            <w:vAlign w:val="bottom"/>
          </w:tcPr>
          <w:p>
            <w:pPr>
              <w:jc w:val="right"/>
              <w:spacing w:after="0"/>
              <w:rPr>
                <w:sz w:val="20"/>
                <w:szCs w:val="20"/>
                <w:color w:val="auto"/>
              </w:rPr>
            </w:pPr>
            <w:r>
              <w:rPr>
                <w:rFonts w:ascii="Arial" w:cs="Arial" w:eastAsia="Arial" w:hAnsi="Arial"/>
                <w:sz w:val="22"/>
                <w:szCs w:val="22"/>
                <w:color w:val="auto"/>
                <w:w w:val="76"/>
              </w:rPr>
              <w:t>3.</w:t>
            </w:r>
          </w:p>
        </w:tc>
        <w:tc>
          <w:tcPr>
            <w:tcW w:w="4440" w:type="dxa"/>
            <w:vAlign w:val="bottom"/>
          </w:tcPr>
          <w:p>
            <w:pPr>
              <w:ind w:left="40"/>
              <w:spacing w:after="0"/>
              <w:rPr>
                <w:sz w:val="20"/>
                <w:szCs w:val="20"/>
                <w:color w:val="auto"/>
              </w:rPr>
            </w:pPr>
            <w:r>
              <w:rPr>
                <w:rFonts w:ascii="Arial" w:cs="Arial" w:eastAsia="Arial" w:hAnsi="Arial"/>
                <w:sz w:val="22"/>
                <w:szCs w:val="22"/>
                <w:color w:val="auto"/>
              </w:rPr>
              <w:t>Excess Cash Flow*</w:t>
            </w:r>
          </w:p>
        </w:tc>
        <w:tc>
          <w:tcPr>
            <w:tcW w:w="30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542290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sz w:val="20"/>
          <w:szCs w:val="20"/>
          <w:color w:val="auto"/>
        </w:rPr>
        <w:tab/>
      </w:r>
      <w:r>
        <w:rPr>
          <w:rFonts w:ascii="Arial" w:cs="Arial" w:eastAsia="Arial" w:hAnsi="Arial"/>
          <w:sz w:val="19"/>
          <w:szCs w:val="19"/>
          <w:i w:val="1"/>
          <w:iCs w:val="1"/>
          <w:color w:val="auto"/>
        </w:rPr>
        <w:t>Excess Cash Flow calculation to be included only if the Leverage Ratio for the relevant period is greater than 4.5:1</w:t>
      </w:r>
      <w:r>
        <w:rPr>
          <w:rFonts w:ascii="Arial" w:cs="Arial" w:eastAsia="Arial" w:hAnsi="Arial"/>
          <w:sz w:val="19"/>
          <w:szCs w:val="19"/>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We attach the information and calculations necessary for determining the above ratios and amounts.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hereby confirm that no Default has occurred and is continuing.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hereby give you notice of the occurrence of the following Default which is continuing: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We set out below the steps being taken to remedy such Default: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Responsible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16</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17</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Schedule 18</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ectPr>
          <w:pgSz w:w="11900" w:h="16838" w:orient="portrait"/>
          <w:cols w:equalWidth="0" w:num="1">
            <w:col w:w="11420"/>
          </w:cols>
          <w:pgMar w:left="240" w:top="348" w:right="239" w:bottom="0" w:gutter="0" w:footer="0" w:header="0"/>
        </w:sectPr>
      </w:pPr>
    </w:p>
    <w:bookmarkStart w:id="250" w:name="page251"/>
    <w:bookmarkEnd w:id="2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1" w:name="page252"/>
    <w:bookmarkEnd w:id="251"/>
    <w:p>
      <w:pPr>
        <w:ind w:left="5060"/>
        <w:spacing w:after="0"/>
        <w:rPr>
          <w:sz w:val="20"/>
          <w:szCs w:val="20"/>
          <w:color w:val="auto"/>
        </w:rPr>
      </w:pPr>
      <w:r>
        <w:rPr>
          <w:rFonts w:ascii="Arial" w:cs="Arial" w:eastAsia="Arial" w:hAnsi="Arial"/>
          <w:sz w:val="22"/>
          <w:szCs w:val="22"/>
          <w:b w:val="1"/>
          <w:bCs w:val="1"/>
          <w:color w:val="auto"/>
        </w:rPr>
        <w:t>Schedule 19</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[NOT USED]</w:t>
      </w:r>
    </w:p>
    <w:p>
      <w:pPr>
        <w:spacing w:after="0" w:line="20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SIGNATURES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WYNN RESORTS (MACAU) S.A.</w:t>
      </w: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Arial" w:cs="Arial" w:eastAsia="Arial" w:hAnsi="Arial"/>
                <w:sz w:val="22"/>
                <w:szCs w:val="22"/>
                <w:color w:val="auto"/>
              </w:rPr>
              <w:t>By:</w:t>
            </w:r>
          </w:p>
        </w:tc>
        <w:tc>
          <w:tcPr>
            <w:tcW w:w="1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/s/ Frank Cassella</w:t>
            </w:r>
          </w:p>
        </w:tc>
        <w:tc>
          <w:tcPr>
            <w:tcW w:w="2760" w:type="dxa"/>
            <w:vAlign w:val="bottom"/>
          </w:tcPr>
          <w:p>
            <w:pPr>
              <w:spacing w:after="0"/>
              <w:rPr>
                <w:sz w:val="21"/>
                <w:szCs w:val="21"/>
                <w:color w:val="auto"/>
              </w:rPr>
            </w:pPr>
          </w:p>
        </w:tc>
      </w:tr>
      <w:tr>
        <w:trPr>
          <w:trHeight w:val="701"/>
        </w:trPr>
        <w:tc>
          <w:tcPr>
            <w:tcW w:w="2220" w:type="dxa"/>
            <w:vAlign w:val="bottom"/>
          </w:tcPr>
          <w:p>
            <w:pPr>
              <w:spacing w:after="0"/>
              <w:rPr>
                <w:sz w:val="20"/>
                <w:szCs w:val="20"/>
                <w:color w:val="auto"/>
              </w:rPr>
            </w:pPr>
            <w:r>
              <w:rPr>
                <w:rFonts w:ascii="Arial" w:cs="Arial" w:eastAsia="Arial" w:hAnsi="Arial"/>
                <w:sz w:val="22"/>
                <w:szCs w:val="22"/>
                <w:color w:val="auto"/>
              </w:rPr>
              <w:t>Address:</w:t>
            </w:r>
          </w:p>
        </w:tc>
        <w:tc>
          <w:tcPr>
            <w:tcW w:w="4300" w:type="dxa"/>
            <w:vAlign w:val="bottom"/>
            <w:gridSpan w:val="2"/>
          </w:tcPr>
          <w:p>
            <w:pPr>
              <w:spacing w:after="0"/>
              <w:rPr>
                <w:sz w:val="20"/>
                <w:szCs w:val="20"/>
                <w:color w:val="auto"/>
              </w:rPr>
            </w:pPr>
            <w:r>
              <w:rPr>
                <w:rFonts w:ascii="Arial" w:cs="Arial" w:eastAsia="Arial" w:hAnsi="Arial"/>
                <w:sz w:val="22"/>
                <w:szCs w:val="22"/>
                <w:color w:val="auto"/>
              </w:rPr>
              <w:t>Wynn Macau</w:t>
            </w:r>
          </w:p>
        </w:tc>
      </w:tr>
      <w:tr>
        <w:trPr>
          <w:trHeight w:val="243"/>
        </w:trPr>
        <w:tc>
          <w:tcPr>
            <w:tcW w:w="2220" w:type="dxa"/>
            <w:vAlign w:val="bottom"/>
          </w:tcPr>
          <w:p>
            <w:pPr>
              <w:spacing w:after="0"/>
              <w:rPr>
                <w:sz w:val="21"/>
                <w:szCs w:val="21"/>
                <w:color w:val="auto"/>
              </w:rPr>
            </w:pPr>
          </w:p>
        </w:tc>
        <w:tc>
          <w:tcPr>
            <w:tcW w:w="4300" w:type="dxa"/>
            <w:vAlign w:val="bottom"/>
            <w:gridSpan w:val="2"/>
          </w:tcPr>
          <w:p>
            <w:pPr>
              <w:spacing w:after="0" w:line="243" w:lineRule="exact"/>
              <w:rPr>
                <w:sz w:val="20"/>
                <w:szCs w:val="20"/>
                <w:color w:val="auto"/>
              </w:rPr>
            </w:pPr>
            <w:r>
              <w:rPr>
                <w:rFonts w:ascii="Arial" w:cs="Arial" w:eastAsia="Arial" w:hAnsi="Arial"/>
                <w:sz w:val="22"/>
                <w:szCs w:val="22"/>
                <w:color w:val="auto"/>
              </w:rPr>
              <w:t>Rua Cidade de Sintra</w:t>
            </w:r>
          </w:p>
        </w:tc>
      </w:tr>
      <w:tr>
        <w:trPr>
          <w:trHeight w:val="243"/>
        </w:trPr>
        <w:tc>
          <w:tcPr>
            <w:tcW w:w="2220" w:type="dxa"/>
            <w:vAlign w:val="bottom"/>
          </w:tcPr>
          <w:p>
            <w:pPr>
              <w:spacing w:after="0"/>
              <w:rPr>
                <w:sz w:val="21"/>
                <w:szCs w:val="21"/>
                <w:color w:val="auto"/>
              </w:rPr>
            </w:pPr>
          </w:p>
        </w:tc>
        <w:tc>
          <w:tcPr>
            <w:tcW w:w="4300" w:type="dxa"/>
            <w:vAlign w:val="bottom"/>
            <w:gridSpan w:val="2"/>
          </w:tcPr>
          <w:p>
            <w:pPr>
              <w:spacing w:after="0" w:line="243" w:lineRule="exact"/>
              <w:rPr>
                <w:sz w:val="20"/>
                <w:szCs w:val="20"/>
                <w:color w:val="auto"/>
              </w:rPr>
            </w:pPr>
            <w:r>
              <w:rPr>
                <w:rFonts w:ascii="Arial" w:cs="Arial" w:eastAsia="Arial" w:hAnsi="Arial"/>
                <w:sz w:val="22"/>
                <w:szCs w:val="22"/>
                <w:color w:val="auto"/>
              </w:rPr>
              <w:t>NAPE</w:t>
            </w:r>
          </w:p>
        </w:tc>
      </w:tr>
      <w:tr>
        <w:trPr>
          <w:trHeight w:val="275"/>
        </w:trPr>
        <w:tc>
          <w:tcPr>
            <w:tcW w:w="2220" w:type="dxa"/>
            <w:vAlign w:val="bottom"/>
          </w:tcPr>
          <w:p>
            <w:pPr>
              <w:spacing w:after="0"/>
              <w:rPr>
                <w:sz w:val="23"/>
                <w:szCs w:val="23"/>
                <w:color w:val="auto"/>
              </w:rPr>
            </w:pPr>
          </w:p>
        </w:tc>
        <w:tc>
          <w:tcPr>
            <w:tcW w:w="4300" w:type="dxa"/>
            <w:vAlign w:val="bottom"/>
            <w:gridSpan w:val="2"/>
          </w:tcPr>
          <w:p>
            <w:pPr>
              <w:spacing w:after="0"/>
              <w:rPr>
                <w:sz w:val="20"/>
                <w:szCs w:val="20"/>
                <w:color w:val="auto"/>
              </w:rPr>
            </w:pPr>
            <w:r>
              <w:rPr>
                <w:rFonts w:ascii="Arial" w:cs="Arial" w:eastAsia="Arial" w:hAnsi="Arial"/>
                <w:sz w:val="22"/>
                <w:szCs w:val="22"/>
                <w:color w:val="auto"/>
              </w:rPr>
              <w:t>Macau</w:t>
            </w: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Tel:</w:t>
            </w:r>
          </w:p>
        </w:tc>
        <w:tc>
          <w:tcPr>
            <w:tcW w:w="1540" w:type="dxa"/>
            <w:vAlign w:val="bottom"/>
          </w:tcPr>
          <w:p>
            <w:pPr>
              <w:spacing w:after="0"/>
              <w:rPr>
                <w:sz w:val="20"/>
                <w:szCs w:val="20"/>
                <w:color w:val="auto"/>
              </w:rPr>
            </w:pPr>
            <w:r>
              <w:rPr>
                <w:rFonts w:ascii="Arial" w:cs="Arial" w:eastAsia="Arial" w:hAnsi="Arial"/>
                <w:sz w:val="22"/>
                <w:szCs w:val="22"/>
                <w:color w:val="auto"/>
              </w:rPr>
              <w:t>853 2888 9966</w:t>
            </w:r>
          </w:p>
        </w:tc>
        <w:tc>
          <w:tcPr>
            <w:tcW w:w="2760" w:type="dxa"/>
            <w:vAlign w:val="bottom"/>
          </w:tcPr>
          <w:p>
            <w:pPr>
              <w:spacing w:after="0"/>
              <w:rPr>
                <w:sz w:val="24"/>
                <w:szCs w:val="24"/>
                <w:color w:val="auto"/>
              </w:rPr>
            </w:pP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Fax:</w:t>
            </w:r>
          </w:p>
        </w:tc>
        <w:tc>
          <w:tcPr>
            <w:tcW w:w="1540" w:type="dxa"/>
            <w:vAlign w:val="bottom"/>
          </w:tcPr>
          <w:p>
            <w:pPr>
              <w:spacing w:after="0"/>
              <w:rPr>
                <w:sz w:val="20"/>
                <w:szCs w:val="20"/>
                <w:color w:val="auto"/>
              </w:rPr>
            </w:pPr>
            <w:r>
              <w:rPr>
                <w:rFonts w:ascii="Arial" w:cs="Arial" w:eastAsia="Arial" w:hAnsi="Arial"/>
                <w:sz w:val="22"/>
                <w:szCs w:val="22"/>
                <w:color w:val="auto"/>
              </w:rPr>
              <w:t>853 2832 9966</w:t>
            </w:r>
          </w:p>
        </w:tc>
        <w:tc>
          <w:tcPr>
            <w:tcW w:w="2760" w:type="dxa"/>
            <w:vAlign w:val="bottom"/>
          </w:tcPr>
          <w:p>
            <w:pPr>
              <w:spacing w:after="0"/>
              <w:rPr>
                <w:sz w:val="24"/>
                <w:szCs w:val="24"/>
                <w:color w:val="auto"/>
              </w:rPr>
            </w:pP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Attention:</w:t>
            </w:r>
          </w:p>
        </w:tc>
        <w:tc>
          <w:tcPr>
            <w:tcW w:w="430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r>
      <w:tr>
        <w:trPr>
          <w:trHeight w:val="702"/>
        </w:trPr>
        <w:tc>
          <w:tcPr>
            <w:tcW w:w="2220" w:type="dxa"/>
            <w:vAlign w:val="bottom"/>
          </w:tcPr>
          <w:p>
            <w:pPr>
              <w:spacing w:after="0"/>
              <w:rPr>
                <w:sz w:val="20"/>
                <w:szCs w:val="20"/>
                <w:color w:val="auto"/>
              </w:rPr>
            </w:pPr>
            <w:r>
              <w:rPr>
                <w:rFonts w:ascii="Arial" w:cs="Arial" w:eastAsia="Arial" w:hAnsi="Arial"/>
                <w:sz w:val="22"/>
                <w:szCs w:val="22"/>
                <w:color w:val="auto"/>
              </w:rPr>
              <w:t>With a copy to:</w:t>
            </w:r>
          </w:p>
        </w:tc>
        <w:tc>
          <w:tcPr>
            <w:tcW w:w="4300" w:type="dxa"/>
            <w:vAlign w:val="bottom"/>
            <w:gridSpan w:val="2"/>
          </w:tcPr>
          <w:p>
            <w:pPr>
              <w:spacing w:after="0"/>
              <w:rPr>
                <w:sz w:val="20"/>
                <w:szCs w:val="20"/>
                <w:color w:val="auto"/>
              </w:rPr>
            </w:pPr>
            <w:r>
              <w:rPr>
                <w:rFonts w:ascii="Arial" w:cs="Arial" w:eastAsia="Arial" w:hAnsi="Arial"/>
                <w:sz w:val="22"/>
                <w:szCs w:val="22"/>
                <w:color w:val="auto"/>
              </w:rPr>
              <w:t>Wynn Resorts (Macau) S.A.</w:t>
            </w:r>
          </w:p>
        </w:tc>
      </w:tr>
      <w:tr>
        <w:trPr>
          <w:trHeight w:val="428"/>
        </w:trPr>
        <w:tc>
          <w:tcPr>
            <w:tcW w:w="2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22"/>
                <w:szCs w:val="22"/>
                <w:color w:val="auto"/>
              </w:rPr>
              <w:t>Wynn Macau</w:t>
            </w:r>
          </w:p>
        </w:tc>
      </w:tr>
      <w:tr>
        <w:trPr>
          <w:trHeight w:val="243"/>
        </w:trPr>
        <w:tc>
          <w:tcPr>
            <w:tcW w:w="2220" w:type="dxa"/>
            <w:vAlign w:val="bottom"/>
          </w:tcPr>
          <w:p>
            <w:pPr>
              <w:spacing w:after="0"/>
              <w:rPr>
                <w:sz w:val="21"/>
                <w:szCs w:val="21"/>
                <w:color w:val="auto"/>
              </w:rPr>
            </w:pPr>
          </w:p>
        </w:tc>
        <w:tc>
          <w:tcPr>
            <w:tcW w:w="4300" w:type="dxa"/>
            <w:vAlign w:val="bottom"/>
            <w:gridSpan w:val="2"/>
          </w:tcPr>
          <w:p>
            <w:pPr>
              <w:spacing w:after="0" w:line="243" w:lineRule="exact"/>
              <w:rPr>
                <w:sz w:val="20"/>
                <w:szCs w:val="20"/>
                <w:color w:val="auto"/>
              </w:rPr>
            </w:pPr>
            <w:r>
              <w:rPr>
                <w:rFonts w:ascii="Arial" w:cs="Arial" w:eastAsia="Arial" w:hAnsi="Arial"/>
                <w:sz w:val="22"/>
                <w:szCs w:val="22"/>
                <w:color w:val="auto"/>
              </w:rPr>
              <w:t>Rua Cidade de Sintra</w:t>
            </w:r>
          </w:p>
        </w:tc>
      </w:tr>
      <w:tr>
        <w:trPr>
          <w:trHeight w:val="243"/>
        </w:trPr>
        <w:tc>
          <w:tcPr>
            <w:tcW w:w="2220" w:type="dxa"/>
            <w:vAlign w:val="bottom"/>
          </w:tcPr>
          <w:p>
            <w:pPr>
              <w:spacing w:after="0"/>
              <w:rPr>
                <w:sz w:val="21"/>
                <w:szCs w:val="21"/>
                <w:color w:val="auto"/>
              </w:rPr>
            </w:pPr>
          </w:p>
        </w:tc>
        <w:tc>
          <w:tcPr>
            <w:tcW w:w="4300" w:type="dxa"/>
            <w:vAlign w:val="bottom"/>
            <w:gridSpan w:val="2"/>
          </w:tcPr>
          <w:p>
            <w:pPr>
              <w:spacing w:after="0" w:line="243" w:lineRule="exact"/>
              <w:rPr>
                <w:sz w:val="20"/>
                <w:szCs w:val="20"/>
                <w:color w:val="auto"/>
              </w:rPr>
            </w:pPr>
            <w:r>
              <w:rPr>
                <w:rFonts w:ascii="Arial" w:cs="Arial" w:eastAsia="Arial" w:hAnsi="Arial"/>
                <w:sz w:val="22"/>
                <w:szCs w:val="22"/>
                <w:color w:val="auto"/>
              </w:rPr>
              <w:t>NAPE</w:t>
            </w:r>
          </w:p>
        </w:tc>
      </w:tr>
      <w:tr>
        <w:trPr>
          <w:trHeight w:val="275"/>
        </w:trPr>
        <w:tc>
          <w:tcPr>
            <w:tcW w:w="2220" w:type="dxa"/>
            <w:vAlign w:val="bottom"/>
          </w:tcPr>
          <w:p>
            <w:pPr>
              <w:spacing w:after="0"/>
              <w:rPr>
                <w:sz w:val="23"/>
                <w:szCs w:val="23"/>
                <w:color w:val="auto"/>
              </w:rPr>
            </w:pPr>
          </w:p>
        </w:tc>
        <w:tc>
          <w:tcPr>
            <w:tcW w:w="4300" w:type="dxa"/>
            <w:vAlign w:val="bottom"/>
            <w:gridSpan w:val="2"/>
          </w:tcPr>
          <w:p>
            <w:pPr>
              <w:spacing w:after="0"/>
              <w:rPr>
                <w:sz w:val="20"/>
                <w:szCs w:val="20"/>
                <w:color w:val="auto"/>
              </w:rPr>
            </w:pPr>
            <w:r>
              <w:rPr>
                <w:rFonts w:ascii="Arial" w:cs="Arial" w:eastAsia="Arial" w:hAnsi="Arial"/>
                <w:sz w:val="22"/>
                <w:szCs w:val="22"/>
                <w:color w:val="auto"/>
              </w:rPr>
              <w:t>Macau</w:t>
            </w: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Tel:</w:t>
            </w:r>
          </w:p>
        </w:tc>
        <w:tc>
          <w:tcPr>
            <w:tcW w:w="1540" w:type="dxa"/>
            <w:vAlign w:val="bottom"/>
          </w:tcPr>
          <w:p>
            <w:pPr>
              <w:spacing w:after="0"/>
              <w:rPr>
                <w:sz w:val="20"/>
                <w:szCs w:val="20"/>
                <w:color w:val="auto"/>
              </w:rPr>
            </w:pPr>
            <w:r>
              <w:rPr>
                <w:rFonts w:ascii="Arial" w:cs="Arial" w:eastAsia="Arial" w:hAnsi="Arial"/>
                <w:sz w:val="22"/>
                <w:szCs w:val="22"/>
                <w:color w:val="auto"/>
              </w:rPr>
              <w:t>853 2888 9966</w:t>
            </w:r>
          </w:p>
        </w:tc>
        <w:tc>
          <w:tcPr>
            <w:tcW w:w="2760" w:type="dxa"/>
            <w:vAlign w:val="bottom"/>
          </w:tcPr>
          <w:p>
            <w:pPr>
              <w:spacing w:after="0"/>
              <w:rPr>
                <w:sz w:val="24"/>
                <w:szCs w:val="24"/>
                <w:color w:val="auto"/>
              </w:rPr>
            </w:pP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Fax:</w:t>
            </w:r>
          </w:p>
        </w:tc>
        <w:tc>
          <w:tcPr>
            <w:tcW w:w="1540" w:type="dxa"/>
            <w:vAlign w:val="bottom"/>
          </w:tcPr>
          <w:p>
            <w:pPr>
              <w:spacing w:after="0"/>
              <w:rPr>
                <w:sz w:val="20"/>
                <w:szCs w:val="20"/>
                <w:color w:val="auto"/>
              </w:rPr>
            </w:pPr>
            <w:r>
              <w:rPr>
                <w:rFonts w:ascii="Arial" w:cs="Arial" w:eastAsia="Arial" w:hAnsi="Arial"/>
                <w:sz w:val="22"/>
                <w:szCs w:val="22"/>
                <w:color w:val="auto"/>
              </w:rPr>
              <w:t>853 2832 9966</w:t>
            </w:r>
          </w:p>
        </w:tc>
        <w:tc>
          <w:tcPr>
            <w:tcW w:w="2760" w:type="dxa"/>
            <w:vAlign w:val="bottom"/>
          </w:tcPr>
          <w:p>
            <w:pPr>
              <w:spacing w:after="0"/>
              <w:rPr>
                <w:sz w:val="24"/>
                <w:szCs w:val="24"/>
                <w:color w:val="auto"/>
              </w:rPr>
            </w:pPr>
          </w:p>
        </w:tc>
      </w:tr>
      <w:tr>
        <w:trPr>
          <w:trHeight w:val="297"/>
        </w:trPr>
        <w:tc>
          <w:tcPr>
            <w:tcW w:w="2220" w:type="dxa"/>
            <w:vAlign w:val="bottom"/>
          </w:tcPr>
          <w:p>
            <w:pPr>
              <w:spacing w:after="0"/>
              <w:rPr>
                <w:sz w:val="20"/>
                <w:szCs w:val="20"/>
                <w:color w:val="auto"/>
              </w:rPr>
            </w:pPr>
            <w:r>
              <w:rPr>
                <w:rFonts w:ascii="Arial" w:cs="Arial" w:eastAsia="Arial" w:hAnsi="Arial"/>
                <w:sz w:val="22"/>
                <w:szCs w:val="22"/>
                <w:color w:val="auto"/>
              </w:rPr>
              <w:t>Attention:</w:t>
            </w:r>
          </w:p>
        </w:tc>
        <w:tc>
          <w:tcPr>
            <w:tcW w:w="4300" w:type="dxa"/>
            <w:vAlign w:val="bottom"/>
            <w:gridSpan w:val="2"/>
          </w:tcPr>
          <w:p>
            <w:pPr>
              <w:spacing w:after="0"/>
              <w:rPr>
                <w:sz w:val="20"/>
                <w:szCs w:val="20"/>
                <w:color w:val="auto"/>
              </w:rPr>
            </w:pPr>
            <w:r>
              <w:rPr>
                <w:rFonts w:ascii="Arial" w:cs="Arial" w:eastAsia="Arial" w:hAnsi="Arial"/>
                <w:sz w:val="22"/>
                <w:szCs w:val="22"/>
                <w:color w:val="auto"/>
                <w:w w:val="89"/>
              </w:rPr>
              <w:t>Legal Department of Wynn Resorts (Macau) S.A.</w:t>
            </w:r>
          </w:p>
        </w:tc>
      </w:tr>
    </w:tbl>
    <w:p>
      <w:pPr>
        <w:sectPr>
          <w:pgSz w:w="11900" w:h="16838" w:orient="portrait"/>
          <w:cols w:equalWidth="0" w:num="1">
            <w:col w:w="10219"/>
          </w:cols>
          <w:pgMar w:left="240" w:top="625" w:right="1440"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The Hedging Counterparties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 OF NOVA SCOTIA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Andy Poon</w:t>
            </w:r>
          </w:p>
        </w:tc>
        <w:tc>
          <w:tcPr>
            <w:tcW w:w="444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5680" w:type="dxa"/>
            <w:vAlign w:val="bottom"/>
            <w:gridSpan w:val="2"/>
          </w:tcPr>
          <w:p>
            <w:pPr>
              <w:spacing w:after="0"/>
              <w:rPr>
                <w:sz w:val="20"/>
                <w:szCs w:val="20"/>
                <w:color w:val="auto"/>
              </w:rPr>
            </w:pPr>
            <w:r>
              <w:rPr>
                <w:rFonts w:ascii="Arial" w:cs="Arial" w:eastAsia="Arial" w:hAnsi="Arial"/>
                <w:sz w:val="22"/>
                <w:szCs w:val="22"/>
                <w:color w:val="auto"/>
                <w:w w:val="88"/>
              </w:rPr>
              <w:t>Suite 2401, Central Tower, 28 Queen’s Road Central, 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5680" w:type="dxa"/>
            <w:vAlign w:val="bottom"/>
            <w:gridSpan w:val="2"/>
          </w:tcPr>
          <w:p>
            <w:pPr>
              <w:spacing w:after="0"/>
              <w:rPr>
                <w:sz w:val="20"/>
                <w:szCs w:val="20"/>
                <w:color w:val="auto"/>
              </w:rPr>
            </w:pPr>
            <w:r>
              <w:rPr>
                <w:rFonts w:ascii="Arial" w:cs="Arial" w:eastAsia="Arial" w:hAnsi="Arial"/>
                <w:sz w:val="22"/>
                <w:szCs w:val="22"/>
                <w:color w:val="auto"/>
              </w:rPr>
              <w:t>852 2527 2526</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680" w:type="dxa"/>
            <w:vAlign w:val="bottom"/>
            <w:gridSpan w:val="2"/>
          </w:tcPr>
          <w:p>
            <w:pPr>
              <w:spacing w:after="0"/>
              <w:rPr>
                <w:sz w:val="20"/>
                <w:szCs w:val="20"/>
                <w:color w:val="auto"/>
              </w:rPr>
            </w:pPr>
            <w:r>
              <w:rPr>
                <w:rFonts w:ascii="Arial" w:cs="Arial" w:eastAsia="Arial" w:hAnsi="Arial"/>
                <w:sz w:val="22"/>
                <w:szCs w:val="22"/>
                <w:color w:val="auto"/>
              </w:rPr>
              <w:t>Kenneth Ho / Philip Ng</w:t>
            </w:r>
          </w:p>
        </w:tc>
      </w:tr>
    </w:tbl>
    <w:p>
      <w:pPr>
        <w:sectPr>
          <w:pgSz w:w="11900" w:h="16838" w:orient="portrait"/>
          <w:cols w:equalWidth="0" w:num="1">
            <w:col w:w="10219"/>
          </w:cols>
          <w:pgMar w:left="240" w:top="882" w:right="1440"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20" w:type="dxa"/>
            <w:vAlign w:val="bottom"/>
          </w:tcPr>
          <w:p>
            <w:pPr>
              <w:spacing w:after="0"/>
              <w:rPr>
                <w:sz w:val="20"/>
                <w:szCs w:val="20"/>
                <w:color w:val="auto"/>
              </w:rPr>
            </w:pPr>
            <w:r>
              <w:rPr>
                <w:rFonts w:ascii="Arial" w:cs="Arial" w:eastAsia="Arial" w:hAnsi="Arial"/>
                <w:sz w:val="22"/>
                <w:szCs w:val="22"/>
                <w:b w:val="1"/>
                <w:bCs w:val="1"/>
                <w:color w:val="auto"/>
              </w:rPr>
              <w:t>DBS BANK LTD.</w:t>
            </w:r>
          </w:p>
        </w:tc>
        <w:tc>
          <w:tcPr>
            <w:tcW w:w="13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571"/>
        </w:trPr>
        <w:tc>
          <w:tcPr>
            <w:tcW w:w="2120" w:type="dxa"/>
            <w:vAlign w:val="bottom"/>
          </w:tcPr>
          <w:p>
            <w:pPr>
              <w:ind w:left="40"/>
              <w:spacing w:after="0"/>
              <w:rPr>
                <w:sz w:val="20"/>
                <w:szCs w:val="20"/>
                <w:color w:val="auto"/>
              </w:rPr>
            </w:pPr>
            <w:r>
              <w:rPr>
                <w:rFonts w:ascii="Arial" w:cs="Arial" w:eastAsia="Arial" w:hAnsi="Arial"/>
                <w:sz w:val="22"/>
                <w:szCs w:val="22"/>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Louisa Chau</w:t>
            </w:r>
          </w:p>
        </w:tc>
        <w:tc>
          <w:tcPr>
            <w:tcW w:w="4240" w:type="dxa"/>
            <w:vAlign w:val="bottom"/>
          </w:tcPr>
          <w:p>
            <w:pPr>
              <w:spacing w:after="0"/>
              <w:rPr>
                <w:sz w:val="24"/>
                <w:szCs w:val="24"/>
                <w:color w:val="auto"/>
              </w:rPr>
            </w:pPr>
          </w:p>
        </w:tc>
      </w:tr>
      <w:tr>
        <w:trPr>
          <w:trHeight w:val="733"/>
        </w:trPr>
        <w:tc>
          <w:tcPr>
            <w:tcW w:w="2120" w:type="dxa"/>
            <w:vAlign w:val="bottom"/>
          </w:tcPr>
          <w:p>
            <w:pPr>
              <w:ind w:left="40"/>
              <w:spacing w:after="0"/>
              <w:rPr>
                <w:sz w:val="20"/>
                <w:szCs w:val="20"/>
                <w:color w:val="auto"/>
              </w:rPr>
            </w:pPr>
            <w:r>
              <w:rPr>
                <w:rFonts w:ascii="Arial" w:cs="Arial" w:eastAsia="Arial" w:hAnsi="Arial"/>
                <w:sz w:val="22"/>
                <w:szCs w:val="22"/>
                <w:color w:val="auto"/>
              </w:rPr>
              <w:t>Address:</w:t>
            </w:r>
          </w:p>
        </w:tc>
        <w:tc>
          <w:tcPr>
            <w:tcW w:w="5600" w:type="dxa"/>
            <w:vAlign w:val="bottom"/>
            <w:gridSpan w:val="2"/>
          </w:tcPr>
          <w:p>
            <w:pPr>
              <w:spacing w:after="0"/>
              <w:rPr>
                <w:sz w:val="20"/>
                <w:szCs w:val="20"/>
                <w:color w:val="auto"/>
              </w:rPr>
            </w:pPr>
            <w:r>
              <w:rPr>
                <w:rFonts w:ascii="Arial" w:cs="Arial" w:eastAsia="Arial" w:hAnsi="Arial"/>
                <w:sz w:val="22"/>
                <w:szCs w:val="22"/>
                <w:color w:val="auto"/>
                <w:w w:val="88"/>
              </w:rPr>
              <w:t>10/F, The Center, 99 Queen’s Road Central, Central, Hong Kong</w:t>
            </w: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Fax:</w:t>
            </w:r>
          </w:p>
        </w:tc>
        <w:tc>
          <w:tcPr>
            <w:tcW w:w="1360" w:type="dxa"/>
            <w:vAlign w:val="bottom"/>
          </w:tcPr>
          <w:p>
            <w:pPr>
              <w:spacing w:after="0"/>
              <w:rPr>
                <w:sz w:val="20"/>
                <w:szCs w:val="20"/>
                <w:color w:val="auto"/>
              </w:rPr>
            </w:pPr>
            <w:r>
              <w:rPr>
                <w:rFonts w:ascii="Arial" w:cs="Arial" w:eastAsia="Arial" w:hAnsi="Arial"/>
                <w:sz w:val="22"/>
                <w:szCs w:val="22"/>
                <w:color w:val="auto"/>
                <w:w w:val="91"/>
              </w:rPr>
              <w:t>852 2806 5457</w:t>
            </w:r>
          </w:p>
        </w:tc>
        <w:tc>
          <w:tcPr>
            <w:tcW w:w="4240" w:type="dxa"/>
            <w:vAlign w:val="bottom"/>
          </w:tcPr>
          <w:p>
            <w:pPr>
              <w:spacing w:after="0"/>
              <w:rPr>
                <w:sz w:val="24"/>
                <w:szCs w:val="24"/>
                <w:color w:val="auto"/>
              </w:rPr>
            </w:pP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Attention:</w:t>
            </w:r>
          </w:p>
        </w:tc>
        <w:tc>
          <w:tcPr>
            <w:tcW w:w="5600" w:type="dxa"/>
            <w:vAlign w:val="bottom"/>
            <w:gridSpan w:val="2"/>
          </w:tcPr>
          <w:p>
            <w:pPr>
              <w:spacing w:after="0"/>
              <w:rPr>
                <w:sz w:val="20"/>
                <w:szCs w:val="20"/>
                <w:color w:val="auto"/>
              </w:rPr>
            </w:pPr>
            <w:r>
              <w:rPr>
                <w:rFonts w:ascii="Arial" w:cs="Arial" w:eastAsia="Arial" w:hAnsi="Arial"/>
                <w:sz w:val="22"/>
                <w:szCs w:val="22"/>
                <w:color w:val="auto"/>
              </w:rPr>
              <w:t>Mr. Johnson Wong</w:t>
            </w: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With a copy to:</w:t>
            </w:r>
          </w:p>
        </w:tc>
        <w:tc>
          <w:tcPr>
            <w:tcW w:w="13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Address:</w:t>
            </w:r>
          </w:p>
        </w:tc>
        <w:tc>
          <w:tcPr>
            <w:tcW w:w="5600" w:type="dxa"/>
            <w:vAlign w:val="bottom"/>
            <w:gridSpan w:val="2"/>
          </w:tcPr>
          <w:p>
            <w:pPr>
              <w:spacing w:after="0"/>
              <w:rPr>
                <w:sz w:val="20"/>
                <w:szCs w:val="20"/>
                <w:color w:val="auto"/>
              </w:rPr>
            </w:pPr>
            <w:r>
              <w:rPr>
                <w:rFonts w:ascii="Arial" w:cs="Arial" w:eastAsia="Arial" w:hAnsi="Arial"/>
                <w:sz w:val="22"/>
                <w:szCs w:val="22"/>
                <w:color w:val="auto"/>
              </w:rPr>
              <w:t>18/F, The Center, 99 Queen’s Road Central, Hong Kong</w:t>
            </w: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Fax:</w:t>
            </w:r>
          </w:p>
        </w:tc>
        <w:tc>
          <w:tcPr>
            <w:tcW w:w="1360" w:type="dxa"/>
            <w:vAlign w:val="bottom"/>
          </w:tcPr>
          <w:p>
            <w:pPr>
              <w:spacing w:after="0"/>
              <w:rPr>
                <w:sz w:val="20"/>
                <w:szCs w:val="20"/>
                <w:color w:val="auto"/>
              </w:rPr>
            </w:pPr>
            <w:r>
              <w:rPr>
                <w:rFonts w:ascii="Arial" w:cs="Arial" w:eastAsia="Arial" w:hAnsi="Arial"/>
                <w:sz w:val="22"/>
                <w:szCs w:val="22"/>
                <w:color w:val="auto"/>
                <w:w w:val="91"/>
              </w:rPr>
              <w:t>852 2596 0577</w:t>
            </w:r>
          </w:p>
        </w:tc>
        <w:tc>
          <w:tcPr>
            <w:tcW w:w="4240" w:type="dxa"/>
            <w:vAlign w:val="bottom"/>
          </w:tcPr>
          <w:p>
            <w:pPr>
              <w:spacing w:after="0"/>
              <w:rPr>
                <w:sz w:val="24"/>
                <w:szCs w:val="24"/>
                <w:color w:val="auto"/>
              </w:rPr>
            </w:pP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Attention:</w:t>
            </w:r>
          </w:p>
        </w:tc>
        <w:tc>
          <w:tcPr>
            <w:tcW w:w="5600" w:type="dxa"/>
            <w:vAlign w:val="bottom"/>
            <w:gridSpan w:val="2"/>
          </w:tcPr>
          <w:p>
            <w:pPr>
              <w:spacing w:after="0"/>
              <w:rPr>
                <w:sz w:val="20"/>
                <w:szCs w:val="20"/>
                <w:color w:val="auto"/>
              </w:rPr>
            </w:pPr>
            <w:r>
              <w:rPr>
                <w:rFonts w:ascii="Arial" w:cs="Arial" w:eastAsia="Arial" w:hAnsi="Arial"/>
                <w:sz w:val="22"/>
                <w:szCs w:val="22"/>
                <w:color w:val="auto"/>
              </w:rPr>
              <w:t>Mr. Colum Ting</w:t>
            </w:r>
          </w:p>
        </w:tc>
      </w:tr>
    </w:tbl>
    <w:p>
      <w:pPr>
        <w:sectPr>
          <w:pgSz w:w="11900" w:h="16838" w:orient="portrait"/>
          <w:cols w:equalWidth="0" w:num="1">
            <w:col w:w="10219"/>
          </w:cols>
          <w:pgMar w:left="240" w:top="882" w:right="1440" w:bottom="1440" w:gutter="0" w:footer="0" w:header="0"/>
        </w:sectPr>
      </w:pPr>
    </w:p>
    <w:bookmarkStart w:id="254" w:name="page255"/>
    <w:bookmarkEnd w:id="254"/>
    <w:p>
      <w:pPr>
        <w:ind w:right="4339"/>
        <w:spacing w:after="0" w:line="508" w:lineRule="auto"/>
        <w:rPr>
          <w:sz w:val="20"/>
          <w:szCs w:val="20"/>
          <w:color w:val="auto"/>
        </w:rPr>
      </w:pPr>
      <w:r>
        <w:rPr>
          <w:rFonts w:ascii="Arial" w:cs="Arial" w:eastAsia="Arial" w:hAnsi="Arial"/>
          <w:sz w:val="21"/>
          <w:szCs w:val="21"/>
          <w:b w:val="1"/>
          <w:bCs w:val="1"/>
          <w:color w:val="auto"/>
        </w:rPr>
        <w:t>The Outgoing Global Coordinating Lead Arrangers STANDARD CHARTERED BANK (HONG KONG) LIMITED</w:t>
      </w:r>
    </w:p>
    <w:p>
      <w:pPr>
        <w:spacing w:after="0" w:line="78"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Lewis Wong</w:t>
      </w:r>
    </w:p>
    <w:p>
      <w:pPr>
        <w:sectPr>
          <w:pgSz w:w="11900" w:h="16838" w:orient="portrait"/>
          <w:cols w:equalWidth="0" w:num="1">
            <w:col w:w="10219"/>
          </w:cols>
          <w:pgMar w:left="240" w:top="625" w:right="1440" w:bottom="1440" w:gutter="0" w:footer="0" w:header="0"/>
        </w:sectPr>
      </w:pPr>
    </w:p>
    <w:bookmarkStart w:id="255" w:name="page256"/>
    <w:bookmarkEnd w:id="255"/>
    <w:p>
      <w:pPr>
        <w:spacing w:after="0"/>
        <w:rPr>
          <w:sz w:val="20"/>
          <w:szCs w:val="20"/>
          <w:color w:val="auto"/>
        </w:rPr>
      </w:pPr>
      <w:r>
        <w:rPr>
          <w:rFonts w:ascii="Arial" w:cs="Arial" w:eastAsia="Arial" w:hAnsi="Arial"/>
          <w:sz w:val="21"/>
          <w:szCs w:val="21"/>
          <w:b w:val="1"/>
          <w:bCs w:val="1"/>
          <w:color w:val="auto"/>
        </w:rPr>
        <w:t>THE ROYAL BANK OF SCOTLAND PLC, SINGAPORE BRANCH</w:t>
      </w:r>
    </w:p>
    <w:p>
      <w:pPr>
        <w:sectPr>
          <w:pgSz w:w="11900" w:h="16838" w:orient="portrait"/>
          <w:cols w:equalWidth="0" w:num="1">
            <w:col w:w="10219"/>
          </w:cols>
          <w:pgMar w:left="240" w:top="882" w:right="1440" w:bottom="1440" w:gutter="0" w:footer="0" w:header="0"/>
        </w:sectPr>
      </w:pPr>
    </w:p>
    <w:p>
      <w:pPr>
        <w:spacing w:after="0" w:line="386"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Alexander Chu</w:t>
      </w:r>
    </w:p>
    <w:p>
      <w:pPr>
        <w:sectPr>
          <w:pgSz w:w="11900" w:h="16838" w:orient="portrait"/>
          <w:cols w:equalWidth="0" w:num="1">
            <w:col w:w="10219"/>
          </w:cols>
          <w:pgMar w:left="240" w:top="882" w:right="1440" w:bottom="1440" w:gutter="0" w:footer="0" w:header="0"/>
          <w:type w:val="continuous"/>
        </w:sectPr>
      </w:pPr>
    </w:p>
    <w:bookmarkStart w:id="256" w:name="page257"/>
    <w:bookmarkEnd w:id="256"/>
    <w:p>
      <w:pPr>
        <w:spacing w:after="0"/>
        <w:rPr>
          <w:sz w:val="20"/>
          <w:szCs w:val="20"/>
          <w:color w:val="auto"/>
        </w:rPr>
      </w:pPr>
      <w:r>
        <w:rPr>
          <w:rFonts w:ascii="Arial" w:cs="Arial" w:eastAsia="Arial" w:hAnsi="Arial"/>
          <w:sz w:val="22"/>
          <w:szCs w:val="22"/>
          <w:b w:val="1"/>
          <w:bCs w:val="1"/>
          <w:color w:val="auto"/>
        </w:rPr>
        <w:t>The Mandated Lead Arrangers and Bookrunners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NACIONAL ULTRAMARINO, S.A.</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Pedro Manual De Oliveira Cardoso</w:t>
            </w:r>
          </w:p>
        </w:tc>
        <w:tc>
          <w:tcPr>
            <w:tcW w:w="540" w:type="dxa"/>
            <w:vAlign w:val="bottom"/>
          </w:tcPr>
          <w:p>
            <w:pPr>
              <w:spacing w:after="0"/>
              <w:rPr>
                <w:sz w:val="21"/>
                <w:szCs w:val="2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Tou Kei San</w:t>
            </w:r>
          </w:p>
        </w:tc>
        <w:tc>
          <w:tcPr>
            <w:tcW w:w="2520" w:type="dxa"/>
            <w:vAlign w:val="bottom"/>
            <w:gridSpan w:val="2"/>
          </w:tcPr>
          <w:p>
            <w:pPr>
              <w:spacing w:after="0"/>
              <w:rPr>
                <w:sz w:val="24"/>
                <w:szCs w:val="24"/>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3860" w:type="dxa"/>
            <w:vAlign w:val="bottom"/>
            <w:gridSpan w:val="3"/>
          </w:tcPr>
          <w:p>
            <w:pPr>
              <w:spacing w:after="0"/>
              <w:rPr>
                <w:sz w:val="20"/>
                <w:szCs w:val="20"/>
                <w:color w:val="auto"/>
              </w:rPr>
            </w:pPr>
            <w:r>
              <w:rPr>
                <w:rFonts w:ascii="Arial" w:cs="Arial" w:eastAsia="Arial" w:hAnsi="Arial"/>
                <w:sz w:val="22"/>
                <w:szCs w:val="22"/>
                <w:color w:val="auto"/>
                <w:w w:val="89"/>
              </w:rPr>
              <w:t>No. 22, Avenida de Almeida Ribeiro,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3320" w:type="dxa"/>
            <w:vAlign w:val="bottom"/>
            <w:gridSpan w:val="2"/>
          </w:tcPr>
          <w:p>
            <w:pPr>
              <w:spacing w:after="0"/>
              <w:rPr>
                <w:sz w:val="20"/>
                <w:szCs w:val="20"/>
                <w:color w:val="auto"/>
              </w:rPr>
            </w:pPr>
            <w:r>
              <w:rPr>
                <w:rFonts w:ascii="Arial" w:cs="Arial" w:eastAsia="Arial" w:hAnsi="Arial"/>
                <w:sz w:val="22"/>
                <w:szCs w:val="22"/>
                <w:color w:val="auto"/>
                <w:w w:val="97"/>
              </w:rPr>
              <w:t>+853 2835 5653 / +853 2835 6867</w:t>
            </w:r>
          </w:p>
        </w:tc>
        <w:tc>
          <w:tcPr>
            <w:tcW w:w="54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3860" w:type="dxa"/>
            <w:vAlign w:val="bottom"/>
            <w:gridSpan w:val="3"/>
          </w:tcPr>
          <w:p>
            <w:pPr>
              <w:spacing w:after="0"/>
              <w:rPr>
                <w:sz w:val="20"/>
                <w:szCs w:val="20"/>
                <w:color w:val="auto"/>
              </w:rPr>
            </w:pPr>
            <w:r>
              <w:rPr>
                <w:rFonts w:ascii="Arial" w:cs="Arial" w:eastAsia="Arial" w:hAnsi="Arial"/>
                <w:sz w:val="22"/>
                <w:szCs w:val="22"/>
                <w:color w:val="auto"/>
              </w:rPr>
              <w:t>Ms. Monica Wong / Ms. Violet Choi</w:t>
            </w:r>
          </w:p>
        </w:tc>
      </w:tr>
    </w:tbl>
    <w:p>
      <w:pPr>
        <w:sectPr>
          <w:pgSz w:w="11900" w:h="16838" w:orient="portrait"/>
          <w:cols w:equalWidth="0" w:num="1">
            <w:col w:w="10219"/>
          </w:cols>
          <w:pgMar w:left="240" w:top="882" w:right="1440"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b w:val="1"/>
          <w:bCs w:val="1"/>
          <w:color w:val="auto"/>
        </w:rPr>
        <w:t>BANK OF AMERICA, N.A.</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Siong Ooi</w:t>
            </w:r>
          </w:p>
        </w:tc>
        <w:tc>
          <w:tcPr>
            <w:tcW w:w="522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6360" w:type="dxa"/>
            <w:vAlign w:val="bottom"/>
            <w:gridSpan w:val="2"/>
          </w:tcPr>
          <w:p>
            <w:pPr>
              <w:spacing w:after="0"/>
              <w:rPr>
                <w:sz w:val="20"/>
                <w:szCs w:val="20"/>
                <w:color w:val="auto"/>
              </w:rPr>
            </w:pPr>
            <w:r>
              <w:rPr>
                <w:rFonts w:ascii="Arial" w:cs="Arial" w:eastAsia="Arial" w:hAnsi="Arial"/>
                <w:sz w:val="22"/>
                <w:szCs w:val="22"/>
                <w:color w:val="auto"/>
                <w:w w:val="88"/>
              </w:rPr>
              <w:t>55/F, Cheung Kong Centre, 2 Queen’s Road Central, Central, 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Tel:</w:t>
            </w:r>
          </w:p>
        </w:tc>
        <w:tc>
          <w:tcPr>
            <w:tcW w:w="6360" w:type="dxa"/>
            <w:vAlign w:val="bottom"/>
            <w:gridSpan w:val="2"/>
          </w:tcPr>
          <w:p>
            <w:pPr>
              <w:spacing w:after="0"/>
              <w:rPr>
                <w:sz w:val="20"/>
                <w:szCs w:val="20"/>
                <w:color w:val="auto"/>
              </w:rPr>
            </w:pPr>
            <w:r>
              <w:rPr>
                <w:rFonts w:ascii="Arial" w:cs="Arial" w:eastAsia="Arial" w:hAnsi="Arial"/>
                <w:sz w:val="22"/>
                <w:szCs w:val="22"/>
                <w:color w:val="auto"/>
              </w:rPr>
              <w:t>852 3508 2094</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6360" w:type="dxa"/>
            <w:vAlign w:val="bottom"/>
            <w:gridSpan w:val="2"/>
          </w:tcPr>
          <w:p>
            <w:pPr>
              <w:spacing w:after="0"/>
              <w:rPr>
                <w:sz w:val="20"/>
                <w:szCs w:val="20"/>
                <w:color w:val="auto"/>
              </w:rPr>
            </w:pPr>
            <w:r>
              <w:rPr>
                <w:rFonts w:ascii="Arial" w:cs="Arial" w:eastAsia="Arial" w:hAnsi="Arial"/>
                <w:sz w:val="22"/>
                <w:szCs w:val="22"/>
                <w:color w:val="auto"/>
              </w:rPr>
              <w:t>852 3508-2914</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Email:</w:t>
            </w:r>
          </w:p>
        </w:tc>
        <w:tc>
          <w:tcPr>
            <w:tcW w:w="6360" w:type="dxa"/>
            <w:vAlign w:val="bottom"/>
            <w:gridSpan w:val="2"/>
          </w:tcPr>
          <w:p>
            <w:pPr>
              <w:spacing w:after="0"/>
              <w:rPr>
                <w:sz w:val="20"/>
                <w:szCs w:val="20"/>
                <w:color w:val="auto"/>
              </w:rPr>
            </w:pPr>
            <w:r>
              <w:rPr>
                <w:rFonts w:ascii="Arial" w:cs="Arial" w:eastAsia="Arial" w:hAnsi="Arial"/>
                <w:sz w:val="22"/>
                <w:szCs w:val="22"/>
                <w:color w:val="auto"/>
              </w:rPr>
              <w:t>asia.sse-hk@bankofamerica.com</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360" w:type="dxa"/>
            <w:vAlign w:val="bottom"/>
            <w:gridSpan w:val="2"/>
          </w:tcPr>
          <w:p>
            <w:pPr>
              <w:spacing w:after="0"/>
              <w:rPr>
                <w:sz w:val="20"/>
                <w:szCs w:val="20"/>
                <w:color w:val="auto"/>
              </w:rPr>
            </w:pPr>
            <w:r>
              <w:rPr>
                <w:rFonts w:ascii="Arial" w:cs="Arial" w:eastAsia="Arial" w:hAnsi="Arial"/>
                <w:sz w:val="22"/>
                <w:szCs w:val="22"/>
                <w:color w:val="auto"/>
              </w:rPr>
              <w:t>Elena 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With a copy to:</w:t>
            </w:r>
          </w:p>
        </w:tc>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Tel:</w:t>
            </w:r>
          </w:p>
        </w:tc>
        <w:tc>
          <w:tcPr>
            <w:tcW w:w="6360" w:type="dxa"/>
            <w:vAlign w:val="bottom"/>
            <w:gridSpan w:val="2"/>
          </w:tcPr>
          <w:p>
            <w:pPr>
              <w:spacing w:after="0"/>
              <w:rPr>
                <w:sz w:val="20"/>
                <w:szCs w:val="20"/>
                <w:color w:val="auto"/>
              </w:rPr>
            </w:pPr>
            <w:r>
              <w:rPr>
                <w:rFonts w:ascii="Arial" w:cs="Arial" w:eastAsia="Arial" w:hAnsi="Arial"/>
                <w:sz w:val="22"/>
                <w:szCs w:val="22"/>
                <w:color w:val="auto"/>
              </w:rPr>
              <w:t>852 3508 6190</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6360" w:type="dxa"/>
            <w:vAlign w:val="bottom"/>
            <w:gridSpan w:val="2"/>
          </w:tcPr>
          <w:p>
            <w:pPr>
              <w:spacing w:after="0"/>
              <w:rPr>
                <w:sz w:val="20"/>
                <w:szCs w:val="20"/>
                <w:color w:val="auto"/>
              </w:rPr>
            </w:pPr>
            <w:r>
              <w:rPr>
                <w:rFonts w:ascii="Arial" w:cs="Arial" w:eastAsia="Arial" w:hAnsi="Arial"/>
                <w:sz w:val="22"/>
                <w:szCs w:val="22"/>
                <w:color w:val="auto"/>
              </w:rPr>
              <w:t>Fax: +852 3508-0689</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Email:</w:t>
            </w:r>
          </w:p>
        </w:tc>
        <w:tc>
          <w:tcPr>
            <w:tcW w:w="6360" w:type="dxa"/>
            <w:vAlign w:val="bottom"/>
            <w:gridSpan w:val="2"/>
          </w:tcPr>
          <w:p>
            <w:pPr>
              <w:spacing w:after="0"/>
              <w:rPr>
                <w:sz w:val="20"/>
                <w:szCs w:val="20"/>
                <w:color w:val="auto"/>
              </w:rPr>
            </w:pPr>
            <w:r>
              <w:rPr>
                <w:rFonts w:ascii="Arial" w:cs="Arial" w:eastAsia="Arial" w:hAnsi="Arial"/>
                <w:sz w:val="22"/>
                <w:szCs w:val="22"/>
                <w:color w:val="auto"/>
              </w:rPr>
              <w:t>allen.chu@baml.com</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360" w:type="dxa"/>
            <w:vAlign w:val="bottom"/>
            <w:gridSpan w:val="2"/>
          </w:tcPr>
          <w:p>
            <w:pPr>
              <w:spacing w:after="0"/>
              <w:rPr>
                <w:sz w:val="20"/>
                <w:szCs w:val="20"/>
                <w:color w:val="auto"/>
              </w:rPr>
            </w:pPr>
            <w:r>
              <w:rPr>
                <w:rFonts w:ascii="Arial" w:cs="Arial" w:eastAsia="Arial" w:hAnsi="Arial"/>
                <w:sz w:val="22"/>
                <w:szCs w:val="22"/>
                <w:color w:val="auto"/>
              </w:rPr>
              <w:t>Allen Chu</w:t>
            </w:r>
          </w:p>
        </w:tc>
      </w:tr>
    </w:tbl>
    <w:p>
      <w:pPr>
        <w:sectPr>
          <w:pgSz w:w="11900" w:h="16838" w:orient="portrait"/>
          <w:cols w:equalWidth="0" w:num="1">
            <w:col w:w="10219"/>
          </w:cols>
          <w:pgMar w:left="240" w:top="882" w:right="1440"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Wong, Iao Kun</w:t>
            </w:r>
          </w:p>
        </w:tc>
        <w:tc>
          <w:tcPr>
            <w:tcW w:w="428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5860" w:type="dxa"/>
            <w:vAlign w:val="bottom"/>
            <w:gridSpan w:val="2"/>
          </w:tcPr>
          <w:p>
            <w:pPr>
              <w:spacing w:after="0"/>
              <w:rPr>
                <w:sz w:val="20"/>
                <w:szCs w:val="20"/>
                <w:color w:val="auto"/>
              </w:rPr>
            </w:pPr>
            <w:r>
              <w:rPr>
                <w:rFonts w:ascii="Arial" w:cs="Arial" w:eastAsia="Arial" w:hAnsi="Arial"/>
                <w:sz w:val="22"/>
                <w:szCs w:val="22"/>
                <w:color w:val="auto"/>
                <w:w w:val="90"/>
              </w:rPr>
              <w:t>13/F Bank of China Building Avenida Doutor Mario Soares,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Tel:</w:t>
            </w:r>
          </w:p>
        </w:tc>
        <w:tc>
          <w:tcPr>
            <w:tcW w:w="5860" w:type="dxa"/>
            <w:vAlign w:val="bottom"/>
            <w:gridSpan w:val="2"/>
          </w:tcPr>
          <w:p>
            <w:pPr>
              <w:spacing w:after="0"/>
              <w:rPr>
                <w:sz w:val="20"/>
                <w:szCs w:val="20"/>
                <w:color w:val="auto"/>
              </w:rPr>
            </w:pPr>
            <w:r>
              <w:rPr>
                <w:rFonts w:ascii="Arial" w:cs="Arial" w:eastAsia="Arial" w:hAnsi="Arial"/>
                <w:sz w:val="22"/>
                <w:szCs w:val="22"/>
                <w:color w:val="auto"/>
              </w:rPr>
              <w:t>+853 8792 1639 / 8792 1682</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5860" w:type="dxa"/>
            <w:vAlign w:val="bottom"/>
            <w:gridSpan w:val="2"/>
          </w:tcPr>
          <w:p>
            <w:pPr>
              <w:spacing w:after="0"/>
              <w:rPr>
                <w:sz w:val="20"/>
                <w:szCs w:val="20"/>
                <w:color w:val="auto"/>
              </w:rPr>
            </w:pPr>
            <w:r>
              <w:rPr>
                <w:rFonts w:ascii="Arial" w:cs="Arial" w:eastAsia="Arial" w:hAnsi="Arial"/>
                <w:sz w:val="22"/>
                <w:szCs w:val="22"/>
                <w:color w:val="auto"/>
              </w:rPr>
              <w:t>+853 8792 1659 / 8792 0308</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860" w:type="dxa"/>
            <w:vAlign w:val="bottom"/>
            <w:gridSpan w:val="2"/>
          </w:tcPr>
          <w:p>
            <w:pPr>
              <w:spacing w:after="0"/>
              <w:rPr>
                <w:sz w:val="20"/>
                <w:szCs w:val="20"/>
                <w:color w:val="auto"/>
              </w:rPr>
            </w:pPr>
            <w:r>
              <w:rPr>
                <w:rFonts w:ascii="Arial" w:cs="Arial" w:eastAsia="Arial" w:hAnsi="Arial"/>
                <w:sz w:val="22"/>
                <w:szCs w:val="22"/>
                <w:color w:val="auto"/>
              </w:rPr>
              <w:t>Mr. James Wong / Ms. Iris Ieong</w:t>
            </w:r>
          </w:p>
        </w:tc>
      </w:tr>
    </w:tbl>
    <w:p>
      <w:pPr>
        <w:sectPr>
          <w:pgSz w:w="11900" w:h="16838" w:orient="portrait"/>
          <w:cols w:equalWidth="0" w:num="1">
            <w:col w:w="10219"/>
          </w:cols>
          <w:pgMar w:left="240" w:top="882" w:right="1440"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b w:val="1"/>
          <w:bCs w:val="1"/>
          <w:color w:val="auto"/>
        </w:rPr>
        <w:t>BNP PARIBAS HONG KONG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Arial" w:cs="Arial" w:eastAsia="Arial" w:hAnsi="Arial"/>
                <w:sz w:val="22"/>
                <w:szCs w:val="22"/>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Mary Hse</w:t>
            </w:r>
          </w:p>
        </w:tc>
        <w:tc>
          <w:tcPr>
            <w:tcW w:w="5660" w:type="dxa"/>
            <w:vAlign w:val="bottom"/>
            <w:gridSpan w:val="2"/>
          </w:tcPr>
          <w:p>
            <w:pPr>
              <w:spacing w:after="0"/>
              <w:rPr>
                <w:sz w:val="21"/>
                <w:szCs w:val="21"/>
                <w:color w:val="auto"/>
              </w:rPr>
            </w:pPr>
          </w:p>
        </w:tc>
      </w:tr>
      <w:tr>
        <w:trPr>
          <w:trHeight w:val="682"/>
        </w:trPr>
        <w:tc>
          <w:tcPr>
            <w:tcW w:w="1400" w:type="dxa"/>
            <w:vAlign w:val="bottom"/>
          </w:tcPr>
          <w:p>
            <w:pPr>
              <w:spacing w:after="0"/>
              <w:rPr>
                <w:sz w:val="20"/>
                <w:szCs w:val="20"/>
                <w:color w:val="auto"/>
              </w:rPr>
            </w:pPr>
            <w:r>
              <w:rPr>
                <w:rFonts w:ascii="Arial" w:cs="Arial" w:eastAsia="Arial" w:hAnsi="Arial"/>
                <w:sz w:val="22"/>
                <w:szCs w:val="22"/>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/s/ Charmaine Lo</w:t>
            </w:r>
          </w:p>
        </w:tc>
        <w:tc>
          <w:tcPr>
            <w:tcW w:w="5280" w:type="dxa"/>
            <w:vAlign w:val="bottom"/>
          </w:tcPr>
          <w:p>
            <w:pPr>
              <w:spacing w:after="0"/>
              <w:rPr>
                <w:sz w:val="24"/>
                <w:szCs w:val="24"/>
                <w:color w:val="auto"/>
              </w:rPr>
            </w:pPr>
          </w:p>
        </w:tc>
      </w:tr>
      <w:tr>
        <w:trPr>
          <w:trHeight w:val="733"/>
        </w:trPr>
        <w:tc>
          <w:tcPr>
            <w:tcW w:w="1400" w:type="dxa"/>
            <w:vAlign w:val="bottom"/>
          </w:tcPr>
          <w:p>
            <w:pPr>
              <w:spacing w:after="0"/>
              <w:rPr>
                <w:sz w:val="20"/>
                <w:szCs w:val="20"/>
                <w:color w:val="auto"/>
              </w:rPr>
            </w:pPr>
            <w:r>
              <w:rPr>
                <w:rFonts w:ascii="Arial" w:cs="Arial" w:eastAsia="Arial" w:hAnsi="Arial"/>
                <w:sz w:val="22"/>
                <w:szCs w:val="22"/>
                <w:color w:val="auto"/>
              </w:rPr>
              <w:t>Address:</w:t>
            </w:r>
          </w:p>
        </w:tc>
        <w:tc>
          <w:tcPr>
            <w:tcW w:w="6780" w:type="dxa"/>
            <w:vAlign w:val="bottom"/>
            <w:gridSpan w:val="3"/>
          </w:tcPr>
          <w:p>
            <w:pPr>
              <w:spacing w:after="0"/>
              <w:rPr>
                <w:sz w:val="20"/>
                <w:szCs w:val="20"/>
                <w:color w:val="auto"/>
              </w:rPr>
            </w:pPr>
            <w:r>
              <w:rPr>
                <w:rFonts w:ascii="Arial" w:cs="Arial" w:eastAsia="Arial" w:hAnsi="Arial"/>
                <w:sz w:val="22"/>
                <w:szCs w:val="22"/>
                <w:color w:val="auto"/>
                <w:w w:val="88"/>
              </w:rPr>
              <w:t>63/F, Two International Finance Centre, 8 Finance Street, Central, Hong Kong</w:t>
            </w:r>
          </w:p>
        </w:tc>
      </w:tr>
      <w:tr>
        <w:trPr>
          <w:trHeight w:val="702"/>
        </w:trPr>
        <w:tc>
          <w:tcPr>
            <w:tcW w:w="1400" w:type="dxa"/>
            <w:vAlign w:val="bottom"/>
          </w:tcPr>
          <w:p>
            <w:pPr>
              <w:spacing w:after="0"/>
              <w:rPr>
                <w:sz w:val="20"/>
                <w:szCs w:val="20"/>
                <w:color w:val="auto"/>
              </w:rPr>
            </w:pPr>
            <w:r>
              <w:rPr>
                <w:rFonts w:ascii="Arial" w:cs="Arial" w:eastAsia="Arial" w:hAnsi="Arial"/>
                <w:sz w:val="22"/>
                <w:szCs w:val="22"/>
                <w:color w:val="auto"/>
              </w:rPr>
              <w:t>Fax:</w:t>
            </w:r>
          </w:p>
        </w:tc>
        <w:tc>
          <w:tcPr>
            <w:tcW w:w="1500" w:type="dxa"/>
            <w:vAlign w:val="bottom"/>
            <w:gridSpan w:val="2"/>
          </w:tcPr>
          <w:p>
            <w:pPr>
              <w:spacing w:after="0"/>
              <w:rPr>
                <w:sz w:val="20"/>
                <w:szCs w:val="20"/>
                <w:color w:val="auto"/>
              </w:rPr>
            </w:pPr>
            <w:r>
              <w:rPr>
                <w:rFonts w:ascii="Arial" w:cs="Arial" w:eastAsia="Arial" w:hAnsi="Arial"/>
                <w:sz w:val="22"/>
                <w:szCs w:val="22"/>
                <w:color w:val="auto"/>
              </w:rPr>
              <w:t>852 2970 0296</w:t>
            </w:r>
          </w:p>
        </w:tc>
        <w:tc>
          <w:tcPr>
            <w:tcW w:w="5280" w:type="dxa"/>
            <w:vAlign w:val="bottom"/>
          </w:tcPr>
          <w:p>
            <w:pPr>
              <w:spacing w:after="0"/>
              <w:rPr>
                <w:sz w:val="24"/>
                <w:szCs w:val="24"/>
                <w:color w:val="auto"/>
              </w:rPr>
            </w:pPr>
          </w:p>
        </w:tc>
      </w:tr>
      <w:tr>
        <w:trPr>
          <w:trHeight w:val="702"/>
        </w:trPr>
        <w:tc>
          <w:tcPr>
            <w:tcW w:w="1400" w:type="dxa"/>
            <w:vAlign w:val="bottom"/>
          </w:tcPr>
          <w:p>
            <w:pPr>
              <w:spacing w:after="0"/>
              <w:rPr>
                <w:sz w:val="20"/>
                <w:szCs w:val="20"/>
                <w:color w:val="auto"/>
              </w:rPr>
            </w:pPr>
            <w:r>
              <w:rPr>
                <w:rFonts w:ascii="Arial" w:cs="Arial" w:eastAsia="Arial" w:hAnsi="Arial"/>
                <w:sz w:val="22"/>
                <w:szCs w:val="22"/>
                <w:color w:val="auto"/>
              </w:rPr>
              <w:t>Attention:</w:t>
            </w:r>
          </w:p>
        </w:tc>
        <w:tc>
          <w:tcPr>
            <w:tcW w:w="6780" w:type="dxa"/>
            <w:vAlign w:val="bottom"/>
            <w:gridSpan w:val="3"/>
          </w:tcPr>
          <w:p>
            <w:pPr>
              <w:spacing w:after="0"/>
              <w:rPr>
                <w:sz w:val="20"/>
                <w:szCs w:val="20"/>
                <w:color w:val="auto"/>
              </w:rPr>
            </w:pPr>
            <w:r>
              <w:rPr>
                <w:rFonts w:ascii="Arial" w:cs="Arial" w:eastAsia="Arial" w:hAnsi="Arial"/>
                <w:sz w:val="22"/>
                <w:szCs w:val="22"/>
                <w:color w:val="auto"/>
              </w:rPr>
              <w:t>Joshua Lau</w:t>
            </w:r>
          </w:p>
        </w:tc>
      </w:tr>
    </w:tbl>
    <w:p>
      <w:pPr>
        <w:sectPr>
          <w:pgSz w:w="11900" w:h="16838" w:orient="portrait"/>
          <w:cols w:equalWidth="0" w:num="1">
            <w:col w:w="10219"/>
          </w:cols>
          <w:pgMar w:left="240" w:top="882" w:right="1440" w:bottom="1440" w:gutter="0" w:footer="0" w:header="0"/>
        </w:sectPr>
      </w:pPr>
    </w:p>
    <w:bookmarkStart w:id="260" w:name="page261"/>
    <w:bookmarkEnd w:id="2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20" w:type="dxa"/>
            <w:vAlign w:val="bottom"/>
          </w:tcPr>
          <w:p>
            <w:pPr>
              <w:spacing w:after="0"/>
              <w:rPr>
                <w:sz w:val="20"/>
                <w:szCs w:val="20"/>
                <w:color w:val="auto"/>
              </w:rPr>
            </w:pPr>
            <w:r>
              <w:rPr>
                <w:rFonts w:ascii="Arial" w:cs="Arial" w:eastAsia="Arial" w:hAnsi="Arial"/>
                <w:sz w:val="22"/>
                <w:szCs w:val="22"/>
                <w:b w:val="1"/>
                <w:bCs w:val="1"/>
                <w:color w:val="auto"/>
              </w:rPr>
              <w:t>DBS BANK LTD.</w:t>
            </w:r>
          </w:p>
        </w:tc>
        <w:tc>
          <w:tcPr>
            <w:tcW w:w="16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71"/>
        </w:trPr>
        <w:tc>
          <w:tcPr>
            <w:tcW w:w="2120" w:type="dxa"/>
            <w:vAlign w:val="bottom"/>
          </w:tcPr>
          <w:p>
            <w:pPr>
              <w:ind w:left="40"/>
              <w:spacing w:after="0"/>
              <w:rPr>
                <w:sz w:val="20"/>
                <w:szCs w:val="20"/>
                <w:color w:val="auto"/>
              </w:rPr>
            </w:pPr>
            <w:r>
              <w:rPr>
                <w:rFonts w:ascii="Arial" w:cs="Arial" w:eastAsia="Arial" w:hAnsi="Arial"/>
                <w:sz w:val="22"/>
                <w:szCs w:val="22"/>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Benjamin Wong</w:t>
            </w:r>
          </w:p>
        </w:tc>
        <w:tc>
          <w:tcPr>
            <w:tcW w:w="3940" w:type="dxa"/>
            <w:vAlign w:val="bottom"/>
          </w:tcPr>
          <w:p>
            <w:pPr>
              <w:spacing w:after="0"/>
              <w:rPr>
                <w:sz w:val="24"/>
                <w:szCs w:val="24"/>
                <w:color w:val="auto"/>
              </w:rPr>
            </w:pPr>
          </w:p>
        </w:tc>
      </w:tr>
      <w:tr>
        <w:trPr>
          <w:trHeight w:val="733"/>
        </w:trPr>
        <w:tc>
          <w:tcPr>
            <w:tcW w:w="2120" w:type="dxa"/>
            <w:vAlign w:val="bottom"/>
          </w:tcPr>
          <w:p>
            <w:pPr>
              <w:ind w:left="40"/>
              <w:spacing w:after="0"/>
              <w:rPr>
                <w:sz w:val="20"/>
                <w:szCs w:val="20"/>
                <w:color w:val="auto"/>
              </w:rPr>
            </w:pPr>
            <w:r>
              <w:rPr>
                <w:rFonts w:ascii="Arial" w:cs="Arial" w:eastAsia="Arial" w:hAnsi="Arial"/>
                <w:sz w:val="22"/>
                <w:szCs w:val="22"/>
                <w:color w:val="auto"/>
              </w:rPr>
              <w:t>Address:</w:t>
            </w:r>
          </w:p>
        </w:tc>
        <w:tc>
          <w:tcPr>
            <w:tcW w:w="5600" w:type="dxa"/>
            <w:vAlign w:val="bottom"/>
            <w:gridSpan w:val="2"/>
          </w:tcPr>
          <w:p>
            <w:pPr>
              <w:spacing w:after="0"/>
              <w:rPr>
                <w:sz w:val="20"/>
                <w:szCs w:val="20"/>
                <w:color w:val="auto"/>
              </w:rPr>
            </w:pPr>
            <w:r>
              <w:rPr>
                <w:rFonts w:ascii="Arial" w:cs="Arial" w:eastAsia="Arial" w:hAnsi="Arial"/>
                <w:sz w:val="22"/>
                <w:szCs w:val="22"/>
                <w:color w:val="auto"/>
              </w:rPr>
              <w:t>DBS Bank Ltd.</w:t>
            </w: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Tel:</w:t>
            </w:r>
          </w:p>
        </w:tc>
        <w:tc>
          <w:tcPr>
            <w:tcW w:w="5600" w:type="dxa"/>
            <w:vAlign w:val="bottom"/>
            <w:gridSpan w:val="2"/>
          </w:tcPr>
          <w:p>
            <w:pPr>
              <w:spacing w:after="0"/>
              <w:rPr>
                <w:sz w:val="20"/>
                <w:szCs w:val="20"/>
                <w:color w:val="auto"/>
              </w:rPr>
            </w:pPr>
            <w:r>
              <w:rPr>
                <w:rFonts w:ascii="Arial" w:cs="Arial" w:eastAsia="Arial" w:hAnsi="Arial"/>
                <w:sz w:val="22"/>
                <w:szCs w:val="22"/>
                <w:color w:val="auto"/>
                <w:w w:val="88"/>
              </w:rPr>
              <w:t>18/F, The Center, 99 Queen’s Road Central, Central, Hong Kong</w:t>
            </w: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Fax:</w:t>
            </w:r>
          </w:p>
        </w:tc>
        <w:tc>
          <w:tcPr>
            <w:tcW w:w="1660" w:type="dxa"/>
            <w:vAlign w:val="bottom"/>
          </w:tcPr>
          <w:p>
            <w:pPr>
              <w:spacing w:after="0"/>
              <w:rPr>
                <w:sz w:val="20"/>
                <w:szCs w:val="20"/>
                <w:color w:val="auto"/>
              </w:rPr>
            </w:pPr>
            <w:r>
              <w:rPr>
                <w:rFonts w:ascii="Arial" w:cs="Arial" w:eastAsia="Arial" w:hAnsi="Arial"/>
                <w:sz w:val="22"/>
                <w:szCs w:val="22"/>
                <w:color w:val="auto"/>
              </w:rPr>
              <w:t>852 2596 0577</w:t>
            </w:r>
          </w:p>
        </w:tc>
        <w:tc>
          <w:tcPr>
            <w:tcW w:w="3940" w:type="dxa"/>
            <w:vAlign w:val="bottom"/>
          </w:tcPr>
          <w:p>
            <w:pPr>
              <w:spacing w:after="0"/>
              <w:rPr>
                <w:sz w:val="24"/>
                <w:szCs w:val="24"/>
                <w:color w:val="auto"/>
              </w:rPr>
            </w:pPr>
          </w:p>
        </w:tc>
      </w:tr>
      <w:tr>
        <w:trPr>
          <w:trHeight w:val="702"/>
        </w:trPr>
        <w:tc>
          <w:tcPr>
            <w:tcW w:w="2120" w:type="dxa"/>
            <w:vAlign w:val="bottom"/>
          </w:tcPr>
          <w:p>
            <w:pPr>
              <w:ind w:left="40"/>
              <w:spacing w:after="0"/>
              <w:rPr>
                <w:sz w:val="20"/>
                <w:szCs w:val="20"/>
                <w:color w:val="auto"/>
              </w:rPr>
            </w:pPr>
            <w:r>
              <w:rPr>
                <w:rFonts w:ascii="Arial" w:cs="Arial" w:eastAsia="Arial" w:hAnsi="Arial"/>
                <w:sz w:val="22"/>
                <w:szCs w:val="22"/>
                <w:color w:val="auto"/>
              </w:rPr>
              <w:t>Attention:</w:t>
            </w:r>
          </w:p>
        </w:tc>
        <w:tc>
          <w:tcPr>
            <w:tcW w:w="5600" w:type="dxa"/>
            <w:vAlign w:val="bottom"/>
            <w:gridSpan w:val="2"/>
          </w:tcPr>
          <w:p>
            <w:pPr>
              <w:spacing w:after="0"/>
              <w:rPr>
                <w:sz w:val="20"/>
                <w:szCs w:val="20"/>
                <w:color w:val="auto"/>
              </w:rPr>
            </w:pPr>
            <w:r>
              <w:rPr>
                <w:rFonts w:ascii="Arial" w:cs="Arial" w:eastAsia="Arial" w:hAnsi="Arial"/>
                <w:sz w:val="22"/>
                <w:szCs w:val="22"/>
                <w:color w:val="auto"/>
              </w:rPr>
              <w:t>Mr. Colum Ting</w:t>
            </w:r>
          </w:p>
        </w:tc>
      </w:tr>
    </w:tbl>
    <w:p>
      <w:pPr>
        <w:sectPr>
          <w:pgSz w:w="11900" w:h="16838" w:orient="portrait"/>
          <w:cols w:equalWidth="0" w:num="1">
            <w:col w:w="10219"/>
          </w:cols>
          <w:pgMar w:left="240" w:top="882" w:right="1440"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b w:val="1"/>
          <w:bCs w:val="1"/>
          <w:color w:val="auto"/>
        </w:rPr>
        <w:t>INDUSTRIAL AND COMMERCIAL BANK OF CHINA (MACAU) LIMITED</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6260" w:type="dxa"/>
            <w:vAlign w:val="bottom"/>
            <w:gridSpan w:val="3"/>
          </w:tcPr>
          <w:p>
            <w:pPr>
              <w:spacing w:after="0"/>
              <w:rPr>
                <w:sz w:val="20"/>
                <w:szCs w:val="20"/>
                <w:color w:val="auto"/>
              </w:rPr>
            </w:pPr>
            <w:r>
              <w:rPr>
                <w:rFonts w:ascii="Arial" w:cs="Arial" w:eastAsia="Arial" w:hAnsi="Arial"/>
                <w:sz w:val="22"/>
                <w:szCs w:val="22"/>
                <w:color w:val="auto"/>
              </w:rPr>
              <w:t>/s/ Lui Kwok Tai</w:t>
            </w:r>
          </w:p>
        </w:tc>
      </w:tr>
      <w:tr>
        <w:trPr>
          <w:trHeight w:val="20"/>
        </w:trPr>
        <w:tc>
          <w:tcPr>
            <w:tcW w:w="20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6260" w:type="dxa"/>
            <w:vAlign w:val="bottom"/>
            <w:gridSpan w:val="3"/>
          </w:tcPr>
          <w:p>
            <w:pPr>
              <w:spacing w:after="0"/>
              <w:rPr>
                <w:sz w:val="20"/>
                <w:szCs w:val="20"/>
                <w:color w:val="auto"/>
              </w:rPr>
            </w:pPr>
            <w:r>
              <w:rPr>
                <w:rFonts w:ascii="Arial" w:cs="Arial" w:eastAsia="Arial" w:hAnsi="Arial"/>
                <w:sz w:val="22"/>
                <w:szCs w:val="22"/>
                <w:color w:val="auto"/>
              </w:rPr>
              <w:t>/s/ Zheng Zhiguo</w:t>
            </w:r>
          </w:p>
        </w:tc>
      </w:tr>
      <w:tr>
        <w:trPr>
          <w:trHeight w:val="20"/>
        </w:trPr>
        <w:tc>
          <w:tcPr>
            <w:tcW w:w="20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6260" w:type="dxa"/>
            <w:vAlign w:val="bottom"/>
            <w:gridSpan w:val="3"/>
          </w:tcPr>
          <w:p>
            <w:pPr>
              <w:spacing w:after="0"/>
              <w:rPr>
                <w:sz w:val="20"/>
                <w:szCs w:val="20"/>
                <w:color w:val="auto"/>
              </w:rPr>
            </w:pPr>
            <w:r>
              <w:rPr>
                <w:rFonts w:ascii="Arial" w:cs="Arial" w:eastAsia="Arial" w:hAnsi="Arial"/>
                <w:sz w:val="22"/>
                <w:szCs w:val="22"/>
                <w:color w:val="auto"/>
                <w:w w:val="89"/>
              </w:rPr>
              <w:t>18/F., ICBC Tower, Macau Landmark, 555 Avenida da Amizade,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6260" w:type="dxa"/>
            <w:vAlign w:val="bottom"/>
            <w:gridSpan w:val="3"/>
          </w:tcPr>
          <w:p>
            <w:pPr>
              <w:spacing w:after="0"/>
              <w:rPr>
                <w:sz w:val="20"/>
                <w:szCs w:val="20"/>
                <w:color w:val="auto"/>
              </w:rPr>
            </w:pPr>
            <w:r>
              <w:rPr>
                <w:rFonts w:ascii="Arial" w:cs="Arial" w:eastAsia="Arial" w:hAnsi="Arial"/>
                <w:sz w:val="22"/>
                <w:szCs w:val="22"/>
                <w:color w:val="auto"/>
              </w:rPr>
              <w:t>+853 8398 2160/ +853 2858 4496</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260" w:type="dxa"/>
            <w:vAlign w:val="bottom"/>
            <w:gridSpan w:val="3"/>
          </w:tcPr>
          <w:p>
            <w:pPr>
              <w:spacing w:after="0"/>
              <w:rPr>
                <w:sz w:val="20"/>
                <w:szCs w:val="20"/>
                <w:color w:val="auto"/>
              </w:rPr>
            </w:pPr>
            <w:r>
              <w:rPr>
                <w:rFonts w:ascii="Arial" w:cs="Arial" w:eastAsia="Arial" w:hAnsi="Arial"/>
                <w:sz w:val="22"/>
                <w:szCs w:val="22"/>
                <w:color w:val="auto"/>
              </w:rPr>
              <w:t>Alex Li / Eric Chan/ Linda Chan / Selene Ren/ Stephanie Guo</w:t>
            </w:r>
          </w:p>
        </w:tc>
      </w:tr>
    </w:tbl>
    <w:p>
      <w:pPr>
        <w:sectPr>
          <w:pgSz w:w="11900" w:h="16838" w:orient="portrait"/>
          <w:cols w:equalWidth="0" w:num="1">
            <w:col w:w="10219"/>
          </w:cols>
          <w:pgMar w:left="240" w:top="882" w:right="1440"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b w:val="1"/>
          <w:bCs w:val="1"/>
          <w:color w:val="auto"/>
        </w:rPr>
        <w:t>THE BANK OF NOVA SCOTIA</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Andy Poon</w:t>
            </w:r>
          </w:p>
        </w:tc>
        <w:tc>
          <w:tcPr>
            <w:tcW w:w="444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5680" w:type="dxa"/>
            <w:vAlign w:val="bottom"/>
            <w:gridSpan w:val="2"/>
          </w:tcPr>
          <w:p>
            <w:pPr>
              <w:spacing w:after="0"/>
              <w:rPr>
                <w:sz w:val="20"/>
                <w:szCs w:val="20"/>
                <w:color w:val="auto"/>
              </w:rPr>
            </w:pPr>
            <w:r>
              <w:rPr>
                <w:rFonts w:ascii="Arial" w:cs="Arial" w:eastAsia="Arial" w:hAnsi="Arial"/>
                <w:sz w:val="22"/>
                <w:szCs w:val="22"/>
                <w:color w:val="auto"/>
                <w:w w:val="88"/>
              </w:rPr>
              <w:t>Suite 2401, Central Tower, 28 Queen’s Road Central, 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5680" w:type="dxa"/>
            <w:vAlign w:val="bottom"/>
            <w:gridSpan w:val="2"/>
          </w:tcPr>
          <w:p>
            <w:pPr>
              <w:spacing w:after="0"/>
              <w:rPr>
                <w:sz w:val="20"/>
                <w:szCs w:val="20"/>
                <w:color w:val="auto"/>
              </w:rPr>
            </w:pPr>
            <w:r>
              <w:rPr>
                <w:rFonts w:ascii="Arial" w:cs="Arial" w:eastAsia="Arial" w:hAnsi="Arial"/>
                <w:sz w:val="22"/>
                <w:szCs w:val="22"/>
                <w:color w:val="auto"/>
              </w:rPr>
              <w:t>852 2527 2526</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680" w:type="dxa"/>
            <w:vAlign w:val="bottom"/>
            <w:gridSpan w:val="2"/>
          </w:tcPr>
          <w:p>
            <w:pPr>
              <w:spacing w:after="0"/>
              <w:rPr>
                <w:sz w:val="20"/>
                <w:szCs w:val="20"/>
                <w:color w:val="auto"/>
              </w:rPr>
            </w:pPr>
            <w:r>
              <w:rPr>
                <w:rFonts w:ascii="Arial" w:cs="Arial" w:eastAsia="Arial" w:hAnsi="Arial"/>
                <w:sz w:val="22"/>
                <w:szCs w:val="22"/>
                <w:color w:val="auto"/>
              </w:rPr>
              <w:t>Kenneth Ho / Philip 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With a copy to:</w:t>
            </w:r>
          </w:p>
        </w:tc>
        <w:tc>
          <w:tcPr>
            <w:tcW w:w="124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702"/>
        </w:trPr>
        <w:tc>
          <w:tcPr>
            <w:tcW w:w="20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The Bank of Nova Scotia, Singapore Branch</w:t>
            </w:r>
          </w:p>
        </w:tc>
      </w:tr>
      <w:tr>
        <w:trPr>
          <w:trHeight w:val="702"/>
        </w:trPr>
        <w:tc>
          <w:tcPr>
            <w:tcW w:w="20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1 Raffles Quay, #20-01 North Tower, Singapore 048583</w:t>
            </w:r>
          </w:p>
        </w:tc>
      </w:tr>
      <w:tr>
        <w:trPr>
          <w:trHeight w:val="702"/>
        </w:trPr>
        <w:tc>
          <w:tcPr>
            <w:tcW w:w="20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Fax: +65 6534 7817</w:t>
            </w:r>
          </w:p>
        </w:tc>
      </w:tr>
      <w:tr>
        <w:trPr>
          <w:trHeight w:val="702"/>
        </w:trPr>
        <w:tc>
          <w:tcPr>
            <w:tcW w:w="20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2"/>
                <w:szCs w:val="22"/>
                <w:color w:val="auto"/>
              </w:rPr>
              <w:t>Attention: Leong Soon Cheong</w:t>
            </w:r>
          </w:p>
        </w:tc>
      </w:tr>
    </w:tbl>
    <w:p>
      <w:pPr>
        <w:sectPr>
          <w:pgSz w:w="11900" w:h="16838" w:orient="portrait"/>
          <w:cols w:equalWidth="0" w:num="1">
            <w:col w:w="10219"/>
          </w:cols>
          <w:pgMar w:left="240" w:top="841" w:right="1440"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b w:val="1"/>
          <w:bCs w:val="1"/>
          <w:color w:val="auto"/>
        </w:rPr>
        <w:t>UNITED OVERSEAS BANK LIMITED</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7300" w:type="dxa"/>
            <w:vAlign w:val="bottom"/>
            <w:gridSpan w:val="2"/>
          </w:tcPr>
          <w:p>
            <w:pPr>
              <w:spacing w:after="0"/>
              <w:rPr>
                <w:sz w:val="20"/>
                <w:szCs w:val="20"/>
                <w:color w:val="auto"/>
              </w:rPr>
            </w:pPr>
            <w:r>
              <w:rPr>
                <w:rFonts w:ascii="Arial" w:cs="Arial" w:eastAsia="Arial" w:hAnsi="Arial"/>
                <w:sz w:val="22"/>
                <w:szCs w:val="22"/>
                <w:color w:val="auto"/>
              </w:rPr>
              <w:t>/s/ George Tung</w:t>
            </w:r>
          </w:p>
        </w:tc>
      </w:tr>
      <w:tr>
        <w:trPr>
          <w:trHeight w:val="20"/>
        </w:trPr>
        <w:tc>
          <w:tcPr>
            <w:tcW w:w="2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7300" w:type="dxa"/>
            <w:vAlign w:val="bottom"/>
            <w:gridSpan w:val="2"/>
          </w:tcPr>
          <w:p>
            <w:pPr>
              <w:spacing w:after="0"/>
              <w:rPr>
                <w:sz w:val="20"/>
                <w:szCs w:val="20"/>
                <w:color w:val="auto"/>
              </w:rPr>
            </w:pPr>
            <w:r>
              <w:rPr>
                <w:rFonts w:ascii="Arial" w:cs="Arial" w:eastAsia="Arial" w:hAnsi="Arial"/>
                <w:sz w:val="22"/>
                <w:szCs w:val="22"/>
                <w:color w:val="auto"/>
              </w:rPr>
              <w:t>23/F., 3 Garden Road, Central, 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7300" w:type="dxa"/>
            <w:vAlign w:val="bottom"/>
            <w:gridSpan w:val="2"/>
          </w:tcPr>
          <w:p>
            <w:pPr>
              <w:spacing w:after="0"/>
              <w:rPr>
                <w:sz w:val="20"/>
                <w:szCs w:val="20"/>
                <w:color w:val="auto"/>
              </w:rPr>
            </w:pPr>
            <w:r>
              <w:rPr>
                <w:rFonts w:ascii="Arial" w:cs="Arial" w:eastAsia="Arial" w:hAnsi="Arial"/>
                <w:sz w:val="22"/>
                <w:szCs w:val="22"/>
                <w:color w:val="auto"/>
              </w:rPr>
              <w:t>+852 2596 0113/852 2501 5738</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7300" w:type="dxa"/>
            <w:vAlign w:val="bottom"/>
            <w:gridSpan w:val="2"/>
          </w:tcPr>
          <w:p>
            <w:pPr>
              <w:spacing w:after="0"/>
              <w:rPr>
                <w:sz w:val="20"/>
                <w:szCs w:val="20"/>
                <w:color w:val="auto"/>
              </w:rPr>
            </w:pPr>
            <w:r>
              <w:rPr>
                <w:rFonts w:ascii="Arial" w:cs="Arial" w:eastAsia="Arial" w:hAnsi="Arial"/>
                <w:sz w:val="22"/>
                <w:szCs w:val="22"/>
                <w:color w:val="auto"/>
              </w:rPr>
              <w:t>Mr. Lawrence Cheung / Ms. Wanna So / Mr. Herman Tsong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With a copy to:</w:t>
            </w:r>
          </w:p>
        </w:tc>
        <w:tc>
          <w:tcPr>
            <w:tcW w:w="138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671"/>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7300" w:type="dxa"/>
            <w:vAlign w:val="bottom"/>
            <w:gridSpan w:val="2"/>
          </w:tcPr>
          <w:p>
            <w:pPr>
              <w:spacing w:after="0"/>
              <w:rPr>
                <w:sz w:val="20"/>
                <w:szCs w:val="20"/>
                <w:color w:val="auto"/>
              </w:rPr>
            </w:pPr>
            <w:r>
              <w:rPr>
                <w:rFonts w:ascii="Arial" w:cs="Arial" w:eastAsia="Arial" w:hAnsi="Arial"/>
                <w:sz w:val="22"/>
                <w:szCs w:val="22"/>
                <w:color w:val="auto"/>
                <w:w w:val="93"/>
              </w:rPr>
              <w:t>Unit 11-16, 16/F Millennium City 5, 418 Kwun Tong Road, Kwun Tong, Kowloon,</w:t>
            </w:r>
          </w:p>
        </w:tc>
      </w:tr>
      <w:tr>
        <w:trPr>
          <w:trHeight w:val="275"/>
        </w:trPr>
        <w:tc>
          <w:tcPr>
            <w:tcW w:w="208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380" w:type="dxa"/>
            <w:vAlign w:val="bottom"/>
          </w:tcPr>
          <w:p>
            <w:pPr>
              <w:spacing w:after="0"/>
              <w:rPr>
                <w:sz w:val="20"/>
                <w:szCs w:val="20"/>
                <w:color w:val="auto"/>
              </w:rPr>
            </w:pPr>
            <w:r>
              <w:rPr>
                <w:rFonts w:ascii="Arial" w:cs="Arial" w:eastAsia="Arial" w:hAnsi="Arial"/>
                <w:sz w:val="22"/>
                <w:szCs w:val="22"/>
                <w:color w:val="auto"/>
                <w:w w:val="92"/>
              </w:rPr>
              <w:t>852 2501 5738</w:t>
            </w:r>
          </w:p>
        </w:tc>
        <w:tc>
          <w:tcPr>
            <w:tcW w:w="592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7300" w:type="dxa"/>
            <w:vAlign w:val="bottom"/>
            <w:gridSpan w:val="2"/>
          </w:tcPr>
          <w:p>
            <w:pPr>
              <w:spacing w:after="0"/>
              <w:rPr>
                <w:sz w:val="20"/>
                <w:szCs w:val="20"/>
                <w:color w:val="auto"/>
              </w:rPr>
            </w:pPr>
            <w:r>
              <w:rPr>
                <w:rFonts w:ascii="Arial" w:cs="Arial" w:eastAsia="Arial" w:hAnsi="Arial"/>
                <w:sz w:val="22"/>
                <w:szCs w:val="22"/>
                <w:color w:val="auto"/>
              </w:rPr>
              <w:t>Ms. Wanna So / Mr. Herman Tsong / Ms. Carrie Ng / Mr. Terry Wong</w:t>
            </w:r>
          </w:p>
        </w:tc>
      </w:tr>
    </w:tbl>
    <w:p>
      <w:pPr>
        <w:sectPr>
          <w:pgSz w:w="11900" w:h="16838" w:orient="portrait"/>
          <w:cols w:equalWidth="0" w:num="1">
            <w:col w:w="10219"/>
          </w:cols>
          <w:pgMar w:left="240" w:top="842" w:right="1440"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b w:val="1"/>
          <w:bCs w:val="1"/>
          <w:color w:val="auto"/>
        </w:rPr>
        <w:t>SUMITOMO MITSUI BANKING CORPORATION</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Hideo Notsu</w:t>
            </w:r>
          </w:p>
        </w:tc>
        <w:tc>
          <w:tcPr>
            <w:tcW w:w="212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3480" w:type="dxa"/>
            <w:vAlign w:val="bottom"/>
            <w:gridSpan w:val="2"/>
          </w:tcPr>
          <w:p>
            <w:pPr>
              <w:spacing w:after="0"/>
              <w:rPr>
                <w:sz w:val="20"/>
                <w:szCs w:val="20"/>
                <w:color w:val="auto"/>
              </w:rPr>
            </w:pPr>
            <w:r>
              <w:rPr>
                <w:rFonts w:ascii="Arial" w:cs="Arial" w:eastAsia="Arial" w:hAnsi="Arial"/>
                <w:sz w:val="22"/>
                <w:szCs w:val="22"/>
                <w:color w:val="auto"/>
                <w:w w:val="89"/>
              </w:rPr>
              <w:t>277 Park Avenue, New York, NY 10172</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360" w:type="dxa"/>
            <w:vAlign w:val="bottom"/>
          </w:tcPr>
          <w:p>
            <w:pPr>
              <w:spacing w:after="0"/>
              <w:rPr>
                <w:sz w:val="20"/>
                <w:szCs w:val="20"/>
                <w:color w:val="auto"/>
              </w:rPr>
            </w:pPr>
            <w:r>
              <w:rPr>
                <w:rFonts w:ascii="Arial" w:cs="Arial" w:eastAsia="Arial" w:hAnsi="Arial"/>
                <w:sz w:val="22"/>
                <w:szCs w:val="22"/>
                <w:color w:val="auto"/>
                <w:w w:val="97"/>
              </w:rPr>
              <w:t>212-224-4887</w:t>
            </w:r>
          </w:p>
        </w:tc>
        <w:tc>
          <w:tcPr>
            <w:tcW w:w="212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3480" w:type="dxa"/>
            <w:vAlign w:val="bottom"/>
            <w:gridSpan w:val="2"/>
          </w:tcPr>
          <w:p>
            <w:pPr>
              <w:spacing w:after="0"/>
              <w:rPr>
                <w:sz w:val="20"/>
                <w:szCs w:val="20"/>
                <w:color w:val="auto"/>
              </w:rPr>
            </w:pPr>
            <w:r>
              <w:rPr>
                <w:rFonts w:ascii="Arial" w:cs="Arial" w:eastAsia="Arial" w:hAnsi="Arial"/>
                <w:sz w:val="22"/>
                <w:szCs w:val="22"/>
                <w:color w:val="auto"/>
              </w:rPr>
              <w:t>John Corrigan</w:t>
            </w:r>
          </w:p>
        </w:tc>
      </w:tr>
    </w:tbl>
    <w:p>
      <w:pPr>
        <w:sectPr>
          <w:pgSz w:w="11900" w:h="16838" w:orient="portrait"/>
          <w:cols w:equalWidth="0" w:num="1">
            <w:col w:w="10219"/>
          </w:cols>
          <w:pgMar w:left="240" w:top="841" w:right="1440"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b w:val="1"/>
          <w:bCs w:val="1"/>
          <w:color w:val="auto"/>
        </w:rPr>
        <w:t>The Mandated Lead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COMMUNICATIONS CO., LTD. MACAU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Chen Junliang</w:t>
            </w:r>
          </w:p>
        </w:tc>
        <w:tc>
          <w:tcPr>
            <w:tcW w:w="404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5540" w:type="dxa"/>
            <w:vAlign w:val="bottom"/>
            <w:gridSpan w:val="2"/>
          </w:tcPr>
          <w:p>
            <w:pPr>
              <w:spacing w:after="0"/>
              <w:rPr>
                <w:sz w:val="20"/>
                <w:szCs w:val="20"/>
                <w:color w:val="auto"/>
              </w:rPr>
            </w:pPr>
            <w:r>
              <w:rPr>
                <w:rFonts w:ascii="Arial" w:cs="Arial" w:eastAsia="Arial" w:hAnsi="Arial"/>
                <w:sz w:val="22"/>
                <w:szCs w:val="22"/>
                <w:color w:val="auto"/>
                <w:w w:val="90"/>
              </w:rPr>
              <w:t>15/F, AIA Tower, No. 251A-301, Avenida Comercial De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500" w:type="dxa"/>
            <w:vAlign w:val="bottom"/>
          </w:tcPr>
          <w:p>
            <w:pPr>
              <w:spacing w:after="0"/>
              <w:rPr>
                <w:sz w:val="20"/>
                <w:szCs w:val="20"/>
                <w:color w:val="auto"/>
              </w:rPr>
            </w:pPr>
            <w:r>
              <w:rPr>
                <w:rFonts w:ascii="Arial" w:cs="Arial" w:eastAsia="Arial" w:hAnsi="Arial"/>
                <w:sz w:val="22"/>
                <w:szCs w:val="22"/>
                <w:color w:val="auto"/>
              </w:rPr>
              <w:t>853 2828 6686</w:t>
            </w:r>
          </w:p>
        </w:tc>
        <w:tc>
          <w:tcPr>
            <w:tcW w:w="404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540" w:type="dxa"/>
            <w:vAlign w:val="bottom"/>
            <w:gridSpan w:val="2"/>
          </w:tcPr>
          <w:p>
            <w:pPr>
              <w:spacing w:after="0"/>
              <w:rPr>
                <w:sz w:val="20"/>
                <w:szCs w:val="20"/>
                <w:color w:val="auto"/>
              </w:rPr>
            </w:pPr>
            <w:r>
              <w:rPr>
                <w:rFonts w:ascii="Arial" w:cs="Arial" w:eastAsia="Arial" w:hAnsi="Arial"/>
                <w:sz w:val="22"/>
                <w:szCs w:val="22"/>
                <w:color w:val="auto"/>
              </w:rPr>
              <w:t>Ms. Ariel Tang / Mr. Jacky Lei</w:t>
            </w:r>
          </w:p>
        </w:tc>
      </w:tr>
    </w:tbl>
    <w:p>
      <w:pPr>
        <w:sectPr>
          <w:pgSz w:w="11900" w:h="16838" w:orient="portrait"/>
          <w:cols w:equalWidth="0" w:num="1">
            <w:col w:w="10219"/>
          </w:cols>
          <w:pgMar w:left="240" w:top="882" w:right="1440"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b w:val="1"/>
          <w:bCs w:val="1"/>
          <w:color w:val="auto"/>
        </w:rPr>
        <w:t>DEUTSCHE BANK AG, SINGAPORE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Ananda Chakvavorty</w:t>
            </w:r>
          </w:p>
        </w:tc>
        <w:tc>
          <w:tcPr>
            <w:tcW w:w="3000" w:type="dxa"/>
            <w:vAlign w:val="bottom"/>
          </w:tcPr>
          <w:p>
            <w:pPr>
              <w:spacing w:after="0"/>
              <w:rPr>
                <w:sz w:val="21"/>
                <w:szCs w:val="2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5100" w:type="dxa"/>
            <w:vAlign w:val="bottom"/>
            <w:gridSpan w:val="3"/>
          </w:tcPr>
          <w:p>
            <w:pPr>
              <w:spacing w:after="0"/>
              <w:rPr>
                <w:sz w:val="20"/>
                <w:szCs w:val="20"/>
                <w:color w:val="auto"/>
              </w:rPr>
            </w:pPr>
            <w:r>
              <w:rPr>
                <w:rFonts w:ascii="Arial" w:cs="Arial" w:eastAsia="Arial" w:hAnsi="Arial"/>
                <w:sz w:val="22"/>
                <w:szCs w:val="22"/>
                <w:color w:val="auto"/>
              </w:rPr>
              <w:t>/s/ Piyush Gupta</w:t>
            </w:r>
          </w:p>
        </w:tc>
      </w:tr>
      <w:tr>
        <w:trPr>
          <w:trHeight w:val="20"/>
        </w:trPr>
        <w:tc>
          <w:tcPr>
            <w:tcW w:w="2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5100" w:type="dxa"/>
            <w:vAlign w:val="bottom"/>
            <w:gridSpan w:val="3"/>
          </w:tcPr>
          <w:p>
            <w:pPr>
              <w:spacing w:after="0"/>
              <w:rPr>
                <w:sz w:val="20"/>
                <w:szCs w:val="20"/>
                <w:color w:val="auto"/>
              </w:rPr>
            </w:pPr>
            <w:r>
              <w:rPr>
                <w:rFonts w:ascii="Arial" w:cs="Arial" w:eastAsia="Arial" w:hAnsi="Arial"/>
                <w:sz w:val="22"/>
                <w:szCs w:val="22"/>
                <w:color w:val="auto"/>
                <w:w w:val="87"/>
              </w:rPr>
              <w:t>One Raffles Quay, #14-00 South Tower, Singapore 048593</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420" w:type="dxa"/>
            <w:vAlign w:val="bottom"/>
          </w:tcPr>
          <w:p>
            <w:pPr>
              <w:spacing w:after="0"/>
              <w:rPr>
                <w:sz w:val="20"/>
                <w:szCs w:val="20"/>
                <w:color w:val="auto"/>
              </w:rPr>
            </w:pPr>
            <w:r>
              <w:rPr>
                <w:rFonts w:ascii="Arial" w:cs="Arial" w:eastAsia="Arial" w:hAnsi="Arial"/>
                <w:sz w:val="22"/>
                <w:szCs w:val="22"/>
                <w:color w:val="auto"/>
              </w:rPr>
              <w:t>65-62212306</w:t>
            </w: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100" w:type="dxa"/>
            <w:vAlign w:val="bottom"/>
            <w:gridSpan w:val="3"/>
          </w:tcPr>
          <w:p>
            <w:pPr>
              <w:spacing w:after="0"/>
              <w:rPr>
                <w:sz w:val="20"/>
                <w:szCs w:val="20"/>
                <w:color w:val="auto"/>
              </w:rPr>
            </w:pPr>
            <w:r>
              <w:rPr>
                <w:rFonts w:ascii="Arial" w:cs="Arial" w:eastAsia="Arial" w:hAnsi="Arial"/>
                <w:sz w:val="22"/>
                <w:szCs w:val="22"/>
                <w:color w:val="auto"/>
              </w:rPr>
              <w:t>Xuan-Ren Chen / Yvonne Choo</w:t>
            </w:r>
          </w:p>
        </w:tc>
      </w:tr>
    </w:tbl>
    <w:p>
      <w:pPr>
        <w:sectPr>
          <w:pgSz w:w="11900" w:h="16838" w:orient="portrait"/>
          <w:cols w:equalWidth="0" w:num="1">
            <w:col w:w="10219"/>
          </w:cols>
          <w:pgMar w:left="240" w:top="882" w:right="1440"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b w:val="1"/>
          <w:bCs w:val="1"/>
          <w:color w:val="auto"/>
        </w:rPr>
        <w:t>JPMORGAN CHASE BANK, N.A., HONG KONG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Christine Chan</w:t>
            </w:r>
          </w:p>
        </w:tc>
        <w:tc>
          <w:tcPr>
            <w:tcW w:w="5740" w:type="dxa"/>
            <w:vAlign w:val="bottom"/>
          </w:tcPr>
          <w:p>
            <w:pPr>
              <w:spacing w:after="0"/>
              <w:rPr>
                <w:sz w:val="21"/>
                <w:szCs w:val="21"/>
                <w:color w:val="auto"/>
              </w:rPr>
            </w:pPr>
          </w:p>
        </w:tc>
      </w:tr>
      <w:tr>
        <w:trPr>
          <w:trHeight w:val="701"/>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7300" w:type="dxa"/>
            <w:vAlign w:val="bottom"/>
            <w:gridSpan w:val="2"/>
          </w:tcPr>
          <w:p>
            <w:pPr>
              <w:spacing w:after="0"/>
              <w:rPr>
                <w:sz w:val="20"/>
                <w:szCs w:val="20"/>
                <w:color w:val="auto"/>
              </w:rPr>
            </w:pPr>
            <w:r>
              <w:rPr>
                <w:rFonts w:ascii="Arial" w:cs="Arial" w:eastAsia="Arial" w:hAnsi="Arial"/>
                <w:sz w:val="22"/>
                <w:szCs w:val="22"/>
                <w:color w:val="auto"/>
                <w:w w:val="96"/>
              </w:rPr>
              <w:t>Level 28, 8 Connaught Road Central, Hong Kong S.A.R, People’s Republic of</w:t>
            </w:r>
          </w:p>
        </w:tc>
      </w:tr>
      <w:tr>
        <w:trPr>
          <w:trHeight w:val="275"/>
        </w:trPr>
        <w:tc>
          <w:tcPr>
            <w:tcW w:w="208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560" w:type="dxa"/>
            <w:vAlign w:val="bottom"/>
          </w:tcPr>
          <w:p>
            <w:pPr>
              <w:spacing w:after="0"/>
              <w:rPr>
                <w:sz w:val="20"/>
                <w:szCs w:val="20"/>
                <w:color w:val="auto"/>
              </w:rPr>
            </w:pPr>
            <w:r>
              <w:rPr>
                <w:rFonts w:ascii="Arial" w:cs="Arial" w:eastAsia="Arial" w:hAnsi="Arial"/>
                <w:sz w:val="22"/>
                <w:szCs w:val="22"/>
                <w:color w:val="auto"/>
                <w:w w:val="93"/>
              </w:rPr>
              <w:t>91 22 6646 6865</w:t>
            </w:r>
          </w:p>
        </w:tc>
        <w:tc>
          <w:tcPr>
            <w:tcW w:w="574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7300" w:type="dxa"/>
            <w:vAlign w:val="bottom"/>
            <w:gridSpan w:val="2"/>
          </w:tcPr>
          <w:p>
            <w:pPr>
              <w:spacing w:after="0"/>
              <w:rPr>
                <w:sz w:val="20"/>
                <w:szCs w:val="20"/>
                <w:color w:val="auto"/>
              </w:rPr>
            </w:pPr>
            <w:r>
              <w:rPr>
                <w:rFonts w:ascii="Arial" w:cs="Arial" w:eastAsia="Arial" w:hAnsi="Arial"/>
                <w:sz w:val="22"/>
                <w:szCs w:val="22"/>
                <w:color w:val="auto"/>
              </w:rPr>
              <w:t>Nimisha Kedia / Dipti Wasudeo / Asia Loan Operations</w:t>
            </w:r>
          </w:p>
        </w:tc>
      </w:tr>
    </w:tbl>
    <w:p>
      <w:pPr>
        <w:sectPr>
          <w:pgSz w:w="11900" w:h="16838" w:orient="portrait"/>
          <w:cols w:equalWidth="0" w:num="1">
            <w:col w:w="10219"/>
          </w:cols>
          <w:pgMar w:left="240" w:top="882" w:right="1440"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b w:val="1"/>
          <w:bCs w:val="1"/>
          <w:color w:val="auto"/>
        </w:rPr>
        <w:t>UBS AG HONG KONG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Rahul Kotwal</w:t>
            </w:r>
          </w:p>
        </w:tc>
        <w:tc>
          <w:tcPr>
            <w:tcW w:w="5200" w:type="dxa"/>
            <w:vAlign w:val="bottom"/>
            <w:gridSpan w:val="2"/>
          </w:tcPr>
          <w:p>
            <w:pPr>
              <w:spacing w:after="0"/>
              <w:rPr>
                <w:sz w:val="21"/>
                <w:szCs w:val="2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5"/>
              </w:rPr>
              <w:t>/s/ Joseph Vawckus</w:t>
            </w:r>
          </w:p>
        </w:tc>
        <w:tc>
          <w:tcPr>
            <w:tcW w:w="4980" w:type="dxa"/>
            <w:vAlign w:val="bottom"/>
          </w:tcPr>
          <w:p>
            <w:pPr>
              <w:spacing w:after="0"/>
              <w:rPr>
                <w:sz w:val="24"/>
                <w:szCs w:val="24"/>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6660" w:type="dxa"/>
            <w:vAlign w:val="bottom"/>
            <w:gridSpan w:val="3"/>
          </w:tcPr>
          <w:p>
            <w:pPr>
              <w:spacing w:after="0"/>
              <w:rPr>
                <w:sz w:val="20"/>
                <w:szCs w:val="20"/>
                <w:color w:val="auto"/>
              </w:rPr>
            </w:pPr>
            <w:r>
              <w:rPr>
                <w:rFonts w:ascii="Arial" w:cs="Arial" w:eastAsia="Arial" w:hAnsi="Arial"/>
                <w:sz w:val="22"/>
                <w:szCs w:val="22"/>
                <w:color w:val="auto"/>
                <w:w w:val="88"/>
              </w:rPr>
              <w:t>52/F, Two International Finance Centre 8 Finance Street Central, Hong Kong</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460" w:type="dxa"/>
            <w:vAlign w:val="bottom"/>
          </w:tcPr>
          <w:p>
            <w:pPr>
              <w:spacing w:after="0"/>
              <w:rPr>
                <w:sz w:val="20"/>
                <w:szCs w:val="20"/>
                <w:color w:val="auto"/>
              </w:rPr>
            </w:pPr>
            <w:r>
              <w:rPr>
                <w:rFonts w:ascii="Arial" w:cs="Arial" w:eastAsia="Arial" w:hAnsi="Arial"/>
                <w:sz w:val="22"/>
                <w:szCs w:val="22"/>
                <w:color w:val="auto"/>
                <w:w w:val="98"/>
              </w:rPr>
              <w:t>852 3712 4979</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Email:</w:t>
            </w:r>
          </w:p>
        </w:tc>
        <w:tc>
          <w:tcPr>
            <w:tcW w:w="6660" w:type="dxa"/>
            <w:vAlign w:val="bottom"/>
            <w:gridSpan w:val="3"/>
          </w:tcPr>
          <w:p>
            <w:pPr>
              <w:spacing w:after="0"/>
              <w:rPr>
                <w:sz w:val="20"/>
                <w:szCs w:val="20"/>
                <w:color w:val="auto"/>
              </w:rPr>
            </w:pPr>
            <w:r>
              <w:rPr>
                <w:rFonts w:ascii="Arial" w:cs="Arial" w:eastAsia="Arial" w:hAnsi="Arial"/>
                <w:sz w:val="22"/>
                <w:szCs w:val="22"/>
                <w:color w:val="auto"/>
              </w:rPr>
              <w:t>mohamed.atmani@ubs.com</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660" w:type="dxa"/>
            <w:vAlign w:val="bottom"/>
            <w:gridSpan w:val="3"/>
          </w:tcPr>
          <w:p>
            <w:pPr>
              <w:spacing w:after="0"/>
              <w:rPr>
                <w:sz w:val="20"/>
                <w:szCs w:val="20"/>
                <w:color w:val="auto"/>
              </w:rPr>
            </w:pPr>
            <w:r>
              <w:rPr>
                <w:rFonts w:ascii="Arial" w:cs="Arial" w:eastAsia="Arial" w:hAnsi="Arial"/>
                <w:sz w:val="22"/>
                <w:szCs w:val="22"/>
                <w:color w:val="auto"/>
              </w:rPr>
              <w:t>Mohamed Atmani</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With a copy to:</w:t>
            </w:r>
          </w:p>
        </w:tc>
        <w:tc>
          <w:tcPr>
            <w:tcW w:w="6660" w:type="dxa"/>
            <w:vAlign w:val="bottom"/>
            <w:gridSpan w:val="3"/>
          </w:tcPr>
          <w:p>
            <w:pPr>
              <w:spacing w:after="0"/>
              <w:rPr>
                <w:sz w:val="20"/>
                <w:szCs w:val="20"/>
                <w:color w:val="auto"/>
              </w:rPr>
            </w:pPr>
            <w:r>
              <w:rPr>
                <w:rFonts w:ascii="Arial" w:cs="Arial" w:eastAsia="Arial" w:hAnsi="Arial"/>
                <w:sz w:val="22"/>
                <w:szCs w:val="22"/>
                <w:color w:val="auto"/>
                <w:w w:val="99"/>
              </w:rPr>
              <w:t>5 Temasek Boulevard #18-00 Suntec Tower Five Singapore 038985</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460" w:type="dxa"/>
            <w:vAlign w:val="bottom"/>
          </w:tcPr>
          <w:p>
            <w:pPr>
              <w:spacing w:after="0"/>
              <w:rPr>
                <w:sz w:val="20"/>
                <w:szCs w:val="20"/>
                <w:color w:val="auto"/>
              </w:rPr>
            </w:pPr>
            <w:r>
              <w:rPr>
                <w:rFonts w:ascii="Arial" w:cs="Arial" w:eastAsia="Arial" w:hAnsi="Arial"/>
                <w:sz w:val="22"/>
                <w:szCs w:val="22"/>
                <w:color w:val="auto"/>
              </w:rPr>
              <w:t>65 6495 8609</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Email:</w:t>
            </w:r>
          </w:p>
        </w:tc>
        <w:tc>
          <w:tcPr>
            <w:tcW w:w="6660" w:type="dxa"/>
            <w:vAlign w:val="bottom"/>
            <w:gridSpan w:val="3"/>
          </w:tcPr>
          <w:p>
            <w:pPr>
              <w:spacing w:after="0"/>
              <w:rPr>
                <w:sz w:val="20"/>
                <w:szCs w:val="20"/>
                <w:color w:val="auto"/>
              </w:rPr>
            </w:pPr>
            <w:r>
              <w:rPr>
                <w:rFonts w:ascii="Arial" w:cs="Arial" w:eastAsia="Arial" w:hAnsi="Arial"/>
                <w:sz w:val="22"/>
                <w:szCs w:val="22"/>
                <w:color w:val="auto"/>
              </w:rPr>
              <w:t>ol-bps-singapore@ubs.com</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660" w:type="dxa"/>
            <w:vAlign w:val="bottom"/>
            <w:gridSpan w:val="3"/>
          </w:tcPr>
          <w:p>
            <w:pPr>
              <w:spacing w:after="0"/>
              <w:rPr>
                <w:sz w:val="20"/>
                <w:szCs w:val="20"/>
                <w:color w:val="auto"/>
              </w:rPr>
            </w:pPr>
            <w:r>
              <w:rPr>
                <w:rFonts w:ascii="Arial" w:cs="Arial" w:eastAsia="Arial" w:hAnsi="Arial"/>
                <w:sz w:val="22"/>
                <w:szCs w:val="22"/>
                <w:color w:val="auto"/>
              </w:rPr>
              <w:t>Structured Financing Processing</w:t>
            </w:r>
          </w:p>
        </w:tc>
      </w:tr>
    </w:tbl>
    <w:p>
      <w:pPr>
        <w:sectPr>
          <w:pgSz w:w="11900" w:h="16838" w:orient="portrait"/>
          <w:cols w:equalWidth="0" w:num="1">
            <w:col w:w="10219"/>
          </w:cols>
          <w:pgMar w:left="240" w:top="882" w:right="1440"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b w:val="1"/>
          <w:bCs w:val="1"/>
          <w:color w:val="auto"/>
        </w:rPr>
        <w:t>The Lead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COMERCIAL DE MACAU, S.A.</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7320" w:type="dxa"/>
            <w:vAlign w:val="bottom"/>
            <w:gridSpan w:val="3"/>
          </w:tcPr>
          <w:p>
            <w:pPr>
              <w:spacing w:after="0"/>
              <w:rPr>
                <w:sz w:val="20"/>
                <w:szCs w:val="20"/>
                <w:color w:val="auto"/>
              </w:rPr>
            </w:pPr>
            <w:r>
              <w:rPr>
                <w:rFonts w:ascii="Arial" w:cs="Arial" w:eastAsia="Arial" w:hAnsi="Arial"/>
                <w:sz w:val="22"/>
                <w:szCs w:val="22"/>
                <w:color w:val="auto"/>
              </w:rPr>
              <w:t>/s/ Tony Ho Keang Wa</w:t>
            </w:r>
          </w:p>
        </w:tc>
      </w:tr>
      <w:tr>
        <w:trPr>
          <w:trHeight w:val="20"/>
        </w:trPr>
        <w:tc>
          <w:tcPr>
            <w:tcW w:w="20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/s/ Kenneth Chan Sou Chao</w:t>
            </w:r>
          </w:p>
        </w:tc>
        <w:tc>
          <w:tcPr>
            <w:tcW w:w="4920" w:type="dxa"/>
            <w:vAlign w:val="bottom"/>
          </w:tcPr>
          <w:p>
            <w:pPr>
              <w:spacing w:after="0"/>
              <w:rPr>
                <w:sz w:val="24"/>
                <w:szCs w:val="24"/>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7320" w:type="dxa"/>
            <w:vAlign w:val="bottom"/>
            <w:gridSpan w:val="3"/>
          </w:tcPr>
          <w:p>
            <w:pPr>
              <w:spacing w:after="0"/>
              <w:rPr>
                <w:sz w:val="20"/>
                <w:szCs w:val="20"/>
                <w:color w:val="auto"/>
              </w:rPr>
            </w:pPr>
            <w:r>
              <w:rPr>
                <w:rFonts w:ascii="Arial" w:cs="Arial" w:eastAsia="Arial" w:hAnsi="Arial"/>
                <w:sz w:val="22"/>
                <w:szCs w:val="22"/>
                <w:color w:val="auto"/>
              </w:rPr>
              <w:t>Avenida da Praia Grande,No.572,Macau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7320" w:type="dxa"/>
            <w:vAlign w:val="bottom"/>
            <w:gridSpan w:val="3"/>
          </w:tcPr>
          <w:p>
            <w:pPr>
              <w:spacing w:after="0"/>
              <w:rPr>
                <w:sz w:val="20"/>
                <w:szCs w:val="20"/>
                <w:color w:val="auto"/>
              </w:rPr>
            </w:pPr>
            <w:r>
              <w:rPr>
                <w:rFonts w:ascii="Arial" w:cs="Arial" w:eastAsia="Arial" w:hAnsi="Arial"/>
                <w:sz w:val="22"/>
                <w:szCs w:val="22"/>
                <w:color w:val="auto"/>
              </w:rPr>
              <w:t>(+853)8791 0276 / (+853)2871 5521</w:t>
            </w:r>
          </w:p>
        </w:tc>
      </w:tr>
      <w:tr>
        <w:trPr>
          <w:trHeight w:val="671"/>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7320" w:type="dxa"/>
            <w:vAlign w:val="bottom"/>
            <w:gridSpan w:val="3"/>
          </w:tcPr>
          <w:p>
            <w:pPr>
              <w:spacing w:after="0"/>
              <w:rPr>
                <w:sz w:val="20"/>
                <w:szCs w:val="20"/>
                <w:color w:val="auto"/>
              </w:rPr>
            </w:pPr>
            <w:r>
              <w:rPr>
                <w:rFonts w:ascii="Arial" w:cs="Arial" w:eastAsia="Arial" w:hAnsi="Arial"/>
                <w:sz w:val="22"/>
                <w:szCs w:val="22"/>
                <w:color w:val="auto"/>
                <w:w w:val="96"/>
              </w:rPr>
              <w:t>Mr.Simon  Chong/Mr.Alex  Chou/Ms.Katrina  Tang/Ms.Jessica  Lam/Ms.Lillian</w:t>
            </w:r>
          </w:p>
        </w:tc>
      </w:tr>
      <w:tr>
        <w:trPr>
          <w:trHeight w:val="275"/>
        </w:trPr>
        <w:tc>
          <w:tcPr>
            <w:tcW w:w="2080" w:type="dxa"/>
            <w:vAlign w:val="bottom"/>
          </w:tcPr>
          <w:p>
            <w:pPr>
              <w:spacing w:after="0"/>
              <w:rPr>
                <w:sz w:val="23"/>
                <w:szCs w:val="23"/>
                <w:color w:val="auto"/>
              </w:rPr>
            </w:pPr>
          </w:p>
        </w:tc>
        <w:tc>
          <w:tcPr>
            <w:tcW w:w="7320" w:type="dxa"/>
            <w:vAlign w:val="bottom"/>
            <w:gridSpan w:val="3"/>
          </w:tcPr>
          <w:p>
            <w:pPr>
              <w:spacing w:after="0"/>
              <w:rPr>
                <w:sz w:val="20"/>
                <w:szCs w:val="20"/>
                <w:color w:val="auto"/>
              </w:rPr>
            </w:pPr>
            <w:r>
              <w:rPr>
                <w:rFonts w:ascii="Arial" w:cs="Arial" w:eastAsia="Arial" w:hAnsi="Arial"/>
                <w:sz w:val="22"/>
                <w:szCs w:val="22"/>
                <w:color w:val="auto"/>
              </w:rPr>
              <w:t>Tang/Mr.Vincent Lai</w:t>
            </w:r>
          </w:p>
        </w:tc>
      </w:tr>
    </w:tbl>
    <w:p>
      <w:pPr>
        <w:sectPr>
          <w:pgSz w:w="11900" w:h="16838" w:orient="portrait"/>
          <w:cols w:equalWidth="0" w:num="1">
            <w:col w:w="10219"/>
          </w:cols>
          <w:pgMar w:left="240" w:top="882" w:right="1440"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b w:val="1"/>
          <w:bCs w:val="1"/>
          <w:color w:val="auto"/>
        </w:rPr>
        <w:t>TAI FUNG BANK LIMITED</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1"/>
              </w:rPr>
              <w:t>/s/ Au Ieong Iu Kong</w:t>
            </w:r>
          </w:p>
        </w:tc>
        <w:tc>
          <w:tcPr>
            <w:tcW w:w="3160" w:type="dxa"/>
            <w:vAlign w:val="bottom"/>
          </w:tcPr>
          <w:p>
            <w:pPr>
              <w:spacing w:after="0"/>
              <w:rPr>
                <w:sz w:val="21"/>
                <w:szCs w:val="2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Kou Wa Kin</w:t>
            </w:r>
          </w:p>
        </w:tc>
        <w:tc>
          <w:tcPr>
            <w:tcW w:w="3660" w:type="dxa"/>
            <w:vAlign w:val="bottom"/>
            <w:gridSpan w:val="2"/>
          </w:tcPr>
          <w:p>
            <w:pPr>
              <w:spacing w:after="0"/>
              <w:rPr>
                <w:sz w:val="24"/>
                <w:szCs w:val="24"/>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340" w:type="dxa"/>
            <w:vAlign w:val="bottom"/>
          </w:tcPr>
          <w:p>
            <w:pPr>
              <w:spacing w:after="0"/>
              <w:rPr>
                <w:sz w:val="20"/>
                <w:szCs w:val="20"/>
                <w:color w:val="auto"/>
              </w:rPr>
            </w:pPr>
            <w:r>
              <w:rPr>
                <w:rFonts w:ascii="Arial" w:cs="Arial" w:eastAsia="Arial" w:hAnsi="Arial"/>
                <w:sz w:val="22"/>
                <w:szCs w:val="22"/>
                <w:color w:val="auto"/>
                <w:w w:val="87"/>
              </w:rPr>
              <w:t>418</w:t>
            </w:r>
          </w:p>
        </w:tc>
        <w:tc>
          <w:tcPr>
            <w:tcW w:w="4660" w:type="dxa"/>
            <w:vAlign w:val="bottom"/>
            <w:gridSpan w:val="3"/>
          </w:tcPr>
          <w:p>
            <w:pPr>
              <w:ind w:left="40"/>
              <w:spacing w:after="0"/>
              <w:rPr>
                <w:sz w:val="20"/>
                <w:szCs w:val="20"/>
                <w:color w:val="auto"/>
              </w:rPr>
            </w:pPr>
            <w:r>
              <w:rPr>
                <w:rFonts w:ascii="Arial" w:cs="Arial" w:eastAsia="Arial" w:hAnsi="Arial"/>
                <w:sz w:val="22"/>
                <w:szCs w:val="22"/>
                <w:color w:val="auto"/>
              </w:rPr>
              <w:t>Alameda Dr. Carlos d’Assumpcao,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340" w:type="dxa"/>
            <w:vAlign w:val="bottom"/>
          </w:tcPr>
          <w:p>
            <w:pPr>
              <w:spacing w:after="0"/>
              <w:rPr>
                <w:sz w:val="20"/>
                <w:szCs w:val="20"/>
                <w:color w:val="auto"/>
              </w:rPr>
            </w:pPr>
            <w:r>
              <w:rPr>
                <w:rFonts w:ascii="Arial" w:cs="Arial" w:eastAsia="Arial" w:hAnsi="Arial"/>
                <w:sz w:val="22"/>
                <w:szCs w:val="22"/>
                <w:color w:val="auto"/>
                <w:w w:val="87"/>
              </w:rPr>
              <w:t>853</w:t>
            </w:r>
          </w:p>
        </w:tc>
        <w:tc>
          <w:tcPr>
            <w:tcW w:w="1000" w:type="dxa"/>
            <w:vAlign w:val="bottom"/>
          </w:tcPr>
          <w:p>
            <w:pPr>
              <w:ind w:left="40"/>
              <w:spacing w:after="0"/>
              <w:rPr>
                <w:sz w:val="20"/>
                <w:szCs w:val="20"/>
                <w:color w:val="auto"/>
              </w:rPr>
            </w:pPr>
            <w:r>
              <w:rPr>
                <w:rFonts w:ascii="Arial" w:cs="Arial" w:eastAsia="Arial" w:hAnsi="Arial"/>
                <w:sz w:val="22"/>
                <w:szCs w:val="22"/>
                <w:color w:val="auto"/>
                <w:w w:val="90"/>
              </w:rPr>
              <w:t>2875 2716</w:t>
            </w: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5000" w:type="dxa"/>
            <w:vAlign w:val="bottom"/>
            <w:gridSpan w:val="4"/>
          </w:tcPr>
          <w:p>
            <w:pPr>
              <w:spacing w:after="0"/>
              <w:rPr>
                <w:sz w:val="20"/>
                <w:szCs w:val="20"/>
                <w:color w:val="auto"/>
              </w:rPr>
            </w:pPr>
            <w:r>
              <w:rPr>
                <w:rFonts w:ascii="Arial" w:cs="Arial" w:eastAsia="Arial" w:hAnsi="Arial"/>
                <w:sz w:val="22"/>
                <w:szCs w:val="22"/>
                <w:color w:val="auto"/>
                <w:w w:val="91"/>
              </w:rPr>
              <w:t>Mr. Kou Wa Kin / Ms. Cherry Leong / Mr. Edward Leong</w:t>
            </w:r>
          </w:p>
        </w:tc>
      </w:tr>
    </w:tbl>
    <w:p>
      <w:pPr>
        <w:sectPr>
          <w:pgSz w:w="11900" w:h="16838" w:orient="portrait"/>
          <w:cols w:equalWidth="0" w:num="1">
            <w:col w:w="10219"/>
          </w:cols>
          <w:pgMar w:left="240" w:top="882" w:right="1440"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b w:val="1"/>
          <w:bCs w:val="1"/>
          <w:color w:val="auto"/>
        </w:rPr>
        <w:t>WING LUNG BANK LIMITED MACAU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Lam Weng Nin</w:t>
            </w:r>
          </w:p>
        </w:tc>
        <w:tc>
          <w:tcPr>
            <w:tcW w:w="5740" w:type="dxa"/>
            <w:vAlign w:val="bottom"/>
          </w:tcPr>
          <w:p>
            <w:pPr>
              <w:spacing w:after="0"/>
              <w:rPr>
                <w:sz w:val="21"/>
                <w:szCs w:val="2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7320" w:type="dxa"/>
            <w:vAlign w:val="bottom"/>
            <w:gridSpan w:val="2"/>
          </w:tcPr>
          <w:p>
            <w:pPr>
              <w:spacing w:after="0"/>
              <w:rPr>
                <w:sz w:val="20"/>
                <w:szCs w:val="20"/>
                <w:color w:val="auto"/>
              </w:rPr>
            </w:pPr>
            <w:r>
              <w:rPr>
                <w:rFonts w:ascii="Arial" w:cs="Arial" w:eastAsia="Arial" w:hAnsi="Arial"/>
                <w:sz w:val="22"/>
                <w:szCs w:val="22"/>
                <w:color w:val="auto"/>
              </w:rPr>
              <w:t>18/F, Finance and IT Centre of Macau, Avenida Comercial de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7320" w:type="dxa"/>
            <w:vAlign w:val="bottom"/>
            <w:gridSpan w:val="2"/>
          </w:tcPr>
          <w:p>
            <w:pPr>
              <w:spacing w:after="0"/>
              <w:rPr>
                <w:sz w:val="20"/>
                <w:szCs w:val="20"/>
                <w:color w:val="auto"/>
              </w:rPr>
            </w:pPr>
            <w:r>
              <w:rPr>
                <w:rFonts w:ascii="Arial" w:cs="Arial" w:eastAsia="Arial" w:hAnsi="Arial"/>
                <w:sz w:val="22"/>
                <w:szCs w:val="22"/>
                <w:color w:val="auto"/>
              </w:rPr>
              <w:t>(853) 2875 0918 / 2857 5589,</w:t>
            </w:r>
          </w:p>
        </w:tc>
      </w:tr>
      <w:tr>
        <w:trPr>
          <w:trHeight w:val="671"/>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7320" w:type="dxa"/>
            <w:vAlign w:val="bottom"/>
            <w:gridSpan w:val="2"/>
          </w:tcPr>
          <w:p>
            <w:pPr>
              <w:spacing w:after="0"/>
              <w:rPr>
                <w:sz w:val="20"/>
                <w:szCs w:val="20"/>
                <w:color w:val="auto"/>
              </w:rPr>
            </w:pPr>
            <w:r>
              <w:rPr>
                <w:rFonts w:ascii="Arial" w:cs="Arial" w:eastAsia="Arial" w:hAnsi="Arial"/>
                <w:sz w:val="22"/>
                <w:szCs w:val="22"/>
                <w:color w:val="auto"/>
                <w:w w:val="92"/>
              </w:rPr>
              <w:t>Mr. Patrick Wong (Corporate loan department)/ Ms. Cherry Chan (Corporate loan</w:t>
            </w:r>
          </w:p>
        </w:tc>
      </w:tr>
      <w:tr>
        <w:trPr>
          <w:trHeight w:val="275"/>
        </w:trPr>
        <w:tc>
          <w:tcPr>
            <w:tcW w:w="2080" w:type="dxa"/>
            <w:vAlign w:val="bottom"/>
          </w:tcPr>
          <w:p>
            <w:pPr>
              <w:spacing w:after="0"/>
              <w:rPr>
                <w:sz w:val="23"/>
                <w:szCs w:val="23"/>
                <w:color w:val="auto"/>
              </w:rPr>
            </w:pPr>
          </w:p>
        </w:tc>
        <w:tc>
          <w:tcPr>
            <w:tcW w:w="7320" w:type="dxa"/>
            <w:vAlign w:val="bottom"/>
            <w:gridSpan w:val="2"/>
          </w:tcPr>
          <w:p>
            <w:pPr>
              <w:spacing w:after="0"/>
              <w:rPr>
                <w:sz w:val="20"/>
                <w:szCs w:val="20"/>
                <w:color w:val="auto"/>
              </w:rPr>
            </w:pPr>
            <w:r>
              <w:rPr>
                <w:rFonts w:ascii="Arial" w:cs="Arial" w:eastAsia="Arial" w:hAnsi="Arial"/>
                <w:sz w:val="22"/>
                <w:szCs w:val="22"/>
                <w:color w:val="auto"/>
              </w:rPr>
              <w:t>department)/ Mr. Charlie Chen (credit management)</w:t>
            </w:r>
          </w:p>
        </w:tc>
      </w:tr>
    </w:tbl>
    <w:p>
      <w:pPr>
        <w:sectPr>
          <w:pgSz w:w="11900" w:h="16838" w:orient="portrait"/>
          <w:cols w:equalWidth="0" w:num="1">
            <w:col w:w="10219"/>
          </w:cols>
          <w:pgMar w:left="240" w:top="882" w:right="1440"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b w:val="1"/>
          <w:bCs w:val="1"/>
          <w:color w:val="auto"/>
        </w:rPr>
        <w:t>The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CHINA CONSTRUCTION BANK CORPORATION MACAU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Chai, Michael Chung-Man</w:t>
            </w:r>
          </w:p>
        </w:tc>
        <w:tc>
          <w:tcPr>
            <w:tcW w:w="3640" w:type="dxa"/>
            <w:vAlign w:val="bottom"/>
          </w:tcPr>
          <w:p>
            <w:pPr>
              <w:spacing w:after="0"/>
              <w:rPr>
                <w:sz w:val="21"/>
                <w:szCs w:val="21"/>
                <w:color w:val="auto"/>
              </w:rPr>
            </w:pPr>
          </w:p>
        </w:tc>
      </w:tr>
      <w:tr>
        <w:trPr>
          <w:trHeight w:val="682"/>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Peng, Billy Yuanbo</w:t>
            </w:r>
          </w:p>
        </w:tc>
        <w:tc>
          <w:tcPr>
            <w:tcW w:w="4280" w:type="dxa"/>
            <w:vAlign w:val="bottom"/>
            <w:gridSpan w:val="2"/>
          </w:tcPr>
          <w:p>
            <w:pPr>
              <w:spacing w:after="0"/>
              <w:rPr>
                <w:sz w:val="24"/>
                <w:szCs w:val="24"/>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6220" w:type="dxa"/>
            <w:vAlign w:val="bottom"/>
            <w:gridSpan w:val="3"/>
          </w:tcPr>
          <w:p>
            <w:pPr>
              <w:spacing w:after="0"/>
              <w:rPr>
                <w:sz w:val="20"/>
                <w:szCs w:val="20"/>
                <w:color w:val="auto"/>
              </w:rPr>
            </w:pPr>
            <w:r>
              <w:rPr>
                <w:rFonts w:ascii="Arial" w:cs="Arial" w:eastAsia="Arial" w:hAnsi="Arial"/>
                <w:sz w:val="22"/>
                <w:szCs w:val="22"/>
                <w:color w:val="auto"/>
                <w:w w:val="98"/>
              </w:rPr>
              <w:t>5/F &amp; 19/F, Circle Square 61 Avenida de Almeida Ribeiro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6220" w:type="dxa"/>
            <w:vAlign w:val="bottom"/>
            <w:gridSpan w:val="3"/>
          </w:tcPr>
          <w:p>
            <w:pPr>
              <w:spacing w:after="0"/>
              <w:rPr>
                <w:sz w:val="20"/>
                <w:szCs w:val="20"/>
                <w:color w:val="auto"/>
              </w:rPr>
            </w:pPr>
            <w:r>
              <w:rPr>
                <w:rFonts w:ascii="Arial" w:cs="Arial" w:eastAsia="Arial" w:hAnsi="Arial"/>
                <w:sz w:val="22"/>
                <w:szCs w:val="22"/>
                <w:color w:val="auto"/>
              </w:rPr>
              <w:t>+853 82911819 / 82911834 / 82911839</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220" w:type="dxa"/>
            <w:vAlign w:val="bottom"/>
            <w:gridSpan w:val="3"/>
          </w:tcPr>
          <w:p>
            <w:pPr>
              <w:spacing w:after="0"/>
              <w:rPr>
                <w:sz w:val="20"/>
                <w:szCs w:val="20"/>
                <w:color w:val="auto"/>
              </w:rPr>
            </w:pPr>
            <w:r>
              <w:rPr>
                <w:rFonts w:ascii="Arial" w:cs="Arial" w:eastAsia="Arial" w:hAnsi="Arial"/>
                <w:sz w:val="22"/>
                <w:szCs w:val="22"/>
                <w:color w:val="auto"/>
                <w:w w:val="91"/>
              </w:rPr>
              <w:t>Ms.Carol Leong / Mr. Kenneth Lau / Mr. Michael Choi / Ms. Ivy Leong</w:t>
            </w:r>
          </w:p>
        </w:tc>
      </w:tr>
    </w:tbl>
    <w:p>
      <w:pPr>
        <w:sectPr>
          <w:pgSz w:w="11900" w:h="16838" w:orient="portrait"/>
          <w:cols w:equalWidth="0" w:num="1">
            <w:col w:w="10219"/>
          </w:cols>
          <w:pgMar w:left="240" w:top="882" w:right="1440"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b w:val="1"/>
          <w:bCs w:val="1"/>
          <w:color w:val="auto"/>
        </w:rPr>
        <w:t>FIRST COMMERCIAL BANK, MACAU BRANCH</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6880" w:type="dxa"/>
            <w:vAlign w:val="bottom"/>
            <w:gridSpan w:val="2"/>
          </w:tcPr>
          <w:p>
            <w:pPr>
              <w:spacing w:after="0"/>
              <w:rPr>
                <w:sz w:val="20"/>
                <w:szCs w:val="20"/>
                <w:color w:val="auto"/>
              </w:rPr>
            </w:pPr>
            <w:r>
              <w:rPr>
                <w:rFonts w:ascii="Arial" w:cs="Arial" w:eastAsia="Arial" w:hAnsi="Arial"/>
                <w:sz w:val="22"/>
                <w:szCs w:val="22"/>
                <w:color w:val="auto"/>
              </w:rPr>
              <w:t>/s/ Liau Yu Cheng</w:t>
            </w:r>
          </w:p>
        </w:tc>
      </w:tr>
      <w:tr>
        <w:trPr>
          <w:trHeight w:val="20"/>
        </w:trPr>
        <w:tc>
          <w:tcPr>
            <w:tcW w:w="20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6880" w:type="dxa"/>
            <w:vAlign w:val="bottom"/>
            <w:gridSpan w:val="2"/>
          </w:tcPr>
          <w:p>
            <w:pPr>
              <w:spacing w:after="0"/>
              <w:rPr>
                <w:sz w:val="20"/>
                <w:szCs w:val="20"/>
                <w:color w:val="auto"/>
              </w:rPr>
            </w:pPr>
            <w:r>
              <w:rPr>
                <w:rFonts w:ascii="Arial" w:cs="Arial" w:eastAsia="Arial" w:hAnsi="Arial"/>
                <w:sz w:val="22"/>
                <w:szCs w:val="22"/>
                <w:color w:val="auto"/>
                <w:w w:val="89"/>
              </w:rPr>
              <w:t>Unit B-C, 16/F, Finance and IT Centre of Macau, Avenida Comercial de Macau</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1560" w:type="dxa"/>
            <w:vAlign w:val="bottom"/>
          </w:tcPr>
          <w:p>
            <w:pPr>
              <w:spacing w:after="0"/>
              <w:rPr>
                <w:sz w:val="20"/>
                <w:szCs w:val="20"/>
                <w:color w:val="auto"/>
              </w:rPr>
            </w:pPr>
            <w:r>
              <w:rPr>
                <w:rFonts w:ascii="Arial" w:cs="Arial" w:eastAsia="Arial" w:hAnsi="Arial"/>
                <w:sz w:val="22"/>
                <w:szCs w:val="22"/>
                <w:color w:val="auto"/>
              </w:rPr>
              <w:t>853-2872-2772</w:t>
            </w:r>
          </w:p>
        </w:tc>
        <w:tc>
          <w:tcPr>
            <w:tcW w:w="5320" w:type="dxa"/>
            <w:vAlign w:val="bottom"/>
          </w:tcPr>
          <w:p>
            <w:pPr>
              <w:spacing w:after="0"/>
              <w:rPr>
                <w:sz w:val="24"/>
                <w:szCs w:val="24"/>
                <w:color w:val="auto"/>
              </w:rPr>
            </w:pP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6880" w:type="dxa"/>
            <w:vAlign w:val="bottom"/>
            <w:gridSpan w:val="2"/>
          </w:tcPr>
          <w:p>
            <w:pPr>
              <w:spacing w:after="0"/>
              <w:rPr>
                <w:sz w:val="20"/>
                <w:szCs w:val="20"/>
                <w:color w:val="auto"/>
              </w:rPr>
            </w:pPr>
            <w:r>
              <w:rPr>
                <w:rFonts w:ascii="Arial" w:cs="Arial" w:eastAsia="Arial" w:hAnsi="Arial"/>
                <w:sz w:val="22"/>
                <w:szCs w:val="22"/>
                <w:color w:val="auto"/>
              </w:rPr>
              <w:t>Dave Lin / Wesley Liau</w:t>
            </w:r>
          </w:p>
        </w:tc>
      </w:tr>
    </w:tbl>
    <w:p>
      <w:pPr>
        <w:sectPr>
          <w:pgSz w:w="11900" w:h="16838" w:orient="portrait"/>
          <w:cols w:equalWidth="0" w:num="1">
            <w:col w:w="10219"/>
          </w:cols>
          <w:pgMar w:left="240" w:top="882" w:right="1440"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b w:val="1"/>
          <w:bCs w:val="1"/>
          <w:color w:val="auto"/>
        </w:rPr>
        <w:t>MORGAN STANLEY SENIOR FUNDING, INC.</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3940" w:type="dxa"/>
            <w:vAlign w:val="bottom"/>
            <w:gridSpan w:val="2"/>
          </w:tcPr>
          <w:p>
            <w:pPr>
              <w:spacing w:after="0"/>
              <w:rPr>
                <w:sz w:val="20"/>
                <w:szCs w:val="20"/>
                <w:color w:val="auto"/>
              </w:rPr>
            </w:pPr>
            <w:r>
              <w:rPr>
                <w:rFonts w:ascii="Arial" w:cs="Arial" w:eastAsia="Arial" w:hAnsi="Arial"/>
                <w:sz w:val="22"/>
                <w:szCs w:val="22"/>
                <w:color w:val="auto"/>
              </w:rPr>
              <w:t>/s/ Kelly Chin</w:t>
            </w:r>
          </w:p>
        </w:tc>
      </w:tr>
      <w:tr>
        <w:trPr>
          <w:trHeight w:val="20"/>
        </w:trPr>
        <w:tc>
          <w:tcPr>
            <w:tcW w:w="2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733"/>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3940" w:type="dxa"/>
            <w:vAlign w:val="bottom"/>
            <w:gridSpan w:val="2"/>
          </w:tcPr>
          <w:p>
            <w:pPr>
              <w:spacing w:after="0"/>
              <w:rPr>
                <w:sz w:val="20"/>
                <w:szCs w:val="20"/>
                <w:color w:val="auto"/>
              </w:rPr>
            </w:pPr>
            <w:r>
              <w:rPr>
                <w:rFonts w:ascii="Arial" w:cs="Arial" w:eastAsia="Arial" w:hAnsi="Arial"/>
                <w:sz w:val="22"/>
                <w:szCs w:val="22"/>
                <w:color w:val="auto"/>
                <w:w w:val="90"/>
              </w:rPr>
              <w:t>1585 Broadway, New York, New York 10036</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3940" w:type="dxa"/>
            <w:vAlign w:val="bottom"/>
            <w:gridSpan w:val="2"/>
          </w:tcPr>
          <w:p>
            <w:pPr>
              <w:spacing w:after="0"/>
              <w:rPr>
                <w:sz w:val="20"/>
                <w:szCs w:val="20"/>
                <w:color w:val="auto"/>
              </w:rPr>
            </w:pPr>
            <w:r>
              <w:rPr>
                <w:rFonts w:ascii="Arial" w:cs="Arial" w:eastAsia="Arial" w:hAnsi="Arial"/>
                <w:sz w:val="22"/>
                <w:szCs w:val="22"/>
                <w:color w:val="auto"/>
              </w:rPr>
              <w:t>+852-3407-5506/+852-3742-0884</w:t>
            </w:r>
          </w:p>
        </w:tc>
      </w:tr>
      <w:tr>
        <w:trPr>
          <w:trHeight w:val="702"/>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3940" w:type="dxa"/>
            <w:vAlign w:val="bottom"/>
            <w:gridSpan w:val="2"/>
          </w:tcPr>
          <w:p>
            <w:pPr>
              <w:spacing w:after="0"/>
              <w:rPr>
                <w:sz w:val="20"/>
                <w:szCs w:val="20"/>
                <w:color w:val="auto"/>
              </w:rPr>
            </w:pPr>
            <w:r>
              <w:rPr>
                <w:rFonts w:ascii="Arial" w:cs="Arial" w:eastAsia="Arial" w:hAnsi="Arial"/>
                <w:sz w:val="22"/>
                <w:szCs w:val="22"/>
                <w:color w:val="auto"/>
              </w:rPr>
              <w:t>Tripp Williams / Jin Song</w:t>
            </w:r>
          </w:p>
        </w:tc>
      </w:tr>
    </w:tbl>
    <w:p>
      <w:pPr>
        <w:sectPr>
          <w:pgSz w:w="11900" w:h="16838" w:orient="portrait"/>
          <w:cols w:equalWidth="0" w:num="1">
            <w:col w:w="10219"/>
          </w:cols>
          <w:pgMar w:left="240" w:top="882" w:right="1440"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b w:val="1"/>
          <w:bCs w:val="1"/>
          <w:color w:val="auto"/>
        </w:rPr>
        <w:t>The Second Ranking Finance Party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NACIONAL ULTRAMARINO, S.A.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4460" w:type="dxa"/>
            <w:vAlign w:val="bottom"/>
            <w:gridSpan w:val="3"/>
          </w:tcPr>
          <w:p>
            <w:pPr>
              <w:spacing w:after="0"/>
              <w:rPr>
                <w:sz w:val="20"/>
                <w:szCs w:val="20"/>
                <w:color w:val="auto"/>
              </w:rPr>
            </w:pPr>
            <w:r>
              <w:rPr>
                <w:rFonts w:ascii="Arial" w:cs="Arial" w:eastAsia="Arial" w:hAnsi="Arial"/>
                <w:sz w:val="22"/>
                <w:szCs w:val="22"/>
                <w:color w:val="auto"/>
              </w:rPr>
              <w:t>/s/ Pedro Manuel de Oliveira Cardoso</w:t>
            </w:r>
          </w:p>
        </w:tc>
      </w:tr>
      <w:tr>
        <w:trPr>
          <w:trHeight w:val="277"/>
        </w:trPr>
        <w:tc>
          <w:tcPr>
            <w:tcW w:w="2080" w:type="dxa"/>
            <w:vAlign w:val="bottom"/>
          </w:tcPr>
          <w:p>
            <w:pPr>
              <w:spacing w:after="0"/>
              <w:rPr>
                <w:sz w:val="20"/>
                <w:szCs w:val="20"/>
                <w:color w:val="auto"/>
              </w:rPr>
            </w:pPr>
            <w:r>
              <w:rPr>
                <w:rFonts w:ascii="Arial" w:cs="Arial" w:eastAsia="Arial" w:hAnsi="Arial"/>
                <w:sz w:val="22"/>
                <w:szCs w:val="22"/>
                <w:color w:val="auto"/>
              </w:rPr>
              <w:t>By:</w:t>
            </w:r>
          </w:p>
        </w:tc>
        <w:tc>
          <w:tcPr>
            <w:tcW w:w="134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7"/>
              </w:rPr>
              <w:t>/s/ Tou Kei San</w:t>
            </w:r>
          </w:p>
        </w:tc>
        <w:tc>
          <w:tcPr>
            <w:tcW w:w="19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328"/>
        </w:trPr>
        <w:tc>
          <w:tcPr>
            <w:tcW w:w="2080" w:type="dxa"/>
            <w:vAlign w:val="bottom"/>
          </w:tcPr>
          <w:p>
            <w:pPr>
              <w:spacing w:after="0"/>
              <w:rPr>
                <w:sz w:val="20"/>
                <w:szCs w:val="20"/>
                <w:color w:val="auto"/>
              </w:rPr>
            </w:pPr>
            <w:r>
              <w:rPr>
                <w:rFonts w:ascii="Arial" w:cs="Arial" w:eastAsia="Arial" w:hAnsi="Arial"/>
                <w:sz w:val="22"/>
                <w:szCs w:val="22"/>
                <w:color w:val="auto"/>
              </w:rPr>
              <w:t>Address:</w:t>
            </w:r>
          </w:p>
        </w:tc>
        <w:tc>
          <w:tcPr>
            <w:tcW w:w="4460" w:type="dxa"/>
            <w:vAlign w:val="bottom"/>
            <w:gridSpan w:val="3"/>
          </w:tcPr>
          <w:p>
            <w:pPr>
              <w:spacing w:after="0"/>
              <w:rPr>
                <w:sz w:val="20"/>
                <w:szCs w:val="20"/>
                <w:color w:val="auto"/>
              </w:rPr>
            </w:pPr>
            <w:r>
              <w:rPr>
                <w:rFonts w:ascii="Arial" w:cs="Arial" w:eastAsia="Arial" w:hAnsi="Arial"/>
                <w:sz w:val="22"/>
                <w:szCs w:val="22"/>
                <w:color w:val="auto"/>
              </w:rPr>
              <w:t>No. 22, Avenida de Almeida Ribeiro, Macau</w:t>
            </w:r>
          </w:p>
        </w:tc>
      </w:tr>
      <w:tr>
        <w:trPr>
          <w:trHeight w:val="297"/>
        </w:trPr>
        <w:tc>
          <w:tcPr>
            <w:tcW w:w="2080" w:type="dxa"/>
            <w:vAlign w:val="bottom"/>
          </w:tcPr>
          <w:p>
            <w:pPr>
              <w:spacing w:after="0"/>
              <w:rPr>
                <w:sz w:val="20"/>
                <w:szCs w:val="20"/>
                <w:color w:val="auto"/>
              </w:rPr>
            </w:pPr>
            <w:r>
              <w:rPr>
                <w:rFonts w:ascii="Arial" w:cs="Arial" w:eastAsia="Arial" w:hAnsi="Arial"/>
                <w:sz w:val="22"/>
                <w:szCs w:val="22"/>
                <w:color w:val="auto"/>
              </w:rPr>
              <w:t>Fax:</w:t>
            </w:r>
          </w:p>
        </w:tc>
        <w:tc>
          <w:tcPr>
            <w:tcW w:w="4460" w:type="dxa"/>
            <w:vAlign w:val="bottom"/>
            <w:gridSpan w:val="3"/>
          </w:tcPr>
          <w:p>
            <w:pPr>
              <w:spacing w:after="0"/>
              <w:rPr>
                <w:sz w:val="20"/>
                <w:szCs w:val="20"/>
                <w:color w:val="auto"/>
              </w:rPr>
            </w:pPr>
            <w:r>
              <w:rPr>
                <w:rFonts w:ascii="Arial" w:cs="Arial" w:eastAsia="Arial" w:hAnsi="Arial"/>
                <w:sz w:val="22"/>
                <w:szCs w:val="22"/>
                <w:color w:val="auto"/>
                <w:w w:val="89"/>
              </w:rPr>
              <w:t>(853) 28331206 / (853) 28355653 / (853)28356867</w:t>
            </w:r>
          </w:p>
        </w:tc>
      </w:tr>
      <w:tr>
        <w:trPr>
          <w:trHeight w:val="297"/>
        </w:trPr>
        <w:tc>
          <w:tcPr>
            <w:tcW w:w="2080" w:type="dxa"/>
            <w:vAlign w:val="bottom"/>
          </w:tcPr>
          <w:p>
            <w:pPr>
              <w:spacing w:after="0"/>
              <w:rPr>
                <w:sz w:val="20"/>
                <w:szCs w:val="20"/>
                <w:color w:val="auto"/>
              </w:rPr>
            </w:pPr>
            <w:r>
              <w:rPr>
                <w:rFonts w:ascii="Arial" w:cs="Arial" w:eastAsia="Arial" w:hAnsi="Arial"/>
                <w:sz w:val="22"/>
                <w:szCs w:val="22"/>
                <w:color w:val="auto"/>
              </w:rPr>
              <w:t>Attention:</w:t>
            </w:r>
          </w:p>
        </w:tc>
        <w:tc>
          <w:tcPr>
            <w:tcW w:w="4460" w:type="dxa"/>
            <w:vAlign w:val="bottom"/>
            <w:gridSpan w:val="3"/>
          </w:tcPr>
          <w:p>
            <w:pPr>
              <w:spacing w:after="0"/>
              <w:rPr>
                <w:sz w:val="20"/>
                <w:szCs w:val="20"/>
                <w:color w:val="auto"/>
              </w:rPr>
            </w:pPr>
            <w:r>
              <w:rPr>
                <w:rFonts w:ascii="Arial" w:cs="Arial" w:eastAsia="Arial" w:hAnsi="Arial"/>
                <w:sz w:val="22"/>
                <w:szCs w:val="22"/>
                <w:color w:val="auto"/>
                <w:w w:val="91"/>
              </w:rPr>
              <w:t>Mr. Sam Tou / Ms. Monica Wong / Ms. Violet Choi</w:t>
            </w:r>
          </w:p>
        </w:tc>
      </w:tr>
    </w:tbl>
    <w:p>
      <w:pPr>
        <w:sectPr>
          <w:pgSz w:w="11900" w:h="16838" w:orient="portrait"/>
          <w:cols w:equalWidth="0" w:num="1">
            <w:col w:w="10219"/>
          </w:cols>
          <w:pgMar w:left="240" w:top="882" w:right="1440"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b w:val="1"/>
          <w:bCs w:val="1"/>
          <w:color w:val="auto"/>
        </w:rPr>
        <w:t>The Security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auto"/>
              </w:rPr>
              <w:t>By:</w:t>
            </w:r>
          </w:p>
        </w:tc>
        <w:tc>
          <w:tcPr>
            <w:tcW w:w="340" w:type="dxa"/>
            <w:vAlign w:val="bottom"/>
          </w:tcPr>
          <w:p>
            <w:pPr>
              <w:spacing w:after="0"/>
              <w:rPr>
                <w:sz w:val="21"/>
                <w:szCs w:val="21"/>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Wong, Iao Kun</w:t>
            </w:r>
          </w:p>
        </w:tc>
        <w:tc>
          <w:tcPr>
            <w:tcW w:w="2260" w:type="dxa"/>
            <w:vAlign w:val="bottom"/>
          </w:tcPr>
          <w:p>
            <w:pPr>
              <w:spacing w:after="0"/>
              <w:rPr>
                <w:sz w:val="21"/>
                <w:szCs w:val="21"/>
                <w:color w:val="auto"/>
              </w:rPr>
            </w:pPr>
          </w:p>
        </w:tc>
      </w:tr>
      <w:tr>
        <w:trPr>
          <w:trHeight w:val="50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13/F Bank of China Building</w:t>
            </w:r>
          </w:p>
        </w:tc>
      </w:tr>
      <w:tr>
        <w:trPr>
          <w:trHeight w:val="473"/>
        </w:trPr>
        <w:tc>
          <w:tcPr>
            <w:tcW w:w="420" w:type="dxa"/>
            <w:vAlign w:val="bottom"/>
          </w:tcPr>
          <w:p>
            <w:pPr>
              <w:spacing w:after="0"/>
              <w:rPr>
                <w:sz w:val="24"/>
                <w:szCs w:val="24"/>
                <w:color w:val="auto"/>
              </w:rPr>
            </w:pPr>
          </w:p>
        </w:tc>
        <w:tc>
          <w:tcPr>
            <w:tcW w:w="4180" w:type="dxa"/>
            <w:vAlign w:val="bottom"/>
            <w:gridSpan w:val="4"/>
          </w:tcPr>
          <w:p>
            <w:pPr>
              <w:jc w:val="right"/>
              <w:ind w:right="880"/>
              <w:spacing w:after="0"/>
              <w:rPr>
                <w:sz w:val="20"/>
                <w:szCs w:val="20"/>
                <w:color w:val="auto"/>
              </w:rPr>
            </w:pPr>
            <w:r>
              <w:rPr>
                <w:rFonts w:ascii="Arial" w:cs="Arial" w:eastAsia="Arial" w:hAnsi="Arial"/>
                <w:sz w:val="22"/>
                <w:szCs w:val="22"/>
                <w:color w:val="auto"/>
                <w:w w:val="89"/>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4180" w:type="dxa"/>
            <w:vAlign w:val="bottom"/>
            <w:gridSpan w:val="4"/>
          </w:tcPr>
          <w:p>
            <w:pPr>
              <w:ind w:left="240"/>
              <w:spacing w:after="0"/>
              <w:rPr>
                <w:sz w:val="20"/>
                <w:szCs w:val="20"/>
                <w:color w:val="auto"/>
              </w:rPr>
            </w:pPr>
            <w:r>
              <w:rPr>
                <w:rFonts w:ascii="Arial" w:cs="Arial" w:eastAsia="Arial" w:hAnsi="Arial"/>
                <w:sz w:val="22"/>
                <w:szCs w:val="22"/>
                <w:color w:val="auto"/>
              </w:rPr>
              <w:t>+853 8792 1659 / 8792 0308</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Mr. James Wong / Ms. Iris Ieong</w:t>
            </w:r>
          </w:p>
        </w:tc>
      </w:tr>
      <w:tr>
        <w:trPr>
          <w:trHeight w:val="945"/>
        </w:trPr>
        <w:tc>
          <w:tcPr>
            <w:tcW w:w="4600" w:type="dxa"/>
            <w:vAlign w:val="bottom"/>
            <w:gridSpan w:val="5"/>
          </w:tcPr>
          <w:p>
            <w:pPr>
              <w:spacing w:after="0"/>
              <w:rPr>
                <w:sz w:val="20"/>
                <w:szCs w:val="20"/>
                <w:color w:val="auto"/>
              </w:rPr>
            </w:pPr>
            <w:r>
              <w:rPr>
                <w:rFonts w:ascii="Arial" w:cs="Arial" w:eastAsia="Arial" w:hAnsi="Arial"/>
                <w:sz w:val="22"/>
                <w:szCs w:val="22"/>
                <w:color w:val="auto"/>
              </w:rPr>
              <w:t>With a copy to:</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17/F Bank of China Building</w:t>
            </w:r>
          </w:p>
        </w:tc>
      </w:tr>
      <w:tr>
        <w:trPr>
          <w:trHeight w:val="473"/>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jc w:val="right"/>
              <w:spacing w:after="0"/>
              <w:rPr>
                <w:sz w:val="20"/>
                <w:szCs w:val="20"/>
                <w:color w:val="auto"/>
              </w:rPr>
            </w:pPr>
            <w:r>
              <w:rPr>
                <w:rFonts w:ascii="Arial" w:cs="Arial" w:eastAsia="Arial" w:hAnsi="Arial"/>
                <w:sz w:val="22"/>
                <w:szCs w:val="22"/>
                <w:color w:val="auto"/>
                <w:w w:val="98"/>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1623 / 8792 1706</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1920" w:type="dxa"/>
            <w:vAlign w:val="bottom"/>
            <w:gridSpan w:val="3"/>
          </w:tcPr>
          <w:p>
            <w:pPr>
              <w:ind w:left="240"/>
              <w:spacing w:after="0"/>
              <w:rPr>
                <w:sz w:val="20"/>
                <w:szCs w:val="20"/>
                <w:color w:val="auto"/>
              </w:rPr>
            </w:pPr>
            <w:r>
              <w:rPr>
                <w:rFonts w:ascii="Arial" w:cs="Arial" w:eastAsia="Arial" w:hAnsi="Arial"/>
                <w:sz w:val="22"/>
                <w:szCs w:val="22"/>
                <w:color w:val="auto"/>
              </w:rPr>
              <w:t>+853 8792 1677</w:t>
            </w:r>
          </w:p>
        </w:tc>
        <w:tc>
          <w:tcPr>
            <w:tcW w:w="2260" w:type="dxa"/>
            <w:vAlign w:val="bottom"/>
          </w:tcPr>
          <w:p>
            <w:pPr>
              <w:spacing w:after="0"/>
              <w:rPr>
                <w:sz w:val="24"/>
                <w:szCs w:val="24"/>
                <w:color w:val="auto"/>
              </w:rPr>
            </w:pP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Ms. Wendy Sun / Mr. Jerry Chan</w:t>
            </w:r>
          </w:p>
        </w:tc>
      </w:tr>
    </w:tbl>
    <w:p>
      <w:pPr>
        <w:sectPr>
          <w:pgSz w:w="11900" w:h="16838" w:orient="portrait"/>
          <w:cols w:equalWidth="0" w:num="1">
            <w:col w:w="10219"/>
          </w:cols>
          <w:pgMar w:left="240" w:top="625" w:right="1440"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b w:val="1"/>
          <w:bCs w:val="1"/>
          <w:color w:val="auto"/>
        </w:rPr>
        <w:t>The Intercreditor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Iris Ieong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0219"/>
          </w:cols>
          <w:pgMar w:left="240" w:top="1139" w:right="144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8919"/>
          </w:cols>
          <w:pgMar w:left="240" w:top="1139"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1623 / 8792 1706</w:t>
      </w:r>
    </w:p>
    <w:p>
      <w:pPr>
        <w:spacing w:after="0" w:line="200" w:lineRule="exact"/>
        <w:rPr>
          <w:sz w:val="20"/>
          <w:szCs w:val="20"/>
          <w:color w:val="auto"/>
        </w:rPr>
      </w:pPr>
    </w:p>
    <w:p>
      <w:pPr>
        <w:sectPr>
          <w:pgSz w:w="11900" w:h="16838" w:orient="portrait"/>
          <w:cols w:equalWidth="0" w:num="2">
            <w:col w:w="340" w:space="440"/>
            <w:col w:w="9439"/>
          </w:cols>
          <w:pgMar w:left="240" w:top="1139"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9399"/>
          </w:cols>
          <w:pgMar w:left="240" w:top="1139" w:right="1440"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Wendy Sun / Mr. Jerry Chan</w:t>
      </w:r>
    </w:p>
    <w:p>
      <w:pPr>
        <w:sectPr>
          <w:pgSz w:w="11900" w:h="16838" w:orient="portrait"/>
          <w:cols w:equalWidth="0" w:num="1">
            <w:col w:w="10219"/>
          </w:cols>
          <w:pgMar w:left="240" w:top="1139" w:right="1440" w:bottom="1440" w:gutter="0" w:footer="0" w:header="0"/>
          <w:type w:val="continuous"/>
        </w:sectPr>
      </w:pPr>
    </w:p>
    <w:bookmarkStart w:id="278" w:name="page279"/>
    <w:bookmarkEnd w:id="278"/>
    <w:p>
      <w:pPr>
        <w:spacing w:after="0"/>
        <w:rPr>
          <w:sz w:val="20"/>
          <w:szCs w:val="20"/>
          <w:color w:val="auto"/>
        </w:rPr>
      </w:pPr>
      <w:r>
        <w:rPr>
          <w:rFonts w:ascii="Arial" w:cs="Arial" w:eastAsia="Arial" w:hAnsi="Arial"/>
          <w:sz w:val="22"/>
          <w:szCs w:val="22"/>
          <w:b w:val="1"/>
          <w:bCs w:val="1"/>
          <w:color w:val="auto"/>
        </w:rPr>
        <w:t>The Term Facility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Iris Ieong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0219"/>
          </w:cols>
          <w:pgMar w:left="240" w:top="882" w:right="144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8919"/>
          </w:cols>
          <w:pgMar w:left="240" w:top="882"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1623 / 8792 1706</w:t>
      </w:r>
    </w:p>
    <w:p>
      <w:pPr>
        <w:spacing w:after="0" w:line="200" w:lineRule="exact"/>
        <w:rPr>
          <w:sz w:val="20"/>
          <w:szCs w:val="20"/>
          <w:color w:val="auto"/>
        </w:rPr>
      </w:pPr>
    </w:p>
    <w:p>
      <w:pPr>
        <w:sectPr>
          <w:pgSz w:w="11900" w:h="16838" w:orient="portrait"/>
          <w:cols w:equalWidth="0" w:num="2">
            <w:col w:w="340" w:space="440"/>
            <w:col w:w="9439"/>
          </w:cols>
          <w:pgMar w:left="240" w:top="882"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9399"/>
          </w:cols>
          <w:pgMar w:left="240" w:top="882" w:right="1440"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Wendy Sun / Mr. Jerry Chan</w:t>
      </w:r>
    </w:p>
    <w:p>
      <w:pPr>
        <w:sectPr>
          <w:pgSz w:w="11900" w:h="16838" w:orient="portrait"/>
          <w:cols w:equalWidth="0" w:num="1">
            <w:col w:w="10219"/>
          </w:cols>
          <w:pgMar w:left="240" w:top="882" w:right="1440" w:bottom="1440" w:gutter="0" w:footer="0" w:header="0"/>
          <w:type w:val="continuous"/>
        </w:sectPr>
      </w:pPr>
    </w:p>
    <w:bookmarkStart w:id="279" w:name="page280"/>
    <w:bookmarkEnd w:id="279"/>
    <w:p>
      <w:pPr>
        <w:spacing w:after="0"/>
        <w:rPr>
          <w:sz w:val="20"/>
          <w:szCs w:val="20"/>
          <w:color w:val="auto"/>
        </w:rPr>
      </w:pPr>
      <w:r>
        <w:rPr>
          <w:rFonts w:ascii="Arial" w:cs="Arial" w:eastAsia="Arial" w:hAnsi="Arial"/>
          <w:sz w:val="22"/>
          <w:szCs w:val="22"/>
          <w:b w:val="1"/>
          <w:bCs w:val="1"/>
          <w:color w:val="auto"/>
        </w:rPr>
        <w:t>The Revolving Credit Facility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Iris Ieong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0219"/>
          </w:cols>
          <w:pgMar w:left="240" w:top="1139" w:right="144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8919"/>
          </w:cols>
          <w:pgMar w:left="240" w:top="1139"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1623 / 8792 1706</w:t>
      </w:r>
    </w:p>
    <w:p>
      <w:pPr>
        <w:spacing w:after="0" w:line="200" w:lineRule="exact"/>
        <w:rPr>
          <w:sz w:val="20"/>
          <w:szCs w:val="20"/>
          <w:color w:val="auto"/>
        </w:rPr>
      </w:pPr>
    </w:p>
    <w:p>
      <w:pPr>
        <w:sectPr>
          <w:pgSz w:w="11900" w:h="16838" w:orient="portrait"/>
          <w:cols w:equalWidth="0" w:num="2">
            <w:col w:w="340" w:space="440"/>
            <w:col w:w="9439"/>
          </w:cols>
          <w:pgMar w:left="240" w:top="1139"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9399"/>
          </w:cols>
          <w:pgMar w:left="240" w:top="1139" w:right="1440"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Wendy Sun / Mr. Jerry Chan</w:t>
      </w:r>
    </w:p>
    <w:p>
      <w:pPr>
        <w:sectPr>
          <w:pgSz w:w="11900" w:h="16838" w:orient="portrait"/>
          <w:cols w:equalWidth="0" w:num="1">
            <w:col w:w="10219"/>
          </w:cols>
          <w:pgMar w:left="240" w:top="1139" w:right="1440"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22"/>
          <w:szCs w:val="22"/>
          <w:b w:val="1"/>
          <w:bCs w:val="1"/>
          <w:color w:val="auto"/>
        </w:rPr>
        <w:t>The POA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Wong, Iao Kun</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13/F Bank of China Building</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Avenida Doutor Mario Soares, Macau</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40" w:type="dxa"/>
            <w:vAlign w:val="bottom"/>
          </w:tcPr>
          <w:p>
            <w:pPr>
              <w:jc w:val="right"/>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40" w:type="dxa"/>
            <w:vAlign w:val="bottom"/>
          </w:tcPr>
          <w:p>
            <w:pPr>
              <w:jc w:val="right"/>
              <w:spacing w:after="0"/>
              <w:rPr>
                <w:sz w:val="20"/>
                <w:szCs w:val="20"/>
                <w:color w:val="auto"/>
              </w:rPr>
            </w:pPr>
            <w:r>
              <w:rPr>
                <w:rFonts w:ascii="Arial" w:cs="Arial" w:eastAsia="Arial" w:hAnsi="Arial"/>
                <w:sz w:val="22"/>
                <w:szCs w:val="22"/>
                <w:color w:val="auto"/>
                <w:w w:val="96"/>
              </w:rPr>
              <w:t>+853 8792 1659 / 8792 0308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James Wong / Ms. Iris Ieong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ectPr>
          <w:pgSz w:w="11900" w:h="16838" w:orient="portrait"/>
          <w:cols w:equalWidth="0" w:num="1">
            <w:col w:w="10219"/>
          </w:cols>
          <w:pgMar w:left="240" w:top="1355" w:right="144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17/F Bank of China Building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Avenida Doutor Mario Soares, Macau</w:t>
      </w:r>
    </w:p>
    <w:p>
      <w:pPr>
        <w:spacing w:after="0" w:line="200" w:lineRule="exact"/>
        <w:rPr>
          <w:sz w:val="20"/>
          <w:szCs w:val="20"/>
          <w:color w:val="auto"/>
        </w:rPr>
      </w:pPr>
    </w:p>
    <w:p>
      <w:pPr>
        <w:sectPr>
          <w:pgSz w:w="11900" w:h="16838" w:orient="portrait"/>
          <w:cols w:equalWidth="0" w:num="2">
            <w:col w:w="780" w:space="520"/>
            <w:col w:w="8919"/>
          </w:cols>
          <w:pgMar w:left="240" w:top="1355"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+853 8792 1623 / 8792 1706</w:t>
      </w:r>
    </w:p>
    <w:p>
      <w:pPr>
        <w:spacing w:after="0" w:line="200" w:lineRule="exact"/>
        <w:rPr>
          <w:sz w:val="20"/>
          <w:szCs w:val="20"/>
          <w:color w:val="auto"/>
        </w:rPr>
      </w:pPr>
    </w:p>
    <w:p>
      <w:pPr>
        <w:sectPr>
          <w:pgSz w:w="11900" w:h="16838" w:orient="portrait"/>
          <w:cols w:equalWidth="0" w:num="2">
            <w:col w:w="340" w:space="440"/>
            <w:col w:w="9439"/>
          </w:cols>
          <w:pgMar w:left="240" w:top="1355"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+853 8792 1677</w:t>
      </w:r>
    </w:p>
    <w:p>
      <w:pPr>
        <w:spacing w:after="0" w:line="200" w:lineRule="exact"/>
        <w:rPr>
          <w:sz w:val="20"/>
          <w:szCs w:val="20"/>
          <w:color w:val="auto"/>
        </w:rPr>
      </w:pPr>
    </w:p>
    <w:p>
      <w:pPr>
        <w:sectPr>
          <w:pgSz w:w="11900" w:h="16838" w:orient="portrait"/>
          <w:cols w:equalWidth="0" w:num="2">
            <w:col w:w="400" w:space="420"/>
            <w:col w:w="9399"/>
          </w:cols>
          <w:pgMar w:left="240" w:top="1355" w:right="1440" w:bottom="1440" w:gutter="0" w:footer="0" w:header="0"/>
          <w:type w:val="continuous"/>
        </w:sectPr>
      </w:pPr>
    </w:p>
    <w:p>
      <w:pPr>
        <w:spacing w:after="0" w:line="5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Wendy Sun / Mr. Jerry Chan</w:t>
      </w:r>
    </w:p>
    <w:p>
      <w:pPr>
        <w:sectPr>
          <w:pgSz w:w="11900" w:h="16838" w:orient="portrait"/>
          <w:cols w:equalWidth="0" w:num="1">
            <w:col w:w="10219"/>
          </w:cols>
          <w:pgMar w:left="240" w:top="1355" w:right="1440" w:bottom="1440" w:gutter="0" w:footer="0" w:header="0"/>
          <w:type w:val="continuous"/>
        </w:sectPr>
      </w:pPr>
    </w:p>
    <w:bookmarkStart w:id="281" w:name="page282"/>
    <w:bookmarkEnd w:id="281"/>
    <w:p>
      <w:pPr>
        <w:spacing w:after="0"/>
        <w:rPr>
          <w:sz w:val="20"/>
          <w:szCs w:val="20"/>
          <w:color w:val="auto"/>
        </w:rPr>
      </w:pPr>
      <w:r>
        <w:rPr>
          <w:rFonts w:ascii="Arial" w:cs="Arial" w:eastAsia="Arial" w:hAnsi="Arial"/>
          <w:sz w:val="22"/>
          <w:szCs w:val="22"/>
          <w:b w:val="1"/>
          <w:bCs w:val="1"/>
          <w:color w:val="auto"/>
        </w:rPr>
        <w:t>The Additional Facility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auto"/>
              </w:rPr>
              <w:t>By:</w:t>
            </w:r>
          </w:p>
        </w:tc>
        <w:tc>
          <w:tcPr>
            <w:tcW w:w="340" w:type="dxa"/>
            <w:vAlign w:val="bottom"/>
          </w:tcPr>
          <w:p>
            <w:pPr>
              <w:spacing w:after="0"/>
              <w:rPr>
                <w:sz w:val="21"/>
                <w:szCs w:val="21"/>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Wong, Iao Kun</w:t>
            </w:r>
          </w:p>
        </w:tc>
        <w:tc>
          <w:tcPr>
            <w:tcW w:w="2260" w:type="dxa"/>
            <w:vAlign w:val="bottom"/>
          </w:tcPr>
          <w:p>
            <w:pPr>
              <w:spacing w:after="0"/>
              <w:rPr>
                <w:sz w:val="21"/>
                <w:szCs w:val="21"/>
                <w:color w:val="auto"/>
              </w:rPr>
            </w:pPr>
          </w:p>
        </w:tc>
      </w:tr>
      <w:tr>
        <w:trPr>
          <w:trHeight w:val="50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13/F Bank of China Building</w:t>
            </w:r>
          </w:p>
        </w:tc>
      </w:tr>
      <w:tr>
        <w:trPr>
          <w:trHeight w:val="473"/>
        </w:trPr>
        <w:tc>
          <w:tcPr>
            <w:tcW w:w="420" w:type="dxa"/>
            <w:vAlign w:val="bottom"/>
          </w:tcPr>
          <w:p>
            <w:pPr>
              <w:spacing w:after="0"/>
              <w:rPr>
                <w:sz w:val="24"/>
                <w:szCs w:val="24"/>
                <w:color w:val="auto"/>
              </w:rPr>
            </w:pPr>
          </w:p>
        </w:tc>
        <w:tc>
          <w:tcPr>
            <w:tcW w:w="4180" w:type="dxa"/>
            <w:vAlign w:val="bottom"/>
            <w:gridSpan w:val="4"/>
          </w:tcPr>
          <w:p>
            <w:pPr>
              <w:jc w:val="right"/>
              <w:ind w:right="880"/>
              <w:spacing w:after="0"/>
              <w:rPr>
                <w:sz w:val="20"/>
                <w:szCs w:val="20"/>
                <w:color w:val="auto"/>
              </w:rPr>
            </w:pPr>
            <w:r>
              <w:rPr>
                <w:rFonts w:ascii="Arial" w:cs="Arial" w:eastAsia="Arial" w:hAnsi="Arial"/>
                <w:sz w:val="22"/>
                <w:szCs w:val="22"/>
                <w:color w:val="auto"/>
                <w:w w:val="89"/>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4180" w:type="dxa"/>
            <w:vAlign w:val="bottom"/>
            <w:gridSpan w:val="4"/>
          </w:tcPr>
          <w:p>
            <w:pPr>
              <w:ind w:left="240"/>
              <w:spacing w:after="0"/>
              <w:rPr>
                <w:sz w:val="20"/>
                <w:szCs w:val="20"/>
                <w:color w:val="auto"/>
              </w:rPr>
            </w:pPr>
            <w:r>
              <w:rPr>
                <w:rFonts w:ascii="Arial" w:cs="Arial" w:eastAsia="Arial" w:hAnsi="Arial"/>
                <w:sz w:val="22"/>
                <w:szCs w:val="22"/>
                <w:color w:val="auto"/>
              </w:rPr>
              <w:t>+853 8792 1659 / 8792 0308</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Mr. James Wong / Ms. Iris Ieong</w:t>
            </w:r>
          </w:p>
        </w:tc>
      </w:tr>
      <w:tr>
        <w:trPr>
          <w:trHeight w:val="945"/>
        </w:trPr>
        <w:tc>
          <w:tcPr>
            <w:tcW w:w="4600" w:type="dxa"/>
            <w:vAlign w:val="bottom"/>
            <w:gridSpan w:val="5"/>
          </w:tcPr>
          <w:p>
            <w:pPr>
              <w:spacing w:after="0"/>
              <w:rPr>
                <w:sz w:val="20"/>
                <w:szCs w:val="20"/>
                <w:color w:val="auto"/>
              </w:rPr>
            </w:pPr>
            <w:r>
              <w:rPr>
                <w:rFonts w:ascii="Arial" w:cs="Arial" w:eastAsia="Arial" w:hAnsi="Arial"/>
                <w:sz w:val="22"/>
                <w:szCs w:val="22"/>
                <w:color w:val="auto"/>
              </w:rPr>
              <w:t>With a copy to:</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17/F Bank of China Building</w:t>
            </w:r>
          </w:p>
        </w:tc>
      </w:tr>
      <w:tr>
        <w:trPr>
          <w:trHeight w:val="473"/>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jc w:val="right"/>
              <w:spacing w:after="0"/>
              <w:rPr>
                <w:sz w:val="20"/>
                <w:szCs w:val="20"/>
                <w:color w:val="auto"/>
              </w:rPr>
            </w:pPr>
            <w:r>
              <w:rPr>
                <w:rFonts w:ascii="Arial" w:cs="Arial" w:eastAsia="Arial" w:hAnsi="Arial"/>
                <w:sz w:val="22"/>
                <w:szCs w:val="22"/>
                <w:color w:val="auto"/>
                <w:w w:val="98"/>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1623 / 8792 1706</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1920" w:type="dxa"/>
            <w:vAlign w:val="bottom"/>
            <w:gridSpan w:val="3"/>
          </w:tcPr>
          <w:p>
            <w:pPr>
              <w:ind w:left="240"/>
              <w:spacing w:after="0"/>
              <w:rPr>
                <w:sz w:val="20"/>
                <w:szCs w:val="20"/>
                <w:color w:val="auto"/>
              </w:rPr>
            </w:pPr>
            <w:r>
              <w:rPr>
                <w:rFonts w:ascii="Arial" w:cs="Arial" w:eastAsia="Arial" w:hAnsi="Arial"/>
                <w:sz w:val="22"/>
                <w:szCs w:val="22"/>
                <w:color w:val="auto"/>
              </w:rPr>
              <w:t>+853 8792 1677</w:t>
            </w:r>
          </w:p>
        </w:tc>
        <w:tc>
          <w:tcPr>
            <w:tcW w:w="2260" w:type="dxa"/>
            <w:vAlign w:val="bottom"/>
          </w:tcPr>
          <w:p>
            <w:pPr>
              <w:spacing w:after="0"/>
              <w:rPr>
                <w:sz w:val="24"/>
                <w:szCs w:val="24"/>
                <w:color w:val="auto"/>
              </w:rPr>
            </w:pP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Ms. Wendy Sun / Mr. Jerry Chan</w:t>
            </w:r>
          </w:p>
        </w:tc>
      </w:tr>
    </w:tbl>
    <w:p>
      <w:pPr>
        <w:sectPr>
          <w:pgSz w:w="11900" w:h="16838" w:orient="portrait"/>
          <w:cols w:equalWidth="0" w:num="1">
            <w:col w:w="10219"/>
          </w:cols>
          <w:pgMar w:left="240" w:top="625" w:right="1440"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b w:val="1"/>
          <w:bCs w:val="1"/>
          <w:color w:val="auto"/>
        </w:rPr>
        <w:t>The Additional Lender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auto"/>
              </w:rPr>
              <w:t>By:</w:t>
            </w:r>
          </w:p>
        </w:tc>
        <w:tc>
          <w:tcPr>
            <w:tcW w:w="340" w:type="dxa"/>
            <w:vAlign w:val="bottom"/>
          </w:tcPr>
          <w:p>
            <w:pPr>
              <w:spacing w:after="0"/>
              <w:rPr>
                <w:sz w:val="21"/>
                <w:szCs w:val="21"/>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Wong, Iao Kun</w:t>
            </w:r>
          </w:p>
        </w:tc>
        <w:tc>
          <w:tcPr>
            <w:tcW w:w="2260" w:type="dxa"/>
            <w:vAlign w:val="bottom"/>
          </w:tcPr>
          <w:p>
            <w:pPr>
              <w:spacing w:after="0"/>
              <w:rPr>
                <w:sz w:val="21"/>
                <w:szCs w:val="21"/>
                <w:color w:val="auto"/>
              </w:rPr>
            </w:pPr>
          </w:p>
        </w:tc>
      </w:tr>
      <w:tr>
        <w:trPr>
          <w:trHeight w:val="50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13/F Bank of China Building</w:t>
            </w:r>
          </w:p>
        </w:tc>
      </w:tr>
      <w:tr>
        <w:trPr>
          <w:trHeight w:val="473"/>
        </w:trPr>
        <w:tc>
          <w:tcPr>
            <w:tcW w:w="420" w:type="dxa"/>
            <w:vAlign w:val="bottom"/>
          </w:tcPr>
          <w:p>
            <w:pPr>
              <w:spacing w:after="0"/>
              <w:rPr>
                <w:sz w:val="24"/>
                <w:szCs w:val="24"/>
                <w:color w:val="auto"/>
              </w:rPr>
            </w:pPr>
          </w:p>
        </w:tc>
        <w:tc>
          <w:tcPr>
            <w:tcW w:w="4180" w:type="dxa"/>
            <w:vAlign w:val="bottom"/>
            <w:gridSpan w:val="4"/>
          </w:tcPr>
          <w:p>
            <w:pPr>
              <w:jc w:val="right"/>
              <w:ind w:right="880"/>
              <w:spacing w:after="0"/>
              <w:rPr>
                <w:sz w:val="20"/>
                <w:szCs w:val="20"/>
                <w:color w:val="auto"/>
              </w:rPr>
            </w:pPr>
            <w:r>
              <w:rPr>
                <w:rFonts w:ascii="Arial" w:cs="Arial" w:eastAsia="Arial" w:hAnsi="Arial"/>
                <w:sz w:val="22"/>
                <w:szCs w:val="22"/>
                <w:color w:val="auto"/>
                <w:w w:val="89"/>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1639 / 8792 1682</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4180" w:type="dxa"/>
            <w:vAlign w:val="bottom"/>
            <w:gridSpan w:val="4"/>
          </w:tcPr>
          <w:p>
            <w:pPr>
              <w:ind w:left="240"/>
              <w:spacing w:after="0"/>
              <w:rPr>
                <w:sz w:val="20"/>
                <w:szCs w:val="20"/>
                <w:color w:val="auto"/>
              </w:rPr>
            </w:pPr>
            <w:r>
              <w:rPr>
                <w:rFonts w:ascii="Arial" w:cs="Arial" w:eastAsia="Arial" w:hAnsi="Arial"/>
                <w:sz w:val="22"/>
                <w:szCs w:val="22"/>
                <w:color w:val="auto"/>
              </w:rPr>
              <w:t>+853 8792 1659 / 8792 0308</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Mr. James Wong / Ms. Iris Ieong</w:t>
            </w:r>
          </w:p>
        </w:tc>
      </w:tr>
      <w:tr>
        <w:trPr>
          <w:trHeight w:val="945"/>
        </w:trPr>
        <w:tc>
          <w:tcPr>
            <w:tcW w:w="4600" w:type="dxa"/>
            <w:vAlign w:val="bottom"/>
            <w:gridSpan w:val="5"/>
          </w:tcPr>
          <w:p>
            <w:pPr>
              <w:spacing w:after="0"/>
              <w:rPr>
                <w:sz w:val="20"/>
                <w:szCs w:val="20"/>
                <w:color w:val="auto"/>
              </w:rPr>
            </w:pPr>
            <w:r>
              <w:rPr>
                <w:rFonts w:ascii="Arial" w:cs="Arial" w:eastAsia="Arial" w:hAnsi="Arial"/>
                <w:sz w:val="22"/>
                <w:szCs w:val="22"/>
                <w:color w:val="auto"/>
              </w:rPr>
              <w:t>With a copy to:</w:t>
            </w: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364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17/F Bank of China Building</w:t>
            </w:r>
          </w:p>
        </w:tc>
      </w:tr>
      <w:tr>
        <w:trPr>
          <w:trHeight w:val="473"/>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jc w:val="right"/>
              <w:spacing w:after="0"/>
              <w:rPr>
                <w:sz w:val="20"/>
                <w:szCs w:val="20"/>
                <w:color w:val="auto"/>
              </w:rPr>
            </w:pPr>
            <w:r>
              <w:rPr>
                <w:rFonts w:ascii="Arial" w:cs="Arial" w:eastAsia="Arial" w:hAnsi="Arial"/>
                <w:sz w:val="22"/>
                <w:szCs w:val="22"/>
                <w:color w:val="auto"/>
                <w:w w:val="98"/>
              </w:rPr>
              <w:t>Avenida Doutor Mario Soares, Macau</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rPr>
              <w:t>Tel:</w:t>
            </w:r>
          </w:p>
        </w:tc>
        <w:tc>
          <w:tcPr>
            <w:tcW w:w="4180" w:type="dxa"/>
            <w:vAlign w:val="bottom"/>
            <w:gridSpan w:val="4"/>
          </w:tcPr>
          <w:p>
            <w:pPr>
              <w:jc w:val="right"/>
              <w:ind w:right="1480"/>
              <w:spacing w:after="0"/>
              <w:rPr>
                <w:sz w:val="20"/>
                <w:szCs w:val="20"/>
                <w:color w:val="auto"/>
              </w:rPr>
            </w:pPr>
            <w:r>
              <w:rPr>
                <w:rFonts w:ascii="Arial" w:cs="Arial" w:eastAsia="Arial" w:hAnsi="Arial"/>
                <w:sz w:val="22"/>
                <w:szCs w:val="22"/>
                <w:color w:val="auto"/>
                <w:w w:val="95"/>
              </w:rPr>
              <w:t>+853 8792 1623 / 8792 1706</w:t>
            </w:r>
          </w:p>
        </w:tc>
      </w:tr>
      <w:tr>
        <w:trPr>
          <w:trHeight w:val="473"/>
        </w:trPr>
        <w:tc>
          <w:tcPr>
            <w:tcW w:w="420" w:type="dxa"/>
            <w:vAlign w:val="bottom"/>
          </w:tcPr>
          <w:p>
            <w:pPr>
              <w:spacing w:after="0"/>
              <w:rPr>
                <w:sz w:val="20"/>
                <w:szCs w:val="20"/>
                <w:color w:val="auto"/>
              </w:rPr>
            </w:pPr>
            <w:r>
              <w:rPr>
                <w:rFonts w:ascii="Arial" w:cs="Arial" w:eastAsia="Arial" w:hAnsi="Arial"/>
                <w:sz w:val="22"/>
                <w:szCs w:val="22"/>
                <w:color w:val="auto"/>
                <w:w w:val="93"/>
              </w:rPr>
              <w:t>Fax:</w:t>
            </w:r>
          </w:p>
        </w:tc>
        <w:tc>
          <w:tcPr>
            <w:tcW w:w="1920" w:type="dxa"/>
            <w:vAlign w:val="bottom"/>
            <w:gridSpan w:val="3"/>
          </w:tcPr>
          <w:p>
            <w:pPr>
              <w:ind w:left="240"/>
              <w:spacing w:after="0"/>
              <w:rPr>
                <w:sz w:val="20"/>
                <w:szCs w:val="20"/>
                <w:color w:val="auto"/>
              </w:rPr>
            </w:pPr>
            <w:r>
              <w:rPr>
                <w:rFonts w:ascii="Arial" w:cs="Arial" w:eastAsia="Arial" w:hAnsi="Arial"/>
                <w:sz w:val="22"/>
                <w:szCs w:val="22"/>
                <w:color w:val="auto"/>
              </w:rPr>
              <w:t>+853 8792 1677</w:t>
            </w:r>
          </w:p>
        </w:tc>
        <w:tc>
          <w:tcPr>
            <w:tcW w:w="2260" w:type="dxa"/>
            <w:vAlign w:val="bottom"/>
          </w:tcPr>
          <w:p>
            <w:pPr>
              <w:spacing w:after="0"/>
              <w:rPr>
                <w:sz w:val="24"/>
                <w:szCs w:val="24"/>
                <w:color w:val="auto"/>
              </w:rPr>
            </w:pPr>
          </w:p>
        </w:tc>
      </w:tr>
      <w:tr>
        <w:trPr>
          <w:trHeight w:val="473"/>
        </w:trPr>
        <w:tc>
          <w:tcPr>
            <w:tcW w:w="960" w:type="dxa"/>
            <w:vAlign w:val="bottom"/>
            <w:gridSpan w:val="3"/>
          </w:tcPr>
          <w:p>
            <w:pPr>
              <w:spacing w:after="0"/>
              <w:rPr>
                <w:sz w:val="20"/>
                <w:szCs w:val="20"/>
                <w:color w:val="auto"/>
              </w:rPr>
            </w:pPr>
            <w:r>
              <w:rPr>
                <w:rFonts w:ascii="Arial" w:cs="Arial" w:eastAsia="Arial" w:hAnsi="Arial"/>
                <w:sz w:val="22"/>
                <w:szCs w:val="22"/>
                <w:color w:val="auto"/>
              </w:rPr>
              <w:t>Attention:</w:t>
            </w:r>
          </w:p>
        </w:tc>
        <w:tc>
          <w:tcPr>
            <w:tcW w:w="3640" w:type="dxa"/>
            <w:vAlign w:val="bottom"/>
            <w:gridSpan w:val="2"/>
          </w:tcPr>
          <w:p>
            <w:pPr>
              <w:ind w:left="200"/>
              <w:spacing w:after="0"/>
              <w:rPr>
                <w:sz w:val="20"/>
                <w:szCs w:val="20"/>
                <w:color w:val="auto"/>
              </w:rPr>
            </w:pPr>
            <w:r>
              <w:rPr>
                <w:rFonts w:ascii="Arial" w:cs="Arial" w:eastAsia="Arial" w:hAnsi="Arial"/>
                <w:sz w:val="22"/>
                <w:szCs w:val="22"/>
                <w:color w:val="auto"/>
              </w:rPr>
              <w:t>Ms. Wendy Sun / Mr. Jerry Chan</w:t>
            </w:r>
          </w:p>
        </w:tc>
      </w:tr>
    </w:tbl>
    <w:p>
      <w:pPr>
        <w:sectPr>
          <w:pgSz w:w="11900" w:h="16838" w:orient="portrait"/>
          <w:cols w:equalWidth="0" w:num="1">
            <w:col w:w="10219"/>
          </w:cols>
          <w:pgMar w:left="240" w:top="626"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ind w:left="8040"/>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DATED September 30, 2015</w:t>
      </w:r>
    </w:p>
    <w:p>
      <w:pPr>
        <w:spacing w:after="0" w:line="200" w:lineRule="exact"/>
        <w:rPr>
          <w:sz w:val="20"/>
          <w:szCs w:val="20"/>
          <w:color w:val="auto"/>
        </w:rPr>
      </w:pPr>
    </w:p>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Term Facility Agent</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Term Facility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583565</wp:posOffset>
            </wp:positionV>
            <wp:extent cx="5213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TERM FACILITY AGREEMENT</w:t>
      </w:r>
    </w:p>
    <w:p>
      <w:pPr>
        <w:spacing w:after="0" w:line="22"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FOURTH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17145</wp:posOffset>
            </wp:positionV>
            <wp:extent cx="5213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284" w:name="page285"/>
    <w:bookmarkEnd w:id="284"/>
    <w:p>
      <w:pPr>
        <w:jc w:val="right"/>
        <w:ind w:right="3959"/>
        <w:spacing w:after="0"/>
        <w:rPr>
          <w:sz w:val="20"/>
          <w:szCs w:val="20"/>
          <w:color w:val="auto"/>
        </w:rPr>
      </w:pPr>
      <w:r>
        <w:rPr>
          <w:rFonts w:ascii="Arial" w:cs="Arial" w:eastAsia="Arial" w:hAnsi="Arial"/>
          <w:sz w:val="20"/>
          <w:szCs w:val="20"/>
          <w:b w:val="1"/>
          <w:bCs w:val="1"/>
          <w:color w:val="auto"/>
        </w:rPr>
        <w:t>CONTENTS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Clause</w:t>
      </w:r>
    </w:p>
    <w:p>
      <w:pPr>
        <w:spacing w:after="0" w:line="378" w:lineRule="exact"/>
        <w:rPr>
          <w:sz w:val="20"/>
          <w:szCs w:val="20"/>
          <w:color w:val="auto"/>
        </w:rPr>
      </w:pPr>
    </w:p>
    <w:p>
      <w:pPr>
        <w:spacing w:after="0"/>
        <w:rPr>
          <w:rFonts w:ascii="Arial" w:cs="Arial" w:eastAsia="Arial" w:hAnsi="Arial"/>
          <w:sz w:val="20"/>
          <w:szCs w:val="20"/>
          <w:u w:val="single" w:color="auto"/>
          <w:color w:val="0000EE"/>
        </w:rPr>
      </w:pPr>
      <w:hyperlink w:anchor="page286">
        <w:r>
          <w:rPr>
            <w:rFonts w:ascii="Arial" w:cs="Arial" w:eastAsia="Arial" w:hAnsi="Arial"/>
            <w:sz w:val="20"/>
            <w:szCs w:val="20"/>
            <w:u w:val="single" w:color="auto"/>
            <w:color w:val="0000EE"/>
          </w:rPr>
          <w:t>1.</w:t>
        </w:r>
      </w:hyperlink>
      <w:r>
        <w:rPr>
          <w:rFonts w:ascii="Arial" w:cs="Arial" w:eastAsia="Arial" w:hAnsi="Arial"/>
          <w:sz w:val="20"/>
          <w:szCs w:val="20"/>
          <w:b w:val="1"/>
          <w:bCs w:val="1"/>
          <w:u w:val="single" w:color="auto"/>
          <w:color w:val="0000FF"/>
        </w:rPr>
        <w:t>DEFINITIONS</w:t>
      </w:r>
      <w:r>
        <w:rPr>
          <w:rFonts w:ascii="Arial" w:cs="Arial" w:eastAsia="Arial" w:hAnsi="Arial"/>
          <w:sz w:val="20"/>
          <w:szCs w:val="20"/>
          <w:u w:val="single" w:color="auto"/>
          <w:color w:val="0000EE"/>
        </w:rPr>
        <w:t xml:space="preserve"> </w:t>
      </w:r>
      <w:r>
        <w:rPr>
          <w:rFonts w:ascii="Arial" w:cs="Arial" w:eastAsia="Arial" w:hAnsi="Arial"/>
          <w:sz w:val="20"/>
          <w:szCs w:val="20"/>
          <w:b w:val="1"/>
          <w:bCs w:val="1"/>
          <w:u w:val="single" w:color="auto"/>
          <w:color w:val="0000FF"/>
        </w:rPr>
        <w:t>AND INTERPRETATION</w:t>
      </w:r>
    </w:p>
    <w:p>
      <w:pPr>
        <w:spacing w:after="0" w:line="135" w:lineRule="exact"/>
        <w:rPr>
          <w:sz w:val="20"/>
          <w:szCs w:val="20"/>
          <w:color w:val="auto"/>
        </w:rPr>
      </w:pPr>
    </w:p>
    <w:p>
      <w:pPr>
        <w:spacing w:after="0"/>
        <w:rPr>
          <w:rFonts w:ascii="Arial" w:cs="Arial" w:eastAsia="Arial" w:hAnsi="Arial"/>
          <w:sz w:val="20"/>
          <w:szCs w:val="20"/>
          <w:u w:val="single" w:color="auto"/>
          <w:color w:val="0000EE"/>
        </w:rPr>
      </w:pPr>
      <w:hyperlink w:anchor="page287">
        <w:r>
          <w:rPr>
            <w:rFonts w:ascii="Arial" w:cs="Arial" w:eastAsia="Arial" w:hAnsi="Arial"/>
            <w:sz w:val="20"/>
            <w:szCs w:val="20"/>
            <w:u w:val="single" w:color="auto"/>
            <w:color w:val="0000EE"/>
          </w:rPr>
          <w:t>2.</w:t>
        </w:r>
      </w:hyperlink>
      <w:r>
        <w:rPr>
          <w:rFonts w:ascii="Arial" w:cs="Arial" w:eastAsia="Arial" w:hAnsi="Arial"/>
          <w:sz w:val="20"/>
          <w:szCs w:val="20"/>
          <w:b w:val="1"/>
          <w:bCs w:val="1"/>
          <w:u w:val="single" w:color="auto"/>
          <w:color w:val="0000FF"/>
        </w:rPr>
        <w:t>AMENDMENT</w:t>
      </w:r>
    </w:p>
    <w:p>
      <w:pPr>
        <w:spacing w:after="0" w:line="135" w:lineRule="exact"/>
        <w:rPr>
          <w:sz w:val="20"/>
          <w:szCs w:val="20"/>
          <w:color w:val="auto"/>
        </w:rPr>
      </w:pPr>
    </w:p>
    <w:p>
      <w:pPr>
        <w:ind w:left="200" w:hanging="198"/>
        <w:spacing w:after="0"/>
        <w:tabs>
          <w:tab w:leader="none" w:pos="200" w:val="left"/>
        </w:tabs>
        <w:numPr>
          <w:ilvl w:val="0"/>
          <w:numId w:val="412"/>
        </w:numPr>
        <w:rPr>
          <w:rFonts w:ascii="Arial" w:cs="Arial" w:eastAsia="Arial" w:hAnsi="Arial"/>
          <w:sz w:val="20"/>
          <w:szCs w:val="20"/>
          <w:u w:val="single" w:color="auto"/>
          <w:color w:val="0000EE"/>
        </w:rPr>
      </w:pPr>
      <w:r>
        <w:rPr>
          <w:rFonts w:ascii="Arial" w:cs="Arial" w:eastAsia="Arial" w:hAnsi="Arial"/>
          <w:sz w:val="20"/>
          <w:szCs w:val="20"/>
          <w:b w:val="1"/>
          <w:bCs w:val="1"/>
          <w:u w:val="single" w:color="auto"/>
          <w:color w:val="0000FF"/>
        </w:rPr>
        <w:t>CONTINUITY AND FURTHER ASSURANCE</w:t>
      </w:r>
    </w:p>
    <w:p>
      <w:pPr>
        <w:spacing w:after="0" w:line="134" w:lineRule="exact"/>
        <w:rPr>
          <w:rFonts w:ascii="Arial" w:cs="Arial" w:eastAsia="Arial" w:hAnsi="Arial"/>
          <w:sz w:val="20"/>
          <w:szCs w:val="20"/>
          <w:u w:val="single" w:color="auto"/>
          <w:color w:val="0000EE"/>
        </w:rPr>
      </w:pPr>
    </w:p>
    <w:p>
      <w:pPr>
        <w:ind w:left="200" w:hanging="198"/>
        <w:spacing w:after="0"/>
        <w:tabs>
          <w:tab w:leader="none" w:pos="200" w:val="left"/>
        </w:tabs>
        <w:numPr>
          <w:ilvl w:val="0"/>
          <w:numId w:val="412"/>
        </w:numPr>
        <w:rPr>
          <w:rFonts w:ascii="Arial" w:cs="Arial" w:eastAsia="Arial" w:hAnsi="Arial"/>
          <w:sz w:val="20"/>
          <w:szCs w:val="20"/>
          <w:u w:val="single" w:color="auto"/>
          <w:color w:val="0000EE"/>
        </w:rPr>
      </w:pPr>
      <w:r>
        <w:rPr>
          <w:rFonts w:ascii="Arial" w:cs="Arial" w:eastAsia="Arial" w:hAnsi="Arial"/>
          <w:sz w:val="20"/>
          <w:szCs w:val="20"/>
          <w:b w:val="1"/>
          <w:bCs w:val="1"/>
          <w:u w:val="single" w:color="auto"/>
          <w:color w:val="0000FF"/>
        </w:rPr>
        <w:t>MISCELLANEOUS</w:t>
      </w:r>
    </w:p>
    <w:p>
      <w:pPr>
        <w:spacing w:after="0" w:line="134" w:lineRule="exact"/>
        <w:rPr>
          <w:rFonts w:ascii="Arial" w:cs="Arial" w:eastAsia="Arial" w:hAnsi="Arial"/>
          <w:sz w:val="20"/>
          <w:szCs w:val="20"/>
          <w:u w:val="single" w:color="auto"/>
          <w:color w:val="0000EE"/>
        </w:rPr>
      </w:pPr>
    </w:p>
    <w:p>
      <w:pPr>
        <w:ind w:left="200" w:hanging="198"/>
        <w:spacing w:after="0"/>
        <w:tabs>
          <w:tab w:leader="none" w:pos="200" w:val="left"/>
        </w:tabs>
        <w:numPr>
          <w:ilvl w:val="0"/>
          <w:numId w:val="412"/>
        </w:numPr>
        <w:rPr>
          <w:rFonts w:ascii="Arial" w:cs="Arial" w:eastAsia="Arial" w:hAnsi="Arial"/>
          <w:sz w:val="20"/>
          <w:szCs w:val="20"/>
          <w:u w:val="single" w:color="auto"/>
          <w:color w:val="0000EE"/>
        </w:rPr>
      </w:pPr>
      <w:r>
        <w:rPr>
          <w:rFonts w:ascii="Arial" w:cs="Arial" w:eastAsia="Arial" w:hAnsi="Arial"/>
          <w:sz w:val="20"/>
          <w:szCs w:val="20"/>
          <w:b w:val="1"/>
          <w:bCs w:val="1"/>
          <w:u w:val="single" w:color="auto"/>
          <w:color w:val="0000FF"/>
        </w:rPr>
        <w:t>GOVERNING LAW</w:t>
      </w:r>
    </w:p>
    <w:p>
      <w:pPr>
        <w:spacing w:after="0" w:line="135" w:lineRule="exact"/>
        <w:rPr>
          <w:sz w:val="20"/>
          <w:szCs w:val="20"/>
          <w:color w:val="auto"/>
        </w:rPr>
      </w:pPr>
    </w:p>
    <w:p>
      <w:pPr>
        <w:spacing w:after="0"/>
        <w:rPr>
          <w:rFonts w:ascii="Arial" w:cs="Arial" w:eastAsia="Arial" w:hAnsi="Arial"/>
          <w:sz w:val="20"/>
          <w:szCs w:val="20"/>
          <w:b w:val="1"/>
          <w:bCs w:val="1"/>
          <w:u w:val="single" w:color="auto"/>
          <w:color w:val="0000EE"/>
        </w:rPr>
      </w:pPr>
      <w:hyperlink w:anchor="page291">
        <w:r>
          <w:rPr>
            <w:rFonts w:ascii="Arial" w:cs="Arial" w:eastAsia="Arial" w:hAnsi="Arial"/>
            <w:sz w:val="20"/>
            <w:szCs w:val="20"/>
            <w:b w:val="1"/>
            <w:bCs w:val="1"/>
            <w:u w:val="single" w:color="auto"/>
            <w:color w:val="0000EE"/>
          </w:rPr>
          <w:t xml:space="preserve">SCHEDULE </w:t>
        </w:r>
      </w:hyperlink>
      <w:r>
        <w:rPr>
          <w:rFonts w:ascii="Arial" w:cs="Arial" w:eastAsia="Arial" w:hAnsi="Arial"/>
          <w:sz w:val="20"/>
          <w:szCs w:val="20"/>
          <w:b w:val="1"/>
          <w:bCs w:val="1"/>
          <w:u w:val="single" w:color="auto"/>
          <w:color w:val="0000FF"/>
        </w:rPr>
        <w:t>Amended</w:t>
      </w:r>
      <w:r>
        <w:rPr>
          <w:rFonts w:ascii="Arial" w:cs="Arial" w:eastAsia="Arial" w:hAnsi="Arial"/>
          <w:sz w:val="20"/>
          <w:szCs w:val="20"/>
          <w:b w:val="1"/>
          <w:bCs w:val="1"/>
          <w:u w:val="single" w:color="auto"/>
          <w:color w:val="0000EE"/>
        </w:rPr>
        <w:t xml:space="preserve"> </w:t>
      </w:r>
      <w:r>
        <w:rPr>
          <w:rFonts w:ascii="Arial" w:cs="Arial" w:eastAsia="Arial" w:hAnsi="Arial"/>
          <w:sz w:val="20"/>
          <w:szCs w:val="20"/>
          <w:b w:val="1"/>
          <w:bCs w:val="1"/>
          <w:u w:val="single" w:color="auto"/>
          <w:color w:val="0000FF"/>
        </w:rPr>
        <w:t>Term Facility Agreement</w:t>
      </w:r>
    </w:p>
    <w:p>
      <w:pPr>
        <w:sectPr>
          <w:pgSz w:w="11900" w:h="16838" w:orient="portrait"/>
          <w:cols w:equalWidth="0" w:num="1">
            <w:col w:w="10199"/>
          </w:cols>
          <w:pgMar w:left="260" w:top="576" w:right="1440" w:bottom="1440" w:gutter="0" w:footer="0" w:header="0"/>
        </w:sectPr>
      </w:pPr>
    </w:p>
    <w:bookmarkStart w:id="285" w:name="page286"/>
    <w:bookmarkEnd w:id="285"/>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September 30, 2015 and made between:</w:t>
      </w:r>
    </w:p>
    <w:p>
      <w:pPr>
        <w:spacing w:after="0" w:line="229" w:lineRule="exact"/>
        <w:rPr>
          <w:sz w:val="20"/>
          <w:szCs w:val="20"/>
          <w:color w:val="auto"/>
        </w:rPr>
      </w:pPr>
    </w:p>
    <w:p>
      <w:pPr>
        <w:ind w:left="560" w:hanging="552"/>
        <w:spacing w:after="0"/>
        <w:tabs>
          <w:tab w:leader="none" w:pos="560" w:val="left"/>
        </w:tabs>
        <w:numPr>
          <w:ilvl w:val="0"/>
          <w:numId w:val="413"/>
        </w:numPr>
        <w:rPr>
          <w:rFonts w:ascii="Arial" w:cs="Arial" w:eastAsia="Arial" w:hAnsi="Arial"/>
          <w:sz w:val="18"/>
          <w:szCs w:val="18"/>
          <w:color w:val="auto"/>
        </w:rPr>
      </w:pPr>
      <w:r>
        <w:rPr>
          <w:rFonts w:ascii="Arial" w:cs="Arial" w:eastAsia="Arial" w:hAnsi="Arial"/>
          <w:sz w:val="20"/>
          <w:szCs w:val="20"/>
          <w:b w:val="1"/>
          <w:bCs w:val="1"/>
          <w:color w:val="auto"/>
        </w:rPr>
        <w:t>WYNN RESORTS (MACAU) S.A</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Term Facility Agent</w:t>
      </w:r>
      <w:r>
        <w:rPr>
          <w:rFonts w:ascii="Arial" w:cs="Arial" w:eastAsia="Arial" w:hAnsi="Arial"/>
          <w:sz w:val="19"/>
          <w:szCs w:val="19"/>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Term Facility Lender</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560" w:hanging="552"/>
        <w:spacing w:after="0"/>
        <w:tabs>
          <w:tab w:leader="none" w:pos="560" w:val="left"/>
        </w:tabs>
        <w:numPr>
          <w:ilvl w:val="0"/>
          <w:numId w:val="414"/>
        </w:numPr>
        <w:rPr>
          <w:rFonts w:ascii="Arial" w:cs="Arial" w:eastAsia="Arial" w:hAnsi="Arial"/>
          <w:sz w:val="18"/>
          <w:szCs w:val="18"/>
          <w:color w:val="auto"/>
        </w:rPr>
      </w:pPr>
      <w:r>
        <w:rPr>
          <w:rFonts w:ascii="Arial" w:cs="Arial" w:eastAsia="Arial" w:hAnsi="Arial"/>
          <w:sz w:val="20"/>
          <w:szCs w:val="20"/>
          <w:color w:val="auto"/>
        </w:rPr>
        <w:t>The Company owns and operates Wynn Macau and is designing, developing and constructing the Cotai Project.</w:t>
      </w:r>
    </w:p>
    <w:p>
      <w:pPr>
        <w:spacing w:after="0" w:line="229" w:lineRule="exact"/>
        <w:rPr>
          <w:sz w:val="20"/>
          <w:szCs w:val="20"/>
          <w:color w:val="auto"/>
        </w:rPr>
      </w:pPr>
    </w:p>
    <w:p>
      <w:pPr>
        <w:jc w:val="both"/>
        <w:ind w:left="800" w:hanging="782"/>
        <w:spacing w:after="0" w:line="323" w:lineRule="auto"/>
        <w:rPr>
          <w:sz w:val="20"/>
          <w:szCs w:val="20"/>
          <w:color w:val="auto"/>
        </w:rPr>
      </w:pPr>
      <w:r>
        <w:rPr>
          <w:rFonts w:ascii="Arial" w:cs="Arial" w:eastAsia="Arial" w:hAnsi="Arial"/>
          <w:sz w:val="18"/>
          <w:szCs w:val="18"/>
          <w:color w:val="auto"/>
        </w:rPr>
        <w:t>(B)</w:t>
      </w:r>
      <w:r>
        <w:rPr>
          <w:rFonts w:ascii="Arial" w:cs="Arial" w:eastAsia="Arial" w:hAnsi="Arial"/>
          <w:sz w:val="19"/>
          <w:szCs w:val="19"/>
          <w:color w:val="auto"/>
        </w:rPr>
        <w:t>The Secured Parties have agreed to amend certain Senior Finance Documents and enter into additional Senior Finance Documents in</w:t>
      </w:r>
      <w:r>
        <w:rPr>
          <w:rFonts w:ascii="Arial" w:cs="Arial" w:eastAsia="Arial" w:hAnsi="Arial"/>
          <w:sz w:val="18"/>
          <w:szCs w:val="18"/>
          <w:color w:val="auto"/>
        </w:rPr>
        <w:t xml:space="preserve"> </w:t>
      </w:r>
      <w:r>
        <w:rPr>
          <w:rFonts w:ascii="Arial" w:cs="Arial" w:eastAsia="Arial" w:hAnsi="Arial"/>
          <w:sz w:val="19"/>
          <w:szCs w:val="19"/>
          <w:color w:val="auto"/>
        </w:rPr>
        <w:t>connection with Wynn Macau and the Cotai Project for the refinancing of existing indebtedness, for financing the design, development and construction of the Cotai Project and for the general corporate purposes of the Group (including investment in Excluded Subsidiaries, Excluded Projects or Resort Management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9"/>
          <w:szCs w:val="19"/>
          <w:color w:val="auto"/>
        </w:rPr>
        <w:t>It has been agreed to amend the Term Facility Agreement as set out below.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ectPr>
          <w:pgSz w:w="11900" w:h="16838" w:orient="portrait"/>
          <w:cols w:equalWidth="0" w:num="1">
            <w:col w:w="11420"/>
          </w:cols>
          <w:pgMar w:left="240" w:top="576" w:right="239" w:bottom="1440" w:gutter="0" w:footer="0" w:header="0"/>
        </w:sectPr>
      </w:pPr>
    </w:p>
    <w:bookmarkStart w:id="286" w:name="page287"/>
    <w:bookmarkEnd w:id="286"/>
    <w:p>
      <w:pPr>
        <w:ind w:left="560" w:hanging="552"/>
        <w:spacing w:after="0"/>
        <w:tabs>
          <w:tab w:leader="none" w:pos="560" w:val="left"/>
        </w:tabs>
        <w:numPr>
          <w:ilvl w:val="0"/>
          <w:numId w:val="415"/>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 AND 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9"/>
          <w:szCs w:val="19"/>
          <w:b w:val="1"/>
          <w:bCs w:val="1"/>
          <w:color w:val="auto"/>
        </w:rPr>
        <w:t>Incorporation of defined terms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1.1.1</w:t>
      </w:r>
      <w:r>
        <w:rPr>
          <w:rFonts w:ascii="Arial" w:cs="Arial" w:eastAsia="Arial" w:hAnsi="Arial"/>
          <w:sz w:val="18"/>
          <w:szCs w:val="18"/>
          <w:color w:val="auto"/>
        </w:rPr>
        <w:t>Unless a contrary indication appears, a term defined in or by reference in the Schedule has the same meaning in this Agreement.</w:t>
      </w:r>
    </w:p>
    <w:p>
      <w:pPr>
        <w:spacing w:after="0" w:line="252" w:lineRule="exact"/>
        <w:rPr>
          <w:sz w:val="20"/>
          <w:szCs w:val="20"/>
          <w:color w:val="auto"/>
        </w:rPr>
      </w:pPr>
    </w:p>
    <w:p>
      <w:pPr>
        <w:jc w:val="both"/>
        <w:ind w:left="2120" w:right="20" w:hanging="1566"/>
        <w:spacing w:after="0" w:line="346" w:lineRule="auto"/>
        <w:rPr>
          <w:sz w:val="20"/>
          <w:szCs w:val="20"/>
          <w:color w:val="auto"/>
        </w:rPr>
      </w:pPr>
      <w:r>
        <w:rPr>
          <w:rFonts w:ascii="Arial" w:cs="Arial" w:eastAsia="Arial" w:hAnsi="Arial"/>
          <w:sz w:val="16"/>
          <w:szCs w:val="16"/>
          <w:color w:val="auto"/>
        </w:rPr>
        <w:t>1.1.2</w:t>
      </w:r>
      <w:r>
        <w:rPr>
          <w:rFonts w:ascii="Arial" w:cs="Arial" w:eastAsia="Arial" w:hAnsi="Arial"/>
          <w:sz w:val="19"/>
          <w:szCs w:val="19"/>
          <w:color w:val="auto"/>
        </w:rPr>
        <w:t>The principles of construction and rules of interpretation set out or referred to in the Schedule shall have effect as if set out in this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1.1.3</w:t>
      </w:r>
      <w:r>
        <w:rPr>
          <w:rFonts w:ascii="Arial" w:cs="Arial" w:eastAsia="Arial" w:hAnsi="Arial"/>
          <w:sz w:val="19"/>
          <w:szCs w:val="19"/>
          <w:color w:val="auto"/>
        </w:rPr>
        <w:t>Any references in the Senior Finance Documents to the "Hotel Facility Agreement" or the "Term Facility Agreement" shall be taken</w:t>
      </w:r>
      <w:r>
        <w:rPr>
          <w:rFonts w:ascii="Arial" w:cs="Arial" w:eastAsia="Arial" w:hAnsi="Arial"/>
          <w:sz w:val="16"/>
          <w:szCs w:val="16"/>
          <w:color w:val="auto"/>
        </w:rPr>
        <w:t xml:space="preserve"> </w:t>
      </w:r>
      <w:r>
        <w:rPr>
          <w:rFonts w:ascii="Arial" w:cs="Arial" w:eastAsia="Arial" w:hAnsi="Arial"/>
          <w:sz w:val="19"/>
          <w:szCs w:val="19"/>
          <w:color w:val="auto"/>
        </w:rPr>
        <w:t>to be a reference to the Term Facility Agreement as set out in the Schedule, as further amended, consolidated, supplemented, confirmed, novated or replaced from time to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9"/>
          <w:szCs w:val="19"/>
          <w:b w:val="1"/>
          <w:bCs w:val="1"/>
          <w:color w:val="auto"/>
        </w:rPr>
        <w:t>Clauses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any reference to a "Clause" or a "Schedule" is, unless the context otherwise requires, a reference to a Clause or a Schedule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AMENDMENT</w:t>
      </w:r>
    </w:p>
    <w:p>
      <w:pPr>
        <w:spacing w:after="0" w:line="247"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With effect from the Fifth Amendment Effective Date (as defined in the Common Terms Agreement Fifth Amendment Agreement), the Term Facility Agreement shall be amended so that it shall be read and construed for all purposes as set out in the Schedule (</w:t>
      </w:r>
      <w:r>
        <w:rPr>
          <w:rFonts w:ascii="Arial" w:cs="Arial" w:eastAsia="Arial" w:hAnsi="Arial"/>
          <w:sz w:val="20"/>
          <w:szCs w:val="20"/>
          <w:i w:val="1"/>
          <w:iCs w:val="1"/>
          <w:color w:val="auto"/>
        </w:rPr>
        <w:t>Amended</w:t>
      </w:r>
      <w:r>
        <w:rPr>
          <w:rFonts w:ascii="Arial" w:cs="Arial" w:eastAsia="Arial" w:hAnsi="Arial"/>
          <w:sz w:val="20"/>
          <w:szCs w:val="20"/>
          <w:color w:val="auto"/>
        </w:rPr>
        <w:t xml:space="preserve"> </w:t>
      </w:r>
      <w:r>
        <w:rPr>
          <w:rFonts w:ascii="Arial" w:cs="Arial" w:eastAsia="Arial" w:hAnsi="Arial"/>
          <w:sz w:val="20"/>
          <w:szCs w:val="20"/>
          <w:i w:val="1"/>
          <w:iCs w:val="1"/>
          <w:color w:val="auto"/>
        </w:rPr>
        <w:t>Term Facility Agreement</w:t>
      </w:r>
      <w:r>
        <w:rPr>
          <w:rFonts w:ascii="Arial" w:cs="Arial" w:eastAsia="Arial" w:hAnsi="Arial"/>
          <w:sz w:val="20"/>
          <w:szCs w:val="20"/>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CONTINUITY AND FURTHER ASSURANCE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9"/>
          <w:szCs w:val="19"/>
          <w:b w:val="1"/>
          <w:bCs w:val="1"/>
          <w:color w:val="auto"/>
        </w:rPr>
        <w:t>Continuing obligations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provisions of the Term Facility Agreement shall, save as amended by this Agreement, continue in full force and effect.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3.2</w:t>
      </w:r>
      <w:r>
        <w:rPr>
          <w:rFonts w:ascii="Arial" w:cs="Arial" w:eastAsia="Arial" w:hAnsi="Arial"/>
          <w:sz w:val="19"/>
          <w:szCs w:val="19"/>
          <w:b w:val="1"/>
          <w:bCs w:val="1"/>
          <w:color w:val="auto"/>
        </w:rPr>
        <w:t>Further assurance</w:t>
      </w:r>
    </w:p>
    <w:p>
      <w:pPr>
        <w:spacing w:after="0" w:line="247"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shall, upon the written request of the Term Facility Agent and at its own expense, do all such acts and things reasonably necessary to give effect to the amendments effected or to be effected pursuant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9"/>
          <w:szCs w:val="19"/>
          <w:b w:val="1"/>
          <w:bCs w:val="1"/>
          <w:color w:val="auto"/>
        </w:rPr>
        <w:t>MISCELLANEOUS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r>
        <w:rPr>
          <w:rFonts w:ascii="Arial" w:cs="Arial" w:eastAsia="Arial" w:hAnsi="Arial"/>
          <w:sz w:val="19"/>
          <w:szCs w:val="19"/>
          <w:b w:val="1"/>
          <w:bCs w:val="1"/>
          <w:color w:val="auto"/>
        </w:rPr>
        <w:t>Incorporation of terms</w:t>
      </w:r>
    </w:p>
    <w:p>
      <w:pPr>
        <w:spacing w:after="0" w:line="247"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The provisions of clause 1.3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1.4 (</w:t>
      </w:r>
      <w:r>
        <w:rPr>
          <w:rFonts w:ascii="Arial" w:cs="Arial" w:eastAsia="Arial" w:hAnsi="Arial"/>
          <w:sz w:val="20"/>
          <w:szCs w:val="20"/>
          <w:i w:val="1"/>
          <w:iCs w:val="1"/>
          <w:color w:val="auto"/>
        </w:rPr>
        <w:t>Non-recourse Liability</w:t>
      </w:r>
      <w:r>
        <w:rPr>
          <w:rFonts w:ascii="Arial" w:cs="Arial" w:eastAsia="Arial" w:hAnsi="Arial"/>
          <w:sz w:val="20"/>
          <w:szCs w:val="20"/>
          <w:color w:val="auto"/>
        </w:rPr>
        <w:t>) and clause 18 (</w:t>
      </w:r>
      <w:r>
        <w:rPr>
          <w:rFonts w:ascii="Arial" w:cs="Arial" w:eastAsia="Arial" w:hAnsi="Arial"/>
          <w:sz w:val="20"/>
          <w:szCs w:val="20"/>
          <w:i w:val="1"/>
          <w:iCs w:val="1"/>
          <w:color w:val="auto"/>
        </w:rPr>
        <w:t>Jurisdiction</w:t>
      </w:r>
      <w:r>
        <w:rPr>
          <w:rFonts w:ascii="Arial" w:cs="Arial" w:eastAsia="Arial" w:hAnsi="Arial"/>
          <w:sz w:val="20"/>
          <w:szCs w:val="20"/>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4.2</w:t>
      </w:r>
      <w:r>
        <w:rPr>
          <w:rFonts w:ascii="Arial" w:cs="Arial" w:eastAsia="Arial" w:hAnsi="Arial"/>
          <w:sz w:val="19"/>
          <w:szCs w:val="19"/>
          <w:b w:val="1"/>
          <w:bCs w:val="1"/>
          <w:color w:val="auto"/>
        </w:rPr>
        <w:t>Counterparts</w:t>
      </w:r>
    </w:p>
    <w:p>
      <w:pPr>
        <w:sectPr>
          <w:pgSz w:w="11900" w:h="16838" w:orient="portrait"/>
          <w:cols w:equalWidth="0" w:num="1">
            <w:col w:w="11420"/>
          </w:cols>
          <w:pgMar w:left="240" w:top="576" w:right="239" w:bottom="1440" w:gutter="0" w:footer="0" w:header="0"/>
        </w:sectPr>
      </w:pPr>
    </w:p>
    <w:bookmarkStart w:id="287" w:name="page288"/>
    <w:bookmarkEnd w:id="287"/>
    <w:p>
      <w:pPr>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and this has the same effect as if the signatures on the counterparts were on a single copy of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9"/>
          <w:szCs w:val="19"/>
          <w:b w:val="1"/>
          <w:bCs w:val="1"/>
          <w:color w:val="auto"/>
        </w:rPr>
        <w:t>GOVERNING LAW</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Frank Cassella</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Wynn Macau, Rua Cidade de Sintra, NAPE</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Macau</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Telephone:  +853 2888 9966</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+853 2832 9966</w:t>
      </w:r>
    </w:p>
    <w:p>
      <w:pPr>
        <w:spacing w:after="0" w:line="5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Macau</w:t>
      </w:r>
    </w:p>
    <w:p>
      <w:pPr>
        <w:spacing w:after="0" w:line="5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ectPr>
          <w:pgSz w:w="11900" w:h="16838" w:orient="portrait"/>
          <w:cols w:equalWidth="0" w:num="1">
            <w:col w:w="11400"/>
          </w:cols>
          <w:pgMar w:left="240" w:top="582" w:right="259" w:bottom="1440" w:gutter="0" w:footer="0" w:header="0"/>
        </w:sectPr>
      </w:pPr>
    </w:p>
    <w:bookmarkStart w:id="288" w:name="page289"/>
    <w:bookmarkEnd w:id="288"/>
    <w:p>
      <w:pPr>
        <w:spacing w:after="0"/>
        <w:rPr>
          <w:sz w:val="20"/>
          <w:szCs w:val="20"/>
          <w:color w:val="auto"/>
        </w:rPr>
      </w:pPr>
      <w:r>
        <w:rPr>
          <w:rFonts w:ascii="Arial" w:cs="Arial" w:eastAsia="Arial" w:hAnsi="Arial"/>
          <w:sz w:val="20"/>
          <w:szCs w:val="20"/>
          <w:b w:val="1"/>
          <w:bCs w:val="1"/>
          <w:color w:val="auto"/>
        </w:rPr>
        <w:t>The Term Facility Agent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8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Wong, Iao Kun</w:t>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1682</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James Wong / Ms. Iris Ieong</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1623 / 8792 1706</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853 8792 1677</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Ms. Wendy Sun / Mr. Jerry Chan</w:t>
      </w:r>
    </w:p>
    <w:p>
      <w:pPr>
        <w:sectPr>
          <w:pgSz w:w="11900" w:h="16838" w:orient="portrait"/>
          <w:cols w:equalWidth="0" w:num="2">
            <w:col w:w="1380" w:space="720"/>
            <w:col w:w="8119"/>
          </w:cols>
          <w:pgMar w:left="240" w:top="576" w:right="1440"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20"/>
          <w:szCs w:val="20"/>
          <w:b w:val="1"/>
          <w:bCs w:val="1"/>
          <w:color w:val="auto"/>
        </w:rPr>
        <w:t>The Term Facility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Wong, Iao Kun</w:t>
            </w:r>
          </w:p>
        </w:tc>
        <w:tc>
          <w:tcPr>
            <w:tcW w:w="1560" w:type="dxa"/>
            <w:vAlign w:val="bottom"/>
          </w:tcPr>
          <w:p>
            <w:pPr>
              <w:spacing w:after="0"/>
              <w:rPr>
                <w:sz w:val="19"/>
                <w:szCs w:val="19"/>
                <w:color w:val="auto"/>
              </w:rPr>
            </w:pPr>
          </w:p>
        </w:tc>
      </w:tr>
      <w:tr>
        <w:trPr>
          <w:trHeight w:val="632"/>
        </w:trPr>
        <w:tc>
          <w:tcPr>
            <w:tcW w:w="1620" w:type="dxa"/>
            <w:vAlign w:val="bottom"/>
          </w:tcPr>
          <w:p>
            <w:pPr>
              <w:spacing w:after="0"/>
              <w:rPr>
                <w:sz w:val="20"/>
                <w:szCs w:val="20"/>
                <w:color w:val="auto"/>
              </w:rPr>
            </w:pPr>
            <w:r>
              <w:rPr>
                <w:rFonts w:ascii="Arial" w:cs="Arial" w:eastAsia="Arial" w:hAnsi="Arial"/>
                <w:sz w:val="20"/>
                <w:szCs w:val="20"/>
                <w:color w:val="auto"/>
              </w:rPr>
              <w:t>Address:</w:t>
            </w:r>
          </w:p>
        </w:tc>
        <w:tc>
          <w:tcPr>
            <w:tcW w:w="3020" w:type="dxa"/>
            <w:vAlign w:val="bottom"/>
            <w:gridSpan w:val="2"/>
          </w:tcPr>
          <w:p>
            <w:pPr>
              <w:spacing w:after="0"/>
              <w:rPr>
                <w:sz w:val="20"/>
                <w:szCs w:val="20"/>
                <w:color w:val="auto"/>
              </w:rPr>
            </w:pPr>
            <w:r>
              <w:rPr>
                <w:rFonts w:ascii="Arial" w:cs="Arial" w:eastAsia="Arial" w:hAnsi="Arial"/>
                <w:sz w:val="20"/>
                <w:szCs w:val="20"/>
                <w:color w:val="auto"/>
              </w:rPr>
              <w:t>17/F Bank of China Building</w:t>
            </w:r>
          </w:p>
        </w:tc>
      </w:tr>
      <w:tr>
        <w:trPr>
          <w:trHeight w:val="405"/>
        </w:trPr>
        <w:tc>
          <w:tcPr>
            <w:tcW w:w="16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w w:val="89"/>
              </w:rPr>
              <w:t>Avenida Doutor Mario Soares, Macau</w:t>
            </w: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Tel:</w:t>
            </w:r>
          </w:p>
        </w:tc>
        <w:tc>
          <w:tcPr>
            <w:tcW w:w="3020" w:type="dxa"/>
            <w:vAlign w:val="bottom"/>
            <w:gridSpan w:val="2"/>
          </w:tcPr>
          <w:p>
            <w:pPr>
              <w:spacing w:after="0"/>
              <w:rPr>
                <w:sz w:val="20"/>
                <w:szCs w:val="20"/>
                <w:color w:val="auto"/>
              </w:rPr>
            </w:pPr>
            <w:r>
              <w:rPr>
                <w:rFonts w:ascii="Arial" w:cs="Arial" w:eastAsia="Arial" w:hAnsi="Arial"/>
                <w:sz w:val="20"/>
                <w:szCs w:val="20"/>
                <w:color w:val="auto"/>
              </w:rPr>
              <w:t>+853 8792 1623 / 8792 1706</w:t>
            </w:r>
          </w:p>
        </w:tc>
      </w:tr>
      <w:tr>
        <w:trPr>
          <w:trHeight w:val="608"/>
        </w:trPr>
        <w:tc>
          <w:tcPr>
            <w:tcW w:w="1620" w:type="dxa"/>
            <w:vAlign w:val="bottom"/>
          </w:tcPr>
          <w:p>
            <w:pPr>
              <w:spacing w:after="0"/>
              <w:rPr>
                <w:sz w:val="20"/>
                <w:szCs w:val="20"/>
                <w:color w:val="auto"/>
              </w:rPr>
            </w:pPr>
            <w:r>
              <w:rPr>
                <w:rFonts w:ascii="Arial" w:cs="Arial" w:eastAsia="Arial" w:hAnsi="Arial"/>
                <w:sz w:val="20"/>
                <w:szCs w:val="20"/>
                <w:color w:val="auto"/>
              </w:rPr>
              <w:t>Fax:</w:t>
            </w:r>
          </w:p>
        </w:tc>
        <w:tc>
          <w:tcPr>
            <w:tcW w:w="1460" w:type="dxa"/>
            <w:vAlign w:val="bottom"/>
          </w:tcPr>
          <w:p>
            <w:pPr>
              <w:spacing w:after="0"/>
              <w:rPr>
                <w:sz w:val="20"/>
                <w:szCs w:val="20"/>
                <w:color w:val="auto"/>
              </w:rPr>
            </w:pPr>
            <w:r>
              <w:rPr>
                <w:rFonts w:ascii="Arial" w:cs="Arial" w:eastAsia="Arial" w:hAnsi="Arial"/>
                <w:sz w:val="20"/>
                <w:szCs w:val="20"/>
                <w:color w:val="auto"/>
              </w:rPr>
              <w:t>853 8792 1677</w:t>
            </w:r>
          </w:p>
        </w:tc>
        <w:tc>
          <w:tcPr>
            <w:tcW w:w="1560" w:type="dxa"/>
            <w:vAlign w:val="bottom"/>
          </w:tcPr>
          <w:p>
            <w:pPr>
              <w:spacing w:after="0"/>
              <w:rPr>
                <w:sz w:val="24"/>
                <w:szCs w:val="24"/>
                <w:color w:val="auto"/>
              </w:rPr>
            </w:pPr>
          </w:p>
        </w:tc>
      </w:tr>
      <w:tr>
        <w:trPr>
          <w:trHeight w:val="608"/>
        </w:trPr>
        <w:tc>
          <w:tcPr>
            <w:tcW w:w="1620" w:type="dxa"/>
            <w:vAlign w:val="bottom"/>
          </w:tcPr>
          <w:p>
            <w:pPr>
              <w:spacing w:after="0"/>
              <w:rPr>
                <w:sz w:val="20"/>
                <w:szCs w:val="20"/>
                <w:color w:val="auto"/>
              </w:rPr>
            </w:pPr>
            <w:r>
              <w:rPr>
                <w:rFonts w:ascii="Arial" w:cs="Arial" w:eastAsia="Arial" w:hAnsi="Arial"/>
                <w:sz w:val="20"/>
                <w:szCs w:val="20"/>
                <w:color w:val="auto"/>
              </w:rPr>
              <w:t>Attention:</w:t>
            </w:r>
          </w:p>
        </w:tc>
        <w:tc>
          <w:tcPr>
            <w:tcW w:w="3020" w:type="dxa"/>
            <w:vAlign w:val="bottom"/>
            <w:gridSpan w:val="2"/>
          </w:tcPr>
          <w:p>
            <w:pPr>
              <w:spacing w:after="0"/>
              <w:rPr>
                <w:sz w:val="20"/>
                <w:szCs w:val="20"/>
                <w:color w:val="auto"/>
              </w:rPr>
            </w:pPr>
            <w:r>
              <w:rPr>
                <w:rFonts w:ascii="Arial" w:cs="Arial" w:eastAsia="Arial" w:hAnsi="Arial"/>
                <w:sz w:val="20"/>
                <w:szCs w:val="20"/>
                <w:color w:val="auto"/>
              </w:rPr>
              <w:t>Ms. Wendy Sun / Mr. Jerry Chan</w:t>
            </w:r>
          </w:p>
        </w:tc>
      </w:tr>
    </w:tbl>
    <w:p>
      <w:pPr>
        <w:spacing w:after="0" w:line="200" w:lineRule="exact"/>
        <w:rPr>
          <w:sz w:val="20"/>
          <w:szCs w:val="20"/>
          <w:color w:val="auto"/>
        </w:rPr>
      </w:pP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1682</w:t>
      </w:r>
    </w:p>
    <w:p>
      <w:pPr>
        <w:spacing w:after="0" w:line="200" w:lineRule="exact"/>
        <w:rPr>
          <w:sz w:val="20"/>
          <w:szCs w:val="20"/>
          <w:color w:val="auto"/>
        </w:rPr>
      </w:pPr>
    </w:p>
    <w:p>
      <w:pPr>
        <w:sectPr>
          <w:pgSz w:w="11900" w:h="16838" w:orient="portrait"/>
          <w:cols w:equalWidth="0" w:num="2">
            <w:col w:w="1220" w:space="440"/>
            <w:col w:w="8559"/>
          </w:cols>
          <w:pgMar w:left="240" w:top="576" w:right="1440"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855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James Wong / Ms. Iris Ieong</w:t>
      </w:r>
    </w:p>
    <w:p>
      <w:pPr>
        <w:sectPr>
          <w:pgSz w:w="11900" w:h="16838" w:orient="portrait"/>
          <w:cols w:equalWidth="0" w:num="2">
            <w:col w:w="940" w:space="720"/>
            <w:col w:w="8559"/>
          </w:cols>
          <w:pgMar w:left="240" w:top="576" w:right="1440" w:bottom="1440" w:gutter="0" w:footer="0" w:header="0"/>
          <w:type w:val="continuous"/>
        </w:sectPr>
      </w:pPr>
    </w:p>
    <w:bookmarkStart w:id="290" w:name="page291"/>
    <w:bookmarkEnd w:id="2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1" w:name="page292"/>
    <w:bookmarkEnd w:id="291"/>
    <w:p>
      <w:pPr>
        <w:jc w:val="center"/>
        <w:ind w:right="-1138"/>
        <w:spacing w:after="0"/>
        <w:rPr>
          <w:sz w:val="20"/>
          <w:szCs w:val="20"/>
          <w:color w:val="auto"/>
        </w:rPr>
      </w:pPr>
      <w:r>
        <w:rPr>
          <w:rFonts w:ascii="Arial" w:cs="Arial" w:eastAsia="Arial" w:hAnsi="Arial"/>
          <w:sz w:val="20"/>
          <w:szCs w:val="20"/>
          <w:b w:val="1"/>
          <w:bCs w:val="1"/>
          <w:color w:val="auto"/>
        </w:rPr>
        <w:t>SCHEDULE</w:t>
      </w:r>
    </w:p>
    <w:p>
      <w:pPr>
        <w:spacing w:after="0" w:line="72" w:lineRule="exact"/>
        <w:rPr>
          <w:sz w:val="20"/>
          <w:szCs w:val="20"/>
          <w:color w:val="auto"/>
        </w:rPr>
      </w:pPr>
    </w:p>
    <w:p>
      <w:pPr>
        <w:ind w:left="3858"/>
        <w:spacing w:after="0"/>
        <w:rPr>
          <w:sz w:val="20"/>
          <w:szCs w:val="20"/>
          <w:color w:val="auto"/>
        </w:rPr>
      </w:pPr>
      <w:r>
        <w:rPr>
          <w:rFonts w:ascii="Arial" w:cs="Arial" w:eastAsia="Arial" w:hAnsi="Arial"/>
          <w:sz w:val="18"/>
          <w:szCs w:val="18"/>
          <w:b w:val="1"/>
          <w:bCs w:val="1"/>
          <w:color w:val="auto"/>
        </w:rPr>
        <w:t>AMENDED TERM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18"/>
        <w:spacing w:after="0"/>
        <w:rPr>
          <w:sz w:val="20"/>
          <w:szCs w:val="20"/>
          <w:color w:val="auto"/>
        </w:rPr>
      </w:pPr>
      <w:r>
        <w:rPr>
          <w:rFonts w:ascii="Arial" w:cs="Arial" w:eastAsia="Arial" w:hAnsi="Arial"/>
          <w:sz w:val="20"/>
          <w:szCs w:val="20"/>
          <w:color w:val="auto"/>
        </w:rPr>
        <w:t>DATED 14 SEPTEMBER 2004</w:t>
      </w:r>
    </w:p>
    <w:p>
      <w:pPr>
        <w:spacing w:after="0" w:line="200" w:lineRule="exact"/>
        <w:rPr>
          <w:sz w:val="20"/>
          <w:szCs w:val="20"/>
          <w:color w:val="auto"/>
        </w:rPr>
      </w:pPr>
    </w:p>
    <w:p>
      <w:pPr>
        <w:spacing w:after="0" w:line="307" w:lineRule="exact"/>
        <w:rPr>
          <w:sz w:val="20"/>
          <w:szCs w:val="20"/>
          <w:color w:val="auto"/>
        </w:rPr>
      </w:pPr>
    </w:p>
    <w:p>
      <w:pPr>
        <w:jc w:val="center"/>
        <w:ind w:right="-1178"/>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ind w:right="-1178"/>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ind w:right="-1178"/>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1178"/>
        <w:spacing w:after="0"/>
        <w:rPr>
          <w:sz w:val="20"/>
          <w:szCs w:val="20"/>
          <w:color w:val="auto"/>
        </w:rPr>
      </w:pPr>
      <w:r>
        <w:rPr>
          <w:rFonts w:ascii="Arial" w:cs="Arial" w:eastAsia="Arial" w:hAnsi="Arial"/>
          <w:sz w:val="20"/>
          <w:szCs w:val="20"/>
          <w:color w:val="auto"/>
        </w:rPr>
        <w:t>as Term Facility Agent</w:t>
      </w:r>
    </w:p>
    <w:p>
      <w:pPr>
        <w:spacing w:after="0" w:line="213" w:lineRule="exact"/>
        <w:rPr>
          <w:sz w:val="20"/>
          <w:szCs w:val="20"/>
          <w:color w:val="auto"/>
        </w:rPr>
      </w:pPr>
    </w:p>
    <w:p>
      <w:pPr>
        <w:jc w:val="center"/>
        <w:ind w:right="-1178"/>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1178"/>
        <w:spacing w:after="0"/>
        <w:rPr>
          <w:sz w:val="20"/>
          <w:szCs w:val="20"/>
          <w:color w:val="auto"/>
        </w:rPr>
      </w:pPr>
      <w:r>
        <w:rPr>
          <w:rFonts w:ascii="Arial" w:cs="Arial" w:eastAsia="Arial" w:hAnsi="Arial"/>
          <w:sz w:val="20"/>
          <w:szCs w:val="20"/>
          <w:b w:val="1"/>
          <w:bCs w:val="1"/>
          <w:color w:val="auto"/>
        </w:rPr>
        <w:t>THE TERM FACILITY LENDERS</w:t>
      </w:r>
    </w:p>
    <w:p>
      <w:pPr>
        <w:spacing w:after="0" w:line="22" w:lineRule="exact"/>
        <w:rPr>
          <w:sz w:val="20"/>
          <w:szCs w:val="20"/>
          <w:color w:val="auto"/>
        </w:rPr>
      </w:pPr>
    </w:p>
    <w:p>
      <w:pPr>
        <w:jc w:val="center"/>
        <w:ind w:right="-1178"/>
        <w:spacing w:after="0"/>
        <w:rPr>
          <w:sz w:val="20"/>
          <w:szCs w:val="20"/>
          <w:color w:val="auto"/>
        </w:rPr>
      </w:pPr>
      <w:r>
        <w:rPr>
          <w:rFonts w:ascii="Arial" w:cs="Arial" w:eastAsia="Arial" w:hAnsi="Arial"/>
          <w:sz w:val="20"/>
          <w:szCs w:val="20"/>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583565</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8"/>
        <w:spacing w:after="0"/>
        <w:rPr>
          <w:sz w:val="20"/>
          <w:szCs w:val="20"/>
          <w:color w:val="auto"/>
        </w:rPr>
      </w:pPr>
      <w:r>
        <w:rPr>
          <w:rFonts w:ascii="Arial" w:cs="Arial" w:eastAsia="Arial" w:hAnsi="Arial"/>
          <w:sz w:val="20"/>
          <w:szCs w:val="20"/>
          <w:b w:val="1"/>
          <w:bCs w:val="1"/>
          <w:color w:val="auto"/>
        </w:rPr>
        <w:t>TERM FACILITY AGREEMENT</w:t>
      </w:r>
    </w:p>
    <w:p>
      <w:pPr>
        <w:spacing w:after="0" w:line="22" w:lineRule="exact"/>
        <w:rPr>
          <w:sz w:val="20"/>
          <w:szCs w:val="20"/>
          <w:color w:val="auto"/>
        </w:rPr>
      </w:pPr>
    </w:p>
    <w:p>
      <w:pPr>
        <w:jc w:val="center"/>
        <w:ind w:right="-1198"/>
        <w:spacing w:after="0"/>
        <w:rPr>
          <w:sz w:val="20"/>
          <w:szCs w:val="20"/>
          <w:color w:val="auto"/>
        </w:rPr>
      </w:pPr>
      <w:r>
        <w:rPr>
          <w:rFonts w:ascii="Arial" w:cs="Arial" w:eastAsia="Arial" w:hAnsi="Arial"/>
          <w:sz w:val="16"/>
          <w:szCs w:val="16"/>
          <w:color w:val="auto"/>
        </w:rPr>
        <w:t>(as amended by the Hotel Facility Agreement Amendment Agreement dated 14 September 2005, the</w:t>
      </w:r>
    </w:p>
    <w:p>
      <w:pPr>
        <w:spacing w:after="0" w:line="46" w:lineRule="exact"/>
        <w:rPr>
          <w:sz w:val="20"/>
          <w:szCs w:val="20"/>
          <w:color w:val="auto"/>
        </w:rPr>
      </w:pPr>
    </w:p>
    <w:p>
      <w:pPr>
        <w:jc w:val="center"/>
        <w:ind w:right="-1198"/>
        <w:spacing w:after="0"/>
        <w:rPr>
          <w:sz w:val="20"/>
          <w:szCs w:val="20"/>
          <w:color w:val="auto"/>
        </w:rPr>
      </w:pPr>
      <w:r>
        <w:rPr>
          <w:rFonts w:ascii="Arial" w:cs="Arial" w:eastAsia="Arial" w:hAnsi="Arial"/>
          <w:sz w:val="19"/>
          <w:szCs w:val="19"/>
          <w:color w:val="auto"/>
        </w:rPr>
        <w:t>Hotel Facility Second Amendment Agreement dated 27 June 2007, the Term Facility Third</w:t>
      </w:r>
    </w:p>
    <w:p>
      <w:pPr>
        <w:spacing w:after="0" w:line="11" w:lineRule="exact"/>
        <w:rPr>
          <w:sz w:val="20"/>
          <w:szCs w:val="20"/>
          <w:color w:val="auto"/>
        </w:rPr>
      </w:pPr>
    </w:p>
    <w:p>
      <w:pPr>
        <w:jc w:val="center"/>
        <w:ind w:right="-1198"/>
        <w:spacing w:after="0"/>
        <w:rPr>
          <w:sz w:val="20"/>
          <w:szCs w:val="20"/>
          <w:color w:val="auto"/>
        </w:rPr>
      </w:pPr>
      <w:r>
        <w:rPr>
          <w:rFonts w:ascii="Arial" w:cs="Arial" w:eastAsia="Arial" w:hAnsi="Arial"/>
          <w:sz w:val="18"/>
          <w:szCs w:val="18"/>
          <w:color w:val="auto"/>
        </w:rPr>
        <w:t>Amendment Agreement dated 31 July 2012 and the Term Facility Fourth Amendment Agreement</w:t>
      </w:r>
    </w:p>
    <w:p>
      <w:pPr>
        <w:spacing w:after="0" w:line="23" w:lineRule="exact"/>
        <w:rPr>
          <w:sz w:val="20"/>
          <w:szCs w:val="20"/>
          <w:color w:val="auto"/>
        </w:rPr>
      </w:pPr>
    </w:p>
    <w:p>
      <w:pPr>
        <w:jc w:val="center"/>
        <w:ind w:right="-1198"/>
        <w:spacing w:after="0"/>
        <w:rPr>
          <w:sz w:val="20"/>
          <w:szCs w:val="20"/>
          <w:color w:val="auto"/>
        </w:rPr>
      </w:pPr>
      <w:r>
        <w:rPr>
          <w:rFonts w:ascii="Arial" w:cs="Arial" w:eastAsia="Arial" w:hAnsi="Arial"/>
          <w:sz w:val="20"/>
          <w:szCs w:val="20"/>
          <w:color w:val="auto"/>
        </w:rPr>
        <w:t>dated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223520</wp:posOffset>
            </wp:positionV>
            <wp:extent cx="52139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38"/>
        <w:spacing w:after="0"/>
        <w:rPr>
          <w:sz w:val="20"/>
          <w:szCs w:val="20"/>
          <w:color w:val="auto"/>
        </w:rPr>
      </w:pPr>
      <w:r>
        <w:rPr>
          <w:rFonts w:ascii="Arial" w:cs="Arial" w:eastAsia="Arial" w:hAnsi="Arial"/>
          <w:sz w:val="20"/>
          <w:szCs w:val="20"/>
          <w:b w:val="1"/>
          <w:bCs w:val="1"/>
          <w:color w:val="auto"/>
        </w:rPr>
        <w:t>CONTENTS</w:t>
      </w:r>
    </w:p>
    <w:p>
      <w:pPr>
        <w:spacing w:after="0" w:line="200" w:lineRule="exact"/>
        <w:rPr>
          <w:sz w:val="20"/>
          <w:szCs w:val="20"/>
          <w:color w:val="auto"/>
        </w:rPr>
      </w:pPr>
    </w:p>
    <w:p>
      <w:pPr>
        <w:spacing w:after="0" w:line="367" w:lineRule="exact"/>
        <w:rPr>
          <w:sz w:val="20"/>
          <w:szCs w:val="20"/>
          <w:color w:val="auto"/>
        </w:rPr>
      </w:pPr>
    </w:p>
    <w:p>
      <w:pPr>
        <w:ind w:left="18"/>
        <w:spacing w:after="0"/>
        <w:rPr>
          <w:sz w:val="20"/>
          <w:szCs w:val="20"/>
          <w:color w:val="auto"/>
        </w:rPr>
      </w:pPr>
      <w:r>
        <w:rPr>
          <w:rFonts w:ascii="Arial" w:cs="Arial" w:eastAsia="Arial" w:hAnsi="Arial"/>
          <w:sz w:val="20"/>
          <w:szCs w:val="20"/>
          <w:b w:val="1"/>
          <w:bCs w:val="1"/>
          <w:color w:val="auto"/>
        </w:rPr>
        <w:t>Clause</w:t>
      </w:r>
    </w:p>
    <w:p>
      <w:pPr>
        <w:spacing w:after="0" w:line="200" w:lineRule="exact"/>
        <w:rPr>
          <w:sz w:val="20"/>
          <w:szCs w:val="20"/>
          <w:color w:val="auto"/>
        </w:rPr>
      </w:pPr>
    </w:p>
    <w:p>
      <w:pPr>
        <w:spacing w:after="0" w:line="373" w:lineRule="exact"/>
        <w:rPr>
          <w:sz w:val="20"/>
          <w:szCs w:val="20"/>
          <w:color w:val="auto"/>
        </w:rPr>
      </w:pPr>
    </w:p>
    <w:p>
      <w:pPr>
        <w:ind w:left="198" w:hanging="198"/>
        <w:spacing w:after="0"/>
        <w:tabs>
          <w:tab w:leader="none" w:pos="198" w:val="left"/>
        </w:tabs>
        <w:numPr>
          <w:ilvl w:val="0"/>
          <w:numId w:val="416"/>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Definitions And Interpretation</w:t>
      </w:r>
    </w:p>
    <w:p>
      <w:pPr>
        <w:spacing w:after="0" w:line="134" w:lineRule="exact"/>
        <w:rPr>
          <w:rFonts w:ascii="Arial" w:cs="Arial" w:eastAsia="Arial" w:hAnsi="Arial"/>
          <w:sz w:val="20"/>
          <w:szCs w:val="20"/>
          <w:u w:val="single" w:color="auto"/>
          <w:color w:val="0000EE"/>
        </w:rPr>
      </w:pPr>
    </w:p>
    <w:p>
      <w:pPr>
        <w:ind w:left="198" w:hanging="198"/>
        <w:spacing w:after="0"/>
        <w:tabs>
          <w:tab w:leader="none" w:pos="198" w:val="left"/>
        </w:tabs>
        <w:numPr>
          <w:ilvl w:val="0"/>
          <w:numId w:val="416"/>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Common Terms Agreement</w:t>
      </w:r>
    </w:p>
    <w:p>
      <w:pPr>
        <w:spacing w:after="0" w:line="134" w:lineRule="exact"/>
        <w:rPr>
          <w:rFonts w:ascii="Arial" w:cs="Arial" w:eastAsia="Arial" w:hAnsi="Arial"/>
          <w:sz w:val="20"/>
          <w:szCs w:val="20"/>
          <w:u w:val="single" w:color="auto"/>
          <w:color w:val="0000EE"/>
        </w:rPr>
      </w:pPr>
    </w:p>
    <w:p>
      <w:pPr>
        <w:ind w:left="198" w:hanging="198"/>
        <w:spacing w:after="0"/>
        <w:tabs>
          <w:tab w:leader="none" w:pos="198" w:val="left"/>
        </w:tabs>
        <w:numPr>
          <w:ilvl w:val="0"/>
          <w:numId w:val="416"/>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The Term Facility</w:t>
      </w:r>
    </w:p>
    <w:p>
      <w:pPr>
        <w:spacing w:after="0" w:line="134" w:lineRule="exact"/>
        <w:rPr>
          <w:rFonts w:ascii="Arial" w:cs="Arial" w:eastAsia="Arial" w:hAnsi="Arial"/>
          <w:sz w:val="20"/>
          <w:szCs w:val="20"/>
          <w:u w:val="single" w:color="auto"/>
          <w:color w:val="0000EE"/>
        </w:rPr>
      </w:pPr>
    </w:p>
    <w:p>
      <w:pPr>
        <w:ind w:left="198" w:hanging="198"/>
        <w:spacing w:after="0"/>
        <w:tabs>
          <w:tab w:leader="none" w:pos="198" w:val="left"/>
        </w:tabs>
        <w:numPr>
          <w:ilvl w:val="0"/>
          <w:numId w:val="416"/>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Purpose</w:t>
      </w:r>
    </w:p>
    <w:p>
      <w:pPr>
        <w:sectPr>
          <w:pgSz w:w="11900" w:h="16838" w:orient="portrait"/>
          <w:cols w:equalWidth="0" w:num="1">
            <w:col w:w="10198"/>
          </w:cols>
          <w:pgMar w:left="262" w:top="576" w:right="1440" w:bottom="1440" w:gutter="0" w:footer="0" w:header="0"/>
        </w:sectPr>
      </w:pPr>
    </w:p>
    <w:bookmarkStart w:id="292" w:name="page293"/>
    <w:bookmarkEnd w:id="292"/>
    <w:p>
      <w:pPr>
        <w:ind w:left="200" w:hanging="199"/>
        <w:spacing w:after="0"/>
        <w:tabs>
          <w:tab w:leader="none" w:pos="200" w:val="left"/>
        </w:tabs>
        <w:numPr>
          <w:ilvl w:val="0"/>
          <w:numId w:val="417"/>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Conditions Precedent</w:t>
      </w:r>
    </w:p>
    <w:p>
      <w:pPr>
        <w:spacing w:after="0" w:line="134" w:lineRule="exact"/>
        <w:rPr>
          <w:rFonts w:ascii="Arial" w:cs="Arial" w:eastAsia="Arial" w:hAnsi="Arial"/>
          <w:sz w:val="20"/>
          <w:szCs w:val="20"/>
          <w:u w:val="single" w:color="auto"/>
          <w:color w:val="0000EE"/>
        </w:rPr>
      </w:pPr>
    </w:p>
    <w:p>
      <w:pPr>
        <w:ind w:left="180" w:hanging="179"/>
        <w:spacing w:after="0"/>
        <w:tabs>
          <w:tab w:leader="none" w:pos="180" w:val="left"/>
        </w:tabs>
        <w:numPr>
          <w:ilvl w:val="0"/>
          <w:numId w:val="417"/>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Availability Of The Term Facility</w:t>
      </w:r>
    </w:p>
    <w:p>
      <w:pPr>
        <w:spacing w:after="0" w:line="134" w:lineRule="exact"/>
        <w:rPr>
          <w:rFonts w:ascii="Arial" w:cs="Arial" w:eastAsia="Arial" w:hAnsi="Arial"/>
          <w:sz w:val="20"/>
          <w:szCs w:val="20"/>
          <w:u w:val="single" w:color="auto"/>
          <w:color w:val="0000EE"/>
        </w:rPr>
      </w:pPr>
    </w:p>
    <w:p>
      <w:pPr>
        <w:ind w:left="200" w:hanging="199"/>
        <w:spacing w:after="0"/>
        <w:tabs>
          <w:tab w:leader="none" w:pos="200" w:val="left"/>
        </w:tabs>
        <w:numPr>
          <w:ilvl w:val="0"/>
          <w:numId w:val="417"/>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Repayment</w:t>
      </w:r>
    </w:p>
    <w:p>
      <w:pPr>
        <w:spacing w:after="0" w:line="134" w:lineRule="exact"/>
        <w:rPr>
          <w:rFonts w:ascii="Arial" w:cs="Arial" w:eastAsia="Arial" w:hAnsi="Arial"/>
          <w:sz w:val="20"/>
          <w:szCs w:val="20"/>
          <w:u w:val="single" w:color="auto"/>
          <w:color w:val="0000EE"/>
        </w:rPr>
      </w:pPr>
    </w:p>
    <w:p>
      <w:pPr>
        <w:ind w:left="200" w:hanging="199"/>
        <w:spacing w:after="0"/>
        <w:tabs>
          <w:tab w:leader="none" w:pos="200" w:val="left"/>
        </w:tabs>
        <w:numPr>
          <w:ilvl w:val="0"/>
          <w:numId w:val="417"/>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Prepayment And Cancellation</w:t>
      </w:r>
    </w:p>
    <w:p>
      <w:pPr>
        <w:spacing w:after="0" w:line="134" w:lineRule="exact"/>
        <w:rPr>
          <w:rFonts w:ascii="Arial" w:cs="Arial" w:eastAsia="Arial" w:hAnsi="Arial"/>
          <w:sz w:val="20"/>
          <w:szCs w:val="20"/>
          <w:u w:val="single" w:color="auto"/>
          <w:color w:val="0000EE"/>
        </w:rPr>
      </w:pPr>
    </w:p>
    <w:p>
      <w:pPr>
        <w:ind w:left="200" w:hanging="199"/>
        <w:spacing w:after="0"/>
        <w:tabs>
          <w:tab w:leader="none" w:pos="200" w:val="left"/>
        </w:tabs>
        <w:numPr>
          <w:ilvl w:val="0"/>
          <w:numId w:val="417"/>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Interest</w:t>
      </w:r>
    </w:p>
    <w:p>
      <w:pPr>
        <w:spacing w:after="0" w:line="200" w:lineRule="exact"/>
        <w:rPr>
          <w:sz w:val="20"/>
          <w:szCs w:val="20"/>
          <w:color w:val="auto"/>
        </w:rPr>
      </w:pPr>
    </w:p>
    <w:p>
      <w:pPr>
        <w:spacing w:after="0" w:line="299" w:lineRule="exact"/>
        <w:rPr>
          <w:sz w:val="20"/>
          <w:szCs w:val="20"/>
          <w:color w:val="auto"/>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Notification</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[Not Used]</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Changes To The Parties</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Payments</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18"/>
          <w:szCs w:val="18"/>
          <w:u w:val="single" w:color="auto"/>
          <w:color w:val="0000EE"/>
        </w:rPr>
      </w:pPr>
      <w:r>
        <w:rPr>
          <w:rFonts w:ascii="Arial" w:cs="Arial" w:eastAsia="Arial" w:hAnsi="Arial"/>
          <w:sz w:val="18"/>
          <w:szCs w:val="18"/>
          <w:u w:val="single" w:color="auto"/>
          <w:color w:val="0000FF"/>
        </w:rPr>
        <w:t>Decision Making Amongst Term Facility Lenders</w:t>
      </w:r>
    </w:p>
    <w:p>
      <w:pPr>
        <w:spacing w:after="0" w:line="157" w:lineRule="exact"/>
        <w:rPr>
          <w:rFonts w:ascii="Arial" w:cs="Arial" w:eastAsia="Arial" w:hAnsi="Arial"/>
          <w:sz w:val="18"/>
          <w:szCs w:val="18"/>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Counterparts</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Governing Law</w:t>
      </w:r>
    </w:p>
    <w:p>
      <w:pPr>
        <w:spacing w:after="0" w:line="134" w:lineRule="exact"/>
        <w:rPr>
          <w:rFonts w:ascii="Arial" w:cs="Arial" w:eastAsia="Arial" w:hAnsi="Arial"/>
          <w:sz w:val="20"/>
          <w:szCs w:val="20"/>
          <w:u w:val="single" w:color="auto"/>
          <w:color w:val="0000EE"/>
        </w:rPr>
      </w:pPr>
    </w:p>
    <w:p>
      <w:pPr>
        <w:ind w:left="300" w:hanging="299"/>
        <w:spacing w:after="0"/>
        <w:tabs>
          <w:tab w:leader="none" w:pos="300" w:val="left"/>
        </w:tabs>
        <w:numPr>
          <w:ilvl w:val="0"/>
          <w:numId w:val="418"/>
        </w:numPr>
        <w:rPr>
          <w:rFonts w:ascii="Arial" w:cs="Arial" w:eastAsia="Arial" w:hAnsi="Arial"/>
          <w:sz w:val="20"/>
          <w:szCs w:val="20"/>
          <w:u w:val="single" w:color="auto"/>
          <w:color w:val="0000EE"/>
        </w:rPr>
      </w:pPr>
      <w:r>
        <w:rPr>
          <w:rFonts w:ascii="Arial" w:cs="Arial" w:eastAsia="Arial" w:hAnsi="Arial"/>
          <w:sz w:val="20"/>
          <w:szCs w:val="20"/>
          <w:u w:val="single" w:color="auto"/>
          <w:color w:val="0000FF"/>
        </w:rPr>
        <w:t>Jurisdiction</w:t>
      </w:r>
    </w:p>
    <w:p>
      <w:pPr>
        <w:spacing w:after="0" w:line="305" w:lineRule="exact"/>
        <w:rPr>
          <w:sz w:val="20"/>
          <w:szCs w:val="20"/>
          <w:color w:val="auto"/>
        </w:rPr>
      </w:pPr>
    </w:p>
    <w:p>
      <w:pPr>
        <w:spacing w:after="0"/>
        <w:rPr>
          <w:rFonts w:ascii="Arial" w:cs="Arial" w:eastAsia="Arial" w:hAnsi="Arial"/>
          <w:sz w:val="19"/>
          <w:szCs w:val="19"/>
          <w:u w:val="single" w:color="auto"/>
          <w:color w:val="0000EE"/>
        </w:rPr>
      </w:pPr>
      <w:hyperlink w:anchor="page306">
        <w:r>
          <w:rPr>
            <w:rFonts w:ascii="Arial" w:cs="Arial" w:eastAsia="Arial" w:hAnsi="Arial"/>
            <w:sz w:val="19"/>
            <w:szCs w:val="19"/>
            <w:u w:val="single" w:color="auto"/>
            <w:color w:val="0000EE"/>
          </w:rPr>
          <w:t xml:space="preserve">SCHEDULE 1 </w:t>
        </w:r>
      </w:hyperlink>
      <w:r>
        <w:rPr>
          <w:rFonts w:ascii="Arial" w:cs="Arial" w:eastAsia="Arial" w:hAnsi="Arial"/>
          <w:sz w:val="19"/>
          <w:szCs w:val="19"/>
          <w:u w:val="single" w:color="auto"/>
          <w:color w:val="0000FF"/>
        </w:rPr>
        <w:t>THE</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TERM FACILITY LENDERS</w:t>
      </w:r>
    </w:p>
    <w:p>
      <w:pPr>
        <w:spacing w:after="0" w:line="227" w:lineRule="exact"/>
        <w:rPr>
          <w:sz w:val="20"/>
          <w:szCs w:val="20"/>
          <w:color w:val="auto"/>
        </w:rPr>
      </w:pPr>
    </w:p>
    <w:p>
      <w:pPr>
        <w:spacing w:after="0"/>
        <w:rPr>
          <w:rFonts w:ascii="Arial" w:cs="Arial" w:eastAsia="Arial" w:hAnsi="Arial"/>
          <w:sz w:val="19"/>
          <w:szCs w:val="19"/>
          <w:u w:val="single" w:color="auto"/>
          <w:color w:val="0000EE"/>
        </w:rPr>
      </w:pPr>
      <w:hyperlink w:anchor="page307">
        <w:r>
          <w:rPr>
            <w:rFonts w:ascii="Arial" w:cs="Arial" w:eastAsia="Arial" w:hAnsi="Arial"/>
            <w:sz w:val="19"/>
            <w:szCs w:val="19"/>
            <w:u w:val="single" w:color="auto"/>
            <w:color w:val="0000EE"/>
          </w:rPr>
          <w:t xml:space="preserve">SCHEDULE 2 </w:t>
        </w:r>
      </w:hyperlink>
      <w:r>
        <w:rPr>
          <w:rFonts w:ascii="Arial" w:cs="Arial" w:eastAsia="Arial" w:hAnsi="Arial"/>
          <w:sz w:val="19"/>
          <w:szCs w:val="19"/>
          <w:u w:val="single" w:color="auto"/>
          <w:color w:val="0000FF"/>
        </w:rPr>
        <w:t>REPAYMENT</w:t>
      </w:r>
      <w:r>
        <w:rPr>
          <w:rFonts w:ascii="Arial" w:cs="Arial" w:eastAsia="Arial" w:hAnsi="Arial"/>
          <w:sz w:val="19"/>
          <w:szCs w:val="19"/>
          <w:u w:val="single" w:color="auto"/>
          <w:color w:val="0000EE"/>
        </w:rPr>
        <w:t xml:space="preserve"> </w:t>
      </w:r>
      <w:r>
        <w:rPr>
          <w:rFonts w:ascii="Arial" w:cs="Arial" w:eastAsia="Arial" w:hAnsi="Arial"/>
          <w:sz w:val="19"/>
          <w:szCs w:val="19"/>
          <w:u w:val="single" w:color="auto"/>
          <w:color w:val="0000FF"/>
        </w:rPr>
        <w:t>SCHEDULE</w:t>
      </w:r>
    </w:p>
    <w:p>
      <w:pPr>
        <w:sectPr>
          <w:pgSz w:w="11900" w:h="16838" w:orient="portrait"/>
          <w:cols w:equalWidth="0" w:num="1">
            <w:col w:w="9699"/>
          </w:cols>
          <w:pgMar w:left="760" w:top="717" w:right="1440" w:bottom="1440" w:gutter="0" w:footer="0" w:header="0"/>
        </w:sectPr>
      </w:pPr>
    </w:p>
    <w:bookmarkStart w:id="293" w:name="page294"/>
    <w:bookmarkEnd w:id="293"/>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14 September 2004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WYNN RESORTS (MACAU) S.A.</w:t>
      </w:r>
      <w:r>
        <w:rPr>
          <w:rFonts w:ascii="Arial" w:cs="Arial" w:eastAsia="Arial" w:hAnsi="Arial"/>
          <w:sz w:val="20"/>
          <w:szCs w:val="20"/>
          <w:color w:val="auto"/>
        </w:rPr>
        <w:t xml:space="preserve">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color w:val="auto"/>
        </w:rPr>
        <w:t>BANK OF CHINA LIMITED, MACAU BRANCH</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 Facility Agent</w:t>
      </w:r>
      <w:r>
        <w:rPr>
          <w:rFonts w:ascii="Arial" w:cs="Arial" w:eastAsia="Arial" w:hAnsi="Arial"/>
          <w:sz w:val="20"/>
          <w:szCs w:val="20"/>
          <w:color w:val="auto"/>
        </w:rPr>
        <w:t>"); 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color w:val="auto"/>
        </w:rPr>
        <w:t>THE TERM FACILITY LENDERS</w:t>
      </w:r>
      <w:r>
        <w:rPr>
          <w:rFonts w:ascii="Arial" w:cs="Arial" w:eastAsia="Arial" w:hAnsi="Arial"/>
          <w:sz w:val="20"/>
          <w:szCs w:val="20"/>
          <w:color w:val="auto"/>
        </w:rPr>
        <w:t xml:space="preserve"> (as defined below).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35"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The Term Facility Lenders have agreed to make certain loan facilities available to the Company in connection with Wynn Macau and the Cotai Project for the refinancing of the Company's existing indebtedness, for financing the design, development and construction of the Cotai Project)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ectPr>
          <w:pgSz w:w="11900" w:h="16838" w:orient="portrait"/>
          <w:cols w:equalWidth="0" w:num="1">
            <w:col w:w="11420"/>
          </w:cols>
          <w:pgMar w:left="240" w:top="576" w:right="239" w:bottom="1440" w:gutter="0" w:footer="0" w:header="0"/>
        </w:sectPr>
      </w:pPr>
    </w:p>
    <w:bookmarkStart w:id="294" w:name="page295"/>
    <w:bookmarkEnd w:id="294"/>
    <w:p>
      <w:pPr>
        <w:spacing w:after="0"/>
        <w:rPr>
          <w:sz w:val="20"/>
          <w:szCs w:val="20"/>
          <w:color w:val="auto"/>
        </w:rPr>
      </w:pPr>
      <w:r>
        <w:rPr>
          <w:rFonts w:ascii="Arial" w:cs="Arial" w:eastAsia="Arial" w:hAnsi="Arial"/>
          <w:sz w:val="20"/>
          <w:szCs w:val="20"/>
          <w:color w:val="auto"/>
        </w:rPr>
        <w:t>1.</w:t>
      </w:r>
      <w:r>
        <w:rPr>
          <w:rFonts w:ascii="Arial" w:cs="Arial" w:eastAsia="Arial" w:hAnsi="Arial"/>
          <w:sz w:val="18"/>
          <w:szCs w:val="18"/>
          <w:b w:val="1"/>
          <w:bCs w:val="1"/>
          <w:color w:val="auto"/>
        </w:rPr>
        <w:t>DEFINITIONS AND INTERPRETATION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Definitions</w:t>
      </w:r>
    </w:p>
    <w:p>
      <w:pPr>
        <w:spacing w:after="0" w:line="250"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unless otherwise defined herein, all terms defined or referred to in the Common Terms Agreement shall have the same meaning herein and in addition:</w:t>
      </w:r>
    </w:p>
    <w:p>
      <w:pPr>
        <w:spacing w:after="0" w:line="129" w:lineRule="exact"/>
        <w:rPr>
          <w:sz w:val="20"/>
          <w:szCs w:val="20"/>
          <w:color w:val="auto"/>
        </w:rPr>
      </w:pPr>
    </w:p>
    <w:p>
      <w:pPr>
        <w:jc w:val="both"/>
        <w:ind w:left="560"/>
        <w:spacing w:after="0" w:line="3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Commitment</w:t>
      </w:r>
      <w:r>
        <w:rPr>
          <w:rFonts w:ascii="Arial" w:cs="Arial" w:eastAsia="Arial" w:hAnsi="Arial"/>
          <w:sz w:val="20"/>
          <w:szCs w:val="20"/>
          <w:color w:val="auto"/>
        </w:rPr>
        <w:t>" means, in relation to a Term Facility Lender at any time and save as otherwise provided herein, the aggregate US dollar equivalent amount of Available Tranche A Commitment, Available Tranche B Commitment and Available Tranche C Commitment of such Term Facility Lender.</w:t>
      </w:r>
    </w:p>
    <w:p>
      <w:pPr>
        <w:spacing w:after="0" w:line="138"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Facility</w:t>
      </w:r>
      <w:r>
        <w:rPr>
          <w:rFonts w:ascii="Arial" w:cs="Arial" w:eastAsia="Arial" w:hAnsi="Arial"/>
          <w:sz w:val="20"/>
          <w:szCs w:val="20"/>
          <w:color w:val="auto"/>
        </w:rPr>
        <w:t>" means, at any time, the aggregate US dollar equivalent amount of the Available Tranche A Facility, the Available Tranche B Facility and the Available Tranche C Facility.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xml:space="preserve">" means, in relation to a Term Facility Lender at any time, its Tranche A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258" w:lineRule="exact"/>
        <w:rPr>
          <w:sz w:val="20"/>
          <w:szCs w:val="20"/>
          <w:color w:val="auto"/>
        </w:rPr>
      </w:pPr>
    </w:p>
    <w:p>
      <w:pPr>
        <w:ind w:left="2520" w:hanging="1958"/>
        <w:spacing w:after="0" w:line="317" w:lineRule="auto"/>
        <w:tabs>
          <w:tab w:leader="none" w:pos="1278" w:val="left"/>
        </w:tabs>
        <w:numPr>
          <w:ilvl w:val="0"/>
          <w:numId w:val="419"/>
        </w:numPr>
        <w:rPr>
          <w:rFonts w:ascii="Arial" w:cs="Arial" w:eastAsia="Arial" w:hAnsi="Arial"/>
          <w:sz w:val="18"/>
          <w:szCs w:val="18"/>
          <w:color w:val="auto"/>
        </w:rPr>
      </w:pPr>
      <w:r>
        <w:rPr>
          <w:rFonts w:ascii="Arial" w:cs="Arial" w:eastAsia="Arial" w:hAnsi="Arial"/>
          <w:sz w:val="20"/>
          <w:szCs w:val="20"/>
          <w:color w:val="auto"/>
        </w:rPr>
        <w:t>the aggregate amount of its participation in any outstanding Advances (including, without limitation, the Existing Advances) under that Facility; and</w:t>
      </w:r>
    </w:p>
    <w:p>
      <w:pPr>
        <w:spacing w:after="0" w:line="135" w:lineRule="exact"/>
        <w:rPr>
          <w:sz w:val="20"/>
          <w:szCs w:val="20"/>
          <w:color w:val="auto"/>
        </w:rPr>
      </w:pPr>
    </w:p>
    <w:p>
      <w:pPr>
        <w:ind w:left="2000" w:right="20" w:hanging="1444"/>
        <w:spacing w:after="0" w:line="346" w:lineRule="auto"/>
        <w:rPr>
          <w:sz w:val="20"/>
          <w:szCs w:val="20"/>
          <w:color w:val="auto"/>
        </w:rPr>
      </w:pPr>
      <w:r>
        <w:rPr>
          <w:rFonts w:ascii="Arial" w:cs="Arial" w:eastAsia="Arial" w:hAnsi="Arial"/>
          <w:sz w:val="18"/>
          <w:szCs w:val="18"/>
          <w:color w:val="auto"/>
        </w:rPr>
        <w:t>(a)</w:t>
      </w:r>
      <w:r>
        <w:rPr>
          <w:rFonts w:ascii="Arial" w:cs="Arial" w:eastAsia="Arial" w:hAnsi="Arial"/>
          <w:sz w:val="19"/>
          <w:szCs w:val="19"/>
          <w:color w:val="auto"/>
        </w:rPr>
        <w:t>in relation to any Advance Request, the aggregate amount of its participation in any Tranche A Advance due to be made on or before</w:t>
      </w:r>
      <w:r>
        <w:rPr>
          <w:rFonts w:ascii="Arial" w:cs="Arial" w:eastAsia="Arial" w:hAnsi="Arial"/>
          <w:sz w:val="18"/>
          <w:szCs w:val="18"/>
          <w:color w:val="auto"/>
        </w:rPr>
        <w:t xml:space="preserve"> </w:t>
      </w:r>
      <w:r>
        <w:rPr>
          <w:rFonts w:ascii="Arial" w:cs="Arial" w:eastAsia="Arial" w:hAnsi="Arial"/>
          <w:sz w:val="19"/>
          <w:szCs w:val="19"/>
          <w:color w:val="auto"/>
        </w:rPr>
        <w:t>the proposed Advance Date.</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xml:space="preserve">" means, in relation to a Term Facility Lender at any time, its Tranche B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258" w:lineRule="exact"/>
        <w:rPr>
          <w:sz w:val="20"/>
          <w:szCs w:val="20"/>
          <w:color w:val="auto"/>
        </w:rPr>
      </w:pPr>
    </w:p>
    <w:p>
      <w:pPr>
        <w:ind w:left="2040" w:hanging="1471"/>
        <w:spacing w:after="0" w:line="317" w:lineRule="auto"/>
        <w:rPr>
          <w:sz w:val="20"/>
          <w:szCs w:val="20"/>
          <w:color w:val="auto"/>
        </w:rPr>
      </w:pPr>
      <w:r>
        <w:rPr>
          <w:rFonts w:ascii="Arial" w:cs="Arial" w:eastAsia="Arial" w:hAnsi="Arial"/>
          <w:sz w:val="20"/>
          <w:szCs w:val="20"/>
          <w:color w:val="auto"/>
        </w:rPr>
        <w:t>(a)the aggregate amount of its participation in any outstanding Advances (including, without limitation, the Existing Advances) under that Facility; and</w:t>
      </w:r>
    </w:p>
    <w:p>
      <w:pPr>
        <w:spacing w:after="0" w:line="135" w:lineRule="exact"/>
        <w:rPr>
          <w:sz w:val="20"/>
          <w:szCs w:val="20"/>
          <w:color w:val="auto"/>
        </w:rPr>
      </w:pPr>
    </w:p>
    <w:p>
      <w:pPr>
        <w:ind w:left="2040" w:right="20" w:hanging="1485"/>
        <w:spacing w:after="0" w:line="317" w:lineRule="auto"/>
        <w:rPr>
          <w:sz w:val="20"/>
          <w:szCs w:val="20"/>
          <w:color w:val="auto"/>
        </w:rPr>
      </w:pPr>
      <w:r>
        <w:rPr>
          <w:rFonts w:ascii="Arial" w:cs="Arial" w:eastAsia="Arial" w:hAnsi="Arial"/>
          <w:sz w:val="20"/>
          <w:szCs w:val="20"/>
          <w:color w:val="auto"/>
        </w:rPr>
        <w:t>(b)in relation to any Advance Request, the aggregate amount of its participation in any Tranche B Advance due to be made on or before the proposed Advance Date.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xml:space="preserve">" means, in relation to a Term Facility Lender at any time, its Tranche C Facility Commitment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258" w:lineRule="exact"/>
        <w:rPr>
          <w:sz w:val="20"/>
          <w:szCs w:val="20"/>
          <w:color w:val="auto"/>
        </w:rPr>
      </w:pPr>
    </w:p>
    <w:p>
      <w:pPr>
        <w:ind w:left="2040" w:hanging="1471"/>
        <w:spacing w:after="0" w:line="317" w:lineRule="auto"/>
        <w:rPr>
          <w:sz w:val="20"/>
          <w:szCs w:val="20"/>
          <w:color w:val="auto"/>
        </w:rPr>
      </w:pPr>
      <w:r>
        <w:rPr>
          <w:rFonts w:ascii="Arial" w:cs="Arial" w:eastAsia="Arial" w:hAnsi="Arial"/>
          <w:sz w:val="20"/>
          <w:szCs w:val="20"/>
          <w:color w:val="auto"/>
        </w:rPr>
        <w:t>(c)the aggregate amount of its participation in any outstanding Advances (including, without limitation, the Existing Advances) under that Facility; and</w:t>
      </w:r>
    </w:p>
    <w:p>
      <w:pPr>
        <w:spacing w:after="0" w:line="135" w:lineRule="exact"/>
        <w:rPr>
          <w:sz w:val="20"/>
          <w:szCs w:val="20"/>
          <w:color w:val="auto"/>
        </w:rPr>
      </w:pPr>
    </w:p>
    <w:p>
      <w:pPr>
        <w:ind w:left="2040" w:right="20" w:hanging="1485"/>
        <w:spacing w:after="0" w:line="317" w:lineRule="auto"/>
        <w:rPr>
          <w:sz w:val="20"/>
          <w:szCs w:val="20"/>
          <w:color w:val="auto"/>
        </w:rPr>
      </w:pPr>
      <w:r>
        <w:rPr>
          <w:rFonts w:ascii="Arial" w:cs="Arial" w:eastAsia="Arial" w:hAnsi="Arial"/>
          <w:sz w:val="20"/>
          <w:szCs w:val="20"/>
          <w:color w:val="auto"/>
        </w:rPr>
        <w:t>(d)in relation to any Advance Request, the aggregate amount of its participation in any Tranche C Advance due to be made on or before the proposed Advance Date.</w:t>
      </w:r>
    </w:p>
    <w:p>
      <w:pPr>
        <w:spacing w:after="0" w:line="129" w:lineRule="exact"/>
        <w:rPr>
          <w:sz w:val="20"/>
          <w:szCs w:val="20"/>
          <w:color w:val="auto"/>
        </w:rPr>
      </w:pPr>
    </w:p>
    <w:p>
      <w:pPr>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Facility</w:t>
      </w:r>
      <w:r>
        <w:rPr>
          <w:rFonts w:ascii="Arial" w:cs="Arial" w:eastAsia="Arial" w:hAnsi="Arial"/>
          <w:sz w:val="20"/>
          <w:szCs w:val="20"/>
          <w:color w:val="auto"/>
        </w:rPr>
        <w:t>" means, at any time, the aggregate amount of the Available Tranche A Commitments of all the Term Facility Lenders at such time.</w:t>
      </w:r>
    </w:p>
    <w:p>
      <w:pPr>
        <w:spacing w:after="0" w:line="124" w:lineRule="exact"/>
        <w:rPr>
          <w:sz w:val="20"/>
          <w:szCs w:val="20"/>
          <w:color w:val="auto"/>
        </w:rPr>
      </w:pPr>
    </w:p>
    <w:p>
      <w:pPr>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Facility</w:t>
      </w:r>
      <w:r>
        <w:rPr>
          <w:rFonts w:ascii="Arial" w:cs="Arial" w:eastAsia="Arial" w:hAnsi="Arial"/>
          <w:sz w:val="20"/>
          <w:szCs w:val="20"/>
          <w:color w:val="auto"/>
        </w:rPr>
        <w:t>" means, at any time, the aggregate amount of the Available Tranche B Commitments of all the Term Facility Lenders at such time.</w:t>
      </w:r>
    </w:p>
    <w:p>
      <w:pPr>
        <w:spacing w:after="0" w:line="124" w:lineRule="exact"/>
        <w:rPr>
          <w:sz w:val="20"/>
          <w:szCs w:val="20"/>
          <w:color w:val="auto"/>
        </w:rPr>
      </w:pPr>
    </w:p>
    <w:p>
      <w:pPr>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C Facility</w:t>
      </w:r>
      <w:r>
        <w:rPr>
          <w:rFonts w:ascii="Arial" w:cs="Arial" w:eastAsia="Arial" w:hAnsi="Arial"/>
          <w:sz w:val="20"/>
          <w:szCs w:val="20"/>
          <w:color w:val="auto"/>
        </w:rPr>
        <w:t>" means, at any time, the aggregate amount of the Available Tranche C Commitments of all the Term Facility Lenders at such time.</w:t>
      </w:r>
    </w:p>
    <w:p>
      <w:pPr>
        <w:sectPr>
          <w:pgSz w:w="11900" w:h="16838" w:orient="portrait"/>
          <w:cols w:equalWidth="0" w:num="1">
            <w:col w:w="11420"/>
          </w:cols>
          <w:pgMar w:left="240" w:top="663" w:right="239" w:bottom="1440" w:gutter="0" w:footer="0" w:header="0"/>
        </w:sectPr>
      </w:pPr>
    </w:p>
    <w:bookmarkStart w:id="295" w:name="page296"/>
    <w:bookmarkEnd w:id="295"/>
    <w:p>
      <w:pPr>
        <w:jc w:val="both"/>
        <w:spacing w:after="0" w:line="30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Terms Agreement</w:t>
      </w:r>
      <w:r>
        <w:rPr>
          <w:rFonts w:ascii="Arial" w:cs="Arial" w:eastAsia="Arial" w:hAnsi="Arial"/>
          <w:sz w:val="20"/>
          <w:szCs w:val="20"/>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 Agreement Third Amendment Agreement, the Common Terms Agreement Fourth Amendment Agreement and the Common Terms Agreement Fifth Amendment Agreement.</w:t>
      </w:r>
    </w:p>
    <w:p>
      <w:pPr>
        <w:spacing w:after="0" w:line="147"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Accounts</w:t>
      </w:r>
      <w:r>
        <w:rPr>
          <w:rFonts w:ascii="Arial" w:cs="Arial" w:eastAsia="Arial" w:hAnsi="Arial"/>
          <w:sz w:val="18"/>
          <w:szCs w:val="18"/>
          <w:color w:val="auto"/>
        </w:rPr>
        <w:t xml:space="preserve">" means: (a) one or more Accounts of the Company opened and maintained solely for the disbursement of amounts borrowed by the Company under the Term Facility and the Revolving Credit Facility to finance or refinance costs incurred or funds expended on the development of the Cotai Project (and which does not, and will not, contain amounts to be applied for any other purpose other than as set forth in paragraph (b) of this definition) and; (b) one or more interest bearing demand or time deposits opened and maintained from time to time solely for the purpose of investing the amounts referred to in paragraph (a) of this definition prior to their disbursement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interest bearing demand or time deposit (i) meets the requirement of a Permitted Investment and (ii) is secured by a first ranking fixed Lien in favour of the Security Agent.</w:t>
      </w:r>
    </w:p>
    <w:p>
      <w:pPr>
        <w:spacing w:after="0" w:line="120"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Advances</w:t>
      </w:r>
      <w:r>
        <w:rPr>
          <w:rFonts w:ascii="Arial" w:cs="Arial" w:eastAsia="Arial" w:hAnsi="Arial"/>
          <w:sz w:val="20"/>
          <w:szCs w:val="20"/>
          <w:color w:val="auto"/>
        </w:rPr>
        <w:t>" means the Tranche A Advance in an amount equal to USD243,750,000.00 and the Tranche B Advance in an amount equal to HKD3,948,750,000.00 outstanding as at the Fifth Amendment Effective Date (for the avoidance of doubt, this does not include any advances made pursuant to a Completion Request delivered on the Fifth Amendment Effective Date, as provided for in the Common Terms Agreement Fifth Amendment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HIBOR</w:t>
      </w:r>
      <w:r>
        <w:rPr>
          <w:rFonts w:ascii="Arial" w:cs="Arial" w:eastAsia="Arial" w:hAnsi="Arial"/>
          <w:sz w:val="20"/>
          <w:szCs w:val="20"/>
          <w:color w:val="auto"/>
        </w:rPr>
        <w:t>" means, in relation to any Tranche B Advance or Tranche C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06" w:lineRule="auto"/>
        <w:rPr>
          <w:sz w:val="20"/>
          <w:szCs w:val="20"/>
          <w:color w:val="auto"/>
        </w:rPr>
      </w:pPr>
      <w:r>
        <w:rPr>
          <w:rFonts w:ascii="Arial" w:cs="Arial" w:eastAsia="Arial" w:hAnsi="Arial"/>
          <w:sz w:val="20"/>
          <w:szCs w:val="20"/>
          <w:color w:val="auto"/>
        </w:rPr>
        <w:t>(b)(if no Screen Rate is available for HK dollars or for the Interest Period for that Term Facility Advance) the arithmetic mean of the rates (rounded upwards to four decimal places) as supplied to the Term Facility Agent at its request quoted by the Reference Banks to leading banks in the Hong Kong interbank market,</w:t>
      </w:r>
    </w:p>
    <w:p>
      <w:pPr>
        <w:spacing w:after="0" w:line="147"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at or about 11.00 a.m. (Hong Kong time) on the Quotation Day for the offering of deposits in HK dollars for a period comparable to the Interest Period for that Term Facility Advance (or, if such Screen Rate or arithmetic mean of rates, as the case may be, is less than zero per annum, zero per annum).</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w:t>
      </w:r>
      <w:r>
        <w:rPr>
          <w:rFonts w:ascii="Arial" w:cs="Arial" w:eastAsia="Arial" w:hAnsi="Arial"/>
          <w:sz w:val="20"/>
          <w:szCs w:val="20"/>
          <w:color w:val="auto"/>
        </w:rPr>
        <w:t>" means, in relation to any Tranche A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17" w:lineRule="auto"/>
        <w:rPr>
          <w:sz w:val="20"/>
          <w:szCs w:val="20"/>
          <w:color w:val="auto"/>
        </w:rPr>
      </w:pPr>
      <w:r>
        <w:rPr>
          <w:rFonts w:ascii="Arial" w:cs="Arial" w:eastAsia="Arial" w:hAnsi="Arial"/>
          <w:sz w:val="20"/>
          <w:szCs w:val="20"/>
          <w:color w:val="auto"/>
        </w:rPr>
        <w:t>(b)(if no Screen Rate is available for US dollars or for the Interest Period for that Term Facility Advance) the arithmetic mean of the rates (rounded upwards to four</w:t>
      </w:r>
    </w:p>
    <w:p>
      <w:pPr>
        <w:sectPr>
          <w:pgSz w:w="11900" w:h="16838" w:orient="portrait"/>
          <w:cols w:equalWidth="0" w:num="1">
            <w:col w:w="10860"/>
          </w:cols>
          <w:pgMar w:left="800" w:top="576" w:right="239" w:bottom="1440" w:gutter="0" w:footer="0" w:header="0"/>
        </w:sectPr>
      </w:pPr>
    </w:p>
    <w:bookmarkStart w:id="296" w:name="page297"/>
    <w:bookmarkEnd w:id="296"/>
    <w:p>
      <w:pPr>
        <w:ind w:left="720"/>
        <w:spacing w:after="0" w:line="345" w:lineRule="auto"/>
        <w:rPr>
          <w:sz w:val="20"/>
          <w:szCs w:val="20"/>
          <w:color w:val="auto"/>
        </w:rPr>
      </w:pPr>
      <w:r>
        <w:rPr>
          <w:rFonts w:ascii="Arial" w:cs="Arial" w:eastAsia="Arial" w:hAnsi="Arial"/>
          <w:sz w:val="20"/>
          <w:szCs w:val="20"/>
          <w:color w:val="auto"/>
        </w:rPr>
        <w:t>decimal places) as supplied to the Term Facility Agent at its request quoted by the Reference Banks to leading banks in the London interbank market,</w:t>
      </w:r>
    </w:p>
    <w:p>
      <w:pPr>
        <w:spacing w:after="0" w:line="122" w:lineRule="exact"/>
        <w:rPr>
          <w:sz w:val="20"/>
          <w:szCs w:val="20"/>
          <w:color w:val="auto"/>
        </w:rPr>
      </w:pPr>
    </w:p>
    <w:p>
      <w:pPr>
        <w:jc w:val="both"/>
        <w:ind w:left="60" w:firstLine="14"/>
        <w:spacing w:after="0" w:line="306" w:lineRule="auto"/>
        <w:rPr>
          <w:sz w:val="20"/>
          <w:szCs w:val="20"/>
          <w:color w:val="auto"/>
        </w:rPr>
      </w:pPr>
      <w:r>
        <w:rPr>
          <w:rFonts w:ascii="Arial" w:cs="Arial" w:eastAsia="Arial" w:hAnsi="Arial"/>
          <w:sz w:val="20"/>
          <w:szCs w:val="20"/>
          <w:color w:val="auto"/>
        </w:rPr>
        <w:t>at or about 11:00 a.m. (London time) on the Quotation Day for the offering of deposits in US dollars and for a period comparable to the Interest Period for that Term Facility Advance (or, if such Screen Rate or arithmetic mean of rates, as the case may be, is less than zero per annum, zero per annum).</w:t>
      </w:r>
    </w:p>
    <w:p>
      <w:pPr>
        <w:spacing w:after="0" w:line="141" w:lineRule="exact"/>
        <w:rPr>
          <w:sz w:val="20"/>
          <w:szCs w:val="20"/>
          <w:color w:val="auto"/>
        </w:rPr>
      </w:pPr>
    </w:p>
    <w:p>
      <w:pPr>
        <w:jc w:val="both"/>
        <w:spacing w:after="0" w:line="3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Term Facility Lenders</w:t>
      </w:r>
      <w:r>
        <w:rPr>
          <w:rFonts w:ascii="Arial" w:cs="Arial" w:eastAsia="Arial" w:hAnsi="Arial"/>
          <w:sz w:val="18"/>
          <w:szCs w:val="18"/>
          <w:color w:val="auto"/>
        </w:rPr>
        <w:t>" means a Term Facility Lender or Term Facility Lenders whose US dollar equivalent participations in the Term Facility Advances then outstanding and undrawn Available Commitments amount in aggregate to more than 50% of the US dollar equivalent of the sum of all Term Facility Advances then outstanding and undrawn Available Commitments.</w:t>
      </w:r>
    </w:p>
    <w:p>
      <w:pPr>
        <w:spacing w:after="0" w:line="103"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Margin</w:t>
      </w:r>
      <w:r>
        <w:rPr>
          <w:rFonts w:ascii="Arial" w:cs="Arial" w:eastAsia="Arial" w:hAnsi="Arial"/>
          <w:sz w:val="19"/>
          <w:szCs w:val="19"/>
          <w:color w:val="auto"/>
        </w:rPr>
        <w:t>" means in relation to any Term Facility Advance hereunder on and from the Fifth Amendment Effective Date 1.750% per annum but, if the Leverage Ratio as at the most recent Quarterly Date thereafter (for the avoidance of doubt, subject to paragraph (e) of the definition of "Specified Equity Contribution Conditions"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of the Common Terms Agreement) is within the range set out below and the Intercreditor Agent has received, in accordance with paragraphs 1 and 2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34" w:lineRule="exact"/>
        <w:rPr>
          <w:sz w:val="20"/>
          <w:szCs w:val="20"/>
          <w:color w:val="auto"/>
        </w:rPr>
      </w:pPr>
    </w:p>
    <w:tbl>
      <w:tblPr>
        <w:tblLayout w:type="fixed"/>
        <w:tblInd w:w="74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1980" w:type="dxa"/>
            <w:vAlign w:val="bottom"/>
          </w:tcPr>
          <w:p>
            <w:pPr>
              <w:jc w:val="right"/>
              <w:ind w:right="581"/>
              <w:spacing w:after="0"/>
              <w:rPr>
                <w:sz w:val="20"/>
                <w:szCs w:val="20"/>
                <w:color w:val="auto"/>
              </w:rPr>
            </w:pPr>
            <w:r>
              <w:rPr>
                <w:rFonts w:ascii="Arial" w:cs="Arial" w:eastAsia="Arial" w:hAnsi="Arial"/>
                <w:sz w:val="20"/>
                <w:szCs w:val="20"/>
                <w:b w:val="1"/>
                <w:bCs w:val="1"/>
                <w:color w:val="auto"/>
              </w:rPr>
              <w:t>Margin</w:t>
            </w:r>
          </w:p>
        </w:tc>
        <w:tc>
          <w:tcPr>
            <w:tcW w:w="720" w:type="dxa"/>
            <w:vAlign w:val="bottom"/>
          </w:tcPr>
          <w:p>
            <w:pPr>
              <w:spacing w:after="0"/>
              <w:rPr>
                <w:sz w:val="22"/>
                <w:szCs w:val="22"/>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841"/>
              <w:spacing w:after="0"/>
              <w:rPr>
                <w:sz w:val="20"/>
                <w:szCs w:val="20"/>
                <w:color w:val="auto"/>
              </w:rPr>
            </w:pPr>
            <w:r>
              <w:rPr>
                <w:rFonts w:ascii="Arial" w:cs="Arial" w:eastAsia="Arial" w:hAnsi="Arial"/>
                <w:sz w:val="20"/>
                <w:szCs w:val="20"/>
                <w:color w:val="auto"/>
              </w:rPr>
              <w:t>1.500%</w:t>
            </w:r>
          </w:p>
        </w:tc>
        <w:tc>
          <w:tcPr>
            <w:tcW w:w="7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720" w:type="dxa"/>
            <w:vAlign w:val="bottom"/>
          </w:tcPr>
          <w:p>
            <w:pPr>
              <w:jc w:val="right"/>
              <w:spacing w:after="0"/>
              <w:rPr>
                <w:sz w:val="20"/>
                <w:szCs w:val="20"/>
                <w:color w:val="auto"/>
              </w:rPr>
            </w:pPr>
            <w:r>
              <w:rPr>
                <w:rFonts w:ascii="Arial" w:cs="Arial" w:eastAsia="Arial" w:hAnsi="Arial"/>
                <w:sz w:val="20"/>
                <w:szCs w:val="20"/>
                <w:color w:val="auto"/>
              </w:rPr>
              <w:t>1.875%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72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720" w:type="dxa"/>
            <w:vAlign w:val="bottom"/>
          </w:tcPr>
          <w:p>
            <w:pPr>
              <w:jc w:val="right"/>
              <w:spacing w:after="0"/>
              <w:rPr>
                <w:sz w:val="20"/>
                <w:szCs w:val="20"/>
                <w:color w:val="auto"/>
              </w:rPr>
            </w:pPr>
            <w:r>
              <w:rPr>
                <w:rFonts w:ascii="Arial" w:cs="Arial" w:eastAsia="Arial" w:hAnsi="Arial"/>
                <w:sz w:val="20"/>
                <w:szCs w:val="20"/>
                <w:color w:val="auto"/>
              </w:rPr>
              <w:t>2.125%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921"/>
              <w:spacing w:after="0"/>
              <w:rPr>
                <w:sz w:val="20"/>
                <w:szCs w:val="20"/>
                <w:color w:val="auto"/>
              </w:rPr>
            </w:pPr>
            <w:r>
              <w:rPr>
                <w:rFonts w:ascii="Arial" w:cs="Arial" w:eastAsia="Arial" w:hAnsi="Arial"/>
                <w:sz w:val="20"/>
                <w:szCs w:val="20"/>
                <w:color w:val="auto"/>
              </w:rPr>
              <w:t>2.250%</w:t>
            </w:r>
          </w:p>
        </w:tc>
        <w:tc>
          <w:tcPr>
            <w:tcW w:w="720" w:type="dxa"/>
            <w:vAlign w:val="bottom"/>
          </w:tcPr>
          <w:p>
            <w:pPr>
              <w:spacing w:after="0"/>
              <w:rPr>
                <w:sz w:val="24"/>
                <w:szCs w:val="24"/>
                <w:color w:val="auto"/>
              </w:rPr>
            </w:pPr>
          </w:p>
        </w:tc>
      </w:tr>
    </w:tbl>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Banks</w:t>
      </w:r>
      <w:r>
        <w:rPr>
          <w:rFonts w:ascii="Arial" w:cs="Arial" w:eastAsia="Arial" w:hAnsi="Arial"/>
          <w:sz w:val="20"/>
          <w:szCs w:val="20"/>
          <w:color w:val="auto"/>
        </w:rPr>
        <w:t>" means, in relation to:</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(a)LIBOR, the principal London offices of Deutsche Bank AG and BNP Paribas; and</w:t>
      </w:r>
    </w:p>
    <w:p>
      <w:pPr>
        <w:spacing w:after="0" w:line="229" w:lineRule="exact"/>
        <w:rPr>
          <w:sz w:val="20"/>
          <w:szCs w:val="20"/>
          <w:color w:val="auto"/>
        </w:rPr>
      </w:pPr>
    </w:p>
    <w:p>
      <w:pPr>
        <w:jc w:val="both"/>
        <w:ind w:left="1480" w:hanging="1485"/>
        <w:spacing w:after="0" w:line="317" w:lineRule="auto"/>
        <w:rPr>
          <w:sz w:val="20"/>
          <w:szCs w:val="20"/>
          <w:color w:val="auto"/>
        </w:rPr>
      </w:pPr>
      <w:r>
        <w:rPr>
          <w:rFonts w:ascii="Arial" w:cs="Arial" w:eastAsia="Arial" w:hAnsi="Arial"/>
          <w:sz w:val="20"/>
          <w:szCs w:val="20"/>
          <w:color w:val="auto"/>
        </w:rPr>
        <w:t>(b)HIBOR, the principal Hong Kong offices of Bank of China Limited, Hong Kong Branch and Industrial and Commercial Bank of China (Asia) Limited,</w:t>
      </w:r>
    </w:p>
    <w:p>
      <w:pPr>
        <w:sectPr>
          <w:pgSz w:w="11900" w:h="16838" w:orient="portrait"/>
          <w:cols w:equalWidth="0" w:num="1">
            <w:col w:w="10860"/>
          </w:cols>
          <w:pgMar w:left="800" w:top="596" w:right="239" w:bottom="1440" w:gutter="0" w:footer="0" w:header="0"/>
        </w:sectPr>
      </w:pPr>
    </w:p>
    <w:bookmarkStart w:id="297" w:name="page298"/>
    <w:bookmarkEnd w:id="297"/>
    <w:p>
      <w:pPr>
        <w:jc w:val="both"/>
        <w:spacing w:after="0" w:line="317" w:lineRule="auto"/>
        <w:rPr>
          <w:sz w:val="20"/>
          <w:szCs w:val="20"/>
          <w:color w:val="auto"/>
        </w:rPr>
      </w:pPr>
      <w:r>
        <w:rPr>
          <w:rFonts w:ascii="Arial" w:cs="Arial" w:eastAsia="Arial" w:hAnsi="Arial"/>
          <w:sz w:val="20"/>
          <w:szCs w:val="20"/>
          <w:color w:val="auto"/>
        </w:rPr>
        <w:t>or such other bank or banks designated from time to time by the Term Facility Agent provided that the consent of the Company shall be required if such designation is made prior to an occurrence of an Event of Default which is continuing.</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Screen Rate</w:t>
      </w:r>
      <w:r>
        <w:rPr>
          <w:rFonts w:ascii="Arial" w:cs="Arial" w:eastAsia="Arial" w:hAnsi="Arial"/>
          <w:sz w:val="20"/>
          <w:szCs w:val="20"/>
          <w:color w:val="auto"/>
        </w:rPr>
        <w:t>" means, in relation to:</w:t>
      </w:r>
    </w:p>
    <w:p>
      <w:pPr>
        <w:spacing w:after="0" w:line="235" w:lineRule="exact"/>
        <w:rPr>
          <w:sz w:val="20"/>
          <w:szCs w:val="20"/>
          <w:color w:val="auto"/>
        </w:rPr>
      </w:pPr>
    </w:p>
    <w:p>
      <w:pPr>
        <w:jc w:val="both"/>
        <w:ind w:left="1480" w:hanging="1471"/>
        <w:spacing w:after="0" w:line="345" w:lineRule="auto"/>
        <w:rPr>
          <w:sz w:val="20"/>
          <w:szCs w:val="20"/>
          <w:color w:val="auto"/>
        </w:rPr>
      </w:pPr>
      <w:r>
        <w:rPr>
          <w:rFonts w:ascii="Arial" w:cs="Arial" w:eastAsia="Arial" w:hAnsi="Arial"/>
          <w:sz w:val="18"/>
          <w:szCs w:val="18"/>
          <w:color w:val="auto"/>
        </w:rPr>
        <w:t>(a)LIBOR, the London interbank offered rate administered by ICE Benchmark Administration Limited (or any other person which takes over the administration of that rate) for US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120" w:lineRule="exact"/>
        <w:rPr>
          <w:sz w:val="20"/>
          <w:szCs w:val="20"/>
          <w:color w:val="auto"/>
        </w:rPr>
      </w:pPr>
    </w:p>
    <w:p>
      <w:pPr>
        <w:jc w:val="both"/>
        <w:ind w:left="1480" w:hanging="1485"/>
        <w:spacing w:after="0" w:line="345" w:lineRule="auto"/>
        <w:rPr>
          <w:sz w:val="20"/>
          <w:szCs w:val="20"/>
          <w:color w:val="auto"/>
        </w:rPr>
      </w:pPr>
      <w:r>
        <w:rPr>
          <w:rFonts w:ascii="Arial" w:cs="Arial" w:eastAsia="Arial" w:hAnsi="Arial"/>
          <w:sz w:val="18"/>
          <w:szCs w:val="18"/>
          <w:color w:val="auto"/>
        </w:rPr>
        <w:t>(b)HIBOR,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the rate), or on the appropriate page of such other information service which publishes that rate from time to time in place of Thomson Reuters.</w:t>
      </w:r>
    </w:p>
    <w:p>
      <w:pPr>
        <w:spacing w:after="0" w:line="12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If the agreed page is replaced or service ceases to be available, the Term Facility Agent may specify another page or service displaying the appropriate rate after consultation with the Company and the Term Facility Lenders.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w:t>
      </w:r>
      <w:r>
        <w:rPr>
          <w:rFonts w:ascii="Arial" w:cs="Arial" w:eastAsia="Arial" w:hAnsi="Arial"/>
          <w:sz w:val="20"/>
          <w:szCs w:val="20"/>
          <w:color w:val="auto"/>
        </w:rPr>
        <w:t>" means the Tranche A Facility, the Tranche B Facility and the Tranche C Facility.</w:t>
      </w:r>
    </w:p>
    <w:p>
      <w:pPr>
        <w:spacing w:after="0" w:line="229" w:lineRule="exact"/>
        <w:rPr>
          <w:sz w:val="20"/>
          <w:szCs w:val="20"/>
          <w:color w:val="auto"/>
        </w:rPr>
      </w:pPr>
    </w:p>
    <w:p>
      <w:pPr>
        <w:jc w:val="both"/>
        <w:ind w:right="20"/>
        <w:spacing w:after="0" w:line="38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Advance</w:t>
      </w:r>
      <w:r>
        <w:rPr>
          <w:rFonts w:ascii="Arial" w:cs="Arial" w:eastAsia="Arial" w:hAnsi="Arial"/>
          <w:sz w:val="18"/>
          <w:szCs w:val="18"/>
          <w:color w:val="auto"/>
        </w:rPr>
        <w:t>" means, as the context may require, a Tranche A Advance, a Tranche B Advance or a Tranche C Advance and "</w:t>
      </w:r>
      <w:r>
        <w:rPr>
          <w:rFonts w:ascii="Arial" w:cs="Arial" w:eastAsia="Arial" w:hAnsi="Arial"/>
          <w:sz w:val="18"/>
          <w:szCs w:val="18"/>
          <w:b w:val="1"/>
          <w:bCs w:val="1"/>
          <w:color w:val="auto"/>
        </w:rPr>
        <w:t>Term Facility Advances</w:t>
      </w:r>
      <w:r>
        <w:rPr>
          <w:rFonts w:ascii="Arial" w:cs="Arial" w:eastAsia="Arial" w:hAnsi="Arial"/>
          <w:sz w:val="18"/>
          <w:szCs w:val="18"/>
          <w:color w:val="auto"/>
        </w:rPr>
        <w:t>" shall mean each Tranche A Advance, Tranche B Advance, Tranche C Advance or any of them.</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Lender</w:t>
      </w:r>
      <w:r>
        <w:rPr>
          <w:rFonts w:ascii="Arial" w:cs="Arial" w:eastAsia="Arial" w:hAnsi="Arial"/>
          <w:sz w:val="20"/>
          <w:szCs w:val="20"/>
          <w:color w:val="auto"/>
        </w:rPr>
        <w:t>" means a Tranche A Facility Lender, a Tranche B Facility Lender or a Tranche C Facility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Finance Documents</w:t>
      </w:r>
      <w:r>
        <w:rPr>
          <w:rFonts w:ascii="Arial" w:cs="Arial" w:eastAsia="Arial" w:hAnsi="Arial"/>
          <w:sz w:val="20"/>
          <w:szCs w:val="20"/>
          <w:color w:val="auto"/>
        </w:rPr>
        <w:t>" means: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(b)the Common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(c)any other Senior Finance Document to which a Term Facility Lender is a party in its capacity as a Term Facility Lender; and</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(d)any other document designated as such by the Term Facility Agent and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Finance Parties</w:t>
      </w:r>
      <w:r>
        <w:rPr>
          <w:rFonts w:ascii="Arial" w:cs="Arial" w:eastAsia="Arial" w:hAnsi="Arial"/>
          <w:sz w:val="20"/>
          <w:szCs w:val="20"/>
          <w:color w:val="auto"/>
        </w:rPr>
        <w:t>" means the Term Facility Agent and the Term Facility Lenders.</w:t>
      </w:r>
    </w:p>
    <w:p>
      <w:pPr>
        <w:sectPr>
          <w:pgSz w:w="11900" w:h="16838" w:orient="portrait"/>
          <w:cols w:equalWidth="0" w:num="1">
            <w:col w:w="10860"/>
          </w:cols>
          <w:pgMar w:left="800" w:top="582" w:right="239" w:bottom="1440" w:gutter="0" w:footer="0" w:header="0"/>
        </w:sectPr>
      </w:pPr>
    </w:p>
    <w:bookmarkStart w:id="298" w:name="page299"/>
    <w:bookmarkEnd w:id="298"/>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Loan</w:t>
      </w:r>
      <w:r>
        <w:rPr>
          <w:rFonts w:ascii="Arial" w:cs="Arial" w:eastAsia="Arial" w:hAnsi="Arial"/>
          <w:sz w:val="20"/>
          <w:szCs w:val="20"/>
          <w:color w:val="auto"/>
        </w:rPr>
        <w:t>" means the aggregate principal amount for the time being outstanding hereunder.</w:t>
      </w:r>
    </w:p>
    <w:p>
      <w:pPr>
        <w:spacing w:after="0" w:line="229" w:lineRule="exact"/>
        <w:rPr>
          <w:sz w:val="20"/>
          <w:szCs w:val="20"/>
          <w:color w:val="auto"/>
        </w:rPr>
      </w:pPr>
    </w:p>
    <w:p>
      <w:pPr>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A Advance</w:t>
      </w:r>
      <w:r>
        <w:rPr>
          <w:rFonts w:ascii="Arial" w:cs="Arial" w:eastAsia="Arial" w:hAnsi="Arial"/>
          <w:sz w:val="19"/>
          <w:szCs w:val="19"/>
          <w:color w:val="auto"/>
        </w:rPr>
        <w:t>" means an advance (as from time to time reduced by repayment in accordance with the terms hereof or the Common Terms Agreement) made or to be made by the Tranche A Facility Lenders under the Tranche A Facility.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A Facility</w:t>
      </w:r>
      <w:r>
        <w:rPr>
          <w:rFonts w:ascii="Arial" w:cs="Arial" w:eastAsia="Arial" w:hAnsi="Arial"/>
          <w:sz w:val="19"/>
          <w:szCs w:val="19"/>
          <w:color w:val="auto"/>
        </w:rPr>
        <w:t>" means the US dollar term loan facility granted to the Company under Clause 3.1.1 (</w:t>
      </w:r>
      <w:r>
        <w:rPr>
          <w:rFonts w:ascii="Arial" w:cs="Arial" w:eastAsia="Arial" w:hAnsi="Arial"/>
          <w:sz w:val="19"/>
          <w:szCs w:val="19"/>
          <w:i w:val="1"/>
          <w:iCs w:val="1"/>
          <w:color w:val="auto"/>
        </w:rPr>
        <w:t>Tranche A Facility</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hanging="738"/>
        <w:spacing w:after="0" w:line="306" w:lineRule="auto"/>
        <w:tabs>
          <w:tab w:leader="none" w:pos="74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in relation to the Original Tranche A Facility Lender, the amount set opposite its name under the column entitled "Tranche A Commitment"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and the amount of any other Tranche A Facility Commitment transferred to it under this Agreement; and</w:t>
      </w:r>
    </w:p>
    <w:p>
      <w:pPr>
        <w:spacing w:after="0" w:line="146" w:lineRule="exact"/>
        <w:rPr>
          <w:rFonts w:ascii="Arial" w:cs="Arial" w:eastAsia="Arial" w:hAnsi="Arial"/>
          <w:sz w:val="20"/>
          <w:szCs w:val="20"/>
          <w:color w:val="auto"/>
        </w:rPr>
      </w:pPr>
    </w:p>
    <w:p>
      <w:pPr>
        <w:ind w:left="740" w:hanging="738"/>
        <w:spacing w:after="0" w:line="317" w:lineRule="auto"/>
        <w:tabs>
          <w:tab w:leader="none" w:pos="74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in relation to any other Tranche A Facility Lender, the amount of any Tranche A Facility Commitment transferred to it under this Agreement,</w:t>
      </w:r>
    </w:p>
    <w:p>
      <w:pPr>
        <w:spacing w:after="0" w:line="135"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(a)is named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as a Tranche A Facility Lender (the "</w:t>
      </w:r>
      <w:r>
        <w:rPr>
          <w:rFonts w:ascii="Arial" w:cs="Arial" w:eastAsia="Arial" w:hAnsi="Arial"/>
          <w:sz w:val="18"/>
          <w:szCs w:val="18"/>
          <w:b w:val="1"/>
          <w:bCs w:val="1"/>
          <w:color w:val="auto"/>
        </w:rPr>
        <w:t>Original Tranche A Facility Lender</w:t>
      </w:r>
      <w:r>
        <w:rPr>
          <w:rFonts w:ascii="Arial" w:cs="Arial" w:eastAsia="Arial" w:hAnsi="Arial"/>
          <w:sz w:val="18"/>
          <w:szCs w:val="18"/>
          <w:color w:val="auto"/>
        </w:rPr>
        <w:t>"); or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(b)has become party hereto as a Tranche A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23"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Advance</w:t>
      </w:r>
      <w:r>
        <w:rPr>
          <w:rFonts w:ascii="Arial" w:cs="Arial" w:eastAsia="Arial" w:hAnsi="Arial"/>
          <w:sz w:val="19"/>
          <w:szCs w:val="19"/>
          <w:color w:val="auto"/>
        </w:rPr>
        <w:t>" means an advance (as from time to time reduced by repayment in accordance with the terms hereof or the Common Terms Agreement) made or to be made by the Tranche B Facility Lenders under the Tranche B Facility.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B Facility</w:t>
      </w:r>
      <w:r>
        <w:rPr>
          <w:rFonts w:ascii="Arial" w:cs="Arial" w:eastAsia="Arial" w:hAnsi="Arial"/>
          <w:sz w:val="19"/>
          <w:szCs w:val="19"/>
          <w:color w:val="auto"/>
        </w:rPr>
        <w:t>" means the HK dollar term loan facility granted to the Company under Clause 3.1.2 (</w:t>
      </w:r>
      <w:r>
        <w:rPr>
          <w:rFonts w:ascii="Arial" w:cs="Arial" w:eastAsia="Arial" w:hAnsi="Arial"/>
          <w:sz w:val="19"/>
          <w:szCs w:val="19"/>
          <w:i w:val="1"/>
          <w:iCs w:val="1"/>
          <w:color w:val="auto"/>
        </w:rPr>
        <w:t>Tranche B Facility</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right="20" w:hanging="738"/>
        <w:spacing w:after="0" w:line="306" w:lineRule="auto"/>
        <w:tabs>
          <w:tab w:leader="none" w:pos="74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in relation to the Original Tranche B Facility Lender, the amount set opposite its name under the column entitled "Tranche B Commitment"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and the amount of any other Tranche B Facility Commitment transferred to it under this Agreement; and</w:t>
      </w:r>
    </w:p>
    <w:p>
      <w:pPr>
        <w:sectPr>
          <w:pgSz w:w="11900" w:h="16838" w:orient="portrait"/>
          <w:cols w:equalWidth="0" w:num="1">
            <w:col w:w="10860"/>
          </w:cols>
          <w:pgMar w:left="800" w:top="576" w:right="239" w:bottom="1440" w:gutter="0" w:footer="0" w:header="0"/>
        </w:sectPr>
      </w:pPr>
    </w:p>
    <w:bookmarkStart w:id="299" w:name="page300"/>
    <w:bookmarkEnd w:id="299"/>
    <w:p>
      <w:pPr>
        <w:ind w:left="740" w:hanging="738"/>
        <w:spacing w:after="0" w:line="317" w:lineRule="auto"/>
        <w:tabs>
          <w:tab w:leader="none" w:pos="740" w:val="left"/>
        </w:tabs>
        <w:numPr>
          <w:ilvl w:val="0"/>
          <w:numId w:val="422"/>
        </w:numPr>
        <w:rPr>
          <w:rFonts w:ascii="Arial" w:cs="Arial" w:eastAsia="Arial" w:hAnsi="Arial"/>
          <w:sz w:val="20"/>
          <w:szCs w:val="20"/>
          <w:color w:val="auto"/>
        </w:rPr>
      </w:pPr>
      <w:r>
        <w:rPr>
          <w:rFonts w:ascii="Arial" w:cs="Arial" w:eastAsia="Arial" w:hAnsi="Arial"/>
          <w:sz w:val="20"/>
          <w:szCs w:val="20"/>
          <w:color w:val="auto"/>
        </w:rPr>
        <w:t>in relation to any other Tranche B Facility Lender, the amount of any Tranche B Facility Commitment transferred to it under this Agreement,</w:t>
      </w:r>
    </w:p>
    <w:p>
      <w:pPr>
        <w:spacing w:after="0" w:line="135"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(a)is named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as a Tranche B Facility Lender (the "</w:t>
      </w:r>
      <w:r>
        <w:rPr>
          <w:rFonts w:ascii="Arial" w:cs="Arial" w:eastAsia="Arial" w:hAnsi="Arial"/>
          <w:sz w:val="18"/>
          <w:szCs w:val="18"/>
          <w:b w:val="1"/>
          <w:bCs w:val="1"/>
          <w:color w:val="auto"/>
        </w:rPr>
        <w:t>Original Tranche B Facility Lender</w:t>
      </w:r>
      <w:r>
        <w:rPr>
          <w:rFonts w:ascii="Arial" w:cs="Arial" w:eastAsia="Arial" w:hAnsi="Arial"/>
          <w:sz w:val="18"/>
          <w:szCs w:val="18"/>
          <w:color w:val="auto"/>
        </w:rPr>
        <w:t>"); or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(b)has become party hereto as a Tranche B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23"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Advance</w:t>
      </w:r>
      <w:r>
        <w:rPr>
          <w:rFonts w:ascii="Arial" w:cs="Arial" w:eastAsia="Arial" w:hAnsi="Arial"/>
          <w:sz w:val="19"/>
          <w:szCs w:val="19"/>
          <w:color w:val="auto"/>
        </w:rPr>
        <w:t>" means an advance (as from time to time reduced by repayment in accordance with the terms hereof or the Common Terms Agreement) made or to be made by the Tranche C Facility Lenders under the Tranche C Facility.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Facility</w:t>
      </w:r>
      <w:r>
        <w:rPr>
          <w:rFonts w:ascii="Arial" w:cs="Arial" w:eastAsia="Arial" w:hAnsi="Arial"/>
          <w:sz w:val="19"/>
          <w:szCs w:val="19"/>
          <w:color w:val="auto"/>
        </w:rPr>
        <w:t>" means the HK dollar term loan facility granted to the Company under Clause 3.1.3 (</w:t>
      </w:r>
      <w:r>
        <w:rPr>
          <w:rFonts w:ascii="Arial" w:cs="Arial" w:eastAsia="Arial" w:hAnsi="Arial"/>
          <w:sz w:val="19"/>
          <w:szCs w:val="19"/>
          <w:i w:val="1"/>
          <w:iCs w:val="1"/>
          <w:color w:val="auto"/>
        </w:rPr>
        <w:t>Tranche C Facility</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C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right="20" w:hanging="738"/>
        <w:spacing w:after="0" w:line="306" w:lineRule="auto"/>
        <w:tabs>
          <w:tab w:leader="none" w:pos="7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in relation to the Original Tranche C Facility Lender, the amount set opposite its name under the column entitled "Tranche C Commitment" in Schedule 1 (</w:t>
      </w:r>
      <w:r>
        <w:rPr>
          <w:rFonts w:ascii="Arial" w:cs="Arial" w:eastAsia="Arial" w:hAnsi="Arial"/>
          <w:sz w:val="20"/>
          <w:szCs w:val="20"/>
          <w:i w:val="1"/>
          <w:iCs w:val="1"/>
          <w:color w:val="auto"/>
        </w:rPr>
        <w:t>The Term Facility Lenders</w:t>
      </w:r>
      <w:r>
        <w:rPr>
          <w:rFonts w:ascii="Arial" w:cs="Arial" w:eastAsia="Arial" w:hAnsi="Arial"/>
          <w:sz w:val="20"/>
          <w:szCs w:val="20"/>
          <w:color w:val="auto"/>
        </w:rPr>
        <w:t>) and the amount of any other Tranche C Facility Commitment transferred to it under this Agreement; and</w:t>
      </w:r>
    </w:p>
    <w:p>
      <w:pPr>
        <w:spacing w:after="0" w:line="146" w:lineRule="exact"/>
        <w:rPr>
          <w:rFonts w:ascii="Arial" w:cs="Arial" w:eastAsia="Arial" w:hAnsi="Arial"/>
          <w:sz w:val="20"/>
          <w:szCs w:val="20"/>
          <w:color w:val="auto"/>
        </w:rPr>
      </w:pPr>
    </w:p>
    <w:p>
      <w:pPr>
        <w:ind w:left="740" w:hanging="738"/>
        <w:spacing w:after="0" w:line="317" w:lineRule="auto"/>
        <w:tabs>
          <w:tab w:leader="none" w:pos="74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in relation to any other Tranche C Facility Lender, the amount of any Tranche C Facility Commitment transferred to it under this Agreement,</w:t>
      </w:r>
    </w:p>
    <w:p>
      <w:pPr>
        <w:spacing w:after="0" w:line="135"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C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(c)is named in Schedule 1 (</w:t>
      </w:r>
      <w:r>
        <w:rPr>
          <w:rFonts w:ascii="Arial" w:cs="Arial" w:eastAsia="Arial" w:hAnsi="Arial"/>
          <w:sz w:val="18"/>
          <w:szCs w:val="18"/>
          <w:i w:val="1"/>
          <w:iCs w:val="1"/>
          <w:color w:val="auto"/>
        </w:rPr>
        <w:t>The Term Facility Lenders</w:t>
      </w:r>
      <w:r>
        <w:rPr>
          <w:rFonts w:ascii="Arial" w:cs="Arial" w:eastAsia="Arial" w:hAnsi="Arial"/>
          <w:sz w:val="18"/>
          <w:szCs w:val="18"/>
          <w:color w:val="auto"/>
        </w:rPr>
        <w:t>) as a Tranche C Facility Lender (the "</w:t>
      </w:r>
      <w:r>
        <w:rPr>
          <w:rFonts w:ascii="Arial" w:cs="Arial" w:eastAsia="Arial" w:hAnsi="Arial"/>
          <w:sz w:val="18"/>
          <w:szCs w:val="18"/>
          <w:b w:val="1"/>
          <w:bCs w:val="1"/>
          <w:color w:val="auto"/>
        </w:rPr>
        <w:t>Original Tranche C Facility Lender</w:t>
      </w:r>
      <w:r>
        <w:rPr>
          <w:rFonts w:ascii="Arial" w:cs="Arial" w:eastAsia="Arial" w:hAnsi="Arial"/>
          <w:sz w:val="18"/>
          <w:szCs w:val="18"/>
          <w:color w:val="auto"/>
        </w:rPr>
        <w:t>"); or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(d)has become party hereto as a Tranche C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ectPr>
          <w:pgSz w:w="11900" w:h="16838" w:orient="portrait"/>
          <w:cols w:equalWidth="0" w:num="1">
            <w:col w:w="10860"/>
          </w:cols>
          <w:pgMar w:left="800" w:top="582" w:right="239" w:bottom="1440" w:gutter="0" w:footer="0" w:header="0"/>
        </w:sectPr>
      </w:pPr>
    </w:p>
    <w:bookmarkStart w:id="300" w:name="page301"/>
    <w:bookmarkEnd w:id="300"/>
    <w:p>
      <w:pPr>
        <w:ind w:left="560"/>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23" w:lineRule="exact"/>
        <w:rPr>
          <w:sz w:val="20"/>
          <w:szCs w:val="20"/>
          <w:color w:val="auto"/>
        </w:rPr>
      </w:pPr>
    </w:p>
    <w:p>
      <w:pPr>
        <w:jc w:val="both"/>
        <w:ind w:left="560"/>
        <w:spacing w:after="0" w:line="3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C Facility Letter</w:t>
      </w:r>
      <w:r>
        <w:rPr>
          <w:rFonts w:ascii="Arial" w:cs="Arial" w:eastAsia="Arial" w:hAnsi="Arial"/>
          <w:sz w:val="19"/>
          <w:szCs w:val="19"/>
          <w:color w:val="auto"/>
        </w:rPr>
        <w:t>" means a letter in the Agreed Form in respect of the Tranche C Facility issued by Industrial and Commercial Bank of China (Macau) Limited in its capacity as a Tranche C Facility Lender and countersigned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Interpretation</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 this Agreement:</w:t>
      </w:r>
    </w:p>
    <w:p>
      <w:pPr>
        <w:spacing w:after="0" w:line="229"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1.3.1</w:t>
      </w:r>
      <w:r>
        <w:rPr>
          <w:rFonts w:ascii="Arial" w:cs="Arial" w:eastAsia="Arial" w:hAnsi="Arial"/>
          <w:sz w:val="19"/>
          <w:szCs w:val="19"/>
          <w:color w:val="auto"/>
        </w:rPr>
        <w:t>the principles of construction contained in clause 1.2</w:t>
      </w:r>
      <w:r>
        <w:rPr>
          <w:rFonts w:ascii="Arial" w:cs="Arial" w:eastAsia="Arial" w:hAnsi="Arial"/>
          <w:sz w:val="16"/>
          <w:szCs w:val="16"/>
          <w:color w:val="auto"/>
        </w:rPr>
        <w:t xml:space="preserve"> </w:t>
      </w:r>
      <w:r>
        <w:rPr>
          <w:rFonts w:ascii="Arial" w:cs="Arial" w:eastAsia="Arial" w:hAnsi="Arial"/>
          <w:sz w:val="19"/>
          <w:szCs w:val="19"/>
          <w:i w:val="1"/>
          <w:iCs w:val="1"/>
          <w:color w:val="auto"/>
        </w:rPr>
        <w:t>(Principles of Construction)</w:t>
      </w:r>
      <w:r>
        <w:rPr>
          <w:rFonts w:ascii="Arial" w:cs="Arial" w:eastAsia="Arial" w:hAnsi="Arial"/>
          <w:sz w:val="16"/>
          <w:szCs w:val="16"/>
          <w:color w:val="auto"/>
        </w:rPr>
        <w:t xml:space="preserve"> </w:t>
      </w:r>
      <w:r>
        <w:rPr>
          <w:rFonts w:ascii="Arial" w:cs="Arial" w:eastAsia="Arial" w:hAnsi="Arial"/>
          <w:sz w:val="19"/>
          <w:szCs w:val="19"/>
          <w:color w:val="auto"/>
        </w:rPr>
        <w:t>of the Common Terms Agreement and the rules of</w:t>
      </w:r>
      <w:r>
        <w:rPr>
          <w:rFonts w:ascii="Arial" w:cs="Arial" w:eastAsia="Arial" w:hAnsi="Arial"/>
          <w:sz w:val="16"/>
          <w:szCs w:val="16"/>
          <w:color w:val="auto"/>
        </w:rPr>
        <w:t xml:space="preserve"> </w:t>
      </w:r>
      <w:r>
        <w:rPr>
          <w:rFonts w:ascii="Arial" w:cs="Arial" w:eastAsia="Arial" w:hAnsi="Arial"/>
          <w:sz w:val="19"/>
          <w:szCs w:val="19"/>
          <w:color w:val="auto"/>
        </w:rPr>
        <w:t xml:space="preserve">interpretation contained in clause 1.3 </w:t>
      </w:r>
      <w:r>
        <w:rPr>
          <w:rFonts w:ascii="Arial" w:cs="Arial" w:eastAsia="Arial" w:hAnsi="Arial"/>
          <w:sz w:val="19"/>
          <w:szCs w:val="19"/>
          <w:i w:val="1"/>
          <w:iCs w:val="1"/>
          <w:color w:val="auto"/>
        </w:rPr>
        <w:t>(Rules of Interpretation</w:t>
      </w:r>
      <w:r>
        <w:rPr>
          <w:rFonts w:ascii="Arial" w:cs="Arial" w:eastAsia="Arial" w:hAnsi="Arial"/>
          <w:sz w:val="19"/>
          <w:szCs w:val="19"/>
          <w:color w:val="auto"/>
        </w:rPr>
        <w:t>) of the Common Terms Agreement shall apply to the construction and interpretation of this Agreement;</w:t>
      </w:r>
    </w:p>
    <w:p>
      <w:pPr>
        <w:spacing w:after="0" w:line="122" w:lineRule="exact"/>
        <w:rPr>
          <w:sz w:val="20"/>
          <w:szCs w:val="20"/>
          <w:color w:val="auto"/>
        </w:rPr>
      </w:pPr>
    </w:p>
    <w:p>
      <w:pPr>
        <w:jc w:val="both"/>
        <w:ind w:left="2120" w:hanging="1566"/>
        <w:spacing w:after="0" w:line="353" w:lineRule="auto"/>
        <w:rPr>
          <w:sz w:val="20"/>
          <w:szCs w:val="20"/>
          <w:color w:val="auto"/>
        </w:rPr>
      </w:pPr>
      <w:r>
        <w:rPr>
          <w:rFonts w:ascii="Arial" w:cs="Arial" w:eastAsia="Arial" w:hAnsi="Arial"/>
          <w:sz w:val="16"/>
          <w:szCs w:val="16"/>
          <w:color w:val="auto"/>
        </w:rPr>
        <w:t>1.3.2</w:t>
      </w:r>
      <w:r>
        <w:rPr>
          <w:rFonts w:ascii="Arial" w:cs="Arial" w:eastAsia="Arial" w:hAnsi="Arial"/>
          <w:sz w:val="19"/>
          <w:szCs w:val="19"/>
          <w:color w:val="auto"/>
        </w:rPr>
        <w:t>any reference to the "</w:t>
      </w:r>
      <w:r>
        <w:rPr>
          <w:rFonts w:ascii="Arial" w:cs="Arial" w:eastAsia="Arial" w:hAnsi="Arial"/>
          <w:sz w:val="19"/>
          <w:szCs w:val="19"/>
          <w:b w:val="1"/>
          <w:bCs w:val="1"/>
          <w:color w:val="auto"/>
        </w:rPr>
        <w:t>Term Facility Agent</w:t>
      </w:r>
      <w:r>
        <w:rPr>
          <w:rFonts w:ascii="Arial" w:cs="Arial" w:eastAsia="Arial" w:hAnsi="Arial"/>
          <w:sz w:val="19"/>
          <w:szCs w:val="19"/>
          <w:color w:val="auto"/>
        </w:rPr>
        <w:t>" or "</w:t>
      </w:r>
      <w:r>
        <w:rPr>
          <w:rFonts w:ascii="Arial" w:cs="Arial" w:eastAsia="Arial" w:hAnsi="Arial"/>
          <w:sz w:val="19"/>
          <w:szCs w:val="19"/>
          <w:b w:val="1"/>
          <w:bCs w:val="1"/>
          <w:color w:val="auto"/>
        </w:rPr>
        <w:t>Term Facility Lender</w:t>
      </w:r>
      <w:r>
        <w:rPr>
          <w:rFonts w:ascii="Arial" w:cs="Arial" w:eastAsia="Arial" w:hAnsi="Arial"/>
          <w:sz w:val="19"/>
          <w:szCs w:val="19"/>
          <w:color w:val="auto"/>
        </w:rPr>
        <w:t>" shall be construed so as to include its or their (and any</w:t>
      </w:r>
      <w:r>
        <w:rPr>
          <w:rFonts w:ascii="Arial" w:cs="Arial" w:eastAsia="Arial" w:hAnsi="Arial"/>
          <w:sz w:val="16"/>
          <w:szCs w:val="16"/>
          <w:color w:val="auto"/>
        </w:rPr>
        <w:t xml:space="preserve"> </w:t>
      </w:r>
      <w:r>
        <w:rPr>
          <w:rFonts w:ascii="Arial" w:cs="Arial" w:eastAsia="Arial" w:hAnsi="Arial"/>
          <w:sz w:val="19"/>
          <w:szCs w:val="19"/>
          <w:color w:val="auto"/>
        </w:rPr>
        <w:t>subsequent) successors and any permitted transferees in accordance with their respective interests; and</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1.3.3</w:t>
      </w:r>
      <w:r>
        <w:rPr>
          <w:rFonts w:ascii="Arial" w:cs="Arial" w:eastAsia="Arial" w:hAnsi="Arial"/>
          <w:sz w:val="19"/>
          <w:szCs w:val="19"/>
          <w:color w:val="auto"/>
        </w:rPr>
        <w:t>references in this Agreement to any Clause or Schedule shall be to a clause or schedule contained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Third Party Rights</w:t>
      </w:r>
    </w:p>
    <w:p>
      <w:pPr>
        <w:spacing w:after="0" w:line="250"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1.4.1</w:t>
      </w:r>
      <w:r>
        <w:rPr>
          <w:rFonts w:ascii="Arial" w:cs="Arial" w:eastAsia="Arial" w:hAnsi="Arial"/>
          <w:sz w:val="19"/>
          <w:szCs w:val="19"/>
          <w:color w:val="auto"/>
        </w:rPr>
        <w:t>The Contracts (Rights of Third Parties) Act 1999 applies to Clause 1.4 (</w:t>
      </w:r>
      <w:r>
        <w:rPr>
          <w:rFonts w:ascii="Arial" w:cs="Arial" w:eastAsia="Arial" w:hAnsi="Arial"/>
          <w:sz w:val="19"/>
          <w:szCs w:val="19"/>
          <w:i w:val="1"/>
          <w:iCs w:val="1"/>
          <w:color w:val="auto"/>
        </w:rPr>
        <w:t>Non-recourse Liability</w:t>
      </w:r>
      <w:r>
        <w:rPr>
          <w:rFonts w:ascii="Arial" w:cs="Arial" w:eastAsia="Arial" w:hAnsi="Arial"/>
          <w:sz w:val="19"/>
          <w:szCs w:val="19"/>
          <w:color w:val="auto"/>
        </w:rPr>
        <w:t>) but only for the benefit of the</w:t>
      </w:r>
      <w:r>
        <w:rPr>
          <w:rFonts w:ascii="Arial" w:cs="Arial" w:eastAsia="Arial" w:hAnsi="Arial"/>
          <w:sz w:val="16"/>
          <w:szCs w:val="16"/>
          <w:color w:val="auto"/>
        </w:rPr>
        <w:t xml:space="preserve"> </w:t>
      </w:r>
      <w:r>
        <w:rPr>
          <w:rFonts w:ascii="Arial" w:cs="Arial" w:eastAsia="Arial" w:hAnsi="Arial"/>
          <w:sz w:val="19"/>
          <w:szCs w:val="19"/>
          <w:color w:val="auto"/>
        </w:rPr>
        <w:t>Operatives and subject always to the terms of Clause 17 (</w:t>
      </w:r>
      <w:r>
        <w:rPr>
          <w:rFonts w:ascii="Arial" w:cs="Arial" w:eastAsia="Arial" w:hAnsi="Arial"/>
          <w:sz w:val="19"/>
          <w:szCs w:val="19"/>
          <w:i w:val="1"/>
          <w:iCs w:val="1"/>
          <w:color w:val="auto"/>
        </w:rPr>
        <w:t>Governing Law</w:t>
      </w:r>
      <w:r>
        <w:rPr>
          <w:rFonts w:ascii="Arial" w:cs="Arial" w:eastAsia="Arial" w:hAnsi="Arial"/>
          <w:sz w:val="19"/>
          <w:szCs w:val="19"/>
          <w:color w:val="auto"/>
        </w:rPr>
        <w:t>) and Clause 18 (</w:t>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1.4.2</w:t>
      </w:r>
      <w:r>
        <w:rPr>
          <w:rFonts w:ascii="Arial" w:cs="Arial" w:eastAsia="Arial" w:hAnsi="Arial"/>
          <w:sz w:val="19"/>
          <w:szCs w:val="19"/>
          <w:color w:val="auto"/>
        </w:rPr>
        <w:t>Except as provided in sub-clause 1.3.1 above, a Person who is not a party to this Agreement has no right under the Contracts (Rights</w:t>
      </w:r>
      <w:r>
        <w:rPr>
          <w:rFonts w:ascii="Arial" w:cs="Arial" w:eastAsia="Arial" w:hAnsi="Arial"/>
          <w:sz w:val="16"/>
          <w:szCs w:val="16"/>
          <w:color w:val="auto"/>
        </w:rPr>
        <w:t xml:space="preserve"> </w:t>
      </w:r>
      <w:r>
        <w:rPr>
          <w:rFonts w:ascii="Arial" w:cs="Arial" w:eastAsia="Arial" w:hAnsi="Arial"/>
          <w:sz w:val="19"/>
          <w:szCs w:val="19"/>
          <w:color w:val="auto"/>
        </w:rPr>
        <w:t>of Third Parties) Act 1999 to enforce or to enjoy the benefit of any term of this Agreement.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1.4.3</w:t>
      </w:r>
      <w:r>
        <w:rPr>
          <w:rFonts w:ascii="Arial" w:cs="Arial" w:eastAsia="Arial" w:hAnsi="Arial"/>
          <w:sz w:val="19"/>
          <w:szCs w:val="19"/>
          <w:color w:val="auto"/>
        </w:rPr>
        <w:t>Save as provided by the Common Terms Agreement, the consent of any Person who is not a party to this Agreement is not required</w:t>
      </w:r>
      <w:r>
        <w:rPr>
          <w:rFonts w:ascii="Arial" w:cs="Arial" w:eastAsia="Arial" w:hAnsi="Arial"/>
          <w:sz w:val="16"/>
          <w:szCs w:val="16"/>
          <w:color w:val="auto"/>
        </w:rPr>
        <w:t xml:space="preserve"> </w:t>
      </w:r>
      <w:r>
        <w:rPr>
          <w:rFonts w:ascii="Arial" w:cs="Arial" w:eastAsia="Arial" w:hAnsi="Arial"/>
          <w:sz w:val="19"/>
          <w:szCs w:val="19"/>
          <w:color w:val="auto"/>
        </w:rPr>
        <w:t>to rescind or vary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b w:val="1"/>
          <w:bCs w:val="1"/>
          <w:color w:val="auto"/>
        </w:rPr>
        <w:t>Non-recourse Liability</w:t>
      </w:r>
    </w:p>
    <w:p>
      <w:pPr>
        <w:spacing w:after="0" w:line="250" w:lineRule="exact"/>
        <w:rPr>
          <w:sz w:val="20"/>
          <w:szCs w:val="20"/>
          <w:color w:val="auto"/>
        </w:rPr>
      </w:pPr>
    </w:p>
    <w:p>
      <w:pPr>
        <w:jc w:val="both"/>
        <w:ind w:left="560"/>
        <w:spacing w:after="0" w:line="337" w:lineRule="auto"/>
        <w:rPr>
          <w:sz w:val="20"/>
          <w:szCs w:val="20"/>
          <w:color w:val="auto"/>
        </w:rPr>
      </w:pPr>
      <w:r>
        <w:rPr>
          <w:rFonts w:ascii="Arial" w:cs="Arial" w:eastAsia="Arial" w:hAnsi="Arial"/>
          <w:sz w:val="18"/>
          <w:szCs w:val="18"/>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Term Facility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ectPr>
          <w:pgSz w:w="11900" w:h="16838" w:orient="portrait"/>
          <w:cols w:equalWidth="0" w:num="1">
            <w:col w:w="11420"/>
          </w:cols>
          <w:pgMar w:left="240" w:top="582" w:right="239" w:bottom="1440" w:gutter="0" w:footer="0" w:header="0"/>
        </w:sectPr>
      </w:pPr>
    </w:p>
    <w:bookmarkStart w:id="301" w:name="page302"/>
    <w:bookmarkEnd w:id="301"/>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18"/>
          <w:szCs w:val="18"/>
          <w:b w:val="1"/>
          <w:bCs w:val="1"/>
          <w:color w:val="auto"/>
        </w:rPr>
        <w:t>COMMON TERMS AGREEMENT</w:t>
      </w:r>
    </w:p>
    <w:p>
      <w:pPr>
        <w:spacing w:after="0" w:line="135" w:lineRule="exact"/>
        <w:rPr>
          <w:sz w:val="20"/>
          <w:szCs w:val="20"/>
          <w:color w:val="auto"/>
        </w:rPr>
      </w:pPr>
    </w:p>
    <w:p>
      <w:pPr>
        <w:jc w:val="both"/>
        <w:ind w:left="560"/>
        <w:spacing w:after="0" w:line="329" w:lineRule="auto"/>
        <w:rPr>
          <w:sz w:val="20"/>
          <w:szCs w:val="20"/>
          <w:color w:val="auto"/>
        </w:rPr>
      </w:pPr>
      <w:r>
        <w:rPr>
          <w:rFonts w:ascii="Arial" w:cs="Arial" w:eastAsia="Arial" w:hAnsi="Arial"/>
          <w:sz w:val="19"/>
          <w:szCs w:val="19"/>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18"/>
          <w:szCs w:val="18"/>
          <w:b w:val="1"/>
          <w:bCs w:val="1"/>
          <w:color w:val="auto"/>
        </w:rPr>
        <w:t>THE TERM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Grant of the Term Facilities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3.1.4</w:t>
      </w:r>
      <w:r>
        <w:rPr>
          <w:rFonts w:ascii="Arial" w:cs="Arial" w:eastAsia="Arial" w:hAnsi="Arial"/>
          <w:sz w:val="19"/>
          <w:szCs w:val="19"/>
          <w:b w:val="1"/>
          <w:bCs w:val="1"/>
          <w:i w:val="1"/>
          <w:iCs w:val="1"/>
          <w:color w:val="auto"/>
        </w:rPr>
        <w:t>Tranche A Facility</w:t>
      </w:r>
    </w:p>
    <w:p>
      <w:pPr>
        <w:spacing w:after="0" w:line="241" w:lineRule="exact"/>
        <w:rPr>
          <w:sz w:val="20"/>
          <w:szCs w:val="20"/>
          <w:color w:val="auto"/>
        </w:rPr>
      </w:pPr>
    </w:p>
    <w:p>
      <w:pPr>
        <w:ind w:left="1280" w:right="20"/>
        <w:spacing w:after="0" w:line="317" w:lineRule="auto"/>
        <w:rPr>
          <w:sz w:val="20"/>
          <w:szCs w:val="20"/>
          <w:color w:val="auto"/>
        </w:rPr>
      </w:pPr>
      <w:r>
        <w:rPr>
          <w:rFonts w:ascii="Arial" w:cs="Arial" w:eastAsia="Arial" w:hAnsi="Arial"/>
          <w:sz w:val="20"/>
          <w:szCs w:val="20"/>
          <w:color w:val="auto"/>
        </w:rPr>
        <w:t>The Tranche A Facility Lenders grant to the Company, upon the terms and subject to the conditions hereof, a US dollar term loan facility in an aggregate amount of USD1,305,000,000.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3.1.5</w:t>
      </w:r>
      <w:r>
        <w:rPr>
          <w:rFonts w:ascii="Arial" w:cs="Arial" w:eastAsia="Arial" w:hAnsi="Arial"/>
          <w:sz w:val="19"/>
          <w:szCs w:val="19"/>
          <w:b w:val="1"/>
          <w:bCs w:val="1"/>
          <w:i w:val="1"/>
          <w:iCs w:val="1"/>
          <w:color w:val="auto"/>
        </w:rPr>
        <w:t>Tranche B Facility</w:t>
      </w:r>
    </w:p>
    <w:p>
      <w:pPr>
        <w:spacing w:after="0" w:line="241" w:lineRule="exact"/>
        <w:rPr>
          <w:sz w:val="20"/>
          <w:szCs w:val="20"/>
          <w:color w:val="auto"/>
        </w:rPr>
      </w:pPr>
    </w:p>
    <w:p>
      <w:pPr>
        <w:ind w:left="1280"/>
        <w:spacing w:after="0" w:line="317" w:lineRule="auto"/>
        <w:rPr>
          <w:sz w:val="20"/>
          <w:szCs w:val="20"/>
          <w:color w:val="auto"/>
        </w:rPr>
      </w:pPr>
      <w:r>
        <w:rPr>
          <w:rFonts w:ascii="Arial" w:cs="Arial" w:eastAsia="Arial" w:hAnsi="Arial"/>
          <w:sz w:val="20"/>
          <w:szCs w:val="20"/>
          <w:color w:val="auto"/>
        </w:rPr>
        <w:t>The Tranche B Facility Lenders grant to the Company, upon the terms and subject to the conditions hereof, a HK dollar term loan facility in an aggregate amount of HKD6,208,800,000.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3.1.6</w:t>
      </w:r>
      <w:r>
        <w:rPr>
          <w:rFonts w:ascii="Arial" w:cs="Arial" w:eastAsia="Arial" w:hAnsi="Arial"/>
          <w:sz w:val="19"/>
          <w:szCs w:val="19"/>
          <w:b w:val="1"/>
          <w:bCs w:val="1"/>
          <w:i w:val="1"/>
          <w:iCs w:val="1"/>
          <w:color w:val="auto"/>
        </w:rPr>
        <w:t>Tranche C Facility</w:t>
      </w:r>
    </w:p>
    <w:p>
      <w:pPr>
        <w:spacing w:after="0" w:line="241" w:lineRule="exact"/>
        <w:rPr>
          <w:sz w:val="20"/>
          <w:szCs w:val="20"/>
          <w:color w:val="auto"/>
        </w:rPr>
      </w:pPr>
    </w:p>
    <w:p>
      <w:pPr>
        <w:ind w:left="1280"/>
        <w:spacing w:after="0" w:line="317" w:lineRule="auto"/>
        <w:rPr>
          <w:sz w:val="20"/>
          <w:szCs w:val="20"/>
          <w:color w:val="auto"/>
        </w:rPr>
      </w:pPr>
      <w:r>
        <w:rPr>
          <w:rFonts w:ascii="Arial" w:cs="Arial" w:eastAsia="Arial" w:hAnsi="Arial"/>
          <w:sz w:val="20"/>
          <w:szCs w:val="20"/>
          <w:color w:val="auto"/>
        </w:rPr>
        <w:t>The Tranche C Facility Lenders grant to the Company, upon the terms and subject to the conditions hereof, a HK dollar term loan facility in an aggregate amount of HKD1,560,000,000.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18"/>
          <w:szCs w:val="18"/>
          <w:b w:val="1"/>
          <w:bCs w:val="1"/>
          <w:color w:val="auto"/>
        </w:rPr>
        <w:t>PURPOSE</w:t>
      </w:r>
    </w:p>
    <w:p>
      <w:pPr>
        <w:spacing w:after="0" w:line="135"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4.1.4</w:t>
      </w:r>
      <w:r>
        <w:rPr>
          <w:rFonts w:ascii="Arial" w:cs="Arial" w:eastAsia="Arial" w:hAnsi="Arial"/>
          <w:sz w:val="19"/>
          <w:szCs w:val="19"/>
          <w:color w:val="auto"/>
        </w:rPr>
        <w:t>Subject to Clause 4.1.2, the Company shall apply all amounts borrowed by it under the Term Facility to pay for the refinancing of</w:t>
      </w:r>
      <w:r>
        <w:rPr>
          <w:rFonts w:ascii="Arial" w:cs="Arial" w:eastAsia="Arial" w:hAnsi="Arial"/>
          <w:sz w:val="16"/>
          <w:szCs w:val="16"/>
          <w:color w:val="auto"/>
        </w:rPr>
        <w:t xml:space="preserve"> </w:t>
      </w:r>
      <w:r>
        <w:rPr>
          <w:rFonts w:ascii="Arial" w:cs="Arial" w:eastAsia="Arial" w:hAnsi="Arial"/>
          <w:sz w:val="19"/>
          <w:szCs w:val="19"/>
          <w:color w:val="auto"/>
        </w:rPr>
        <w:t>existing indebtedness of the Company, the design, development and construction of the Cotai Project and for the general corporate purposes of the Group (including investment in Excluded Subsidiaries, Excluded Projects or Resort Management Agreements).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4.1.5</w:t>
      </w:r>
      <w:r>
        <w:rPr>
          <w:rFonts w:ascii="Arial" w:cs="Arial" w:eastAsia="Arial" w:hAnsi="Arial"/>
          <w:sz w:val="19"/>
          <w:szCs w:val="19"/>
          <w:color w:val="auto"/>
        </w:rPr>
        <w:t>The Company shall deposit (on the Fifth Amendment Effective Date) into:</w:t>
      </w:r>
    </w:p>
    <w:p>
      <w:pPr>
        <w:spacing w:after="0" w:line="241" w:lineRule="exact"/>
        <w:rPr>
          <w:sz w:val="20"/>
          <w:szCs w:val="20"/>
          <w:color w:val="auto"/>
        </w:rPr>
      </w:pPr>
    </w:p>
    <w:p>
      <w:pPr>
        <w:jc w:val="both"/>
        <w:ind w:left="3140" w:hanging="1876"/>
        <w:spacing w:after="0" w:line="346" w:lineRule="auto"/>
        <w:rPr>
          <w:sz w:val="20"/>
          <w:szCs w:val="20"/>
          <w:color w:val="auto"/>
        </w:rPr>
      </w:pPr>
      <w:r>
        <w:rPr>
          <w:rFonts w:ascii="Arial" w:cs="Arial" w:eastAsia="Arial" w:hAnsi="Arial"/>
          <w:sz w:val="18"/>
          <w:szCs w:val="18"/>
          <w:color w:val="auto"/>
        </w:rPr>
        <w:t>(a)</w:t>
      </w:r>
      <w:r>
        <w:rPr>
          <w:rFonts w:ascii="Arial" w:cs="Arial" w:eastAsia="Arial" w:hAnsi="Arial"/>
          <w:sz w:val="19"/>
          <w:szCs w:val="19"/>
          <w:color w:val="auto"/>
        </w:rPr>
        <w:t>one or more Development Accounts denominated in HKD, sufficient HKD amounts borrowed by it under the Term Facility;</w:t>
      </w:r>
      <w:r>
        <w:rPr>
          <w:rFonts w:ascii="Arial" w:cs="Arial" w:eastAsia="Arial" w:hAnsi="Arial"/>
          <w:sz w:val="18"/>
          <w:szCs w:val="18"/>
          <w:color w:val="auto"/>
        </w:rPr>
        <w:t xml:space="preserve"> </w:t>
      </w:r>
      <w:r>
        <w:rPr>
          <w:rFonts w:ascii="Arial" w:cs="Arial" w:eastAsia="Arial" w:hAnsi="Arial"/>
          <w:sz w:val="19"/>
          <w:szCs w:val="19"/>
          <w:color w:val="auto"/>
        </w:rPr>
        <w:t>and</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one or more Development Accounts denominated in USD, sufficient USD amounts borrowed by it under the Term Facility,</w:t>
      </w:r>
    </w:p>
    <w:p>
      <w:pPr>
        <w:spacing w:after="0" w:line="252" w:lineRule="exact"/>
        <w:rPr>
          <w:sz w:val="20"/>
          <w:szCs w:val="20"/>
          <w:color w:val="auto"/>
        </w:rPr>
      </w:pPr>
    </w:p>
    <w:p>
      <w:pPr>
        <w:jc w:val="both"/>
        <w:ind w:left="1280"/>
        <w:spacing w:after="0" w:line="337" w:lineRule="auto"/>
        <w:rPr>
          <w:sz w:val="20"/>
          <w:szCs w:val="20"/>
          <w:color w:val="auto"/>
        </w:rPr>
      </w:pPr>
      <w:r>
        <w:rPr>
          <w:rFonts w:ascii="Arial" w:cs="Arial" w:eastAsia="Arial" w:hAnsi="Arial"/>
          <w:sz w:val="18"/>
          <w:szCs w:val="18"/>
          <w:color w:val="auto"/>
        </w:rPr>
        <w:t>such that, when the amounts referred to in paragraphs (a) and (b) of this Clause 4.1.2 are aggregated, they are equal to the Term Facility Portion (as defined in clause 3.3 (</w:t>
      </w:r>
      <w:r>
        <w:rPr>
          <w:rFonts w:ascii="Arial" w:cs="Arial" w:eastAsia="Arial" w:hAnsi="Arial"/>
          <w:sz w:val="18"/>
          <w:szCs w:val="18"/>
          <w:i w:val="1"/>
          <w:iCs w:val="1"/>
          <w:color w:val="auto"/>
        </w:rPr>
        <w:t>Funding of Development Account from Revolving Credit Facility and the Term</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of the Common Terms Agreement and the Company shall only apply amounts withdrawn from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Accounts from time to time to finance or refinance costs incurred or funds expended on the development of the Cotai Project (including, without limitation, cost and expenses related to design, development, land acquisition, construction, site preparation, equipping, pre-opening expenses and capitalized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avoidance of doubt, the Company shall be entitled to transfer funds from one Development Account to another Development Account.</w:t>
      </w:r>
    </w:p>
    <w:p>
      <w:pPr>
        <w:spacing w:after="0" w:line="126" w:lineRule="exact"/>
        <w:rPr>
          <w:sz w:val="20"/>
          <w:szCs w:val="20"/>
          <w:color w:val="auto"/>
        </w:rPr>
      </w:pPr>
    </w:p>
    <w:p>
      <w:pPr>
        <w:jc w:val="both"/>
        <w:ind w:left="2120" w:hanging="1566"/>
        <w:spacing w:after="0" w:line="314" w:lineRule="auto"/>
        <w:rPr>
          <w:rFonts w:ascii="Arial" w:cs="Arial" w:eastAsia="Arial" w:hAnsi="Arial"/>
          <w:sz w:val="19"/>
          <w:szCs w:val="19"/>
          <w:color w:val="auto"/>
        </w:rPr>
      </w:pPr>
      <w:r>
        <w:rPr>
          <w:rFonts w:ascii="Arial" w:cs="Arial" w:eastAsia="Arial" w:hAnsi="Arial"/>
          <w:sz w:val="16"/>
          <w:szCs w:val="16"/>
          <w:color w:val="auto"/>
        </w:rPr>
        <w:t>4.1.6</w:t>
      </w:r>
      <w:r>
        <w:rPr>
          <w:rFonts w:ascii="Arial" w:cs="Arial" w:eastAsia="Arial" w:hAnsi="Arial"/>
          <w:sz w:val="19"/>
          <w:szCs w:val="19"/>
          <w:color w:val="auto"/>
        </w:rPr>
        <w:t>It shall be a condition to the Company making the first withdrawal from a Development Account (other than a withdrawal for the</w:t>
      </w:r>
      <w:r>
        <w:rPr>
          <w:rFonts w:ascii="Arial" w:cs="Arial" w:eastAsia="Arial" w:hAnsi="Arial"/>
          <w:sz w:val="16"/>
          <w:szCs w:val="16"/>
          <w:color w:val="auto"/>
        </w:rPr>
        <w:t xml:space="preserve"> </w:t>
      </w:r>
      <w:r>
        <w:rPr>
          <w:rFonts w:ascii="Arial" w:cs="Arial" w:eastAsia="Arial" w:hAnsi="Arial"/>
          <w:sz w:val="19"/>
          <w:szCs w:val="19"/>
          <w:color w:val="auto"/>
        </w:rPr>
        <w:t xml:space="preserve">transfer of funds to another Development Account) and to making subsequent withdrawals from any Development Account (other than a withdrawal for the transfer of funds to another Development Account), that the Company shall (immediately prior to making the first such withdrawal and subsequently, for so long as there are any amounts standing to the credit of any Development Account, on the first Business Day in each calendar month thereafter) certify in writing to the Intercreditor Agent and the Term Facility Agent that it (and/or Palo, as the case may be) has incurred costs or expended funds on the development of the Cotai Project (or will immediately upon the making of such withdrawal, have expended funds on the development of the Cotai Project) in an amount at least equal to the aggregate amount of all withdrawals from the Development Accounts (excluding withdrawals for the transfer of funds to another Development Account). For the purposes of this Clause </w:t>
      </w:r>
      <w:hyperlink w:anchor="page302">
        <w:r>
          <w:rPr>
            <w:rFonts w:ascii="Arial" w:cs="Arial" w:eastAsia="Arial" w:hAnsi="Arial"/>
            <w:sz w:val="19"/>
            <w:szCs w:val="19"/>
            <w:u w:val="single" w:color="auto"/>
            <w:color w:val="0000EE"/>
          </w:rPr>
          <w:t>4.1.3</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costs incurred or funds expended on the development of the Cotai Project include, but are not limited to, costs and expenses related to design, development, land acquisition, construction, site preparation, equipping, pre-opening expenses and capitalized interest.</w:t>
      </w:r>
    </w:p>
    <w:p>
      <w:pPr>
        <w:spacing w:after="0" w:line="146" w:lineRule="exact"/>
        <w:rPr>
          <w:sz w:val="20"/>
          <w:szCs w:val="20"/>
          <w:color w:val="auto"/>
        </w:rPr>
      </w:pPr>
    </w:p>
    <w:p>
      <w:pPr>
        <w:jc w:val="both"/>
        <w:ind w:left="2120" w:hanging="1566"/>
        <w:spacing w:after="0" w:line="379" w:lineRule="auto"/>
        <w:rPr>
          <w:sz w:val="20"/>
          <w:szCs w:val="20"/>
          <w:color w:val="auto"/>
        </w:rPr>
      </w:pPr>
      <w:r>
        <w:rPr>
          <w:rFonts w:ascii="Arial" w:cs="Arial" w:eastAsia="Arial" w:hAnsi="Arial"/>
          <w:sz w:val="15"/>
          <w:szCs w:val="15"/>
          <w:color w:val="auto"/>
        </w:rPr>
        <w:t>4.1.7</w:t>
      </w:r>
      <w:r>
        <w:rPr>
          <w:rFonts w:ascii="Arial" w:cs="Arial" w:eastAsia="Arial" w:hAnsi="Arial"/>
          <w:sz w:val="18"/>
          <w:szCs w:val="18"/>
          <w:color w:val="auto"/>
        </w:rPr>
        <w:t>The Company shall notify the Intercreditor Agent and the Term Facility Agent of the details of each Development Account</w:t>
      </w:r>
      <w:r>
        <w:rPr>
          <w:rFonts w:ascii="Arial" w:cs="Arial" w:eastAsia="Arial" w:hAnsi="Arial"/>
          <w:sz w:val="15"/>
          <w:szCs w:val="15"/>
          <w:color w:val="auto"/>
        </w:rPr>
        <w:t xml:space="preserve"> </w:t>
      </w:r>
      <w:r>
        <w:rPr>
          <w:rFonts w:ascii="Arial" w:cs="Arial" w:eastAsia="Arial" w:hAnsi="Arial"/>
          <w:sz w:val="18"/>
          <w:szCs w:val="18"/>
          <w:color w:val="auto"/>
        </w:rPr>
        <w:t>(including the bank with which such Development Account is held, in which currency such Development Account is</w:t>
      </w:r>
    </w:p>
    <w:p>
      <w:pPr>
        <w:sectPr>
          <w:pgSz w:w="11900" w:h="16846" w:orient="portrait"/>
          <w:cols w:equalWidth="0" w:num="1">
            <w:col w:w="11420"/>
          </w:cols>
          <w:pgMar w:left="240" w:top="663" w:right="239" w:bottom="0" w:gutter="0" w:footer="0" w:header="0"/>
        </w:sectPr>
      </w:pPr>
    </w:p>
    <w:bookmarkStart w:id="302" w:name="page303"/>
    <w:bookmarkEnd w:id="302"/>
    <w:p>
      <w:pPr>
        <w:ind w:left="2120"/>
        <w:spacing w:after="0" w:line="317" w:lineRule="auto"/>
        <w:rPr>
          <w:sz w:val="20"/>
          <w:szCs w:val="20"/>
          <w:color w:val="auto"/>
        </w:rPr>
      </w:pPr>
      <w:r>
        <w:rPr>
          <w:rFonts w:ascii="Arial" w:cs="Arial" w:eastAsia="Arial" w:hAnsi="Arial"/>
          <w:sz w:val="20"/>
          <w:szCs w:val="20"/>
          <w:color w:val="auto"/>
        </w:rPr>
        <w:t>denominated and the balance from time to time) promptly upon the opening of any such Development Account and from time to time upon request of the Intercreditor Agent and the Term Facility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18"/>
          <w:szCs w:val="18"/>
          <w:b w:val="1"/>
          <w:bCs w:val="1"/>
          <w:color w:val="auto"/>
        </w:rPr>
        <w:t>CONDITIONS PRECEDENT</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2 (</w:t>
      </w:r>
      <w:r>
        <w:rPr>
          <w:rFonts w:ascii="Arial" w:cs="Arial" w:eastAsia="Arial" w:hAnsi="Arial"/>
          <w:sz w:val="20"/>
          <w:szCs w:val="20"/>
          <w:i w:val="1"/>
          <w:iCs w:val="1"/>
          <w:color w:val="auto"/>
        </w:rPr>
        <w:t>Conditions Precedent</w:t>
      </w:r>
      <w:r>
        <w:rPr>
          <w:rFonts w:ascii="Arial" w:cs="Arial" w:eastAsia="Arial" w:hAnsi="Arial"/>
          <w:sz w:val="20"/>
          <w:szCs w:val="20"/>
          <w:color w:val="auto"/>
        </w:rPr>
        <w:t>) of the Common Terms Agreement are incorporated by reference herein as if the same were set out in full herein.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18"/>
          <w:szCs w:val="18"/>
          <w:b w:val="1"/>
          <w:bCs w:val="1"/>
          <w:color w:val="auto"/>
        </w:rPr>
        <w:t>AVAILABILITY OF THE TERM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auto"/>
        </w:rPr>
        <w:t>Drawdown of Advances</w:t>
      </w:r>
    </w:p>
    <w:p>
      <w:pPr>
        <w:spacing w:after="0" w:line="250" w:lineRule="exact"/>
        <w:rPr>
          <w:sz w:val="20"/>
          <w:szCs w:val="20"/>
          <w:color w:val="auto"/>
        </w:rPr>
      </w:pPr>
    </w:p>
    <w:p>
      <w:pPr>
        <w:ind w:left="660"/>
        <w:spacing w:after="0" w:line="317" w:lineRule="auto"/>
        <w:rPr>
          <w:sz w:val="20"/>
          <w:szCs w:val="20"/>
          <w:color w:val="auto"/>
        </w:rPr>
      </w:pPr>
      <w:r>
        <w:rPr>
          <w:rFonts w:ascii="Arial" w:cs="Arial" w:eastAsia="Arial" w:hAnsi="Arial"/>
          <w:sz w:val="20"/>
          <w:szCs w:val="20"/>
          <w:color w:val="auto"/>
        </w:rPr>
        <w:t>The provisions of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and clause 4.1 (</w:t>
      </w:r>
      <w:r>
        <w:rPr>
          <w:rFonts w:ascii="Arial" w:cs="Arial" w:eastAsia="Arial" w:hAnsi="Arial"/>
          <w:sz w:val="20"/>
          <w:szCs w:val="20"/>
          <w:i w:val="1"/>
          <w:iCs w:val="1"/>
          <w:color w:val="auto"/>
        </w:rPr>
        <w:t>Term Facility Availability Period</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b w:val="1"/>
          <w:bCs w:val="1"/>
          <w:color w:val="auto"/>
        </w:rPr>
        <w:t>Each Term Facility Lender's Participation</w:t>
      </w:r>
    </w:p>
    <w:p>
      <w:pPr>
        <w:spacing w:after="0" w:line="250"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6.2.1</w:t>
      </w:r>
      <w:r>
        <w:rPr>
          <w:rFonts w:ascii="Arial" w:cs="Arial" w:eastAsia="Arial" w:hAnsi="Arial"/>
          <w:sz w:val="19"/>
          <w:szCs w:val="19"/>
          <w:color w:val="auto"/>
        </w:rPr>
        <w:t>It is acknowledged and agreed that, as at the Fifth Amendment Effective Date, the Existing Advances have been made and are</w:t>
      </w:r>
      <w:r>
        <w:rPr>
          <w:rFonts w:ascii="Arial" w:cs="Arial" w:eastAsia="Arial" w:hAnsi="Arial"/>
          <w:sz w:val="16"/>
          <w:szCs w:val="16"/>
          <w:color w:val="auto"/>
        </w:rPr>
        <w:t xml:space="preserve"> </w:t>
      </w:r>
      <w:r>
        <w:rPr>
          <w:rFonts w:ascii="Arial" w:cs="Arial" w:eastAsia="Arial" w:hAnsi="Arial"/>
          <w:sz w:val="19"/>
          <w:szCs w:val="19"/>
          <w:color w:val="auto"/>
        </w:rPr>
        <w:t>outstanding hereunder.</w:t>
      </w:r>
    </w:p>
    <w:p>
      <w:pPr>
        <w:spacing w:after="0" w:line="113"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6.2.2</w:t>
      </w:r>
      <w:r>
        <w:rPr>
          <w:rFonts w:ascii="Arial" w:cs="Arial" w:eastAsia="Arial" w:hAnsi="Arial"/>
          <w:sz w:val="19"/>
          <w:szCs w:val="19"/>
          <w:color w:val="auto"/>
        </w:rPr>
        <w:t>Each Tranche A Facility Lender will participate through its Facility Office in each Tranche A Advance made pursuant to Clause 6.1</w:t>
      </w:r>
      <w:r>
        <w:rPr>
          <w:rFonts w:ascii="Arial" w:cs="Arial" w:eastAsia="Arial" w:hAnsi="Arial"/>
          <w:sz w:val="16"/>
          <w:szCs w:val="16"/>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Drawdown of Advances</w:t>
      </w:r>
      <w:r>
        <w:rPr>
          <w:rFonts w:ascii="Arial" w:cs="Arial" w:eastAsia="Arial" w:hAnsi="Arial"/>
          <w:sz w:val="19"/>
          <w:szCs w:val="19"/>
          <w:color w:val="auto"/>
        </w:rPr>
        <w:t>) in the proportion borne by its Available Tranche A Commitment to the Available Tranche A Facility immediately prior to the making of that Tranche A Advance.</w:t>
      </w:r>
    </w:p>
    <w:p>
      <w:pPr>
        <w:spacing w:after="0" w:line="128"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6.2.3</w:t>
      </w:r>
      <w:r>
        <w:rPr>
          <w:rFonts w:ascii="Arial" w:cs="Arial" w:eastAsia="Arial" w:hAnsi="Arial"/>
          <w:sz w:val="19"/>
          <w:szCs w:val="19"/>
          <w:color w:val="auto"/>
        </w:rPr>
        <w:t>Each Tranche B Facility Lender will participate through its Facility Office in each Tranche B Advance made pursuant to Clause 6.1</w:t>
      </w:r>
      <w:r>
        <w:rPr>
          <w:rFonts w:ascii="Arial" w:cs="Arial" w:eastAsia="Arial" w:hAnsi="Arial"/>
          <w:sz w:val="16"/>
          <w:szCs w:val="16"/>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Drawdown of Advances</w:t>
      </w:r>
      <w:r>
        <w:rPr>
          <w:rFonts w:ascii="Arial" w:cs="Arial" w:eastAsia="Arial" w:hAnsi="Arial"/>
          <w:sz w:val="19"/>
          <w:szCs w:val="19"/>
          <w:color w:val="auto"/>
        </w:rPr>
        <w:t>) in the proportion borne by its Available Tranche B Commitment to the Available Tranche B Facility immediately prior to the making of that Tranche B Advance.</w:t>
      </w:r>
    </w:p>
    <w:p>
      <w:pPr>
        <w:spacing w:after="0" w:line="128" w:lineRule="exact"/>
        <w:rPr>
          <w:sz w:val="20"/>
          <w:szCs w:val="20"/>
          <w:color w:val="auto"/>
        </w:rPr>
      </w:pPr>
    </w:p>
    <w:p>
      <w:pPr>
        <w:jc w:val="both"/>
        <w:ind w:left="2120" w:hanging="1566"/>
        <w:spacing w:after="0" w:line="354" w:lineRule="auto"/>
        <w:rPr>
          <w:sz w:val="20"/>
          <w:szCs w:val="20"/>
          <w:color w:val="auto"/>
        </w:rPr>
      </w:pPr>
      <w:r>
        <w:rPr>
          <w:rFonts w:ascii="Arial" w:cs="Arial" w:eastAsia="Arial" w:hAnsi="Arial"/>
          <w:sz w:val="15"/>
          <w:szCs w:val="15"/>
          <w:color w:val="auto"/>
        </w:rPr>
        <w:t>6.2.4</w:t>
      </w:r>
      <w:r>
        <w:rPr>
          <w:rFonts w:ascii="Arial" w:cs="Arial" w:eastAsia="Arial" w:hAnsi="Arial"/>
          <w:sz w:val="18"/>
          <w:szCs w:val="18"/>
          <w:color w:val="auto"/>
        </w:rPr>
        <w:t>Subject to Clause 6.2.5 below, each Tranche C Facility Lender will participate through its Facility Office in each Tranche C</w:t>
      </w:r>
      <w:r>
        <w:rPr>
          <w:rFonts w:ascii="Arial" w:cs="Arial" w:eastAsia="Arial" w:hAnsi="Arial"/>
          <w:sz w:val="15"/>
          <w:szCs w:val="15"/>
          <w:color w:val="auto"/>
        </w:rPr>
        <w:t xml:space="preserve"> </w:t>
      </w:r>
      <w:r>
        <w:rPr>
          <w:rFonts w:ascii="Arial" w:cs="Arial" w:eastAsia="Arial" w:hAnsi="Arial"/>
          <w:sz w:val="18"/>
          <w:szCs w:val="18"/>
          <w:color w:val="auto"/>
        </w:rPr>
        <w:t>Advance made pursuant to Clause 6.1 (</w:t>
      </w:r>
      <w:r>
        <w:rPr>
          <w:rFonts w:ascii="Arial" w:cs="Arial" w:eastAsia="Arial" w:hAnsi="Arial"/>
          <w:sz w:val="18"/>
          <w:szCs w:val="18"/>
          <w:i w:val="1"/>
          <w:iCs w:val="1"/>
          <w:color w:val="auto"/>
        </w:rPr>
        <w:t>Drawdown of Advances</w:t>
      </w:r>
      <w:r>
        <w:rPr>
          <w:rFonts w:ascii="Arial" w:cs="Arial" w:eastAsia="Arial" w:hAnsi="Arial"/>
          <w:sz w:val="18"/>
          <w:szCs w:val="18"/>
          <w:color w:val="auto"/>
        </w:rPr>
        <w:t>) in the proportion borne by its Available Tranche C Commitment to the Available Tranche C Facility immediately prior to the making of that Tranche C Advance.</w:t>
      </w:r>
    </w:p>
    <w:p>
      <w:pPr>
        <w:spacing w:after="0" w:line="110"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6.2.5</w:t>
      </w:r>
      <w:r>
        <w:rPr>
          <w:rFonts w:ascii="Arial" w:cs="Arial" w:eastAsia="Arial" w:hAnsi="Arial"/>
          <w:sz w:val="19"/>
          <w:szCs w:val="19"/>
          <w:color w:val="auto"/>
        </w:rPr>
        <w:t>For so long as Industrial and Commercial Bank of China (Macau) Limited is a (or the sole) Tranche C Facility Lender, such Tranche</w:t>
      </w:r>
      <w:r>
        <w:rPr>
          <w:rFonts w:ascii="Arial" w:cs="Arial" w:eastAsia="Arial" w:hAnsi="Arial"/>
          <w:sz w:val="16"/>
          <w:szCs w:val="16"/>
          <w:color w:val="auto"/>
        </w:rPr>
        <w:t xml:space="preserve"> </w:t>
      </w:r>
      <w:r>
        <w:rPr>
          <w:rFonts w:ascii="Arial" w:cs="Arial" w:eastAsia="Arial" w:hAnsi="Arial"/>
          <w:sz w:val="19"/>
          <w:szCs w:val="19"/>
          <w:color w:val="auto"/>
        </w:rPr>
        <w:t>C Facility Lender shall not be required to comply with Clause 6.2.4 above until the date on which it and the Company have each executed the Tranche C Facility Letter.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b w:val="1"/>
          <w:bCs w:val="1"/>
          <w:color w:val="auto"/>
        </w:rPr>
        <w:t>Reduction of Available Commitment</w:t>
      </w:r>
    </w:p>
    <w:p>
      <w:pPr>
        <w:spacing w:after="0" w:line="250" w:lineRule="exact"/>
        <w:rPr>
          <w:sz w:val="20"/>
          <w:szCs w:val="20"/>
          <w:color w:val="auto"/>
        </w:rPr>
      </w:pPr>
    </w:p>
    <w:p>
      <w:pPr>
        <w:jc w:val="both"/>
        <w:ind w:left="560"/>
        <w:spacing w:after="0" w:line="300" w:lineRule="auto"/>
        <w:rPr>
          <w:sz w:val="20"/>
          <w:szCs w:val="20"/>
          <w:color w:val="auto"/>
        </w:rPr>
      </w:pPr>
      <w:r>
        <w:rPr>
          <w:rFonts w:ascii="Arial" w:cs="Arial" w:eastAsia="Arial" w:hAnsi="Arial"/>
          <w:sz w:val="20"/>
          <w:szCs w:val="20"/>
          <w:color w:val="auto"/>
        </w:rPr>
        <w:t>If a Term Facility Lender's Available Tranche A Commitment, Available Tranche B Commitment or, as the case may be, Available Tranche C Commitment is reduced in accordance with the terms hereof or the Common Terms Agreement after the Intercreditor Agent or the Term Facility Agent has received an Advance Request for a Tranche A Advance, a Tranche B Advance or, as the case may be, a Tranche C Advance and such reduction was not taken into account in the Available Tranche A Facility, Available Tranche B Facility or, as the case may be, the Available Tranche C Facility, then the amount of that Tranche A Advance, Tranche B Advance or, as the case may be, Tranche C Advance shall be reduced accordingly.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18"/>
          <w:szCs w:val="18"/>
          <w:b w:val="1"/>
          <w:bCs w:val="1"/>
          <w:color w:val="auto"/>
        </w:rPr>
        <w:t>REPAYMENT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b w:val="1"/>
          <w:bCs w:val="1"/>
          <w:color w:val="auto"/>
        </w:rPr>
        <w:t>Repayment</w:t>
      </w:r>
    </w:p>
    <w:p>
      <w:pPr>
        <w:spacing w:after="0" w:line="250" w:lineRule="exact"/>
        <w:rPr>
          <w:sz w:val="20"/>
          <w:szCs w:val="20"/>
          <w:color w:val="auto"/>
        </w:rPr>
      </w:pPr>
    </w:p>
    <w:p>
      <w:pPr>
        <w:jc w:val="both"/>
        <w:ind w:left="560"/>
        <w:spacing w:after="0" w:line="323" w:lineRule="auto"/>
        <w:rPr>
          <w:sz w:val="20"/>
          <w:szCs w:val="20"/>
          <w:color w:val="auto"/>
        </w:rPr>
      </w:pPr>
      <w:r>
        <w:rPr>
          <w:rFonts w:ascii="Arial" w:cs="Arial" w:eastAsia="Arial" w:hAnsi="Arial"/>
          <w:sz w:val="19"/>
          <w:szCs w:val="19"/>
          <w:color w:val="auto"/>
        </w:rPr>
        <w:t>Subject to Clause 7.2 (</w:t>
      </w:r>
      <w:r>
        <w:rPr>
          <w:rFonts w:ascii="Arial" w:cs="Arial" w:eastAsia="Arial" w:hAnsi="Arial"/>
          <w:sz w:val="19"/>
          <w:szCs w:val="19"/>
          <w:i w:val="1"/>
          <w:iCs w:val="1"/>
          <w:color w:val="auto"/>
        </w:rPr>
        <w:t>Final maturity),</w:t>
      </w:r>
      <w:r>
        <w:rPr>
          <w:rFonts w:ascii="Arial" w:cs="Arial" w:eastAsia="Arial" w:hAnsi="Arial"/>
          <w:sz w:val="19"/>
          <w:szCs w:val="19"/>
          <w:color w:val="auto"/>
        </w:rPr>
        <w:t xml:space="preserve"> the Company shall repay the Term Facility Loans in quarterly instalments by repaying on each Repayment Date amounts equal to the percentage set out next to the relevant Repayment Date in Schedule 2 </w:t>
      </w:r>
      <w:r>
        <w:rPr>
          <w:rFonts w:ascii="Arial" w:cs="Arial" w:eastAsia="Arial" w:hAnsi="Arial"/>
          <w:sz w:val="19"/>
          <w:szCs w:val="19"/>
          <w:i w:val="1"/>
          <w:iCs w:val="1"/>
          <w:color w:val="auto"/>
        </w:rPr>
        <w:t>(Repayment Schedule)</w:t>
      </w:r>
      <w:r>
        <w:rPr>
          <w:rFonts w:ascii="Arial" w:cs="Arial" w:eastAsia="Arial" w:hAnsi="Arial"/>
          <w:sz w:val="19"/>
          <w:szCs w:val="19"/>
          <w:color w:val="auto"/>
        </w:rPr>
        <w:t xml:space="preserve"> of the aggregate US dollar denominated Term Facility Advances and the aggregate HK dollar denominated Term Facility Advances outstanding as at the end of the last day of the Term Facility Availability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b w:val="1"/>
          <w:bCs w:val="1"/>
          <w:color w:val="auto"/>
        </w:rPr>
        <w:t>Final maturity</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Term Facility on that day.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b w:val="1"/>
          <w:bCs w:val="1"/>
          <w:color w:val="auto"/>
        </w:rPr>
        <w:t>No re-borrowing</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Company may not re-borrow any part of the Term Facility which is repaid.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18"/>
          <w:szCs w:val="18"/>
          <w:b w:val="1"/>
          <w:bCs w:val="1"/>
          <w:color w:val="auto"/>
        </w:rPr>
        <w:t>PREPAYMENT AND CANCELLATION</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All prepayments of Term Facility Advances and cancellation of Available Commitments shall be made in accordance with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w:t>
      </w:r>
    </w:p>
    <w:p>
      <w:pPr>
        <w:sectPr>
          <w:pgSz w:w="11900" w:h="16838" w:orient="portrait"/>
          <w:cols w:equalWidth="0" w:num="1">
            <w:col w:w="11420"/>
          </w:cols>
          <w:pgMar w:left="240" w:top="149" w:right="239" w:bottom="0" w:gutter="0" w:footer="0" w:header="0"/>
        </w:sectPr>
      </w:pPr>
    </w:p>
    <w:bookmarkStart w:id="303" w:name="page304"/>
    <w:bookmarkEnd w:id="303"/>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9.</w:t>
      </w:r>
      <w:r>
        <w:rPr>
          <w:rFonts w:ascii="Arial" w:cs="Arial" w:eastAsia="Arial" w:hAnsi="Arial"/>
          <w:sz w:val="18"/>
          <w:szCs w:val="18"/>
          <w:b w:val="1"/>
          <w:bCs w:val="1"/>
          <w:color w:val="auto"/>
        </w:rPr>
        <w:t>INTEREST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auto"/>
        </w:rPr>
        <w:t>Calculation of Interest</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rate of interest on each Term Facility Advance for each Interest Period is the percentage rate per annum which is the aggregate of:</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9.1.1</w:t>
      </w:r>
      <w:r>
        <w:rPr>
          <w:rFonts w:ascii="Arial" w:cs="Arial" w:eastAsia="Arial" w:hAnsi="Arial"/>
          <w:sz w:val="19"/>
          <w:szCs w:val="19"/>
          <w:color w:val="auto"/>
        </w:rPr>
        <w:t>the Margin; and</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9.1.2</w:t>
      </w:r>
      <w:r>
        <w:rPr>
          <w:rFonts w:ascii="Arial" w:cs="Arial" w:eastAsia="Arial" w:hAnsi="Arial"/>
          <w:sz w:val="19"/>
          <w:szCs w:val="19"/>
          <w:color w:val="auto"/>
        </w:rPr>
        <w:t>LIBOR (in the case of a Tranche A Advance) or HIBOR (in the case of a Tranche B Advance or a Tranche C Advance).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w:t>
      </w:r>
      <w:r>
        <w:rPr>
          <w:rFonts w:ascii="Arial" w:cs="Arial" w:eastAsia="Arial" w:hAnsi="Arial"/>
          <w:sz w:val="18"/>
          <w:szCs w:val="18"/>
          <w:b w:val="1"/>
          <w:bCs w:val="1"/>
          <w:color w:val="auto"/>
        </w:rPr>
        <w:t>Payment of interest</w:t>
      </w:r>
    </w:p>
    <w:p>
      <w:pPr>
        <w:spacing w:after="0" w:line="250"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Accrued interest on each Term Facility Advance is payable by the Company on the last day of each Interest Period relating to that Term Facility Advance.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b w:val="1"/>
          <w:bCs w:val="1"/>
          <w:color w:val="auto"/>
        </w:rPr>
        <w:t>Default Interest</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Default interest shall be calculated and paid in accordance with clause 9.4 (</w:t>
      </w:r>
      <w:r>
        <w:rPr>
          <w:rFonts w:ascii="Arial" w:cs="Arial" w:eastAsia="Arial" w:hAnsi="Arial"/>
          <w:sz w:val="19"/>
          <w:szCs w:val="19"/>
          <w:i w:val="1"/>
          <w:iCs w:val="1"/>
          <w:color w:val="auto"/>
        </w:rPr>
        <w:t>Default Interest</w:t>
      </w:r>
      <w:r>
        <w:rPr>
          <w:rFonts w:ascii="Arial" w:cs="Arial" w:eastAsia="Arial" w:hAnsi="Arial"/>
          <w:sz w:val="19"/>
          <w:szCs w:val="19"/>
          <w:color w:val="auto"/>
        </w:rPr>
        <w:t>) of the Common Terms Agreement.</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8"/>
          <w:szCs w:val="18"/>
          <w:b w:val="1"/>
          <w:bCs w:val="1"/>
          <w:color w:val="auto"/>
        </w:rPr>
        <w:t>INTEREST PERIODS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duration of each Interest Period shall be determined in accordance with clause 9.3 (</w:t>
      </w:r>
      <w:r>
        <w:rPr>
          <w:rFonts w:ascii="Arial" w:cs="Arial" w:eastAsia="Arial" w:hAnsi="Arial"/>
          <w:sz w:val="20"/>
          <w:szCs w:val="20"/>
          <w:i w:val="1"/>
          <w:iCs w:val="1"/>
          <w:color w:val="auto"/>
        </w:rPr>
        <w:t>Interest Periods</w:t>
      </w:r>
      <w:r>
        <w:rPr>
          <w:rFonts w:ascii="Arial" w:cs="Arial" w:eastAsia="Arial" w:hAnsi="Arial"/>
          <w:sz w:val="20"/>
          <w:szCs w:val="20"/>
          <w:color w:val="auto"/>
        </w:rPr>
        <w:t>) of the Common Terms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w:t>
      </w:r>
      <w:r>
        <w:rPr>
          <w:rFonts w:ascii="Arial" w:cs="Arial" w:eastAsia="Arial" w:hAnsi="Arial"/>
          <w:sz w:val="18"/>
          <w:szCs w:val="18"/>
          <w:b w:val="1"/>
          <w:bCs w:val="1"/>
          <w:color w:val="auto"/>
        </w:rPr>
        <w:t>NOTIFICATION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auto"/>
        </w:rPr>
        <w:t>Advances</w:t>
      </w:r>
    </w:p>
    <w:p>
      <w:pPr>
        <w:spacing w:after="0" w:line="250" w:lineRule="exact"/>
        <w:rPr>
          <w:sz w:val="20"/>
          <w:szCs w:val="20"/>
          <w:color w:val="auto"/>
        </w:rPr>
      </w:pPr>
    </w:p>
    <w:p>
      <w:pPr>
        <w:jc w:val="both"/>
        <w:ind w:left="560"/>
        <w:spacing w:after="0" w:line="341" w:lineRule="auto"/>
        <w:rPr>
          <w:sz w:val="20"/>
          <w:szCs w:val="20"/>
          <w:color w:val="auto"/>
        </w:rPr>
      </w:pPr>
      <w:r>
        <w:rPr>
          <w:rFonts w:ascii="Arial" w:cs="Arial" w:eastAsia="Arial" w:hAnsi="Arial"/>
          <w:sz w:val="18"/>
          <w:szCs w:val="18"/>
          <w:color w:val="auto"/>
        </w:rPr>
        <w:t>Promptly, and in any event, not less than 4 Business Days before the proposed Advance Date for each Term Facility Advance, the Term Facility Agent shall notify each Term Facility Lender of the proposed amount of the relevant Term Facility Advance and the aggregate principal amount of the relevant Term Facility Advance allocated to such Term Facility Lender pursuant to Clause 6.2 (</w:t>
      </w:r>
      <w:r>
        <w:rPr>
          <w:rFonts w:ascii="Arial" w:cs="Arial" w:eastAsia="Arial" w:hAnsi="Arial"/>
          <w:sz w:val="18"/>
          <w:szCs w:val="18"/>
          <w:i w:val="1"/>
          <w:iCs w:val="1"/>
          <w:color w:val="auto"/>
        </w:rPr>
        <w:t>Each Term</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Lender's Participation</w:t>
      </w:r>
      <w:r>
        <w:rPr>
          <w:rFonts w:ascii="Arial" w:cs="Arial" w:eastAsia="Arial" w:hAnsi="Arial"/>
          <w:sz w:val="18"/>
          <w:szCs w:val="18"/>
          <w:color w:val="auto"/>
        </w:rPr>
        <w:t>) and each Term Facility Lender shall, on such Advance Date, subject to the terms and conditions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make available to the Term Facility Agent for the account of the Company its said portion of such Term Facility Advance.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auto"/>
        </w:rPr>
        <w:t>Interest rate determination</w:t>
      </w:r>
    </w:p>
    <w:p>
      <w:pPr>
        <w:spacing w:after="0" w:line="250"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Term Facility Agent shall promptly notify the Company and the Term Facility Lenders of each determination of LIBOR and HIBOR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auto"/>
        </w:rPr>
        <w:t>Changes to interest rates</w:t>
      </w:r>
    </w:p>
    <w:p>
      <w:pPr>
        <w:spacing w:after="0" w:line="250"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Term Facility Agent shall promptly notify the Company and the Term Facility Lenders of any change to any interest rate occasioned by the operation of clause 10 (</w:t>
      </w:r>
      <w:r>
        <w:rPr>
          <w:rFonts w:ascii="Arial" w:cs="Arial" w:eastAsia="Arial" w:hAnsi="Arial"/>
          <w:sz w:val="20"/>
          <w:szCs w:val="20"/>
          <w:i w:val="1"/>
          <w:iCs w:val="1"/>
          <w:color w:val="auto"/>
        </w:rPr>
        <w:t>Changes to the Calculation of Interest</w:t>
      </w:r>
      <w:r>
        <w:rPr>
          <w:rFonts w:ascii="Arial" w:cs="Arial" w:eastAsia="Arial" w:hAnsi="Arial"/>
          <w:sz w:val="20"/>
          <w:szCs w:val="20"/>
          <w:color w:val="auto"/>
        </w:rPr>
        <w:t>) of the Common Terms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auto"/>
        </w:rPr>
        <w:t>Interest payment and repayment instalments</w:t>
      </w:r>
    </w:p>
    <w:p>
      <w:pPr>
        <w:spacing w:after="0" w:line="250"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Without prejudice to the Company's obligation to make any interest payment or to pay any repayment instalment on the due date, the Term Facility Agent shall provide to the Company and each Term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12.</w:t>
      </w:r>
      <w:r>
        <w:rPr>
          <w:rFonts w:ascii="Arial" w:cs="Arial" w:eastAsia="Arial" w:hAnsi="Arial"/>
          <w:sz w:val="18"/>
          <w:szCs w:val="18"/>
          <w:b w:val="1"/>
          <w:bCs w:val="1"/>
          <w:color w:val="auto"/>
        </w:rPr>
        <w:t>[NOT USED]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13.</w:t>
      </w:r>
      <w:r>
        <w:rPr>
          <w:rFonts w:ascii="Arial" w:cs="Arial" w:eastAsia="Arial" w:hAnsi="Arial"/>
          <w:sz w:val="18"/>
          <w:szCs w:val="18"/>
          <w:b w:val="1"/>
          <w:bCs w:val="1"/>
          <w:color w:val="auto"/>
        </w:rPr>
        <w:t>CHANGES TO THE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Transfers by the Term Facility Agent</w:t>
      </w:r>
    </w:p>
    <w:p>
      <w:pPr>
        <w:spacing w:after="0" w:line="250"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The Term Facility Agent may resign in accordance with the Common Terms Agreement and may assign and transfer all of its rights and obligations under the Term Facility Finance Documents to a replacement Term Facility Agent appointed in accordance with the terms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Transfers by the Company</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Term Facility Finance Documents.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Transfers by the Term Facility Lenders</w:t>
      </w:r>
    </w:p>
    <w:p>
      <w:pPr>
        <w:spacing w:after="0" w:line="250" w:lineRule="exact"/>
        <w:rPr>
          <w:sz w:val="20"/>
          <w:szCs w:val="20"/>
          <w:color w:val="auto"/>
        </w:rPr>
      </w:pPr>
    </w:p>
    <w:p>
      <w:pPr>
        <w:jc w:val="both"/>
        <w:ind w:left="560"/>
        <w:spacing w:after="0" w:line="456" w:lineRule="auto"/>
        <w:rPr>
          <w:sz w:val="20"/>
          <w:szCs w:val="20"/>
          <w:color w:val="auto"/>
        </w:rPr>
      </w:pPr>
      <w:r>
        <w:rPr>
          <w:rFonts w:ascii="Arial" w:cs="Arial" w:eastAsia="Arial" w:hAnsi="Arial"/>
          <w:sz w:val="16"/>
          <w:szCs w:val="16"/>
          <w:color w:val="auto"/>
        </w:rPr>
        <w:t>A Term Facility Lender may assign, transfer or novate any of its rights and/or obligations under the Term Facility Finance Documents in accordance with clause 21.4 (</w:t>
      </w:r>
      <w:r>
        <w:rPr>
          <w:rFonts w:ascii="Arial" w:cs="Arial" w:eastAsia="Arial" w:hAnsi="Arial"/>
          <w:sz w:val="16"/>
          <w:szCs w:val="16"/>
          <w:i w:val="1"/>
          <w:iCs w:val="1"/>
          <w:color w:val="auto"/>
        </w:rPr>
        <w:t>Assignment and Transfer by Lenders</w:t>
      </w:r>
      <w:r>
        <w:rPr>
          <w:rFonts w:ascii="Arial" w:cs="Arial" w:eastAsia="Arial" w:hAnsi="Arial"/>
          <w:sz w:val="16"/>
          <w:szCs w:val="16"/>
          <w:color w:val="auto"/>
        </w:rPr>
        <w:t>),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and clause 21.6 (</w:t>
      </w:r>
      <w:r>
        <w:rPr>
          <w:rFonts w:ascii="Arial" w:cs="Arial" w:eastAsia="Arial" w:hAnsi="Arial"/>
          <w:sz w:val="16"/>
          <w:szCs w:val="16"/>
          <w:i w:val="1"/>
          <w:iCs w:val="1"/>
          <w:color w:val="auto"/>
        </w:rPr>
        <w:t>Transfers by</w:t>
      </w:r>
    </w:p>
    <w:p>
      <w:pPr>
        <w:sectPr>
          <w:pgSz w:w="11900" w:h="16851" w:orient="portrait"/>
          <w:cols w:equalWidth="0" w:num="1">
            <w:col w:w="11420"/>
          </w:cols>
          <w:pgMar w:left="240" w:top="150" w:right="239" w:bottom="0" w:gutter="0" w:footer="0" w:header="0"/>
        </w:sectPr>
      </w:pPr>
    </w:p>
    <w:bookmarkStart w:id="304" w:name="page305"/>
    <w:bookmarkEnd w:id="304"/>
    <w:p>
      <w:pPr>
        <w:ind w:left="560"/>
        <w:spacing w:after="0"/>
        <w:rPr>
          <w:sz w:val="20"/>
          <w:szCs w:val="20"/>
          <w:color w:val="auto"/>
        </w:rPr>
      </w:pPr>
      <w:r>
        <w:rPr>
          <w:rFonts w:ascii="Arial" w:cs="Arial" w:eastAsia="Arial" w:hAnsi="Arial"/>
          <w:sz w:val="20"/>
          <w:szCs w:val="20"/>
          <w:i w:val="1"/>
          <w:iCs w:val="1"/>
          <w:color w:val="auto"/>
        </w:rPr>
        <w:t>Lenders</w:t>
      </w:r>
      <w:r>
        <w:rPr>
          <w:rFonts w:ascii="Arial" w:cs="Arial" w:eastAsia="Arial" w:hAnsi="Arial"/>
          <w:sz w:val="20"/>
          <w:szCs w:val="20"/>
          <w:color w:val="auto"/>
        </w:rPr>
        <w:t>) of the Common Terms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Assignment and Transfer Fees</w:t>
      </w:r>
    </w:p>
    <w:p>
      <w:pPr>
        <w:spacing w:after="0" w:line="250"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On the date upon which an assignment takes effect pursuant to clause 21.5 (</w:t>
      </w:r>
      <w:r>
        <w:rPr>
          <w:rFonts w:ascii="Arial" w:cs="Arial" w:eastAsia="Arial" w:hAnsi="Arial"/>
          <w:sz w:val="20"/>
          <w:szCs w:val="20"/>
          <w:i w:val="1"/>
          <w:iCs w:val="1"/>
          <w:color w:val="auto"/>
        </w:rPr>
        <w:t>Assignments by Lenders</w:t>
      </w:r>
      <w:r>
        <w:rPr>
          <w:rFonts w:ascii="Arial" w:cs="Arial" w:eastAsia="Arial" w:hAnsi="Arial"/>
          <w:sz w:val="20"/>
          <w:szCs w:val="20"/>
          <w:color w:val="auto"/>
        </w:rPr>
        <w:t>) of the Common Terms Agreement or a transfer takes effect pursuant to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Agreements, the relevant assignee or Transferee shall pay to the Intercreditor Agent for its own account a fee in accordance with clause 21.7 (</w:t>
      </w:r>
      <w:r>
        <w:rPr>
          <w:rFonts w:ascii="Arial" w:cs="Arial" w:eastAsia="Arial" w:hAnsi="Arial"/>
          <w:sz w:val="20"/>
          <w:szCs w:val="20"/>
          <w:i w:val="1"/>
          <w:iCs w:val="1"/>
          <w:color w:val="auto"/>
        </w:rPr>
        <w:t>Assignment and Transfer Fees</w:t>
      </w:r>
      <w:r>
        <w:rPr>
          <w:rFonts w:ascii="Arial" w:cs="Arial" w:eastAsia="Arial" w:hAnsi="Arial"/>
          <w:sz w:val="20"/>
          <w:szCs w:val="20"/>
          <w:color w:val="auto"/>
        </w:rPr>
        <w:t>) of the Common Terms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14.</w:t>
      </w:r>
      <w:r>
        <w:rPr>
          <w:rFonts w:ascii="Arial" w:cs="Arial" w:eastAsia="Arial" w:hAnsi="Arial"/>
          <w:sz w:val="18"/>
          <w:szCs w:val="18"/>
          <w:b w:val="1"/>
          <w:bCs w:val="1"/>
          <w:color w:val="auto"/>
        </w:rPr>
        <w:t>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b w:val="1"/>
          <w:bCs w:val="1"/>
          <w:color w:val="auto"/>
        </w:rPr>
        <w:t>Payments</w:t>
      </w:r>
    </w:p>
    <w:p>
      <w:pPr>
        <w:spacing w:after="0" w:line="250"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14.1.1</w:t>
      </w:r>
      <w:r>
        <w:rPr>
          <w:rFonts w:ascii="Arial" w:cs="Arial" w:eastAsia="Arial" w:hAnsi="Arial"/>
          <w:sz w:val="19"/>
          <w:szCs w:val="19"/>
          <w:color w:val="auto"/>
        </w:rPr>
        <w:t>All payments under this Agreement shall be made in accordance with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200" w:hanging="1647"/>
        <w:spacing w:after="0" w:line="320" w:lineRule="auto"/>
        <w:rPr>
          <w:sz w:val="20"/>
          <w:szCs w:val="20"/>
          <w:color w:val="auto"/>
        </w:rPr>
      </w:pPr>
      <w:r>
        <w:rPr>
          <w:rFonts w:ascii="Arial" w:cs="Arial" w:eastAsia="Arial" w:hAnsi="Arial"/>
          <w:sz w:val="16"/>
          <w:szCs w:val="16"/>
          <w:color w:val="auto"/>
        </w:rPr>
        <w:t>14.1.2</w:t>
      </w:r>
      <w:r>
        <w:rPr>
          <w:rFonts w:ascii="Arial" w:cs="Arial" w:eastAsia="Arial" w:hAnsi="Arial"/>
          <w:sz w:val="19"/>
          <w:szCs w:val="19"/>
          <w:color w:val="auto"/>
        </w:rPr>
        <w:t>Subject to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 Agreement, on each date on which this Agreement requires an</w:t>
      </w:r>
      <w:r>
        <w:rPr>
          <w:rFonts w:ascii="Arial" w:cs="Arial" w:eastAsia="Arial" w:hAnsi="Arial"/>
          <w:sz w:val="16"/>
          <w:szCs w:val="16"/>
          <w:color w:val="auto"/>
        </w:rPr>
        <w:t xml:space="preserve"> </w:t>
      </w:r>
      <w:r>
        <w:rPr>
          <w:rFonts w:ascii="Arial" w:cs="Arial" w:eastAsia="Arial" w:hAnsi="Arial"/>
          <w:sz w:val="19"/>
          <w:szCs w:val="19"/>
          <w:color w:val="auto"/>
        </w:rPr>
        <w:t>amount to be paid by the Company or a Term Facility Lender, the Company or, as the case may be, such Term Facility Lender shall make the same available to the Term Facility Agent for value on such due date and at such time and in such funds and to such account with such bank as the Term Facility Agent shall specify from time to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b w:val="1"/>
          <w:bCs w:val="1"/>
          <w:color w:val="auto"/>
        </w:rPr>
        <w:t>Partial Payments</w:t>
      </w:r>
    </w:p>
    <w:p>
      <w:pPr>
        <w:spacing w:after="0" w:line="250"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14.2.1</w:t>
      </w:r>
      <w:r>
        <w:rPr>
          <w:rFonts w:ascii="Arial" w:cs="Arial" w:eastAsia="Arial" w:hAnsi="Arial"/>
          <w:sz w:val="19"/>
          <w:szCs w:val="19"/>
          <w:color w:val="auto"/>
        </w:rPr>
        <w:t>If the Term Facility Agent receives a payment that is insufficient to discharge all the amounts then due and payable by the</w:t>
      </w:r>
      <w:r>
        <w:rPr>
          <w:rFonts w:ascii="Arial" w:cs="Arial" w:eastAsia="Arial" w:hAnsi="Arial"/>
          <w:sz w:val="16"/>
          <w:szCs w:val="16"/>
          <w:color w:val="auto"/>
        </w:rPr>
        <w:t xml:space="preserve"> </w:t>
      </w:r>
      <w:r>
        <w:rPr>
          <w:rFonts w:ascii="Arial" w:cs="Arial" w:eastAsia="Arial" w:hAnsi="Arial"/>
          <w:sz w:val="19"/>
          <w:szCs w:val="19"/>
          <w:color w:val="auto"/>
        </w:rPr>
        <w:t>Company to the Term Facility Lenders under the Term Facility Finance Documents, the Term Facility Agent shall apply that payment towards the obligations of the Company under the Term Facility Finance Documents in the following order:</w:t>
      </w:r>
    </w:p>
    <w:p>
      <w:pPr>
        <w:spacing w:after="0" w:line="128" w:lineRule="exact"/>
        <w:rPr>
          <w:sz w:val="20"/>
          <w:szCs w:val="20"/>
          <w:color w:val="auto"/>
        </w:rPr>
      </w:pPr>
    </w:p>
    <w:p>
      <w:pPr>
        <w:jc w:val="both"/>
        <w:ind w:left="3140" w:hanging="1876"/>
        <w:spacing w:after="0" w:line="332" w:lineRule="auto"/>
        <w:rPr>
          <w:sz w:val="20"/>
          <w:szCs w:val="20"/>
          <w:color w:val="auto"/>
        </w:rPr>
      </w:pPr>
      <w:r>
        <w:rPr>
          <w:rFonts w:ascii="Arial" w:cs="Arial" w:eastAsia="Arial" w:hAnsi="Arial"/>
          <w:sz w:val="18"/>
          <w:szCs w:val="18"/>
          <w:color w:val="auto"/>
        </w:rPr>
        <w:t>(a)</w:t>
      </w:r>
      <w:r>
        <w:rPr>
          <w:rFonts w:ascii="Arial" w:cs="Arial" w:eastAsia="Arial" w:hAnsi="Arial"/>
          <w:sz w:val="19"/>
          <w:szCs w:val="19"/>
          <w:b w:val="1"/>
          <w:bCs w:val="1"/>
          <w:color w:val="auto"/>
        </w:rPr>
        <w:t>first</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Term Facility Lenders under clause 23.15 (</w:t>
      </w:r>
      <w:r>
        <w:rPr>
          <w:rFonts w:ascii="Arial" w:cs="Arial" w:eastAsia="Arial" w:hAnsi="Arial"/>
          <w:sz w:val="19"/>
          <w:szCs w:val="19"/>
          <w:i w:val="1"/>
          <w:iCs w:val="1"/>
          <w:color w:val="auto"/>
        </w:rPr>
        <w:t>Indemnity to</w:t>
      </w:r>
      <w:r>
        <w:rPr>
          <w:rFonts w:ascii="Arial" w:cs="Arial" w:eastAsia="Arial" w:hAnsi="Arial"/>
          <w:sz w:val="18"/>
          <w:szCs w:val="18"/>
          <w:color w:val="auto"/>
        </w:rPr>
        <w:t xml:space="preserve"> </w:t>
      </w:r>
      <w:r>
        <w:rPr>
          <w:rFonts w:ascii="Arial" w:cs="Arial" w:eastAsia="Arial" w:hAnsi="Arial"/>
          <w:sz w:val="19"/>
          <w:szCs w:val="19"/>
          <w:i w:val="1"/>
          <w:iCs w:val="1"/>
          <w:color w:val="auto"/>
        </w:rPr>
        <w:t>Intercreditor Agent</w:t>
      </w:r>
      <w:r>
        <w:rPr>
          <w:rFonts w:ascii="Arial" w:cs="Arial" w:eastAsia="Arial" w:hAnsi="Arial"/>
          <w:sz w:val="19"/>
          <w:szCs w:val="19"/>
          <w:color w:val="auto"/>
        </w:rPr>
        <w:t>) of the Common Terms Agreement but which have not been reimbursed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w:t>
      </w:r>
    </w:p>
    <w:p>
      <w:pPr>
        <w:spacing w:after="0" w:line="120" w:lineRule="exact"/>
        <w:rPr>
          <w:sz w:val="20"/>
          <w:szCs w:val="20"/>
          <w:color w:val="auto"/>
        </w:rPr>
      </w:pPr>
    </w:p>
    <w:p>
      <w:pPr>
        <w:jc w:val="both"/>
        <w:ind w:left="3160" w:right="20" w:hanging="1890"/>
        <w:spacing w:after="0" w:line="353" w:lineRule="auto"/>
        <w:rPr>
          <w:sz w:val="20"/>
          <w:szCs w:val="20"/>
          <w:color w:val="auto"/>
        </w:rPr>
      </w:pPr>
      <w:r>
        <w:rPr>
          <w:rFonts w:ascii="Arial" w:cs="Arial" w:eastAsia="Arial" w:hAnsi="Arial"/>
          <w:sz w:val="18"/>
          <w:szCs w:val="18"/>
          <w:color w:val="auto"/>
        </w:rPr>
        <w:t>(b)</w:t>
      </w:r>
      <w:r>
        <w:rPr>
          <w:rFonts w:ascii="Arial" w:cs="Arial" w:eastAsia="Arial" w:hAnsi="Arial"/>
          <w:sz w:val="19"/>
          <w:szCs w:val="19"/>
          <w:b w:val="1"/>
          <w:bCs w:val="1"/>
          <w:color w:val="auto"/>
        </w:rPr>
        <w:t>secondly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Term Facility Lenders under Clause 15.3 (</w:t>
      </w:r>
      <w:r>
        <w:rPr>
          <w:rFonts w:ascii="Arial" w:cs="Arial" w:eastAsia="Arial" w:hAnsi="Arial"/>
          <w:sz w:val="19"/>
          <w:szCs w:val="19"/>
          <w:i w:val="1"/>
          <w:iCs w:val="1"/>
          <w:color w:val="auto"/>
        </w:rPr>
        <w:t>Indemnity to</w:t>
      </w:r>
      <w:r>
        <w:rPr>
          <w:rFonts w:ascii="Arial" w:cs="Arial" w:eastAsia="Arial" w:hAnsi="Arial"/>
          <w:sz w:val="18"/>
          <w:szCs w:val="18"/>
          <w:color w:val="auto"/>
        </w:rPr>
        <w:t xml:space="preserve"> </w:t>
      </w:r>
      <w:r>
        <w:rPr>
          <w:rFonts w:ascii="Arial" w:cs="Arial" w:eastAsia="Arial" w:hAnsi="Arial"/>
          <w:sz w:val="19"/>
          <w:szCs w:val="19"/>
          <w:i w:val="1"/>
          <w:iCs w:val="1"/>
          <w:color w:val="auto"/>
        </w:rPr>
        <w:t>Term Facility Agent</w:t>
      </w:r>
      <w:r>
        <w:rPr>
          <w:rFonts w:ascii="Arial" w:cs="Arial" w:eastAsia="Arial" w:hAnsi="Arial"/>
          <w:sz w:val="19"/>
          <w:szCs w:val="19"/>
          <w:color w:val="auto"/>
        </w:rPr>
        <w:t>) but which have not been reimbursed by the Company;</w:t>
      </w:r>
    </w:p>
    <w:p>
      <w:pPr>
        <w:spacing w:after="0" w:line="100"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(c)</w:t>
      </w:r>
      <w:r>
        <w:rPr>
          <w:rFonts w:ascii="Arial" w:cs="Arial" w:eastAsia="Arial" w:hAnsi="Arial"/>
          <w:sz w:val="19"/>
          <w:szCs w:val="19"/>
          <w:b w:val="1"/>
          <w:bCs w:val="1"/>
          <w:color w:val="auto"/>
        </w:rPr>
        <w:t>thirdly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costs and expenses incurred by the Term Facility Lenders which the Company</w:t>
      </w:r>
      <w:r>
        <w:rPr>
          <w:rFonts w:ascii="Arial" w:cs="Arial" w:eastAsia="Arial" w:hAnsi="Arial"/>
          <w:sz w:val="18"/>
          <w:szCs w:val="18"/>
          <w:color w:val="auto"/>
        </w:rPr>
        <w:t xml:space="preserve"> </w:t>
      </w:r>
      <w:r>
        <w:rPr>
          <w:rFonts w:ascii="Arial" w:cs="Arial" w:eastAsia="Arial" w:hAnsi="Arial"/>
          <w:sz w:val="19"/>
          <w:szCs w:val="19"/>
          <w:color w:val="auto"/>
        </w:rPr>
        <w:t>is obliged to reimburse;</w:t>
      </w:r>
    </w:p>
    <w:p>
      <w:pPr>
        <w:spacing w:after="0" w:line="100" w:lineRule="exact"/>
        <w:rPr>
          <w:sz w:val="20"/>
          <w:szCs w:val="20"/>
          <w:color w:val="auto"/>
        </w:rPr>
      </w:pPr>
    </w:p>
    <w:p>
      <w:pPr>
        <w:jc w:val="both"/>
        <w:ind w:left="3160" w:hanging="1890"/>
        <w:spacing w:after="0" w:line="353" w:lineRule="auto"/>
        <w:rPr>
          <w:sz w:val="20"/>
          <w:szCs w:val="20"/>
          <w:color w:val="auto"/>
        </w:rPr>
      </w:pPr>
      <w:r>
        <w:rPr>
          <w:rFonts w:ascii="Arial" w:cs="Arial" w:eastAsia="Arial" w:hAnsi="Arial"/>
          <w:sz w:val="18"/>
          <w:szCs w:val="18"/>
          <w:color w:val="auto"/>
        </w:rPr>
        <w:t>(d)</w:t>
      </w:r>
      <w:r>
        <w:rPr>
          <w:rFonts w:ascii="Arial" w:cs="Arial" w:eastAsia="Arial" w:hAnsi="Arial"/>
          <w:sz w:val="19"/>
          <w:szCs w:val="19"/>
          <w:b w:val="1"/>
          <w:bCs w:val="1"/>
          <w:color w:val="auto"/>
        </w:rPr>
        <w:t>fourthly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but unpaid fees and commissions due to the Term Facility Lenders</w:t>
      </w:r>
      <w:r>
        <w:rPr>
          <w:rFonts w:ascii="Arial" w:cs="Arial" w:eastAsia="Arial" w:hAnsi="Arial"/>
          <w:sz w:val="18"/>
          <w:szCs w:val="18"/>
          <w:color w:val="auto"/>
        </w:rPr>
        <w:t xml:space="preserve"> </w:t>
      </w:r>
      <w:r>
        <w:rPr>
          <w:rFonts w:ascii="Arial" w:cs="Arial" w:eastAsia="Arial" w:hAnsi="Arial"/>
          <w:sz w:val="19"/>
          <w:szCs w:val="19"/>
          <w:color w:val="auto"/>
        </w:rPr>
        <w:t>under the Term Facility Finance Documents;</w:t>
      </w:r>
    </w:p>
    <w:p>
      <w:pPr>
        <w:spacing w:after="0" w:line="100"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(e)</w:t>
      </w:r>
      <w:r>
        <w:rPr>
          <w:rFonts w:ascii="Arial" w:cs="Arial" w:eastAsia="Arial" w:hAnsi="Arial"/>
          <w:sz w:val="19"/>
          <w:szCs w:val="19"/>
          <w:b w:val="1"/>
          <w:bCs w:val="1"/>
          <w:color w:val="auto"/>
        </w:rPr>
        <w:t>fifthly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but unpaid interest (including default interest) due to the Term Facility</w:t>
      </w:r>
      <w:r>
        <w:rPr>
          <w:rFonts w:ascii="Arial" w:cs="Arial" w:eastAsia="Arial" w:hAnsi="Arial"/>
          <w:sz w:val="18"/>
          <w:szCs w:val="18"/>
          <w:color w:val="auto"/>
        </w:rPr>
        <w:t xml:space="preserve"> </w:t>
      </w:r>
      <w:r>
        <w:rPr>
          <w:rFonts w:ascii="Arial" w:cs="Arial" w:eastAsia="Arial" w:hAnsi="Arial"/>
          <w:sz w:val="19"/>
          <w:szCs w:val="19"/>
          <w:color w:val="auto"/>
        </w:rPr>
        <w:t>Lenders under the Term Facility Finance Documents;</w:t>
      </w:r>
    </w:p>
    <w:p>
      <w:pPr>
        <w:spacing w:after="0" w:line="100" w:lineRule="exact"/>
        <w:rPr>
          <w:sz w:val="20"/>
          <w:szCs w:val="20"/>
          <w:color w:val="auto"/>
        </w:rPr>
      </w:pPr>
    </w:p>
    <w:p>
      <w:pPr>
        <w:ind w:left="3120" w:hanging="1856"/>
        <w:spacing w:after="0" w:line="323" w:lineRule="auto"/>
        <w:tabs>
          <w:tab w:leader="none" w:pos="1445" w:val="left"/>
        </w:tabs>
        <w:numPr>
          <w:ilvl w:val="0"/>
          <w:numId w:val="424"/>
        </w:numPr>
        <w:rPr>
          <w:rFonts w:ascii="Arial" w:cs="Arial" w:eastAsia="Arial" w:hAnsi="Arial"/>
          <w:sz w:val="18"/>
          <w:szCs w:val="18"/>
          <w:color w:val="auto"/>
        </w:rPr>
      </w:pPr>
      <w:r>
        <w:rPr>
          <w:rFonts w:ascii="Arial" w:cs="Arial" w:eastAsia="Arial" w:hAnsi="Arial"/>
          <w:sz w:val="20"/>
          <w:szCs w:val="20"/>
          <w:b w:val="1"/>
          <w:bCs w:val="1"/>
          <w:color w:val="auto"/>
        </w:rPr>
        <w:t>sixthly</w:t>
      </w:r>
      <w:r>
        <w:rPr>
          <w:rFonts w:ascii="Arial" w:cs="Arial" w:eastAsia="Arial" w:hAnsi="Arial"/>
          <w:sz w:val="20"/>
          <w:szCs w:val="20"/>
          <w:color w:val="auto"/>
        </w:rPr>
        <w:t>, in or towards payment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b w:val="1"/>
          <w:bCs w:val="1"/>
          <w:color w:val="auto"/>
        </w:rPr>
        <w:t xml:space="preserve"> </w:t>
      </w:r>
      <w:r>
        <w:rPr>
          <w:rFonts w:ascii="Arial" w:cs="Arial" w:eastAsia="Arial" w:hAnsi="Arial"/>
          <w:sz w:val="20"/>
          <w:szCs w:val="20"/>
          <w:color w:val="auto"/>
        </w:rPr>
        <w:t>of any principal due to the Term Facility Lenders under the Term Facility Finance</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but unpaid; and</w:t>
      </w:r>
    </w:p>
    <w:p>
      <w:pPr>
        <w:spacing w:after="0" w:line="124" w:lineRule="exact"/>
        <w:rPr>
          <w:sz w:val="20"/>
          <w:szCs w:val="20"/>
          <w:color w:val="auto"/>
        </w:rPr>
      </w:pPr>
    </w:p>
    <w:p>
      <w:pPr>
        <w:ind w:left="3160" w:right="20" w:hanging="1890"/>
        <w:spacing w:after="0" w:line="353" w:lineRule="auto"/>
        <w:rPr>
          <w:sz w:val="20"/>
          <w:szCs w:val="20"/>
          <w:color w:val="auto"/>
        </w:rPr>
      </w:pPr>
      <w:r>
        <w:rPr>
          <w:rFonts w:ascii="Arial" w:cs="Arial" w:eastAsia="Arial" w:hAnsi="Arial"/>
          <w:sz w:val="18"/>
          <w:szCs w:val="18"/>
          <w:color w:val="auto"/>
        </w:rPr>
        <w:t>(g)</w:t>
      </w:r>
      <w:r>
        <w:rPr>
          <w:rFonts w:ascii="Arial" w:cs="Arial" w:eastAsia="Arial" w:hAnsi="Arial"/>
          <w:sz w:val="19"/>
          <w:szCs w:val="19"/>
          <w:b w:val="1"/>
          <w:bCs w:val="1"/>
          <w:color w:val="auto"/>
        </w:rPr>
        <w:t>seventhly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any other sum due to the Term Facility Lenders under the Term Facility</w:t>
      </w:r>
      <w:r>
        <w:rPr>
          <w:rFonts w:ascii="Arial" w:cs="Arial" w:eastAsia="Arial" w:hAnsi="Arial"/>
          <w:sz w:val="18"/>
          <w:szCs w:val="18"/>
          <w:color w:val="auto"/>
        </w:rPr>
        <w:t xml:space="preserve"> </w:t>
      </w:r>
      <w:r>
        <w:rPr>
          <w:rFonts w:ascii="Arial" w:cs="Arial" w:eastAsia="Arial" w:hAnsi="Arial"/>
          <w:sz w:val="19"/>
          <w:szCs w:val="19"/>
          <w:color w:val="auto"/>
        </w:rPr>
        <w:t>Finance Documents but unpaid.</w:t>
      </w:r>
    </w:p>
    <w:p>
      <w:pPr>
        <w:spacing w:after="0" w:line="106"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14.2.2</w:t>
      </w:r>
      <w:r>
        <w:rPr>
          <w:rFonts w:ascii="Arial" w:cs="Arial" w:eastAsia="Arial" w:hAnsi="Arial"/>
          <w:sz w:val="19"/>
          <w:szCs w:val="19"/>
          <w:color w:val="auto"/>
        </w:rPr>
        <w:t>The Term Facility Agent shall, if so directed by the Majority Term Facility Lenders, vary the order set out in sub-clause 14.2.1</w:t>
      </w:r>
      <w:r>
        <w:rPr>
          <w:rFonts w:ascii="Arial" w:cs="Arial" w:eastAsia="Arial" w:hAnsi="Arial"/>
          <w:sz w:val="16"/>
          <w:szCs w:val="16"/>
          <w:color w:val="auto"/>
        </w:rPr>
        <w:t xml:space="preserve"> </w:t>
      </w:r>
      <w:r>
        <w:rPr>
          <w:rFonts w:ascii="Arial" w:cs="Arial" w:eastAsia="Arial" w:hAnsi="Arial"/>
          <w:sz w:val="19"/>
          <w:szCs w:val="19"/>
          <w:color w:val="auto"/>
        </w:rPr>
        <w:t>above.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14.2.3</w:t>
      </w:r>
      <w:r>
        <w:rPr>
          <w:rFonts w:ascii="Arial" w:cs="Arial" w:eastAsia="Arial" w:hAnsi="Arial"/>
          <w:sz w:val="19"/>
          <w:szCs w:val="19"/>
          <w:color w:val="auto"/>
        </w:rPr>
        <w:t>Sub-clause 14.2.1 above will override any appropriation made by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15.</w:t>
      </w:r>
      <w:r>
        <w:rPr>
          <w:rFonts w:ascii="Arial" w:cs="Arial" w:eastAsia="Arial" w:hAnsi="Arial"/>
          <w:sz w:val="18"/>
          <w:szCs w:val="18"/>
          <w:b w:val="1"/>
          <w:bCs w:val="1"/>
          <w:color w:val="auto"/>
        </w:rPr>
        <w:t>DECISION MAKING AMONGST TERM FACILITY LENDERS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b w:val="1"/>
          <w:bCs w:val="1"/>
          <w:color w:val="auto"/>
        </w:rPr>
        <w:t>Decisions</w:t>
      </w:r>
    </w:p>
    <w:p>
      <w:pPr>
        <w:spacing w:after="0" w:line="250" w:lineRule="exact"/>
        <w:rPr>
          <w:sz w:val="20"/>
          <w:szCs w:val="20"/>
          <w:color w:val="auto"/>
        </w:rPr>
      </w:pPr>
    </w:p>
    <w:p>
      <w:pPr>
        <w:jc w:val="both"/>
        <w:ind w:left="560"/>
        <w:spacing w:after="0" w:line="354"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Term Facility Agent acting on the instructions of the Majority Term Facility Lenders.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b w:val="1"/>
          <w:bCs w:val="1"/>
          <w:color w:val="auto"/>
        </w:rPr>
        <w:t>Failure to Give Instructions</w:t>
      </w:r>
    </w:p>
    <w:p>
      <w:pPr>
        <w:sectPr>
          <w:pgSz w:w="11900" w:h="16838" w:orient="portrait"/>
          <w:cols w:equalWidth="0" w:num="1">
            <w:col w:w="11420"/>
          </w:cols>
          <w:pgMar w:left="240" w:top="149" w:right="239" w:bottom="128" w:gutter="0" w:footer="0" w:header="0"/>
        </w:sectPr>
      </w:pPr>
    </w:p>
    <w:bookmarkStart w:id="305" w:name="page306"/>
    <w:bookmarkEnd w:id="305"/>
    <w:p>
      <w:pPr>
        <w:jc w:val="both"/>
        <w:ind w:left="560"/>
        <w:spacing w:after="0" w:line="317" w:lineRule="auto"/>
        <w:rPr>
          <w:sz w:val="20"/>
          <w:szCs w:val="20"/>
          <w:color w:val="auto"/>
        </w:rPr>
      </w:pPr>
      <w:r>
        <w:rPr>
          <w:rFonts w:ascii="Arial" w:cs="Arial" w:eastAsia="Arial" w:hAnsi="Arial"/>
          <w:sz w:val="19"/>
          <w:szCs w:val="19"/>
          <w:color w:val="auto"/>
        </w:rPr>
        <w:t>If the Term Facility Agent gives notice to the Term Facility Lenders requesting their specific instructions on any matter referred to in Clause 15.1 (</w:t>
      </w:r>
      <w:r>
        <w:rPr>
          <w:rFonts w:ascii="Arial" w:cs="Arial" w:eastAsia="Arial" w:hAnsi="Arial"/>
          <w:sz w:val="19"/>
          <w:szCs w:val="19"/>
          <w:i w:val="1"/>
          <w:iCs w:val="1"/>
          <w:color w:val="auto"/>
        </w:rPr>
        <w:t>Decisions</w:t>
      </w:r>
      <w:r>
        <w:rPr>
          <w:rFonts w:ascii="Arial" w:cs="Arial" w:eastAsia="Arial" w:hAnsi="Arial"/>
          <w:sz w:val="19"/>
          <w:szCs w:val="19"/>
          <w:color w:val="auto"/>
        </w:rPr>
        <w:t>) and it specifies in such notice that the Term Facility Lenders are to give such instructions by a certain date and time specified in such notice, any Term Facility Lender which fails to respond by the date and time so specified shall have its portion of the Term Facility Advances and its Available Commitment disregarded for all purposes of determining whether instructions have been given to the Term Facility Agent by the Majority Term Facility Lenders (and, for the purposes of determining the Available Facility or the amount of all Term Facility Advances outstanding, the Available Commitments and portion of Term Facility Advances of such Term Facility Lender shall be deducted).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b w:val="1"/>
          <w:bCs w:val="1"/>
          <w:color w:val="auto"/>
        </w:rPr>
        <w:t>Indemnity to Term Facility Agent</w:t>
      </w:r>
    </w:p>
    <w:p>
      <w:pPr>
        <w:spacing w:after="0" w:line="250" w:lineRule="exact"/>
        <w:rPr>
          <w:sz w:val="20"/>
          <w:szCs w:val="20"/>
          <w:color w:val="auto"/>
        </w:rPr>
      </w:pPr>
    </w:p>
    <w:p>
      <w:pPr>
        <w:jc w:val="both"/>
        <w:ind w:left="2200" w:hanging="1647"/>
        <w:spacing w:after="0" w:line="336" w:lineRule="auto"/>
        <w:rPr>
          <w:sz w:val="20"/>
          <w:szCs w:val="20"/>
          <w:color w:val="auto"/>
        </w:rPr>
      </w:pPr>
      <w:r>
        <w:rPr>
          <w:rFonts w:ascii="Arial" w:cs="Arial" w:eastAsia="Arial" w:hAnsi="Arial"/>
          <w:sz w:val="15"/>
          <w:szCs w:val="15"/>
          <w:color w:val="auto"/>
        </w:rPr>
        <w:t>15.3.1</w:t>
      </w:r>
      <w:r>
        <w:rPr>
          <w:rFonts w:ascii="Arial" w:cs="Arial" w:eastAsia="Arial" w:hAnsi="Arial"/>
          <w:sz w:val="18"/>
          <w:szCs w:val="18"/>
          <w:color w:val="auto"/>
        </w:rPr>
        <w:t>Each Term Facility Lender shall, rateably in accordance with the proportion that the US dollar equivalent of the sum of its</w:t>
      </w:r>
      <w:r>
        <w:rPr>
          <w:rFonts w:ascii="Arial" w:cs="Arial" w:eastAsia="Arial" w:hAnsi="Arial"/>
          <w:sz w:val="15"/>
          <w:szCs w:val="15"/>
          <w:color w:val="auto"/>
        </w:rPr>
        <w:t xml:space="preserve"> </w:t>
      </w:r>
      <w:r>
        <w:rPr>
          <w:rFonts w:ascii="Arial" w:cs="Arial" w:eastAsia="Arial" w:hAnsi="Arial"/>
          <w:sz w:val="18"/>
          <w:szCs w:val="18"/>
          <w:color w:val="auto"/>
        </w:rPr>
        <w:t>Available Commitments and its participations in any outstanding Term Facility Advances bear to the US dollar equivalent of the aggregate of the Available Commitments and such participations of all the Term Facility Lenders (or, if all such amounts have been reduced to zero, such proportion determined immediately prior to such reduction) for the time being, indemnify the Term Facility Agent, within fifteen days of demand, against any cost, loss or liability incurred by the Term Facility Agent (other than by reason of the negligence or wilful misconduct of the Term Facility Agent) in acting as Term Facility Agent under any of the Senior Finance Documents (unless the Term Facility Agent has been reimbursed by the Company pursuant to a Senior Finance Document).</w:t>
      </w:r>
    </w:p>
    <w:p>
      <w:pPr>
        <w:spacing w:after="0" w:line="126"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15.3.2</w:t>
      </w:r>
      <w:r>
        <w:rPr>
          <w:rFonts w:ascii="Arial" w:cs="Arial" w:eastAsia="Arial" w:hAnsi="Arial"/>
          <w:sz w:val="19"/>
          <w:szCs w:val="19"/>
          <w:color w:val="auto"/>
        </w:rPr>
        <w:t>Provided that the Company is required to reimburse or indemnify the Term Facility Agent for such cost, loss or liability in</w:t>
      </w:r>
      <w:r>
        <w:rPr>
          <w:rFonts w:ascii="Arial" w:cs="Arial" w:eastAsia="Arial" w:hAnsi="Arial"/>
          <w:sz w:val="16"/>
          <w:szCs w:val="16"/>
          <w:color w:val="auto"/>
        </w:rPr>
        <w:t xml:space="preserve"> </w:t>
      </w:r>
      <w:r>
        <w:rPr>
          <w:rFonts w:ascii="Arial" w:cs="Arial" w:eastAsia="Arial" w:hAnsi="Arial"/>
          <w:sz w:val="19"/>
          <w:szCs w:val="19"/>
          <w:color w:val="auto"/>
        </w:rPr>
        <w:t>accordance with the terms of the Senior Finance Documents, the Company shall, within fifteen days of demand in writing by any Term Facility Lender, indemnify such Term Facility Lender in relation to any payment actually made by such Term Facility Lender pursuant to Clause 15.3.1 above.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16.</w:t>
      </w:r>
      <w:r>
        <w:rPr>
          <w:rFonts w:ascii="Arial" w:cs="Arial" w:eastAsia="Arial" w:hAnsi="Arial"/>
          <w:sz w:val="18"/>
          <w:szCs w:val="18"/>
          <w:b w:val="1"/>
          <w:bCs w:val="1"/>
          <w:color w:val="auto"/>
        </w:rPr>
        <w:t>COUNTERPARTS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all of which taken together shall constitute one and the same instrument.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17.</w:t>
      </w: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18.</w:t>
      </w:r>
      <w:r>
        <w:rPr>
          <w:rFonts w:ascii="Arial" w:cs="Arial" w:eastAsia="Arial" w:hAnsi="Arial"/>
          <w:sz w:val="18"/>
          <w:szCs w:val="18"/>
          <w:b w:val="1"/>
          <w:bCs w:val="1"/>
          <w:color w:val="auto"/>
        </w:rPr>
        <w:t>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b w:val="1"/>
          <w:bCs w:val="1"/>
          <w:color w:val="auto"/>
        </w:rPr>
        <w:t>Jurisdiction of English courts</w:t>
      </w:r>
    </w:p>
    <w:p>
      <w:pPr>
        <w:spacing w:after="0" w:line="250"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18.1.1</w:t>
      </w:r>
      <w:r>
        <w:rPr>
          <w:rFonts w:ascii="Arial" w:cs="Arial" w:eastAsia="Arial" w:hAnsi="Arial"/>
          <w:sz w:val="19"/>
          <w:szCs w:val="19"/>
          <w:color w:val="auto"/>
        </w:rPr>
        <w:t>The courts of England have exclusive jurisdiction to settle any dispute arising out of or in connection with this Agreement</w:t>
      </w:r>
      <w:r>
        <w:rPr>
          <w:rFonts w:ascii="Arial" w:cs="Arial" w:eastAsia="Arial" w:hAnsi="Arial"/>
          <w:sz w:val="16"/>
          <w:szCs w:val="16"/>
          <w:color w:val="auto"/>
        </w:rPr>
        <w:t xml:space="preserve"> </w:t>
      </w:r>
      <w:r>
        <w:rPr>
          <w:rFonts w:ascii="Arial" w:cs="Arial" w:eastAsia="Arial" w:hAnsi="Arial"/>
          <w:sz w:val="19"/>
          <w:szCs w:val="19"/>
          <w:color w:val="auto"/>
        </w:rPr>
        <w:t>(including a dispute regarding the existence, validity or termination of this Agreement or the consequences of its nullity) (a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28"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18.1.2</w:t>
      </w:r>
      <w:r>
        <w:rPr>
          <w:rFonts w:ascii="Arial" w:cs="Arial" w:eastAsia="Arial" w:hAnsi="Arial"/>
          <w:sz w:val="19"/>
          <w:szCs w:val="19"/>
          <w:color w:val="auto"/>
        </w:rPr>
        <w:t>The parties hereto agree that the courts of England are the most appropriate and convenient courts to settle Disputes and</w:t>
      </w:r>
      <w:r>
        <w:rPr>
          <w:rFonts w:ascii="Arial" w:cs="Arial" w:eastAsia="Arial" w:hAnsi="Arial"/>
          <w:sz w:val="16"/>
          <w:szCs w:val="16"/>
          <w:color w:val="auto"/>
        </w:rPr>
        <w:t xml:space="preserve"> </w:t>
      </w:r>
      <w:r>
        <w:rPr>
          <w:rFonts w:ascii="Arial" w:cs="Arial" w:eastAsia="Arial" w:hAnsi="Arial"/>
          <w:sz w:val="19"/>
          <w:szCs w:val="19"/>
          <w:color w:val="auto"/>
        </w:rPr>
        <w:t>accordingly they will not argue to the contrary.</w:t>
      </w:r>
    </w:p>
    <w:p>
      <w:pPr>
        <w:spacing w:after="0" w:line="113"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18.1.3</w:t>
      </w:r>
      <w:r>
        <w:rPr>
          <w:rFonts w:ascii="Arial" w:cs="Arial" w:eastAsia="Arial" w:hAnsi="Arial"/>
          <w:sz w:val="19"/>
          <w:szCs w:val="19"/>
          <w:color w:val="auto"/>
        </w:rPr>
        <w:t>This Clause 18.1 is for the benefit of the Term Facility Finance Parties only. As a result, no Term Facility Finance Party shall be</w:t>
      </w:r>
      <w:r>
        <w:rPr>
          <w:rFonts w:ascii="Arial" w:cs="Arial" w:eastAsia="Arial" w:hAnsi="Arial"/>
          <w:sz w:val="16"/>
          <w:szCs w:val="16"/>
          <w:color w:val="auto"/>
        </w:rPr>
        <w:t xml:space="preserve"> </w:t>
      </w:r>
      <w:r>
        <w:rPr>
          <w:rFonts w:ascii="Arial" w:cs="Arial" w:eastAsia="Arial" w:hAnsi="Arial"/>
          <w:sz w:val="19"/>
          <w:szCs w:val="19"/>
          <w:color w:val="auto"/>
        </w:rPr>
        <w:t>prevented from taking proceedings relating to a Dispute in any other courts with jurisdiction. To the extent allowed by law and the Senior Finance Documents, the Term Facility Finance Parties may take concurrent proceedings in any number of jurisdictions.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18.2</w:t>
      </w:r>
      <w:r>
        <w:rPr>
          <w:rFonts w:ascii="Arial" w:cs="Arial" w:eastAsia="Arial" w:hAnsi="Arial"/>
          <w:sz w:val="18"/>
          <w:szCs w:val="18"/>
          <w:b w:val="1"/>
          <w:bCs w:val="1"/>
          <w:color w:val="auto"/>
        </w:rPr>
        <w:t>Service of process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Without prejudice to any other mode of service allowed under any relevant law, the Company:</w:t>
      </w:r>
    </w:p>
    <w:p>
      <w:pPr>
        <w:spacing w:after="0" w:line="229" w:lineRule="exact"/>
        <w:rPr>
          <w:sz w:val="20"/>
          <w:szCs w:val="20"/>
          <w:color w:val="auto"/>
        </w:rPr>
      </w:pPr>
    </w:p>
    <w:p>
      <w:pPr>
        <w:jc w:val="both"/>
        <w:ind w:left="2200" w:right="20" w:hanging="1647"/>
        <w:spacing w:after="0" w:line="346" w:lineRule="auto"/>
        <w:rPr>
          <w:sz w:val="20"/>
          <w:szCs w:val="20"/>
          <w:color w:val="auto"/>
        </w:rPr>
      </w:pPr>
      <w:r>
        <w:rPr>
          <w:rFonts w:ascii="Arial" w:cs="Arial" w:eastAsia="Arial" w:hAnsi="Arial"/>
          <w:sz w:val="16"/>
          <w:szCs w:val="16"/>
          <w:color w:val="auto"/>
        </w:rPr>
        <w:t>18.2.1</w:t>
      </w:r>
      <w:r>
        <w:rPr>
          <w:rFonts w:ascii="Arial" w:cs="Arial" w:eastAsia="Arial" w:hAnsi="Arial"/>
          <w:sz w:val="19"/>
          <w:szCs w:val="19"/>
          <w:color w:val="auto"/>
        </w:rPr>
        <w:t>irrevocably appoints Law Debenture Corporate Services Limited as its agent for service of process in relation to any proceedings</w:t>
      </w:r>
      <w:r>
        <w:rPr>
          <w:rFonts w:ascii="Arial" w:cs="Arial" w:eastAsia="Arial" w:hAnsi="Arial"/>
          <w:sz w:val="16"/>
          <w:szCs w:val="16"/>
          <w:color w:val="auto"/>
        </w:rPr>
        <w:t xml:space="preserve"> </w:t>
      </w:r>
      <w:r>
        <w:rPr>
          <w:rFonts w:ascii="Arial" w:cs="Arial" w:eastAsia="Arial" w:hAnsi="Arial"/>
          <w:sz w:val="19"/>
          <w:szCs w:val="19"/>
          <w:color w:val="auto"/>
        </w:rPr>
        <w:t>before the English courts in connection with this Agreement; and</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18.2.2</w:t>
      </w:r>
      <w:r>
        <w:rPr>
          <w:rFonts w:ascii="Arial" w:cs="Arial" w:eastAsia="Arial" w:hAnsi="Arial"/>
          <w:sz w:val="19"/>
          <w:szCs w:val="19"/>
          <w:color w:val="auto"/>
        </w:rPr>
        <w:t>agrees that failure by a process agent to notify the Company of the process will not invalidate the proceedings concerned.</w:t>
      </w:r>
    </w:p>
    <w:p>
      <w:pPr>
        <w:sectPr>
          <w:pgSz w:w="11900" w:h="16838" w:orient="portrait"/>
          <w:cols w:equalWidth="0" w:num="1">
            <w:col w:w="11420"/>
          </w:cols>
          <w:pgMar w:left="240" w:top="149" w:right="239" w:bottom="1131"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Agreement has been entered into on the date stated at the beginning of this Agreement.</w:t>
      </w:r>
    </w:p>
    <w:p>
      <w:pPr>
        <w:sectPr>
          <w:pgSz w:w="11900" w:h="16838" w:orient="portrait"/>
          <w:cols w:equalWidth="0" w:num="1">
            <w:col w:w="11420"/>
          </w:cols>
          <w:pgMar w:left="240" w:top="149" w:right="239" w:bottom="1131" w:gutter="0" w:footer="0" w:header="0"/>
          <w:type w:val="continuous"/>
        </w:sectPr>
      </w:pPr>
    </w:p>
    <w:bookmarkStart w:id="306" w:name="page307"/>
    <w:bookmarkEnd w:id="306"/>
    <w:p>
      <w:pPr>
        <w:jc w:val="center"/>
        <w:ind w:right="-179"/>
        <w:spacing w:after="0"/>
        <w:rPr>
          <w:sz w:val="20"/>
          <w:szCs w:val="20"/>
          <w:color w:val="auto"/>
        </w:rPr>
      </w:pPr>
      <w:r>
        <w:rPr>
          <w:rFonts w:ascii="Arial" w:cs="Arial" w:eastAsia="Arial" w:hAnsi="Arial"/>
          <w:sz w:val="20"/>
          <w:szCs w:val="20"/>
          <w:b w:val="1"/>
          <w:bCs w:val="1"/>
          <w:color w:val="auto"/>
        </w:rPr>
        <w:t>SCHEDULE 1</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THE TERM FACILITY LENDERS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00" w:type="dxa"/>
            <w:vAlign w:val="bottom"/>
            <w:vMerge w:val="restart"/>
          </w:tcPr>
          <w:p>
            <w:pPr>
              <w:spacing w:after="0"/>
              <w:rPr>
                <w:sz w:val="20"/>
                <w:szCs w:val="20"/>
                <w:color w:val="auto"/>
              </w:rPr>
            </w:pPr>
            <w:r>
              <w:rPr>
                <w:rFonts w:ascii="Arial" w:cs="Arial" w:eastAsia="Arial" w:hAnsi="Arial"/>
                <w:sz w:val="20"/>
                <w:szCs w:val="20"/>
                <w:b w:val="1"/>
                <w:bCs w:val="1"/>
                <w:color w:val="auto"/>
              </w:rPr>
              <w:t>Term Facility Lender</w:t>
            </w:r>
          </w:p>
        </w:tc>
        <w:tc>
          <w:tcPr>
            <w:tcW w:w="2840" w:type="dxa"/>
            <w:vAlign w:val="bottom"/>
          </w:tcPr>
          <w:p>
            <w:pPr>
              <w:jc w:val="center"/>
              <w:ind w:right="1"/>
              <w:spacing w:after="0"/>
              <w:rPr>
                <w:sz w:val="20"/>
                <w:szCs w:val="20"/>
                <w:color w:val="auto"/>
              </w:rPr>
            </w:pPr>
            <w:r>
              <w:rPr>
                <w:rFonts w:ascii="Arial" w:cs="Arial" w:eastAsia="Arial" w:hAnsi="Arial"/>
                <w:sz w:val="20"/>
                <w:szCs w:val="20"/>
                <w:b w:val="1"/>
                <w:bCs w:val="1"/>
                <w:color w:val="auto"/>
                <w:w w:val="91"/>
              </w:rPr>
              <w:t>Tranche A</w:t>
            </w:r>
          </w:p>
        </w:tc>
        <w:tc>
          <w:tcPr>
            <w:tcW w:w="2860" w:type="dxa"/>
            <w:vAlign w:val="bottom"/>
          </w:tcPr>
          <w:p>
            <w:pPr>
              <w:jc w:val="center"/>
              <w:spacing w:after="0"/>
              <w:rPr>
                <w:sz w:val="20"/>
                <w:szCs w:val="20"/>
                <w:color w:val="auto"/>
              </w:rPr>
            </w:pPr>
            <w:r>
              <w:rPr>
                <w:rFonts w:ascii="Arial" w:cs="Arial" w:eastAsia="Arial" w:hAnsi="Arial"/>
                <w:sz w:val="20"/>
                <w:szCs w:val="20"/>
                <w:b w:val="1"/>
                <w:bCs w:val="1"/>
                <w:color w:val="auto"/>
                <w:w w:val="91"/>
              </w:rPr>
              <w:t>Tranche B</w:t>
            </w:r>
          </w:p>
        </w:tc>
        <w:tc>
          <w:tcPr>
            <w:tcW w:w="2240" w:type="dxa"/>
            <w:vAlign w:val="bottom"/>
          </w:tcPr>
          <w:p>
            <w:pPr>
              <w:jc w:val="center"/>
              <w:ind w:left="361"/>
              <w:spacing w:after="0"/>
              <w:rPr>
                <w:sz w:val="20"/>
                <w:szCs w:val="20"/>
                <w:color w:val="auto"/>
              </w:rPr>
            </w:pPr>
            <w:r>
              <w:rPr>
                <w:rFonts w:ascii="Arial" w:cs="Arial" w:eastAsia="Arial" w:hAnsi="Arial"/>
                <w:sz w:val="20"/>
                <w:szCs w:val="20"/>
                <w:b w:val="1"/>
                <w:bCs w:val="1"/>
                <w:color w:val="auto"/>
                <w:w w:val="91"/>
              </w:rPr>
              <w:t>Tranche C</w:t>
            </w:r>
          </w:p>
        </w:tc>
        <w:tc>
          <w:tcPr>
            <w:tcW w:w="0" w:type="dxa"/>
            <w:vAlign w:val="bottom"/>
          </w:tcPr>
          <w:p>
            <w:pPr>
              <w:spacing w:after="0"/>
              <w:rPr>
                <w:sz w:val="1"/>
                <w:szCs w:val="1"/>
                <w:color w:val="auto"/>
              </w:rPr>
            </w:pPr>
          </w:p>
        </w:tc>
      </w:tr>
      <w:tr>
        <w:trPr>
          <w:trHeight w:val="166"/>
        </w:trPr>
        <w:tc>
          <w:tcPr>
            <w:tcW w:w="3000" w:type="dxa"/>
            <w:vAlign w:val="bottom"/>
            <w:vMerge w:val="continue"/>
          </w:tcPr>
          <w:p>
            <w:pPr>
              <w:spacing w:after="0"/>
              <w:rPr>
                <w:sz w:val="14"/>
                <w:szCs w:val="14"/>
                <w:color w:val="auto"/>
              </w:rPr>
            </w:pPr>
          </w:p>
        </w:tc>
        <w:tc>
          <w:tcPr>
            <w:tcW w:w="2840" w:type="dxa"/>
            <w:vAlign w:val="bottom"/>
            <w:vMerge w:val="restart"/>
          </w:tcPr>
          <w:p>
            <w:pPr>
              <w:jc w:val="center"/>
              <w:ind w:right="1"/>
              <w:spacing w:after="0"/>
              <w:rPr>
                <w:sz w:val="20"/>
                <w:szCs w:val="20"/>
                <w:color w:val="auto"/>
              </w:rPr>
            </w:pPr>
            <w:r>
              <w:rPr>
                <w:rFonts w:ascii="Arial" w:cs="Arial" w:eastAsia="Arial" w:hAnsi="Arial"/>
                <w:sz w:val="20"/>
                <w:szCs w:val="20"/>
                <w:b w:val="1"/>
                <w:bCs w:val="1"/>
                <w:color w:val="auto"/>
                <w:w w:val="92"/>
              </w:rPr>
              <w:t>Commitment (USD)</w:t>
            </w:r>
          </w:p>
        </w:tc>
        <w:tc>
          <w:tcPr>
            <w:tcW w:w="2860" w:type="dxa"/>
            <w:vAlign w:val="bottom"/>
            <w:vMerge w:val="restart"/>
          </w:tcPr>
          <w:p>
            <w:pPr>
              <w:jc w:val="center"/>
              <w:ind w:left="41"/>
              <w:spacing w:after="0"/>
              <w:rPr>
                <w:sz w:val="20"/>
                <w:szCs w:val="20"/>
                <w:color w:val="auto"/>
              </w:rPr>
            </w:pPr>
            <w:r>
              <w:rPr>
                <w:rFonts w:ascii="Arial" w:cs="Arial" w:eastAsia="Arial" w:hAnsi="Arial"/>
                <w:sz w:val="20"/>
                <w:szCs w:val="20"/>
                <w:b w:val="1"/>
                <w:bCs w:val="1"/>
                <w:color w:val="auto"/>
                <w:w w:val="95"/>
              </w:rPr>
              <w:t>Commitment (HKD)</w:t>
            </w:r>
          </w:p>
        </w:tc>
        <w:tc>
          <w:tcPr>
            <w:tcW w:w="2240" w:type="dxa"/>
            <w:vAlign w:val="bottom"/>
            <w:vMerge w:val="restart"/>
          </w:tcPr>
          <w:p>
            <w:pPr>
              <w:jc w:val="center"/>
              <w:ind w:left="401"/>
              <w:spacing w:after="0"/>
              <w:rPr>
                <w:sz w:val="20"/>
                <w:szCs w:val="20"/>
                <w:color w:val="auto"/>
              </w:rPr>
            </w:pPr>
            <w:r>
              <w:rPr>
                <w:rFonts w:ascii="Arial" w:cs="Arial" w:eastAsia="Arial" w:hAnsi="Arial"/>
                <w:sz w:val="20"/>
                <w:szCs w:val="20"/>
                <w:b w:val="1"/>
                <w:bCs w:val="1"/>
                <w:color w:val="auto"/>
                <w:w w:val="94"/>
              </w:rPr>
              <w:t>Commitment (HKD)</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1"/>
        </w:trPr>
        <w:tc>
          <w:tcPr>
            <w:tcW w:w="3000" w:type="dxa"/>
            <w:vAlign w:val="bottom"/>
          </w:tcPr>
          <w:p>
            <w:pPr>
              <w:spacing w:after="0"/>
              <w:rPr>
                <w:sz w:val="20"/>
                <w:szCs w:val="20"/>
                <w:color w:val="auto"/>
              </w:rPr>
            </w:pPr>
            <w:r>
              <w:rPr>
                <w:rFonts w:ascii="Arial" w:cs="Arial" w:eastAsia="Arial" w:hAnsi="Arial"/>
                <w:sz w:val="20"/>
                <w:szCs w:val="20"/>
                <w:color w:val="auto"/>
              </w:rPr>
              <w:t>Bank of China Limited, Macau</w:t>
            </w: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20"/>
                <w:szCs w:val="20"/>
                <w:color w:val="auto"/>
              </w:rPr>
              <w:t>Branch</w:t>
            </w:r>
          </w:p>
        </w:tc>
        <w:tc>
          <w:tcPr>
            <w:tcW w:w="2840" w:type="dxa"/>
            <w:vAlign w:val="bottom"/>
          </w:tcPr>
          <w:p>
            <w:pPr>
              <w:jc w:val="center"/>
              <w:ind w:right="1"/>
              <w:spacing w:after="0"/>
              <w:rPr>
                <w:sz w:val="20"/>
                <w:szCs w:val="20"/>
                <w:color w:val="auto"/>
              </w:rPr>
            </w:pPr>
            <w:r>
              <w:rPr>
                <w:rFonts w:ascii="Arial" w:cs="Arial" w:eastAsia="Arial" w:hAnsi="Arial"/>
                <w:sz w:val="20"/>
                <w:szCs w:val="20"/>
                <w:color w:val="auto"/>
                <w:w w:val="89"/>
              </w:rPr>
              <w:t>1,305,000,000</w:t>
            </w:r>
          </w:p>
        </w:tc>
        <w:tc>
          <w:tcPr>
            <w:tcW w:w="2860" w:type="dxa"/>
            <w:vAlign w:val="bottom"/>
          </w:tcPr>
          <w:p>
            <w:pPr>
              <w:jc w:val="center"/>
              <w:ind w:left="21"/>
              <w:spacing w:after="0"/>
              <w:rPr>
                <w:sz w:val="20"/>
                <w:szCs w:val="20"/>
                <w:color w:val="auto"/>
              </w:rPr>
            </w:pPr>
            <w:r>
              <w:rPr>
                <w:rFonts w:ascii="Arial" w:cs="Arial" w:eastAsia="Arial" w:hAnsi="Arial"/>
                <w:sz w:val="20"/>
                <w:szCs w:val="20"/>
                <w:color w:val="auto"/>
                <w:w w:val="89"/>
              </w:rPr>
              <w:t>6,208,800,000</w:t>
            </w:r>
          </w:p>
        </w:tc>
        <w:tc>
          <w:tcPr>
            <w:tcW w:w="2240" w:type="dxa"/>
            <w:vAlign w:val="bottom"/>
          </w:tcPr>
          <w:p>
            <w:pPr>
              <w:jc w:val="center"/>
              <w:ind w:left="401"/>
              <w:spacing w:after="0"/>
              <w:rPr>
                <w:sz w:val="20"/>
                <w:szCs w:val="20"/>
                <w:color w:val="auto"/>
              </w:rPr>
            </w:pPr>
            <w:r>
              <w:rPr>
                <w:rFonts w:ascii="Arial" w:cs="Arial" w:eastAsia="Arial" w:hAnsi="Arial"/>
                <w:sz w:val="20"/>
                <w:szCs w:val="20"/>
                <w:color w:val="auto"/>
                <w:w w:val="89"/>
              </w:rPr>
              <w:t>1,560,000,000</w:t>
            </w:r>
          </w:p>
        </w:tc>
        <w:tc>
          <w:tcPr>
            <w:tcW w:w="0" w:type="dxa"/>
            <w:vAlign w:val="bottom"/>
          </w:tcPr>
          <w:p>
            <w:pPr>
              <w:spacing w:after="0"/>
              <w:rPr>
                <w:sz w:val="1"/>
                <w:szCs w:val="1"/>
                <w:color w:val="auto"/>
              </w:rPr>
            </w:pPr>
          </w:p>
        </w:tc>
      </w:tr>
      <w:tr>
        <w:trPr>
          <w:trHeight w:val="608"/>
        </w:trPr>
        <w:tc>
          <w:tcPr>
            <w:tcW w:w="300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2840" w:type="dxa"/>
            <w:vAlign w:val="bottom"/>
          </w:tcPr>
          <w:p>
            <w:pPr>
              <w:jc w:val="center"/>
              <w:ind w:right="1"/>
              <w:spacing w:after="0"/>
              <w:rPr>
                <w:sz w:val="20"/>
                <w:szCs w:val="20"/>
                <w:color w:val="auto"/>
              </w:rPr>
            </w:pPr>
            <w:r>
              <w:rPr>
                <w:rFonts w:ascii="Arial" w:cs="Arial" w:eastAsia="Arial" w:hAnsi="Arial"/>
                <w:sz w:val="20"/>
                <w:szCs w:val="20"/>
                <w:color w:val="auto"/>
                <w:w w:val="89"/>
              </w:rPr>
              <w:t>1,305,000,000</w:t>
            </w:r>
          </w:p>
        </w:tc>
        <w:tc>
          <w:tcPr>
            <w:tcW w:w="2860" w:type="dxa"/>
            <w:vAlign w:val="bottom"/>
          </w:tcPr>
          <w:p>
            <w:pPr>
              <w:jc w:val="center"/>
              <w:ind w:left="21"/>
              <w:spacing w:after="0"/>
              <w:rPr>
                <w:sz w:val="20"/>
                <w:szCs w:val="20"/>
                <w:color w:val="auto"/>
              </w:rPr>
            </w:pPr>
            <w:r>
              <w:rPr>
                <w:rFonts w:ascii="Arial" w:cs="Arial" w:eastAsia="Arial" w:hAnsi="Arial"/>
                <w:sz w:val="20"/>
                <w:szCs w:val="20"/>
                <w:color w:val="auto"/>
                <w:w w:val="89"/>
              </w:rPr>
              <w:t>6,208,800,000</w:t>
            </w:r>
          </w:p>
        </w:tc>
        <w:tc>
          <w:tcPr>
            <w:tcW w:w="2240" w:type="dxa"/>
            <w:vAlign w:val="bottom"/>
          </w:tcPr>
          <w:p>
            <w:pPr>
              <w:jc w:val="center"/>
              <w:ind w:left="401"/>
              <w:spacing w:after="0"/>
              <w:rPr>
                <w:sz w:val="20"/>
                <w:szCs w:val="20"/>
                <w:color w:val="auto"/>
              </w:rPr>
            </w:pPr>
            <w:r>
              <w:rPr>
                <w:rFonts w:ascii="Arial" w:cs="Arial" w:eastAsia="Arial" w:hAnsi="Arial"/>
                <w:sz w:val="20"/>
                <w:szCs w:val="20"/>
                <w:color w:val="auto"/>
                <w:w w:val="89"/>
              </w:rPr>
              <w:t>1,560,000,000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80" w:type="dxa"/>
            <w:vAlign w:val="bottom"/>
          </w:tcPr>
          <w:p>
            <w:pPr>
              <w:ind w:left="4940"/>
              <w:spacing w:after="0"/>
              <w:rPr>
                <w:sz w:val="20"/>
                <w:szCs w:val="20"/>
                <w:color w:val="auto"/>
              </w:rPr>
            </w:pPr>
            <w:r>
              <w:rPr>
                <w:rFonts w:ascii="Arial" w:cs="Arial" w:eastAsia="Arial" w:hAnsi="Arial"/>
                <w:sz w:val="20"/>
                <w:szCs w:val="20"/>
                <w:b w:val="1"/>
                <w:bCs w:val="1"/>
                <w:color w:val="auto"/>
              </w:rPr>
              <w:t>SCHEDULE 2</w:t>
            </w:r>
          </w:p>
        </w:tc>
        <w:tc>
          <w:tcPr>
            <w:tcW w:w="1800" w:type="dxa"/>
            <w:vAlign w:val="bottom"/>
          </w:tcPr>
          <w:p>
            <w:pPr>
              <w:spacing w:after="0"/>
              <w:rPr>
                <w:sz w:val="22"/>
                <w:szCs w:val="22"/>
                <w:color w:val="auto"/>
              </w:rPr>
            </w:pPr>
          </w:p>
        </w:tc>
      </w:tr>
      <w:tr>
        <w:trPr>
          <w:trHeight w:val="322"/>
        </w:trPr>
        <w:tc>
          <w:tcPr>
            <w:tcW w:w="7280" w:type="dxa"/>
            <w:vAlign w:val="bottom"/>
          </w:tcPr>
          <w:p>
            <w:pPr>
              <w:ind w:left="4540"/>
              <w:spacing w:after="0"/>
              <w:rPr>
                <w:sz w:val="20"/>
                <w:szCs w:val="20"/>
                <w:color w:val="auto"/>
              </w:rPr>
            </w:pPr>
            <w:r>
              <w:rPr>
                <w:rFonts w:ascii="Arial" w:cs="Arial" w:eastAsia="Arial" w:hAnsi="Arial"/>
                <w:sz w:val="19"/>
                <w:szCs w:val="19"/>
                <w:b w:val="1"/>
                <w:bCs w:val="1"/>
                <w:color w:val="auto"/>
              </w:rPr>
              <w:t>REPAYMENT SCHEDULE</w:t>
            </w:r>
          </w:p>
        </w:tc>
        <w:tc>
          <w:tcPr>
            <w:tcW w:w="1800" w:type="dxa"/>
            <w:vAlign w:val="bottom"/>
          </w:tcPr>
          <w:p>
            <w:pPr>
              <w:spacing w:after="0"/>
              <w:rPr>
                <w:sz w:val="24"/>
                <w:szCs w:val="24"/>
                <w:color w:val="auto"/>
              </w:rPr>
            </w:pPr>
          </w:p>
        </w:tc>
      </w:tr>
      <w:tr>
        <w:trPr>
          <w:trHeight w:val="664"/>
        </w:trPr>
        <w:tc>
          <w:tcPr>
            <w:tcW w:w="7280" w:type="dxa"/>
            <w:vAlign w:val="bottom"/>
          </w:tcPr>
          <w:p>
            <w:pPr>
              <w:spacing w:after="0"/>
              <w:rPr>
                <w:sz w:val="20"/>
                <w:szCs w:val="20"/>
                <w:color w:val="auto"/>
              </w:rPr>
            </w:pPr>
            <w:r>
              <w:rPr>
                <w:rFonts w:ascii="Arial" w:cs="Arial" w:eastAsia="Arial" w:hAnsi="Arial"/>
                <w:sz w:val="20"/>
                <w:szCs w:val="20"/>
                <w:b w:val="1"/>
                <w:bCs w:val="1"/>
                <w:color w:val="auto"/>
              </w:rPr>
              <w:t>Repayment Date</w:t>
            </w:r>
          </w:p>
        </w:tc>
        <w:tc>
          <w:tcPr>
            <w:tcW w:w="1800" w:type="dxa"/>
            <w:vAlign w:val="bottom"/>
          </w:tcPr>
          <w:p>
            <w:pPr>
              <w:ind w:left="480"/>
              <w:spacing w:after="0"/>
              <w:rPr>
                <w:sz w:val="20"/>
                <w:szCs w:val="20"/>
                <w:color w:val="auto"/>
              </w:rPr>
            </w:pPr>
            <w:r>
              <w:rPr>
                <w:rFonts w:ascii="Arial" w:cs="Arial" w:eastAsia="Arial" w:hAnsi="Arial"/>
                <w:sz w:val="20"/>
                <w:szCs w:val="20"/>
                <w:b w:val="1"/>
                <w:bCs w:val="1"/>
                <w:color w:val="auto"/>
                <w:w w:val="89"/>
              </w:rPr>
              <w:t>Percentage (%)</w:t>
            </w:r>
          </w:p>
        </w:tc>
      </w:tr>
      <w:tr>
        <w:trPr>
          <w:trHeight w:val="587"/>
        </w:trPr>
        <w:tc>
          <w:tcPr>
            <w:tcW w:w="7280" w:type="dxa"/>
            <w:vAlign w:val="bottom"/>
          </w:tcPr>
          <w:p>
            <w:pPr>
              <w:spacing w:after="0"/>
              <w:rPr>
                <w:sz w:val="20"/>
                <w:szCs w:val="20"/>
                <w:color w:val="auto"/>
              </w:rPr>
            </w:pPr>
            <w:r>
              <w:rPr>
                <w:rFonts w:ascii="Arial" w:cs="Arial" w:eastAsia="Arial" w:hAnsi="Arial"/>
                <w:sz w:val="20"/>
                <w:szCs w:val="20"/>
                <w:color w:val="auto"/>
              </w:rPr>
              <w:t>The 13</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2</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2</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2</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2</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4</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4</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19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4</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4</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2</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7</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3</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7</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3</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23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5"/>
              </w:rPr>
              <w:t>7</w:t>
            </w:r>
            <w:r>
              <w:rPr>
                <w:rFonts w:ascii="Arial" w:cs="Arial" w:eastAsia="Arial" w:hAnsi="Arial"/>
                <w:sz w:val="25"/>
                <w:szCs w:val="25"/>
                <w:color w:val="auto"/>
                <w:w w:val="85"/>
                <w:vertAlign w:val="superscript"/>
              </w:rPr>
              <w:t>1</w:t>
            </w:r>
            <w:r>
              <w:rPr>
                <w:rFonts w:ascii="Arial" w:cs="Arial" w:eastAsia="Arial" w:hAnsi="Arial"/>
                <w:sz w:val="20"/>
                <w:szCs w:val="20"/>
                <w:color w:val="auto"/>
                <w:w w:val="85"/>
              </w:rPr>
              <w:t>/</w:t>
            </w:r>
            <w:r>
              <w:rPr>
                <w:rFonts w:ascii="Arial" w:cs="Arial" w:eastAsia="Arial" w:hAnsi="Arial"/>
                <w:sz w:val="12"/>
                <w:szCs w:val="12"/>
                <w:color w:val="auto"/>
                <w:w w:val="85"/>
              </w:rPr>
              <w:t>3</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w:t>
            </w:r>
          </w:p>
        </w:tc>
        <w:tc>
          <w:tcPr>
            <w:tcW w:w="1800" w:type="dxa"/>
            <w:vAlign w:val="bottom"/>
          </w:tcPr>
          <w:p>
            <w:pPr>
              <w:spacing w:after="0"/>
              <w:rPr>
                <w:sz w:val="21"/>
                <w:szCs w:val="21"/>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20"/>
                <w:szCs w:val="20"/>
                <w:color w:val="auto"/>
              </w:rPr>
              <w:t>The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Quarterly Date falling after the Fifth Amendment Effective</w:t>
            </w:r>
          </w:p>
        </w:tc>
        <w:tc>
          <w:tcPr>
            <w:tcW w:w="1800" w:type="dxa"/>
            <w:vAlign w:val="bottom"/>
          </w:tcPr>
          <w:p>
            <w:pPr>
              <w:jc w:val="center"/>
              <w:ind w:left="381"/>
              <w:spacing w:after="0"/>
              <w:rPr>
                <w:sz w:val="20"/>
                <w:szCs w:val="20"/>
                <w:color w:val="auto"/>
              </w:rPr>
            </w:pPr>
            <w:r>
              <w:rPr>
                <w:rFonts w:ascii="Arial" w:cs="Arial" w:eastAsia="Arial" w:hAnsi="Arial"/>
                <w:sz w:val="20"/>
                <w:szCs w:val="20"/>
                <w:color w:val="auto"/>
                <w:w w:val="89"/>
              </w:rPr>
              <w:t>50</w:t>
            </w:r>
          </w:p>
        </w:tc>
      </w:tr>
      <w:tr>
        <w:trPr>
          <w:trHeight w:val="250"/>
        </w:trPr>
        <w:tc>
          <w:tcPr>
            <w:tcW w:w="7280" w:type="dxa"/>
            <w:vAlign w:val="bottom"/>
          </w:tcPr>
          <w:p>
            <w:pPr>
              <w:spacing w:after="0"/>
              <w:rPr>
                <w:sz w:val="20"/>
                <w:szCs w:val="20"/>
                <w:color w:val="auto"/>
              </w:rPr>
            </w:pPr>
            <w:r>
              <w:rPr>
                <w:rFonts w:ascii="Arial" w:cs="Arial" w:eastAsia="Arial" w:hAnsi="Arial"/>
                <w:sz w:val="20"/>
                <w:szCs w:val="20"/>
                <w:color w:val="auto"/>
              </w:rPr>
              <w:t>Date or, if earlier, the Final Repayment Date</w:t>
            </w:r>
          </w:p>
        </w:tc>
        <w:tc>
          <w:tcPr>
            <w:tcW w:w="1800" w:type="dxa"/>
            <w:vAlign w:val="bottom"/>
          </w:tcPr>
          <w:p>
            <w:pPr>
              <w:spacing w:after="0"/>
              <w:rPr>
                <w:sz w:val="21"/>
                <w:szCs w:val="21"/>
                <w:color w:val="auto"/>
              </w:rPr>
            </w:pPr>
          </w:p>
        </w:tc>
      </w:tr>
    </w:tbl>
    <w:p>
      <w:pPr>
        <w:sectPr>
          <w:pgSz w:w="11900" w:h="16838" w:orient="portrait"/>
          <w:cols w:equalWidth="0" w:num="1">
            <w:col w:w="10940"/>
          </w:cols>
          <w:pgMar w:left="280" w:top="603" w:right="67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ind w:left="8040"/>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 xml:space="preserve">DATED </w:t>
      </w:r>
      <w:r>
        <w:rPr>
          <w:rFonts w:ascii="Arial" w:cs="Arial" w:eastAsia="Arial" w:hAnsi="Arial"/>
          <w:sz w:val="20"/>
          <w:szCs w:val="20"/>
          <w:color w:val="auto"/>
        </w:rPr>
        <w:t>September 30, 2015</w:t>
      </w:r>
    </w:p>
    <w:p>
      <w:pPr>
        <w:spacing w:after="0" w:line="200" w:lineRule="exact"/>
        <w:rPr>
          <w:sz w:val="20"/>
          <w:szCs w:val="20"/>
          <w:color w:val="auto"/>
        </w:rPr>
      </w:pPr>
    </w:p>
    <w:p>
      <w:pPr>
        <w:spacing w:after="0" w:line="31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Revolving Credit Facility Agent</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Revolving Credit Facility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583565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REVOLVING CREDIT FACILITY AGREEMENT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17145</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308" w:name="page309"/>
    <w:bookmarkEnd w:id="308"/>
    <w:p>
      <w:pPr>
        <w:jc w:val="center"/>
        <w:ind w:right="-299"/>
        <w:spacing w:after="0"/>
        <w:rPr>
          <w:sz w:val="20"/>
          <w:szCs w:val="20"/>
          <w:color w:val="auto"/>
        </w:rPr>
      </w:pPr>
      <w:r>
        <w:rPr>
          <w:rFonts w:ascii="Arial" w:cs="Arial" w:eastAsia="Arial" w:hAnsi="Arial"/>
          <w:sz w:val="20"/>
          <w:szCs w:val="20"/>
          <w:b w:val="1"/>
          <w:bCs w:val="1"/>
          <w:color w:val="auto"/>
        </w:rPr>
        <w:t>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Clause</w:t>
            </w: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40" w:type="dxa"/>
            <w:vAlign w:val="bottom"/>
          </w:tcPr>
          <w:p>
            <w:pPr>
              <w:ind w:left="1640"/>
              <w:spacing w:after="0"/>
              <w:rPr>
                <w:sz w:val="20"/>
                <w:szCs w:val="20"/>
                <w:color w:val="auto"/>
              </w:rPr>
            </w:pPr>
            <w:r>
              <w:rPr>
                <w:rFonts w:ascii="Arial" w:cs="Arial" w:eastAsia="Arial" w:hAnsi="Arial"/>
                <w:sz w:val="20"/>
                <w:szCs w:val="20"/>
                <w:b w:val="1"/>
                <w:bCs w:val="1"/>
                <w:color w:val="auto"/>
                <w:w w:val="79"/>
              </w:rPr>
              <w:t>Page</w:t>
            </w:r>
          </w:p>
        </w:tc>
        <w:tc>
          <w:tcPr>
            <w:tcW w:w="0" w:type="dxa"/>
            <w:vAlign w:val="bottom"/>
          </w:tcPr>
          <w:p>
            <w:pPr>
              <w:spacing w:after="0"/>
              <w:rPr>
                <w:sz w:val="1"/>
                <w:szCs w:val="1"/>
                <w:color w:val="auto"/>
              </w:rPr>
            </w:pPr>
          </w:p>
        </w:tc>
      </w:tr>
      <w:tr>
        <w:trPr>
          <w:trHeight w:val="216"/>
        </w:trPr>
        <w:tc>
          <w:tcPr>
            <w:tcW w:w="1660" w:type="dxa"/>
            <w:vAlign w:val="bottom"/>
            <w:gridSpan w:val="3"/>
            <w:vMerge w:val="continue"/>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tcPr>
          <w:p>
            <w:pPr>
              <w:spacing w:after="0"/>
              <w:rPr>
                <w:rFonts w:ascii="Arial" w:cs="Arial" w:eastAsia="Arial" w:hAnsi="Arial"/>
                <w:sz w:val="20"/>
                <w:szCs w:val="20"/>
                <w:color w:val="0000EE"/>
                <w:w w:val="71"/>
              </w:rPr>
            </w:pPr>
            <w:hyperlink w:anchor="page310">
              <w:r>
                <w:rPr>
                  <w:rFonts w:ascii="Arial" w:cs="Arial" w:eastAsia="Arial" w:hAnsi="Arial"/>
                  <w:sz w:val="20"/>
                  <w:szCs w:val="20"/>
                  <w:color w:val="0000EE"/>
                  <w:w w:val="71"/>
                </w:rPr>
                <w:t>1.</w:t>
              </w:r>
            </w:hyperlink>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60" w:type="dxa"/>
            <w:vAlign w:val="bottom"/>
            <w:gridSpan w:val="6"/>
          </w:tcPr>
          <w:p>
            <w:pPr>
              <w:spacing w:after="0"/>
              <w:rPr>
                <w:sz w:val="20"/>
                <w:szCs w:val="20"/>
                <w:color w:val="auto"/>
              </w:rPr>
            </w:pPr>
            <w:r>
              <w:rPr>
                <w:rFonts w:ascii="Arial" w:cs="Arial" w:eastAsia="Arial" w:hAnsi="Arial"/>
                <w:sz w:val="20"/>
                <w:szCs w:val="20"/>
                <w:b w:val="1"/>
                <w:bCs w:val="1"/>
                <w:color w:val="0000FF"/>
              </w:rPr>
              <w:t>DEFINITIONS AND INTERPRETATION</w:t>
            </w:r>
          </w:p>
        </w:tc>
        <w:tc>
          <w:tcPr>
            <w:tcW w:w="2040" w:type="dxa"/>
            <w:vAlign w:val="bottom"/>
          </w:tcPr>
          <w:p>
            <w:pPr>
              <w:ind w:left="16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140" w:type="dxa"/>
            <w:vAlign w:val="bottom"/>
            <w:tcBorders>
              <w:top w:val="single" w:sz="8" w:color="0000EE"/>
              <w:bottom w:val="single" w:sz="8" w:color="0000EE"/>
            </w:tcBorders>
          </w:tcPr>
          <w:p>
            <w:pPr>
              <w:spacing w:after="0"/>
              <w:rPr>
                <w:rFonts w:ascii="Arial" w:cs="Arial" w:eastAsia="Arial" w:hAnsi="Arial"/>
                <w:sz w:val="20"/>
                <w:szCs w:val="20"/>
                <w:color w:val="0000EE"/>
                <w:w w:val="71"/>
              </w:rPr>
            </w:pPr>
            <w:hyperlink w:anchor="page311">
              <w:r>
                <w:rPr>
                  <w:rFonts w:ascii="Arial" w:cs="Arial" w:eastAsia="Arial" w:hAnsi="Arial"/>
                  <w:sz w:val="20"/>
                  <w:szCs w:val="20"/>
                  <w:color w:val="0000EE"/>
                  <w:w w:val="71"/>
                </w:rPr>
                <w:t>2.</w:t>
              </w:r>
            </w:hyperlink>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b w:val="1"/>
                <w:bCs w:val="1"/>
                <w:color w:val="0000FF"/>
              </w:rPr>
              <w:t>AMENDMENT</w:t>
            </w:r>
          </w:p>
        </w:tc>
        <w:tc>
          <w:tcPr>
            <w:tcW w:w="2260" w:type="dxa"/>
            <w:vAlign w:val="bottom"/>
            <w:tcBorders>
              <w:top w:val="single" w:sz="8" w:color="0000FF"/>
            </w:tcBorders>
            <w:gridSpan w:val="2"/>
          </w:tcPr>
          <w:p>
            <w:pPr>
              <w:spacing w:after="0"/>
              <w:rPr>
                <w:sz w:val="22"/>
                <w:szCs w:val="22"/>
                <w:color w:val="auto"/>
              </w:rPr>
            </w:pPr>
          </w:p>
        </w:tc>
        <w:tc>
          <w:tcPr>
            <w:tcW w:w="2060" w:type="dxa"/>
            <w:vAlign w:val="bottom"/>
            <w:gridSpan w:val="3"/>
          </w:tcPr>
          <w:p>
            <w:pPr>
              <w:spacing w:after="0"/>
              <w:rPr>
                <w:sz w:val="22"/>
                <w:szCs w:val="22"/>
                <w:color w:val="auto"/>
              </w:rPr>
            </w:pPr>
          </w:p>
        </w:tc>
        <w:tc>
          <w:tcPr>
            <w:tcW w:w="2040" w:type="dxa"/>
            <w:vAlign w:val="bottom"/>
          </w:tcPr>
          <w:p>
            <w:pPr>
              <w:ind w:left="16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140" w:type="dxa"/>
            <w:vAlign w:val="bottom"/>
          </w:tcPr>
          <w:p>
            <w:pPr>
              <w:spacing w:after="0"/>
              <w:rPr>
                <w:rFonts w:ascii="Arial" w:cs="Arial" w:eastAsia="Arial" w:hAnsi="Arial"/>
                <w:sz w:val="20"/>
                <w:szCs w:val="20"/>
                <w:color w:val="0000EE"/>
                <w:w w:val="71"/>
              </w:rPr>
            </w:pPr>
            <w:hyperlink w:anchor="page311">
              <w:r>
                <w:rPr>
                  <w:rFonts w:ascii="Arial" w:cs="Arial" w:eastAsia="Arial" w:hAnsi="Arial"/>
                  <w:sz w:val="20"/>
                  <w:szCs w:val="20"/>
                  <w:color w:val="0000EE"/>
                  <w:w w:val="71"/>
                </w:rPr>
                <w:t>3.</w:t>
              </w:r>
            </w:hyperlink>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60" w:type="dxa"/>
            <w:vAlign w:val="bottom"/>
            <w:gridSpan w:val="6"/>
          </w:tcPr>
          <w:p>
            <w:pPr>
              <w:spacing w:after="0"/>
              <w:rPr>
                <w:sz w:val="20"/>
                <w:szCs w:val="20"/>
                <w:color w:val="auto"/>
              </w:rPr>
            </w:pPr>
            <w:r>
              <w:rPr>
                <w:rFonts w:ascii="Arial" w:cs="Arial" w:eastAsia="Arial" w:hAnsi="Arial"/>
                <w:sz w:val="20"/>
                <w:szCs w:val="20"/>
                <w:b w:val="1"/>
                <w:bCs w:val="1"/>
                <w:color w:val="0000FF"/>
              </w:rPr>
              <w:t>CONTINUITY AND FURTHER ASSURANCE</w:t>
            </w:r>
          </w:p>
        </w:tc>
        <w:tc>
          <w:tcPr>
            <w:tcW w:w="2040" w:type="dxa"/>
            <w:vAlign w:val="bottom"/>
          </w:tcPr>
          <w:p>
            <w:pPr>
              <w:ind w:left="16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40" w:type="dxa"/>
            <w:vAlign w:val="bottom"/>
            <w:tcBorders>
              <w:top w:val="single" w:sz="8" w:color="0000EE"/>
              <w:bottom w:val="single" w:sz="8" w:color="0000EE"/>
            </w:tcBorders>
          </w:tcPr>
          <w:p>
            <w:pPr>
              <w:spacing w:after="0"/>
              <w:rPr>
                <w:rFonts w:ascii="Arial" w:cs="Arial" w:eastAsia="Arial" w:hAnsi="Arial"/>
                <w:sz w:val="20"/>
                <w:szCs w:val="20"/>
                <w:color w:val="0000EE"/>
                <w:w w:val="71"/>
              </w:rPr>
            </w:pPr>
            <w:hyperlink w:anchor="page311">
              <w:r>
                <w:rPr>
                  <w:rFonts w:ascii="Arial" w:cs="Arial" w:eastAsia="Arial" w:hAnsi="Arial"/>
                  <w:sz w:val="20"/>
                  <w:szCs w:val="20"/>
                  <w:color w:val="0000EE"/>
                  <w:w w:val="71"/>
                </w:rPr>
                <w:t>4.</w:t>
              </w:r>
            </w:hyperlink>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99"/>
              </w:rPr>
              <w:t>MISCELLANEOUS</w:t>
            </w:r>
          </w:p>
        </w:tc>
        <w:tc>
          <w:tcPr>
            <w:tcW w:w="2280" w:type="dxa"/>
            <w:vAlign w:val="bottom"/>
            <w:tcBorders>
              <w:top w:val="single" w:sz="8" w:color="0000FF"/>
            </w:tcBorders>
            <w:gridSpan w:val="3"/>
          </w:tcPr>
          <w:p>
            <w:pPr>
              <w:spacing w:after="0"/>
              <w:rPr>
                <w:sz w:val="22"/>
                <w:szCs w:val="22"/>
                <w:color w:val="auto"/>
              </w:rPr>
            </w:pPr>
          </w:p>
        </w:tc>
        <w:tc>
          <w:tcPr>
            <w:tcW w:w="1640" w:type="dxa"/>
            <w:vAlign w:val="bottom"/>
          </w:tcPr>
          <w:p>
            <w:pPr>
              <w:spacing w:after="0"/>
              <w:rPr>
                <w:sz w:val="22"/>
                <w:szCs w:val="22"/>
                <w:color w:val="auto"/>
              </w:rPr>
            </w:pPr>
          </w:p>
        </w:tc>
        <w:tc>
          <w:tcPr>
            <w:tcW w:w="2040" w:type="dxa"/>
            <w:vAlign w:val="bottom"/>
          </w:tcPr>
          <w:p>
            <w:pPr>
              <w:ind w:left="16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40" w:type="dxa"/>
            <w:vAlign w:val="bottom"/>
            <w:tcBorders>
              <w:bottom w:val="single" w:sz="8" w:color="0000EE"/>
            </w:tcBorders>
          </w:tcPr>
          <w:p>
            <w:pPr>
              <w:spacing w:after="0"/>
              <w:rPr>
                <w:rFonts w:ascii="Arial" w:cs="Arial" w:eastAsia="Arial" w:hAnsi="Arial"/>
                <w:sz w:val="20"/>
                <w:szCs w:val="20"/>
                <w:color w:val="0000EE"/>
                <w:w w:val="71"/>
              </w:rPr>
            </w:pPr>
            <w:hyperlink w:anchor="page312">
              <w:r>
                <w:rPr>
                  <w:rFonts w:ascii="Arial" w:cs="Arial" w:eastAsia="Arial" w:hAnsi="Arial"/>
                  <w:sz w:val="20"/>
                  <w:szCs w:val="20"/>
                  <w:color w:val="0000EE"/>
                  <w:w w:val="71"/>
                </w:rPr>
                <w:t>5.</w:t>
              </w:r>
            </w:hyperlink>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99"/>
              </w:rPr>
              <w:t>GOVERNING LAW</w:t>
            </w:r>
          </w:p>
        </w:tc>
        <w:tc>
          <w:tcPr>
            <w:tcW w:w="3920" w:type="dxa"/>
            <w:vAlign w:val="bottom"/>
            <w:gridSpan w:val="4"/>
          </w:tcPr>
          <w:p>
            <w:pPr>
              <w:spacing w:after="0"/>
              <w:rPr>
                <w:sz w:val="22"/>
                <w:szCs w:val="22"/>
                <w:color w:val="auto"/>
              </w:rPr>
            </w:pPr>
          </w:p>
        </w:tc>
        <w:tc>
          <w:tcPr>
            <w:tcW w:w="2040" w:type="dxa"/>
            <w:vAlign w:val="bottom"/>
          </w:tcPr>
          <w:p>
            <w:pPr>
              <w:ind w:left="16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660" w:type="dxa"/>
            <w:vAlign w:val="bottom"/>
            <w:gridSpan w:val="3"/>
          </w:tcPr>
          <w:p>
            <w:pPr>
              <w:spacing w:after="0"/>
              <w:rPr>
                <w:rFonts w:ascii="Arial" w:cs="Arial" w:eastAsia="Arial" w:hAnsi="Arial"/>
                <w:sz w:val="20"/>
                <w:szCs w:val="20"/>
                <w:color w:val="0000EE"/>
              </w:rPr>
            </w:pPr>
            <w:hyperlink w:anchor="page315">
              <w:r>
                <w:rPr>
                  <w:rFonts w:ascii="Arial" w:cs="Arial" w:eastAsia="Arial" w:hAnsi="Arial"/>
                  <w:sz w:val="20"/>
                  <w:szCs w:val="20"/>
                  <w:color w:val="0000EE"/>
                </w:rPr>
                <w:t>SCHEDULE</w:t>
              </w:r>
            </w:hyperlink>
          </w:p>
        </w:tc>
        <w:tc>
          <w:tcPr>
            <w:tcW w:w="5660" w:type="dxa"/>
            <w:vAlign w:val="bottom"/>
            <w:gridSpan w:val="6"/>
          </w:tcPr>
          <w:p>
            <w:pPr>
              <w:spacing w:after="0"/>
              <w:rPr>
                <w:sz w:val="20"/>
                <w:szCs w:val="20"/>
                <w:color w:val="auto"/>
              </w:rPr>
            </w:pPr>
            <w:r>
              <w:rPr>
                <w:rFonts w:ascii="Arial" w:cs="Arial" w:eastAsia="Arial" w:hAnsi="Arial"/>
                <w:sz w:val="20"/>
                <w:szCs w:val="20"/>
                <w:color w:val="0000FF"/>
              </w:rPr>
              <w:t>Amended Revolving Credit Facility Agreement</w:t>
            </w:r>
          </w:p>
        </w:tc>
        <w:tc>
          <w:tcPr>
            <w:tcW w:w="2040" w:type="dxa"/>
            <w:vAlign w:val="bottom"/>
          </w:tcPr>
          <w:p>
            <w:pPr>
              <w:ind w:left="16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60"/>
          </w:cols>
          <w:pgMar w:left="1120" w:top="711" w:right="1419" w:bottom="1440" w:gutter="0" w:footer="0" w:header="0"/>
        </w:sectPr>
      </w:pPr>
    </w:p>
    <w:bookmarkStart w:id="309" w:name="page310"/>
    <w:bookmarkEnd w:id="309"/>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September 30, 2015 and made between:</w:t>
      </w:r>
    </w:p>
    <w:p>
      <w:pPr>
        <w:spacing w:after="0" w:line="229" w:lineRule="exact"/>
        <w:rPr>
          <w:sz w:val="20"/>
          <w:szCs w:val="20"/>
          <w:color w:val="auto"/>
        </w:rPr>
      </w:pPr>
    </w:p>
    <w:p>
      <w:pPr>
        <w:ind w:left="560" w:hanging="552"/>
        <w:spacing w:after="0"/>
        <w:tabs>
          <w:tab w:leader="none" w:pos="560" w:val="left"/>
        </w:tabs>
        <w:numPr>
          <w:ilvl w:val="0"/>
          <w:numId w:val="425"/>
        </w:numPr>
        <w:rPr>
          <w:rFonts w:ascii="Arial" w:cs="Arial" w:eastAsia="Arial" w:hAnsi="Arial"/>
          <w:sz w:val="18"/>
          <w:szCs w:val="18"/>
          <w:color w:val="auto"/>
        </w:rPr>
      </w:pPr>
      <w:r>
        <w:rPr>
          <w:rFonts w:ascii="Arial" w:cs="Arial" w:eastAsia="Arial" w:hAnsi="Arial"/>
          <w:sz w:val="20"/>
          <w:szCs w:val="20"/>
          <w:b w:val="1"/>
          <w:bCs w:val="1"/>
          <w:color w:val="auto"/>
        </w:rPr>
        <w:t>WYNN RESORTS (MACAU) S.A</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Revolving Credit Facility Agent</w:t>
      </w:r>
      <w:r>
        <w:rPr>
          <w:rFonts w:ascii="Arial" w:cs="Arial" w:eastAsia="Arial" w:hAnsi="Arial"/>
          <w:sz w:val="19"/>
          <w:szCs w:val="19"/>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BANK OF CHINA LIMITED, MACAU BRANCH</w:t>
      </w:r>
      <w:r>
        <w:rPr>
          <w:rFonts w:ascii="Arial" w:cs="Arial" w:eastAsia="Arial" w:hAnsi="Arial"/>
          <w:sz w:val="18"/>
          <w:szCs w:val="18"/>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Revolving Credit Facility Lender</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560" w:hanging="552"/>
        <w:spacing w:after="0"/>
        <w:tabs>
          <w:tab w:leader="none" w:pos="560" w:val="left"/>
        </w:tabs>
        <w:numPr>
          <w:ilvl w:val="0"/>
          <w:numId w:val="426"/>
        </w:numPr>
        <w:rPr>
          <w:rFonts w:ascii="Arial" w:cs="Arial" w:eastAsia="Arial" w:hAnsi="Arial"/>
          <w:sz w:val="18"/>
          <w:szCs w:val="18"/>
          <w:color w:val="auto"/>
        </w:rPr>
      </w:pPr>
      <w:r>
        <w:rPr>
          <w:rFonts w:ascii="Arial" w:cs="Arial" w:eastAsia="Arial" w:hAnsi="Arial"/>
          <w:sz w:val="20"/>
          <w:szCs w:val="20"/>
          <w:color w:val="auto"/>
        </w:rPr>
        <w:t>The Company owns and operates Wynn Macau and is designing, developing and constructing the Cotai Project.</w:t>
      </w:r>
    </w:p>
    <w:p>
      <w:pPr>
        <w:spacing w:after="0" w:line="229" w:lineRule="exact"/>
        <w:rPr>
          <w:sz w:val="20"/>
          <w:szCs w:val="20"/>
          <w:color w:val="auto"/>
        </w:rPr>
      </w:pPr>
    </w:p>
    <w:p>
      <w:pPr>
        <w:jc w:val="both"/>
        <w:ind w:left="800" w:hanging="782"/>
        <w:spacing w:after="0" w:line="323" w:lineRule="auto"/>
        <w:rPr>
          <w:sz w:val="20"/>
          <w:szCs w:val="20"/>
          <w:color w:val="auto"/>
        </w:rPr>
      </w:pPr>
      <w:r>
        <w:rPr>
          <w:rFonts w:ascii="Arial" w:cs="Arial" w:eastAsia="Arial" w:hAnsi="Arial"/>
          <w:sz w:val="18"/>
          <w:szCs w:val="18"/>
          <w:color w:val="auto"/>
        </w:rPr>
        <w:t>(B)</w:t>
      </w:r>
      <w:r>
        <w:rPr>
          <w:rFonts w:ascii="Arial" w:cs="Arial" w:eastAsia="Arial" w:hAnsi="Arial"/>
          <w:sz w:val="19"/>
          <w:szCs w:val="19"/>
          <w:color w:val="auto"/>
        </w:rPr>
        <w:t>The Secured Parties have agreed to amend certain Senior Finance Documents and enter into additional Senior Finance Documents in</w:t>
      </w:r>
      <w:r>
        <w:rPr>
          <w:rFonts w:ascii="Arial" w:cs="Arial" w:eastAsia="Arial" w:hAnsi="Arial"/>
          <w:sz w:val="18"/>
          <w:szCs w:val="18"/>
          <w:color w:val="auto"/>
        </w:rPr>
        <w:t xml:space="preserve"> </w:t>
      </w:r>
      <w:r>
        <w:rPr>
          <w:rFonts w:ascii="Arial" w:cs="Arial" w:eastAsia="Arial" w:hAnsi="Arial"/>
          <w:sz w:val="19"/>
          <w:szCs w:val="19"/>
          <w:color w:val="auto"/>
        </w:rPr>
        <w:t>connection with Wynn Macau and the Cotai Project for the refinancing of existing indebtedness, for financing the design, development and construction of the Cotai Project and for the general corporate purposes of the Group (including investment in Excluded Subsidiaries, Excluded Projects or Resort Management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9"/>
          <w:szCs w:val="19"/>
          <w:color w:val="auto"/>
        </w:rPr>
        <w:t>It has been agreed to amend the Revolving Credit Facility Agreement as set out below.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ectPr>
          <w:pgSz w:w="11900" w:h="16838" w:orient="portrait"/>
          <w:cols w:equalWidth="0" w:num="1">
            <w:col w:w="11420"/>
          </w:cols>
          <w:pgMar w:left="240" w:top="575" w:right="239" w:bottom="1440" w:gutter="0" w:footer="0" w:header="0"/>
        </w:sectPr>
      </w:pPr>
    </w:p>
    <w:bookmarkStart w:id="310" w:name="page311"/>
    <w:bookmarkEnd w:id="310"/>
    <w:p>
      <w:pPr>
        <w:ind w:left="560" w:hanging="552"/>
        <w:spacing w:after="0"/>
        <w:tabs>
          <w:tab w:leader="none" w:pos="560" w:val="left"/>
        </w:tabs>
        <w:numPr>
          <w:ilvl w:val="0"/>
          <w:numId w:val="427"/>
        </w:numPr>
        <w:rPr>
          <w:rFonts w:ascii="Arial" w:cs="Arial" w:eastAsia="Arial" w:hAnsi="Arial"/>
          <w:sz w:val="18"/>
          <w:szCs w:val="18"/>
          <w:b w:val="1"/>
          <w:bCs w:val="1"/>
          <w:color w:val="auto"/>
        </w:rPr>
      </w:pPr>
      <w:r>
        <w:rPr>
          <w:rFonts w:ascii="Arial" w:cs="Arial" w:eastAsia="Arial" w:hAnsi="Arial"/>
          <w:sz w:val="20"/>
          <w:szCs w:val="20"/>
          <w:b w:val="1"/>
          <w:bCs w:val="1"/>
          <w:color w:val="auto"/>
        </w:rPr>
        <w:t>DEFINITIONS AND 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9"/>
          <w:szCs w:val="19"/>
          <w:b w:val="1"/>
          <w:bCs w:val="1"/>
          <w:color w:val="auto"/>
        </w:rPr>
        <w:t>Incorporation of defined terms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1.1.1</w:t>
      </w:r>
      <w:r>
        <w:rPr>
          <w:rFonts w:ascii="Arial" w:cs="Arial" w:eastAsia="Arial" w:hAnsi="Arial"/>
          <w:sz w:val="18"/>
          <w:szCs w:val="18"/>
          <w:color w:val="auto"/>
        </w:rPr>
        <w:t>Unless a contrary indication appears, a term defined in or by reference in the Schedule has the same meaning in this Agreement.</w:t>
      </w:r>
    </w:p>
    <w:p>
      <w:pPr>
        <w:spacing w:after="0" w:line="252" w:lineRule="exact"/>
        <w:rPr>
          <w:sz w:val="20"/>
          <w:szCs w:val="20"/>
          <w:color w:val="auto"/>
        </w:rPr>
      </w:pPr>
    </w:p>
    <w:p>
      <w:pPr>
        <w:jc w:val="both"/>
        <w:ind w:left="2120" w:right="20" w:hanging="1566"/>
        <w:spacing w:after="0" w:line="346" w:lineRule="auto"/>
        <w:rPr>
          <w:sz w:val="20"/>
          <w:szCs w:val="20"/>
          <w:color w:val="auto"/>
        </w:rPr>
      </w:pPr>
      <w:r>
        <w:rPr>
          <w:rFonts w:ascii="Arial" w:cs="Arial" w:eastAsia="Arial" w:hAnsi="Arial"/>
          <w:sz w:val="16"/>
          <w:szCs w:val="16"/>
          <w:color w:val="auto"/>
        </w:rPr>
        <w:t>1.1.2</w:t>
      </w:r>
      <w:r>
        <w:rPr>
          <w:rFonts w:ascii="Arial" w:cs="Arial" w:eastAsia="Arial" w:hAnsi="Arial"/>
          <w:sz w:val="19"/>
          <w:szCs w:val="19"/>
          <w:color w:val="auto"/>
        </w:rPr>
        <w:t>The principles of construction and rules of interpretation set out or referred to in the Schedule shall have effect as if set out in this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120" w:hanging="1566"/>
        <w:spacing w:after="0" w:line="329" w:lineRule="auto"/>
        <w:rPr>
          <w:sz w:val="20"/>
          <w:szCs w:val="20"/>
          <w:color w:val="auto"/>
        </w:rPr>
      </w:pPr>
      <w:r>
        <w:rPr>
          <w:rFonts w:ascii="Arial" w:cs="Arial" w:eastAsia="Arial" w:hAnsi="Arial"/>
          <w:sz w:val="16"/>
          <w:szCs w:val="16"/>
          <w:color w:val="auto"/>
        </w:rPr>
        <w:t>1.1.3</w:t>
      </w:r>
      <w:r>
        <w:rPr>
          <w:rFonts w:ascii="Arial" w:cs="Arial" w:eastAsia="Arial" w:hAnsi="Arial"/>
          <w:sz w:val="19"/>
          <w:szCs w:val="19"/>
          <w:color w:val="auto"/>
        </w:rPr>
        <w:t>Any references in the Senior Finance Documents to the "Revolving Credit Facility Agreement" shall be taken to be a reference to</w:t>
      </w:r>
      <w:r>
        <w:rPr>
          <w:rFonts w:ascii="Arial" w:cs="Arial" w:eastAsia="Arial" w:hAnsi="Arial"/>
          <w:sz w:val="16"/>
          <w:szCs w:val="16"/>
          <w:color w:val="auto"/>
        </w:rPr>
        <w:t xml:space="preserve"> </w:t>
      </w:r>
      <w:r>
        <w:rPr>
          <w:rFonts w:ascii="Arial" w:cs="Arial" w:eastAsia="Arial" w:hAnsi="Arial"/>
          <w:sz w:val="19"/>
          <w:szCs w:val="19"/>
          <w:color w:val="auto"/>
        </w:rPr>
        <w:t>the Revolving Credit Facility Agreement as set out in the Schedule, as further amended, consolidated, supplemented, confirmed, novated or replaced from time to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9"/>
          <w:szCs w:val="19"/>
          <w:b w:val="1"/>
          <w:bCs w:val="1"/>
          <w:color w:val="auto"/>
        </w:rPr>
        <w:t>Clauses</w:t>
      </w:r>
    </w:p>
    <w:p>
      <w:pPr>
        <w:spacing w:after="0" w:line="247" w:lineRule="exact"/>
        <w:rPr>
          <w:sz w:val="20"/>
          <w:szCs w:val="20"/>
          <w:color w:val="auto"/>
        </w:rPr>
      </w:pPr>
    </w:p>
    <w:p>
      <w:pPr>
        <w:jc w:val="both"/>
        <w:ind w:left="560" w:right="20"/>
        <w:spacing w:after="0" w:line="317" w:lineRule="auto"/>
        <w:rPr>
          <w:sz w:val="20"/>
          <w:szCs w:val="20"/>
          <w:color w:val="auto"/>
        </w:rPr>
      </w:pPr>
      <w:r>
        <w:rPr>
          <w:rFonts w:ascii="Arial" w:cs="Arial" w:eastAsia="Arial" w:hAnsi="Arial"/>
          <w:sz w:val="20"/>
          <w:szCs w:val="20"/>
          <w:color w:val="auto"/>
        </w:rPr>
        <w:t>In this Agreement any reference to a "Clause" or a "Schedule" is, unless the context otherwise requires, a reference to a Clause or a Schedule to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9"/>
          <w:szCs w:val="19"/>
          <w:b w:val="1"/>
          <w:bCs w:val="1"/>
          <w:color w:val="auto"/>
        </w:rPr>
        <w:t>AMENDMENT</w:t>
      </w:r>
    </w:p>
    <w:p>
      <w:pPr>
        <w:spacing w:after="0" w:line="247"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With effect from the Fifth Amendment Effective Date (as defined in the Common Terms Agreement Fifth Amendment Agreement), the Revolving Credit Facility Agreement shall be amended so that it shall be read and construed for all purposes as set out in the Schedule (</w:t>
      </w:r>
      <w:r>
        <w:rPr>
          <w:rFonts w:ascii="Arial" w:cs="Arial" w:eastAsia="Arial" w:hAnsi="Arial"/>
          <w:sz w:val="20"/>
          <w:szCs w:val="20"/>
          <w:i w:val="1"/>
          <w:iCs w:val="1"/>
          <w:color w:val="auto"/>
        </w:rPr>
        <w:t>Amended Revolving Credit Facility Agreement</w:t>
      </w:r>
      <w:r>
        <w:rPr>
          <w:rFonts w:ascii="Arial" w:cs="Arial" w:eastAsia="Arial" w:hAnsi="Arial"/>
          <w:sz w:val="20"/>
          <w:szCs w:val="20"/>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9"/>
          <w:szCs w:val="19"/>
          <w:b w:val="1"/>
          <w:bCs w:val="1"/>
          <w:color w:val="auto"/>
        </w:rPr>
        <w:t>CONTINUITY AND FURTHER ASSURANCE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9"/>
          <w:szCs w:val="19"/>
          <w:b w:val="1"/>
          <w:bCs w:val="1"/>
          <w:color w:val="auto"/>
        </w:rPr>
        <w:t>Continuing obligations</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provisions of the Revolving Credit Facility Agreement shall, save as amended by this Agreement, continue in full force and effect.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3.2</w:t>
      </w:r>
      <w:r>
        <w:rPr>
          <w:rFonts w:ascii="Arial" w:cs="Arial" w:eastAsia="Arial" w:hAnsi="Arial"/>
          <w:sz w:val="19"/>
          <w:szCs w:val="19"/>
          <w:b w:val="1"/>
          <w:bCs w:val="1"/>
          <w:color w:val="auto"/>
        </w:rPr>
        <w:t>Further assurance</w:t>
      </w:r>
    </w:p>
    <w:p>
      <w:pPr>
        <w:spacing w:after="0" w:line="247" w:lineRule="exact"/>
        <w:rPr>
          <w:sz w:val="20"/>
          <w:szCs w:val="20"/>
          <w:color w:val="auto"/>
        </w:rPr>
      </w:pPr>
    </w:p>
    <w:p>
      <w:pPr>
        <w:jc w:val="both"/>
        <w:ind w:left="560"/>
        <w:spacing w:after="0" w:line="346" w:lineRule="auto"/>
        <w:rPr>
          <w:sz w:val="20"/>
          <w:szCs w:val="20"/>
          <w:color w:val="auto"/>
        </w:rPr>
      </w:pPr>
      <w:r>
        <w:rPr>
          <w:rFonts w:ascii="Arial" w:cs="Arial" w:eastAsia="Arial" w:hAnsi="Arial"/>
          <w:sz w:val="19"/>
          <w:szCs w:val="19"/>
          <w:color w:val="auto"/>
        </w:rPr>
        <w:t>The Company shall, upon the written request of the Revolving Credit Facility Agent and at its own expense, do all such acts and things reasonably necessary to give effect to the amendments effected or to be effected pursuant to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9"/>
          <w:szCs w:val="19"/>
          <w:b w:val="1"/>
          <w:bCs w:val="1"/>
          <w:color w:val="auto"/>
        </w:rPr>
        <w:t>MISCELLANEOUS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r>
        <w:rPr>
          <w:rFonts w:ascii="Arial" w:cs="Arial" w:eastAsia="Arial" w:hAnsi="Arial"/>
          <w:sz w:val="19"/>
          <w:szCs w:val="19"/>
          <w:b w:val="1"/>
          <w:bCs w:val="1"/>
          <w:color w:val="auto"/>
        </w:rPr>
        <w:t>Incorporation of terms</w:t>
      </w:r>
    </w:p>
    <w:p>
      <w:pPr>
        <w:spacing w:after="0" w:line="247"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The provisions of clause 1.3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1.4 (</w:t>
      </w:r>
      <w:r>
        <w:rPr>
          <w:rFonts w:ascii="Arial" w:cs="Arial" w:eastAsia="Arial" w:hAnsi="Arial"/>
          <w:sz w:val="20"/>
          <w:szCs w:val="20"/>
          <w:i w:val="1"/>
          <w:iCs w:val="1"/>
          <w:color w:val="auto"/>
        </w:rPr>
        <w:t>Non-recourse Liability</w:t>
      </w:r>
      <w:r>
        <w:rPr>
          <w:rFonts w:ascii="Arial" w:cs="Arial" w:eastAsia="Arial" w:hAnsi="Arial"/>
          <w:sz w:val="20"/>
          <w:szCs w:val="20"/>
          <w:color w:val="auto"/>
        </w:rPr>
        <w:t>) and clause 18 (</w:t>
      </w:r>
      <w:r>
        <w:rPr>
          <w:rFonts w:ascii="Arial" w:cs="Arial" w:eastAsia="Arial" w:hAnsi="Arial"/>
          <w:sz w:val="20"/>
          <w:szCs w:val="20"/>
          <w:i w:val="1"/>
          <w:iCs w:val="1"/>
          <w:color w:val="auto"/>
        </w:rPr>
        <w:t>Jurisdiction</w:t>
      </w:r>
      <w:r>
        <w:rPr>
          <w:rFonts w:ascii="Arial" w:cs="Arial" w:eastAsia="Arial" w:hAnsi="Arial"/>
          <w:sz w:val="20"/>
          <w:szCs w:val="20"/>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4.2</w:t>
      </w:r>
      <w:r>
        <w:rPr>
          <w:rFonts w:ascii="Arial" w:cs="Arial" w:eastAsia="Arial" w:hAnsi="Arial"/>
          <w:sz w:val="19"/>
          <w:szCs w:val="19"/>
          <w:b w:val="1"/>
          <w:bCs w:val="1"/>
          <w:color w:val="auto"/>
        </w:rPr>
        <w:t>Counterparts</w:t>
      </w:r>
    </w:p>
    <w:p>
      <w:pPr>
        <w:sectPr>
          <w:pgSz w:w="11900" w:h="16838" w:orient="portrait"/>
          <w:cols w:equalWidth="0" w:num="1">
            <w:col w:w="11420"/>
          </w:cols>
          <w:pgMar w:left="240" w:top="575" w:right="239" w:bottom="1440" w:gutter="0" w:footer="0" w:header="0"/>
        </w:sectPr>
      </w:pPr>
    </w:p>
    <w:bookmarkStart w:id="311" w:name="page312"/>
    <w:bookmarkEnd w:id="311"/>
    <w:p>
      <w:pPr>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and this has the same effect as if the signatures on the counterparts were on a single copy of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9"/>
          <w:szCs w:val="19"/>
          <w:b w:val="1"/>
          <w:bCs w:val="1"/>
          <w:color w:val="auto"/>
        </w:rPr>
        <w:t>GOVERNING LAW</w:t>
      </w:r>
    </w:p>
    <w:p>
      <w:pPr>
        <w:spacing w:after="0" w:line="2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Frank Cassella</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Wynn Macau, Rua Cidade de Sintra, NAPE</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Macau</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Telephone:  +853 2888 9966</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+853 2832 9966</w:t>
      </w:r>
    </w:p>
    <w:p>
      <w:pPr>
        <w:spacing w:after="0" w:line="5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Macau</w:t>
      </w:r>
    </w:p>
    <w:p>
      <w:pPr>
        <w:spacing w:after="0" w:line="5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5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ectPr>
          <w:pgSz w:w="11900" w:h="16838" w:orient="portrait"/>
          <w:cols w:equalWidth="0" w:num="1">
            <w:col w:w="11400"/>
          </w:cols>
          <w:pgMar w:left="240" w:top="582" w:right="259" w:bottom="1440" w:gutter="0" w:footer="0" w:header="0"/>
        </w:sectPr>
      </w:pPr>
    </w:p>
    <w:bookmarkStart w:id="312" w:name="page313"/>
    <w:bookmarkEnd w:id="312"/>
    <w:p>
      <w:pPr>
        <w:spacing w:after="0"/>
        <w:rPr>
          <w:sz w:val="20"/>
          <w:szCs w:val="20"/>
          <w:color w:val="auto"/>
        </w:rPr>
      </w:pPr>
      <w:r>
        <w:rPr>
          <w:rFonts w:ascii="Arial" w:cs="Arial" w:eastAsia="Arial" w:hAnsi="Arial"/>
          <w:sz w:val="20"/>
          <w:szCs w:val="20"/>
          <w:b w:val="1"/>
          <w:bCs w:val="1"/>
          <w:color w:val="auto"/>
        </w:rPr>
        <w:t>The Revolving Credit Facility Agent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8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Wong, Iao Kun</w:t>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1682</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James Wong / Ms. Iris Ieong</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17/F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1623 / 8792 1706</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853 8792 1677</w:t>
      </w:r>
    </w:p>
    <w:p>
      <w:pPr>
        <w:spacing w:after="0" w:line="200" w:lineRule="exact"/>
        <w:rPr>
          <w:sz w:val="20"/>
          <w:szCs w:val="20"/>
          <w:color w:val="auto"/>
        </w:rPr>
      </w:pPr>
    </w:p>
    <w:p>
      <w:pPr>
        <w:sectPr>
          <w:pgSz w:w="11900" w:h="16838" w:orient="portrait"/>
          <w:cols w:equalWidth="0" w:num="2">
            <w:col w:w="1380" w:space="720"/>
            <w:col w:w="811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Ms. Wendy Sun / Mr. Jerry Chan</w:t>
      </w:r>
    </w:p>
    <w:p>
      <w:pPr>
        <w:sectPr>
          <w:pgSz w:w="11900" w:h="16838" w:orient="portrait"/>
          <w:cols w:equalWidth="0" w:num="2">
            <w:col w:w="1380" w:space="720"/>
            <w:col w:w="8119"/>
          </w:cols>
          <w:pgMar w:left="240" w:top="576" w:right="1440"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20"/>
          <w:szCs w:val="20"/>
          <w:b w:val="1"/>
          <w:bCs w:val="1"/>
          <w:color w:val="auto"/>
        </w:rPr>
        <w:t>The Revolving Credit Facility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BANK OF CHINA LIMITED, MACAU BRANCH</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Wong, Iao Kun</w:t>
            </w:r>
          </w:p>
        </w:tc>
        <w:tc>
          <w:tcPr>
            <w:tcW w:w="1560" w:type="dxa"/>
            <w:vAlign w:val="bottom"/>
          </w:tcPr>
          <w:p>
            <w:pPr>
              <w:spacing w:after="0"/>
              <w:rPr>
                <w:sz w:val="19"/>
                <w:szCs w:val="19"/>
                <w:color w:val="auto"/>
              </w:rPr>
            </w:pPr>
          </w:p>
        </w:tc>
      </w:tr>
      <w:tr>
        <w:trPr>
          <w:trHeight w:val="632"/>
        </w:trPr>
        <w:tc>
          <w:tcPr>
            <w:tcW w:w="1620" w:type="dxa"/>
            <w:vAlign w:val="bottom"/>
          </w:tcPr>
          <w:p>
            <w:pPr>
              <w:spacing w:after="0"/>
              <w:rPr>
                <w:sz w:val="20"/>
                <w:szCs w:val="20"/>
                <w:color w:val="auto"/>
              </w:rPr>
            </w:pPr>
            <w:r>
              <w:rPr>
                <w:rFonts w:ascii="Arial" w:cs="Arial" w:eastAsia="Arial" w:hAnsi="Arial"/>
                <w:sz w:val="20"/>
                <w:szCs w:val="20"/>
                <w:color w:val="auto"/>
              </w:rPr>
              <w:t>Address:</w:t>
            </w:r>
          </w:p>
        </w:tc>
        <w:tc>
          <w:tcPr>
            <w:tcW w:w="3020" w:type="dxa"/>
            <w:vAlign w:val="bottom"/>
            <w:gridSpan w:val="2"/>
          </w:tcPr>
          <w:p>
            <w:pPr>
              <w:spacing w:after="0"/>
              <w:rPr>
                <w:sz w:val="20"/>
                <w:szCs w:val="20"/>
                <w:color w:val="auto"/>
              </w:rPr>
            </w:pPr>
            <w:r>
              <w:rPr>
                <w:rFonts w:ascii="Arial" w:cs="Arial" w:eastAsia="Arial" w:hAnsi="Arial"/>
                <w:sz w:val="20"/>
                <w:szCs w:val="20"/>
                <w:color w:val="auto"/>
              </w:rPr>
              <w:t>17/F Bank of China Building</w:t>
            </w:r>
          </w:p>
        </w:tc>
      </w:tr>
      <w:tr>
        <w:trPr>
          <w:trHeight w:val="405"/>
        </w:trPr>
        <w:tc>
          <w:tcPr>
            <w:tcW w:w="16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0"/>
                <w:szCs w:val="20"/>
                <w:color w:val="auto"/>
                <w:w w:val="89"/>
              </w:rPr>
              <w:t>Avenida Doutor Mario Soares, Macau</w:t>
            </w: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Tel:</w:t>
            </w:r>
          </w:p>
        </w:tc>
        <w:tc>
          <w:tcPr>
            <w:tcW w:w="3020" w:type="dxa"/>
            <w:vAlign w:val="bottom"/>
            <w:gridSpan w:val="2"/>
          </w:tcPr>
          <w:p>
            <w:pPr>
              <w:spacing w:after="0"/>
              <w:rPr>
                <w:sz w:val="20"/>
                <w:szCs w:val="20"/>
                <w:color w:val="auto"/>
              </w:rPr>
            </w:pPr>
            <w:r>
              <w:rPr>
                <w:rFonts w:ascii="Arial" w:cs="Arial" w:eastAsia="Arial" w:hAnsi="Arial"/>
                <w:sz w:val="20"/>
                <w:szCs w:val="20"/>
                <w:color w:val="auto"/>
              </w:rPr>
              <w:t>+853 8792 1623 / 8792 1706</w:t>
            </w:r>
          </w:p>
        </w:tc>
      </w:tr>
      <w:tr>
        <w:trPr>
          <w:trHeight w:val="608"/>
        </w:trPr>
        <w:tc>
          <w:tcPr>
            <w:tcW w:w="1620" w:type="dxa"/>
            <w:vAlign w:val="bottom"/>
          </w:tcPr>
          <w:p>
            <w:pPr>
              <w:spacing w:after="0"/>
              <w:rPr>
                <w:sz w:val="20"/>
                <w:szCs w:val="20"/>
                <w:color w:val="auto"/>
              </w:rPr>
            </w:pPr>
            <w:r>
              <w:rPr>
                <w:rFonts w:ascii="Arial" w:cs="Arial" w:eastAsia="Arial" w:hAnsi="Arial"/>
                <w:sz w:val="20"/>
                <w:szCs w:val="20"/>
                <w:color w:val="auto"/>
              </w:rPr>
              <w:t>Fax:</w:t>
            </w:r>
          </w:p>
        </w:tc>
        <w:tc>
          <w:tcPr>
            <w:tcW w:w="1460" w:type="dxa"/>
            <w:vAlign w:val="bottom"/>
          </w:tcPr>
          <w:p>
            <w:pPr>
              <w:spacing w:after="0"/>
              <w:rPr>
                <w:sz w:val="20"/>
                <w:szCs w:val="20"/>
                <w:color w:val="auto"/>
              </w:rPr>
            </w:pPr>
            <w:r>
              <w:rPr>
                <w:rFonts w:ascii="Arial" w:cs="Arial" w:eastAsia="Arial" w:hAnsi="Arial"/>
                <w:sz w:val="20"/>
                <w:szCs w:val="20"/>
                <w:color w:val="auto"/>
              </w:rPr>
              <w:t>853 8792 1677</w:t>
            </w:r>
          </w:p>
        </w:tc>
        <w:tc>
          <w:tcPr>
            <w:tcW w:w="1560" w:type="dxa"/>
            <w:vAlign w:val="bottom"/>
          </w:tcPr>
          <w:p>
            <w:pPr>
              <w:spacing w:after="0"/>
              <w:rPr>
                <w:sz w:val="24"/>
                <w:szCs w:val="24"/>
                <w:color w:val="auto"/>
              </w:rPr>
            </w:pPr>
          </w:p>
        </w:tc>
      </w:tr>
      <w:tr>
        <w:trPr>
          <w:trHeight w:val="608"/>
        </w:trPr>
        <w:tc>
          <w:tcPr>
            <w:tcW w:w="1620" w:type="dxa"/>
            <w:vAlign w:val="bottom"/>
          </w:tcPr>
          <w:p>
            <w:pPr>
              <w:spacing w:after="0"/>
              <w:rPr>
                <w:sz w:val="20"/>
                <w:szCs w:val="20"/>
                <w:color w:val="auto"/>
              </w:rPr>
            </w:pPr>
            <w:r>
              <w:rPr>
                <w:rFonts w:ascii="Arial" w:cs="Arial" w:eastAsia="Arial" w:hAnsi="Arial"/>
                <w:sz w:val="20"/>
                <w:szCs w:val="20"/>
                <w:color w:val="auto"/>
              </w:rPr>
              <w:t>Attention:</w:t>
            </w:r>
          </w:p>
        </w:tc>
        <w:tc>
          <w:tcPr>
            <w:tcW w:w="3020" w:type="dxa"/>
            <w:vAlign w:val="bottom"/>
            <w:gridSpan w:val="2"/>
          </w:tcPr>
          <w:p>
            <w:pPr>
              <w:spacing w:after="0"/>
              <w:rPr>
                <w:sz w:val="20"/>
                <w:szCs w:val="20"/>
                <w:color w:val="auto"/>
              </w:rPr>
            </w:pPr>
            <w:r>
              <w:rPr>
                <w:rFonts w:ascii="Arial" w:cs="Arial" w:eastAsia="Arial" w:hAnsi="Arial"/>
                <w:sz w:val="20"/>
                <w:szCs w:val="20"/>
                <w:color w:val="auto"/>
              </w:rPr>
              <w:t>Ms. Wendy Sun / Mr. Jerry Chan</w:t>
            </w:r>
          </w:p>
        </w:tc>
      </w:tr>
    </w:tbl>
    <w:p>
      <w:pPr>
        <w:spacing w:after="0" w:line="200" w:lineRule="exact"/>
        <w:rPr>
          <w:sz w:val="20"/>
          <w:szCs w:val="20"/>
          <w:color w:val="auto"/>
        </w:rPr>
      </w:pP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13/F Bank of China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+853 8792 1639 / 8792 1682</w:t>
      </w:r>
    </w:p>
    <w:p>
      <w:pPr>
        <w:spacing w:after="0" w:line="200" w:lineRule="exact"/>
        <w:rPr>
          <w:sz w:val="20"/>
          <w:szCs w:val="20"/>
          <w:color w:val="auto"/>
        </w:rPr>
      </w:pPr>
    </w:p>
    <w:p>
      <w:pPr>
        <w:sectPr>
          <w:pgSz w:w="11900" w:h="16838" w:orient="portrait"/>
          <w:cols w:equalWidth="0" w:num="2">
            <w:col w:w="1220" w:space="440"/>
            <w:col w:w="8559"/>
          </w:cols>
          <w:pgMar w:left="240" w:top="576" w:right="1440" w:bottom="1440" w:gutter="0" w:footer="0" w:header="0"/>
          <w:type w:val="continuous"/>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+853 8792 1659 / 8792 0308</w:t>
      </w:r>
    </w:p>
    <w:p>
      <w:pPr>
        <w:spacing w:after="0" w:line="200" w:lineRule="exact"/>
        <w:rPr>
          <w:sz w:val="20"/>
          <w:szCs w:val="20"/>
          <w:color w:val="auto"/>
        </w:rPr>
      </w:pPr>
    </w:p>
    <w:p>
      <w:pPr>
        <w:sectPr>
          <w:pgSz w:w="11900" w:h="16838" w:orient="portrait"/>
          <w:cols w:equalWidth="0" w:num="2">
            <w:col w:w="940" w:space="720"/>
            <w:col w:w="8559"/>
          </w:cols>
          <w:pgMar w:left="240" w:top="576" w:right="1440"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James Wong / Ms. Iris Ieong</w:t>
      </w:r>
    </w:p>
    <w:p>
      <w:pPr>
        <w:sectPr>
          <w:pgSz w:w="11900" w:h="16838" w:orient="portrait"/>
          <w:cols w:equalWidth="0" w:num="2">
            <w:col w:w="940" w:space="720"/>
            <w:col w:w="8559"/>
          </w:cols>
          <w:pgMar w:left="240" w:top="576" w:right="1440" w:bottom="1440" w:gutter="0" w:footer="0" w:header="0"/>
          <w:type w:val="continuous"/>
        </w:sectPr>
      </w:pPr>
    </w:p>
    <w:bookmarkStart w:id="314" w:name="page315"/>
    <w:bookmarkEnd w:id="3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5" w:name="page316"/>
    <w:bookmarkEnd w:id="315"/>
    <w:p>
      <w:pPr>
        <w:ind w:left="5040"/>
        <w:spacing w:after="0"/>
        <w:rPr>
          <w:sz w:val="20"/>
          <w:szCs w:val="20"/>
          <w:color w:val="auto"/>
        </w:rPr>
      </w:pPr>
      <w:r>
        <w:rPr>
          <w:rFonts w:ascii="Arial" w:cs="Arial" w:eastAsia="Arial" w:hAnsi="Arial"/>
          <w:sz w:val="20"/>
          <w:szCs w:val="20"/>
          <w:color w:val="auto"/>
        </w:rPr>
        <w:t>SCHEDULE</w:t>
      </w:r>
    </w:p>
    <w:p>
      <w:pPr>
        <w:spacing w:after="0" w:line="48"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AMENDED REVOLVING CREDIT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DATED 31 JULY 2012</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(MACAU) S.A.</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Company</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BANK OF CHINA LIMITED, MACAU BRANCH</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Revolving Credit Facility Agent</w:t>
      </w:r>
    </w:p>
    <w:p>
      <w:pPr>
        <w:spacing w:after="0" w:line="15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and</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THE REVOLVING CREDIT FACILITY LENDERS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583565</wp:posOffset>
            </wp:positionV>
            <wp:extent cx="6011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REVOLVING CREDIT FACILITY AGREEMENT</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(as amended by the Revolving Credit Facility Amendment Agreement dated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6011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0" w:type="dxa"/>
            <w:vAlign w:val="bottom"/>
          </w:tcPr>
          <w:p>
            <w:pPr>
              <w:jc w:val="right"/>
              <w:ind w:right="5041"/>
              <w:spacing w:after="0"/>
              <w:rPr>
                <w:sz w:val="20"/>
                <w:szCs w:val="20"/>
                <w:color w:val="auto"/>
              </w:rPr>
            </w:pPr>
            <w:r>
              <w:rPr>
                <w:rFonts w:ascii="Arial" w:cs="Arial" w:eastAsia="Arial" w:hAnsi="Arial"/>
                <w:sz w:val="20"/>
                <w:szCs w:val="20"/>
                <w:b w:val="1"/>
                <w:bCs w:val="1"/>
                <w:color w:val="auto"/>
              </w:rPr>
              <w:t>CONTENTS</w:t>
            </w:r>
          </w:p>
        </w:tc>
      </w:tr>
      <w:tr>
        <w:trPr>
          <w:trHeight w:val="554"/>
        </w:trPr>
        <w:tc>
          <w:tcPr>
            <w:tcW w:w="600" w:type="dxa"/>
            <w:vAlign w:val="bottom"/>
            <w:gridSpan w:val="2"/>
          </w:tcPr>
          <w:p>
            <w:pPr>
              <w:spacing w:after="0"/>
              <w:rPr>
                <w:sz w:val="20"/>
                <w:szCs w:val="20"/>
                <w:color w:val="auto"/>
              </w:rPr>
            </w:pPr>
            <w:r>
              <w:rPr>
                <w:rFonts w:ascii="Arial" w:cs="Arial" w:eastAsia="Arial" w:hAnsi="Arial"/>
                <w:sz w:val="20"/>
                <w:szCs w:val="20"/>
                <w:b w:val="1"/>
                <w:bCs w:val="1"/>
                <w:color w:val="auto"/>
                <w:w w:val="88"/>
              </w:rPr>
              <w:t>Clause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752"/>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18">
              <w:r>
                <w:rPr>
                  <w:rFonts w:ascii="Arial" w:cs="Arial" w:eastAsia="Arial" w:hAnsi="Arial"/>
                  <w:sz w:val="20"/>
                  <w:szCs w:val="20"/>
                  <w:color w:val="0000EE"/>
                </w:rPr>
                <w:t>1.</w:t>
              </w:r>
            </w:hyperlink>
            <w:r>
              <w:rPr>
                <w:rFonts w:ascii="Arial" w:cs="Arial" w:eastAsia="Arial" w:hAnsi="Arial"/>
                <w:sz w:val="20"/>
                <w:szCs w:val="20"/>
                <w:color w:val="0000FF"/>
              </w:rPr>
              <w:t>Definitions</w:t>
            </w:r>
            <w:r>
              <w:rPr>
                <w:rFonts w:ascii="Arial" w:cs="Arial" w:eastAsia="Arial" w:hAnsi="Arial"/>
                <w:sz w:val="20"/>
                <w:szCs w:val="20"/>
                <w:color w:val="0000EE"/>
              </w:rPr>
              <w:t xml:space="preserve"> </w:t>
            </w:r>
            <w:r>
              <w:rPr>
                <w:rFonts w:ascii="Arial" w:cs="Arial" w:eastAsia="Arial" w:hAnsi="Arial"/>
                <w:sz w:val="20"/>
                <w:szCs w:val="20"/>
                <w:color w:val="0000FF"/>
              </w:rPr>
              <w:t>And Interpretation</w:t>
            </w:r>
          </w:p>
        </w:tc>
        <w:tc>
          <w:tcPr>
            <w:tcW w:w="66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53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25">
              <w:r>
                <w:rPr>
                  <w:rFonts w:ascii="Arial" w:cs="Arial" w:eastAsia="Arial" w:hAnsi="Arial"/>
                  <w:sz w:val="20"/>
                  <w:szCs w:val="20"/>
                  <w:color w:val="0000EE"/>
                </w:rPr>
                <w:t>2.</w:t>
              </w:r>
            </w:hyperlink>
            <w:r>
              <w:rPr>
                <w:rFonts w:ascii="Arial" w:cs="Arial" w:eastAsia="Arial" w:hAnsi="Arial"/>
                <w:sz w:val="20"/>
                <w:szCs w:val="20"/>
                <w:color w:val="0000FF"/>
              </w:rPr>
              <w:t>Common</w:t>
            </w:r>
            <w:r>
              <w:rPr>
                <w:rFonts w:ascii="Arial" w:cs="Arial" w:eastAsia="Arial" w:hAnsi="Arial"/>
                <w:sz w:val="20"/>
                <w:szCs w:val="20"/>
                <w:color w:val="0000EE"/>
              </w:rPr>
              <w:t xml:space="preserve"> </w:t>
            </w:r>
            <w:r>
              <w:rPr>
                <w:rFonts w:ascii="Arial" w:cs="Arial" w:eastAsia="Arial" w:hAnsi="Arial"/>
                <w:sz w:val="20"/>
                <w:szCs w:val="20"/>
                <w:color w:val="0000FF"/>
              </w:rPr>
              <w:t>Terms Agreement</w:t>
            </w:r>
          </w:p>
        </w:tc>
        <w:tc>
          <w:tcPr>
            <w:tcW w:w="66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84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25">
              <w:r>
                <w:rPr>
                  <w:rFonts w:ascii="Arial" w:cs="Arial" w:eastAsia="Arial" w:hAnsi="Arial"/>
                  <w:sz w:val="20"/>
                  <w:szCs w:val="20"/>
                  <w:color w:val="0000EE"/>
                </w:rPr>
                <w:t>3.</w:t>
              </w:r>
            </w:hyperlink>
            <w:r>
              <w:rPr>
                <w:rFonts w:ascii="Arial" w:cs="Arial" w:eastAsia="Arial" w:hAnsi="Arial"/>
                <w:sz w:val="20"/>
                <w:szCs w:val="20"/>
                <w:color w:val="0000FF"/>
              </w:rPr>
              <w:t>The</w:t>
            </w:r>
            <w:r>
              <w:rPr>
                <w:rFonts w:ascii="Arial" w:cs="Arial" w:eastAsia="Arial" w:hAnsi="Arial"/>
                <w:sz w:val="20"/>
                <w:szCs w:val="20"/>
                <w:color w:val="0000EE"/>
              </w:rPr>
              <w:t xml:space="preserve"> </w:t>
            </w:r>
            <w:r>
              <w:rPr>
                <w:rFonts w:ascii="Arial" w:cs="Arial" w:eastAsia="Arial" w:hAnsi="Arial"/>
                <w:sz w:val="20"/>
                <w:szCs w:val="20"/>
                <w:color w:val="0000FF"/>
              </w:rPr>
              <w:t>Revolving Credit Facilities</w:t>
            </w:r>
          </w:p>
        </w:tc>
        <w:tc>
          <w:tcPr>
            <w:tcW w:w="66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84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25">
              <w:r>
                <w:rPr>
                  <w:rFonts w:ascii="Arial" w:cs="Arial" w:eastAsia="Arial" w:hAnsi="Arial"/>
                  <w:sz w:val="20"/>
                  <w:szCs w:val="20"/>
                  <w:color w:val="0000EE"/>
                </w:rPr>
                <w:t>4.</w:t>
              </w:r>
            </w:hyperlink>
            <w:r>
              <w:rPr>
                <w:rFonts w:ascii="Arial" w:cs="Arial" w:eastAsia="Arial" w:hAnsi="Arial"/>
                <w:sz w:val="20"/>
                <w:szCs w:val="20"/>
                <w:color w:val="0000FF"/>
              </w:rPr>
              <w:t>Purpose</w:t>
            </w:r>
          </w:p>
        </w:tc>
        <w:tc>
          <w:tcPr>
            <w:tcW w:w="66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57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27">
              <w:r>
                <w:rPr>
                  <w:rFonts w:ascii="Arial" w:cs="Arial" w:eastAsia="Arial" w:hAnsi="Arial"/>
                  <w:sz w:val="20"/>
                  <w:szCs w:val="20"/>
                  <w:color w:val="0000EE"/>
                </w:rPr>
                <w:t>5.</w:t>
              </w:r>
            </w:hyperlink>
            <w:r>
              <w:rPr>
                <w:rFonts w:ascii="Arial" w:cs="Arial" w:eastAsia="Arial" w:hAnsi="Arial"/>
                <w:sz w:val="20"/>
                <w:szCs w:val="20"/>
                <w:color w:val="0000FF"/>
              </w:rPr>
              <w:t>Conditions</w:t>
            </w:r>
            <w:r>
              <w:rPr>
                <w:rFonts w:ascii="Arial" w:cs="Arial" w:eastAsia="Arial" w:hAnsi="Arial"/>
                <w:sz w:val="20"/>
                <w:szCs w:val="20"/>
                <w:color w:val="0000EE"/>
              </w:rPr>
              <w:t xml:space="preserve"> </w:t>
            </w:r>
            <w:r>
              <w:rPr>
                <w:rFonts w:ascii="Arial" w:cs="Arial" w:eastAsia="Arial" w:hAnsi="Arial"/>
                <w:sz w:val="20"/>
                <w:szCs w:val="20"/>
                <w:color w:val="0000FF"/>
              </w:rPr>
              <w:t>Of Utilisation</w:t>
            </w:r>
          </w:p>
        </w:tc>
        <w:tc>
          <w:tcPr>
            <w:tcW w:w="66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574"/>
        </w:trPr>
        <w:tc>
          <w:tcPr>
            <w:tcW w:w="600" w:type="dxa"/>
            <w:vAlign w:val="bottom"/>
            <w:gridSpan w:val="2"/>
          </w:tcPr>
          <w:p>
            <w:pPr>
              <w:spacing w:after="0"/>
              <w:rPr>
                <w:rFonts w:ascii="Arial" w:cs="Arial" w:eastAsia="Arial" w:hAnsi="Arial"/>
                <w:sz w:val="20"/>
                <w:szCs w:val="20"/>
                <w:color w:val="0000EE"/>
              </w:rPr>
            </w:pPr>
            <w:hyperlink w:anchor="page327">
              <w:r>
                <w:rPr>
                  <w:rFonts w:ascii="Arial" w:cs="Arial" w:eastAsia="Arial" w:hAnsi="Arial"/>
                  <w:sz w:val="20"/>
                  <w:szCs w:val="20"/>
                  <w:color w:val="0000EE"/>
                </w:rPr>
                <w:t>6.</w:t>
              </w:r>
            </w:hyperlink>
          </w:p>
        </w:tc>
        <w:tc>
          <w:tcPr>
            <w:tcW w:w="4160" w:type="dxa"/>
            <w:vAlign w:val="bottom"/>
            <w:gridSpan w:val="11"/>
          </w:tcPr>
          <w:p>
            <w:pPr>
              <w:ind w:left="40"/>
              <w:spacing w:after="0"/>
              <w:rPr>
                <w:sz w:val="20"/>
                <w:szCs w:val="20"/>
                <w:color w:val="auto"/>
              </w:rPr>
            </w:pPr>
            <w:r>
              <w:rPr>
                <w:rFonts w:ascii="Arial" w:cs="Arial" w:eastAsia="Arial" w:hAnsi="Arial"/>
                <w:sz w:val="20"/>
                <w:szCs w:val="20"/>
                <w:color w:val="0000FF"/>
              </w:rPr>
              <w:t>Availability Of The Revolving Credit Facilities</w:t>
            </w:r>
          </w:p>
        </w:tc>
        <w:tc>
          <w:tcPr>
            <w:tcW w:w="66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74"/>
        </w:trPr>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Borders>
              <w:top w:val="single" w:sz="8" w:color="0000FF"/>
            </w:tcBorders>
            <w:gridSpan w:val="9"/>
          </w:tcPr>
          <w:p>
            <w:pPr>
              <w:spacing w:after="0"/>
              <w:rPr>
                <w:rFonts w:ascii="Arial" w:cs="Arial" w:eastAsia="Arial" w:hAnsi="Arial"/>
                <w:sz w:val="20"/>
                <w:szCs w:val="20"/>
                <w:color w:val="0000EE"/>
              </w:rPr>
            </w:pPr>
            <w:hyperlink w:anchor="page328">
              <w:r>
                <w:rPr>
                  <w:rFonts w:ascii="Arial" w:cs="Arial" w:eastAsia="Arial" w:hAnsi="Arial"/>
                  <w:sz w:val="20"/>
                  <w:szCs w:val="20"/>
                  <w:color w:val="0000EE"/>
                </w:rPr>
                <w:t>7.</w:t>
              </w:r>
            </w:hyperlink>
            <w:r>
              <w:rPr>
                <w:rFonts w:ascii="Arial" w:cs="Arial" w:eastAsia="Arial" w:hAnsi="Arial"/>
                <w:sz w:val="20"/>
                <w:szCs w:val="20"/>
                <w:color w:val="0000FF"/>
              </w:rPr>
              <w:t>Repayment</w:t>
            </w:r>
          </w:p>
        </w:tc>
        <w:tc>
          <w:tcPr>
            <w:tcW w:w="38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57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20"/>
                <w:szCs w:val="20"/>
                <w:color w:val="0000EE"/>
              </w:rPr>
            </w:pPr>
            <w:hyperlink w:anchor="page329">
              <w:r>
                <w:rPr>
                  <w:rFonts w:ascii="Arial" w:cs="Arial" w:eastAsia="Arial" w:hAnsi="Arial"/>
                  <w:sz w:val="20"/>
                  <w:szCs w:val="20"/>
                  <w:color w:val="0000EE"/>
                </w:rPr>
                <w:t>8.</w:t>
              </w:r>
            </w:hyperlink>
            <w:r>
              <w:rPr>
                <w:rFonts w:ascii="Arial" w:cs="Arial" w:eastAsia="Arial" w:hAnsi="Arial"/>
                <w:sz w:val="20"/>
                <w:szCs w:val="20"/>
                <w:color w:val="0000FF"/>
              </w:rPr>
              <w:t>Cancellation</w:t>
            </w:r>
          </w:p>
        </w:tc>
        <w:tc>
          <w:tcPr>
            <w:tcW w:w="66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bl>
    <w:p>
      <w:pPr>
        <w:sectPr>
          <w:pgSz w:w="11900" w:h="16838" w:orient="portrait"/>
          <w:cols w:equalWidth="0" w:num="1">
            <w:col w:w="11360"/>
          </w:cols>
          <w:pgMar w:left="280" w:top="581" w:right="259" w:bottom="1440" w:gutter="0" w:footer="0" w:header="0"/>
        </w:sectPr>
      </w:pPr>
    </w:p>
    <w:bookmarkStart w:id="316" w:name="page317"/>
    <w:bookmarkEnd w:id="3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5740" w:type="dxa"/>
            <w:vAlign w:val="bottom"/>
            <w:gridSpan w:val="13"/>
          </w:tcPr>
          <w:p>
            <w:pPr>
              <w:spacing w:after="0"/>
              <w:rPr>
                <w:rFonts w:ascii="Arial" w:cs="Arial" w:eastAsia="Arial" w:hAnsi="Arial"/>
                <w:sz w:val="20"/>
                <w:szCs w:val="20"/>
                <w:color w:val="0000EE"/>
              </w:rPr>
            </w:pPr>
            <w:hyperlink w:anchor="page329">
              <w:r>
                <w:rPr>
                  <w:rFonts w:ascii="Arial" w:cs="Arial" w:eastAsia="Arial" w:hAnsi="Arial"/>
                  <w:sz w:val="20"/>
                  <w:szCs w:val="20"/>
                  <w:color w:val="0000EE"/>
                </w:rPr>
                <w:t>9.</w:t>
              </w:r>
            </w:hyperlink>
            <w:r>
              <w:rPr>
                <w:rFonts w:ascii="Arial" w:cs="Arial" w:eastAsia="Arial" w:hAnsi="Arial"/>
                <w:sz w:val="20"/>
                <w:szCs w:val="20"/>
                <w:color w:val="0000FF"/>
              </w:rPr>
              <w:t>Interest</w:t>
            </w:r>
          </w:p>
        </w:tc>
        <w:tc>
          <w:tcPr>
            <w:tcW w:w="44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0">
              <w:r>
                <w:rPr>
                  <w:rFonts w:ascii="Arial" w:cs="Arial" w:eastAsia="Arial" w:hAnsi="Arial"/>
                  <w:sz w:val="20"/>
                  <w:szCs w:val="20"/>
                  <w:color w:val="0000EE"/>
                </w:rPr>
                <w:t>10.</w:t>
              </w:r>
            </w:hyperlink>
            <w:r>
              <w:rPr>
                <w:rFonts w:ascii="Arial" w:cs="Arial" w:eastAsia="Arial" w:hAnsi="Arial"/>
                <w:sz w:val="20"/>
                <w:szCs w:val="20"/>
                <w:color w:val="0000FF"/>
              </w:rPr>
              <w:t>Interest</w:t>
            </w:r>
            <w:r>
              <w:rPr>
                <w:rFonts w:ascii="Arial" w:cs="Arial" w:eastAsia="Arial" w:hAnsi="Arial"/>
                <w:sz w:val="20"/>
                <w:szCs w:val="20"/>
                <w:color w:val="0000EE"/>
              </w:rPr>
              <w:t xml:space="preserve"> </w:t>
            </w:r>
            <w:r>
              <w:rPr>
                <w:rFonts w:ascii="Arial" w:cs="Arial" w:eastAsia="Arial" w:hAnsi="Arial"/>
                <w:sz w:val="20"/>
                <w:szCs w:val="20"/>
                <w:color w:val="0000FF"/>
              </w:rPr>
              <w:t>Periods</w:t>
            </w:r>
          </w:p>
        </w:tc>
        <w:tc>
          <w:tcPr>
            <w:tcW w:w="44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885"/>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0">
              <w:r>
                <w:rPr>
                  <w:rFonts w:ascii="Arial" w:cs="Arial" w:eastAsia="Arial" w:hAnsi="Arial"/>
                  <w:sz w:val="20"/>
                  <w:szCs w:val="20"/>
                  <w:color w:val="0000EE"/>
                </w:rPr>
                <w:t>11.</w:t>
              </w:r>
            </w:hyperlink>
            <w:r>
              <w:rPr>
                <w:rFonts w:ascii="Arial" w:cs="Arial" w:eastAsia="Arial" w:hAnsi="Arial"/>
                <w:sz w:val="20"/>
                <w:szCs w:val="20"/>
                <w:color w:val="0000FF"/>
              </w:rPr>
              <w:t>Notification</w:t>
            </w:r>
          </w:p>
        </w:tc>
        <w:tc>
          <w:tcPr>
            <w:tcW w:w="4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0">
              <w:r>
                <w:rPr>
                  <w:rFonts w:ascii="Arial" w:cs="Arial" w:eastAsia="Arial" w:hAnsi="Arial"/>
                  <w:sz w:val="20"/>
                  <w:szCs w:val="20"/>
                  <w:color w:val="0000EE"/>
                </w:rPr>
                <w:t>12.</w:t>
              </w:r>
            </w:hyperlink>
            <w:r>
              <w:rPr>
                <w:rFonts w:ascii="Arial" w:cs="Arial" w:eastAsia="Arial" w:hAnsi="Arial"/>
                <w:sz w:val="20"/>
                <w:szCs w:val="20"/>
                <w:color w:val="0000FF"/>
              </w:rPr>
              <w:t>Commitment</w:t>
            </w:r>
            <w:r>
              <w:rPr>
                <w:rFonts w:ascii="Arial" w:cs="Arial" w:eastAsia="Arial" w:hAnsi="Arial"/>
                <w:sz w:val="20"/>
                <w:szCs w:val="20"/>
                <w:color w:val="0000EE"/>
              </w:rPr>
              <w:t xml:space="preserve"> </w:t>
            </w:r>
            <w:r>
              <w:rPr>
                <w:rFonts w:ascii="Arial" w:cs="Arial" w:eastAsia="Arial" w:hAnsi="Arial"/>
                <w:sz w:val="20"/>
                <w:szCs w:val="20"/>
                <w:color w:val="0000FF"/>
              </w:rPr>
              <w:t>Fee</w:t>
            </w:r>
          </w:p>
        </w:tc>
        <w:tc>
          <w:tcPr>
            <w:tcW w:w="4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1">
              <w:r>
                <w:rPr>
                  <w:rFonts w:ascii="Arial" w:cs="Arial" w:eastAsia="Arial" w:hAnsi="Arial"/>
                  <w:sz w:val="20"/>
                  <w:szCs w:val="20"/>
                  <w:color w:val="0000EE"/>
                </w:rPr>
                <w:t>13.</w:t>
              </w:r>
            </w:hyperlink>
            <w:r>
              <w:rPr>
                <w:rFonts w:ascii="Arial" w:cs="Arial" w:eastAsia="Arial" w:hAnsi="Arial"/>
                <w:sz w:val="20"/>
                <w:szCs w:val="20"/>
                <w:color w:val="0000FF"/>
              </w:rPr>
              <w:t>Changes</w:t>
            </w:r>
            <w:r>
              <w:rPr>
                <w:rFonts w:ascii="Arial" w:cs="Arial" w:eastAsia="Arial" w:hAnsi="Arial"/>
                <w:sz w:val="20"/>
                <w:szCs w:val="20"/>
                <w:color w:val="0000EE"/>
              </w:rPr>
              <w:t xml:space="preserve"> </w:t>
            </w:r>
            <w:r>
              <w:rPr>
                <w:rFonts w:ascii="Arial" w:cs="Arial" w:eastAsia="Arial" w:hAnsi="Arial"/>
                <w:sz w:val="20"/>
                <w:szCs w:val="20"/>
                <w:color w:val="0000FF"/>
              </w:rPr>
              <w:t>To The Parties</w:t>
            </w:r>
          </w:p>
        </w:tc>
        <w:tc>
          <w:tcPr>
            <w:tcW w:w="4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2">
              <w:r>
                <w:rPr>
                  <w:rFonts w:ascii="Arial" w:cs="Arial" w:eastAsia="Arial" w:hAnsi="Arial"/>
                  <w:sz w:val="20"/>
                  <w:szCs w:val="20"/>
                  <w:color w:val="0000EE"/>
                </w:rPr>
                <w:t>14.</w:t>
              </w:r>
            </w:hyperlink>
            <w:r>
              <w:rPr>
                <w:rFonts w:ascii="Arial" w:cs="Arial" w:eastAsia="Arial" w:hAnsi="Arial"/>
                <w:sz w:val="20"/>
                <w:szCs w:val="20"/>
                <w:color w:val="0000FF"/>
              </w:rPr>
              <w:t>Payments</w:t>
            </w:r>
          </w:p>
        </w:tc>
        <w:tc>
          <w:tcPr>
            <w:tcW w:w="4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3">
              <w:r>
                <w:rPr>
                  <w:rFonts w:ascii="Arial" w:cs="Arial" w:eastAsia="Arial" w:hAnsi="Arial"/>
                  <w:sz w:val="20"/>
                  <w:szCs w:val="20"/>
                  <w:color w:val="0000EE"/>
                </w:rPr>
                <w:t>15.</w:t>
              </w:r>
            </w:hyperlink>
            <w:r>
              <w:rPr>
                <w:rFonts w:ascii="Arial" w:cs="Arial" w:eastAsia="Arial" w:hAnsi="Arial"/>
                <w:sz w:val="20"/>
                <w:szCs w:val="20"/>
                <w:color w:val="0000FF"/>
              </w:rPr>
              <w:t>Decision</w:t>
            </w:r>
            <w:r>
              <w:rPr>
                <w:rFonts w:ascii="Arial" w:cs="Arial" w:eastAsia="Arial" w:hAnsi="Arial"/>
                <w:sz w:val="20"/>
                <w:szCs w:val="20"/>
                <w:color w:val="0000EE"/>
              </w:rPr>
              <w:t xml:space="preserve"> </w:t>
            </w:r>
            <w:r>
              <w:rPr>
                <w:rFonts w:ascii="Arial" w:cs="Arial" w:eastAsia="Arial" w:hAnsi="Arial"/>
                <w:sz w:val="20"/>
                <w:szCs w:val="20"/>
                <w:color w:val="0000FF"/>
              </w:rPr>
              <w:t>Making Amongst Revolving Credit Facility Lenders</w:t>
            </w:r>
          </w:p>
        </w:tc>
        <w:tc>
          <w:tcPr>
            <w:tcW w:w="44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4">
              <w:r>
                <w:rPr>
                  <w:rFonts w:ascii="Arial" w:cs="Arial" w:eastAsia="Arial" w:hAnsi="Arial"/>
                  <w:sz w:val="20"/>
                  <w:szCs w:val="20"/>
                  <w:color w:val="0000EE"/>
                </w:rPr>
                <w:t>16.</w:t>
              </w:r>
            </w:hyperlink>
            <w:r>
              <w:rPr>
                <w:rFonts w:ascii="Arial" w:cs="Arial" w:eastAsia="Arial" w:hAnsi="Arial"/>
                <w:sz w:val="20"/>
                <w:szCs w:val="20"/>
                <w:color w:val="0000FF"/>
              </w:rPr>
              <w:t>Counterparts</w:t>
            </w:r>
          </w:p>
        </w:tc>
        <w:tc>
          <w:tcPr>
            <w:tcW w:w="4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4">
              <w:r>
                <w:rPr>
                  <w:rFonts w:ascii="Arial" w:cs="Arial" w:eastAsia="Arial" w:hAnsi="Arial"/>
                  <w:sz w:val="20"/>
                  <w:szCs w:val="20"/>
                  <w:color w:val="0000EE"/>
                </w:rPr>
                <w:t>17.</w:t>
              </w:r>
            </w:hyperlink>
            <w:r>
              <w:rPr>
                <w:rFonts w:ascii="Arial" w:cs="Arial" w:eastAsia="Arial" w:hAnsi="Arial"/>
                <w:sz w:val="20"/>
                <w:szCs w:val="20"/>
                <w:color w:val="0000FF"/>
              </w:rPr>
              <w:t>Governing</w:t>
            </w:r>
            <w:r>
              <w:rPr>
                <w:rFonts w:ascii="Arial" w:cs="Arial" w:eastAsia="Arial" w:hAnsi="Arial"/>
                <w:sz w:val="20"/>
                <w:szCs w:val="20"/>
                <w:color w:val="0000EE"/>
              </w:rPr>
              <w:t xml:space="preserve"> </w:t>
            </w:r>
            <w:r>
              <w:rPr>
                <w:rFonts w:ascii="Arial" w:cs="Arial" w:eastAsia="Arial" w:hAnsi="Arial"/>
                <w:sz w:val="20"/>
                <w:szCs w:val="20"/>
                <w:color w:val="0000FF"/>
              </w:rPr>
              <w:t>Law</w:t>
            </w:r>
          </w:p>
        </w:tc>
        <w:tc>
          <w:tcPr>
            <w:tcW w:w="4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34"/>
        </w:trPr>
        <w:tc>
          <w:tcPr>
            <w:tcW w:w="6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20"/>
                <w:szCs w:val="20"/>
                <w:color w:val="0000EE"/>
              </w:rPr>
            </w:pPr>
            <w:hyperlink w:anchor="page334">
              <w:r>
                <w:rPr>
                  <w:rFonts w:ascii="Arial" w:cs="Arial" w:eastAsia="Arial" w:hAnsi="Arial"/>
                  <w:sz w:val="20"/>
                  <w:szCs w:val="20"/>
                  <w:color w:val="0000EE"/>
                </w:rPr>
                <w:t>18.</w:t>
              </w:r>
            </w:hyperlink>
            <w:r>
              <w:rPr>
                <w:rFonts w:ascii="Arial" w:cs="Arial" w:eastAsia="Arial" w:hAnsi="Arial"/>
                <w:sz w:val="20"/>
                <w:szCs w:val="20"/>
                <w:color w:val="0000FF"/>
              </w:rPr>
              <w:t>Jurisdiction</w:t>
            </w:r>
          </w:p>
        </w:tc>
        <w:tc>
          <w:tcPr>
            <w:tcW w:w="44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0"/>
        </w:trPr>
        <w:tc>
          <w:tcPr>
            <w:tcW w:w="640" w:type="dxa"/>
            <w:vAlign w:val="bottom"/>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380" w:type="dxa"/>
            <w:vAlign w:val="bottom"/>
            <w:gridSpan w:val="14"/>
          </w:tcPr>
          <w:p>
            <w:pPr>
              <w:spacing w:after="0"/>
              <w:rPr>
                <w:rFonts w:ascii="Arial" w:cs="Arial" w:eastAsia="Arial" w:hAnsi="Arial"/>
                <w:sz w:val="20"/>
                <w:szCs w:val="20"/>
                <w:color w:val="0000EE"/>
              </w:rPr>
            </w:pPr>
            <w:hyperlink w:anchor="page335">
              <w:r>
                <w:rPr>
                  <w:rFonts w:ascii="Arial" w:cs="Arial" w:eastAsia="Arial" w:hAnsi="Arial"/>
                  <w:sz w:val="20"/>
                  <w:szCs w:val="20"/>
                  <w:color w:val="0000EE"/>
                </w:rPr>
                <w:t>Schedule 1 The Revolving Credit Facility Lenders</w:t>
              </w:r>
            </w:hyperlink>
          </w:p>
        </w:tc>
        <w:tc>
          <w:tcPr>
            <w:tcW w:w="44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0"/>
        </w:trPr>
        <w:tc>
          <w:tcPr>
            <w:tcW w:w="3980" w:type="dxa"/>
            <w:vAlign w:val="bottom"/>
            <w:gridSpan w:val="1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574"/>
        </w:trPr>
        <w:tc>
          <w:tcPr>
            <w:tcW w:w="6380" w:type="dxa"/>
            <w:vAlign w:val="bottom"/>
            <w:tcBorders>
              <w:bottom w:val="single" w:sz="8" w:color="0000EE"/>
            </w:tcBorders>
            <w:gridSpan w:val="14"/>
          </w:tcPr>
          <w:p>
            <w:pPr>
              <w:spacing w:after="0"/>
              <w:rPr>
                <w:rFonts w:ascii="Arial" w:cs="Arial" w:eastAsia="Arial" w:hAnsi="Arial"/>
                <w:sz w:val="20"/>
                <w:szCs w:val="20"/>
                <w:color w:val="0000EE"/>
                <w:w w:val="90"/>
              </w:rPr>
            </w:pPr>
            <w:hyperlink w:anchor="page335">
              <w:r>
                <w:rPr>
                  <w:rFonts w:ascii="Arial" w:cs="Arial" w:eastAsia="Arial" w:hAnsi="Arial"/>
                  <w:sz w:val="20"/>
                  <w:szCs w:val="20"/>
                  <w:color w:val="0000EE"/>
                  <w:w w:val="90"/>
                </w:rPr>
                <w:t>Schedule 2 Form Of Advance Request For A Revolving Credit Facility Advance</w:t>
              </w:r>
            </w:hyperlink>
          </w:p>
        </w:tc>
        <w:tc>
          <w:tcPr>
            <w:tcW w:w="4480" w:type="dxa"/>
            <w:vAlign w:val="bottom"/>
          </w:tcPr>
          <w:p>
            <w:pPr>
              <w:jc w:val="right"/>
              <w:spacing w:after="0"/>
              <w:rPr>
                <w:sz w:val="20"/>
                <w:szCs w:val="20"/>
                <w:color w:val="auto"/>
              </w:rPr>
            </w:pPr>
            <w:r>
              <w:rPr>
                <w:rFonts w:ascii="Arial" w:cs="Arial" w:eastAsia="Arial" w:hAnsi="Arial"/>
                <w:sz w:val="20"/>
                <w:szCs w:val="20"/>
                <w:color w:val="auto"/>
              </w:rPr>
              <w:t>20</w:t>
            </w:r>
          </w:p>
        </w:tc>
      </w:tr>
    </w:tbl>
    <w:p>
      <w:pPr>
        <w:sectPr>
          <w:pgSz w:w="11900" w:h="16838" w:orient="portrait"/>
          <w:cols w:equalWidth="0" w:num="1">
            <w:col w:w="10860"/>
          </w:cols>
          <w:pgMar w:left="780" w:top="693" w:right="259" w:bottom="1440" w:gutter="0" w:footer="0" w:header="0"/>
        </w:sectPr>
      </w:pPr>
    </w:p>
    <w:bookmarkStart w:id="317" w:name="page318"/>
    <w:bookmarkEnd w:id="317"/>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31 July 2012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ind w:left="560" w:hanging="552"/>
        <w:spacing w:after="0"/>
        <w:tabs>
          <w:tab w:leader="none" w:pos="560" w:val="left"/>
        </w:tabs>
        <w:numPr>
          <w:ilvl w:val="0"/>
          <w:numId w:val="428"/>
        </w:numPr>
        <w:rPr>
          <w:rFonts w:ascii="Arial" w:cs="Arial" w:eastAsia="Arial" w:hAnsi="Arial"/>
          <w:sz w:val="18"/>
          <w:szCs w:val="18"/>
          <w:b w:val="1"/>
          <w:bCs w:val="1"/>
          <w:color w:val="auto"/>
        </w:rPr>
      </w:pPr>
      <w:r>
        <w:rPr>
          <w:rFonts w:ascii="Arial" w:cs="Arial" w:eastAsia="Arial" w:hAnsi="Arial"/>
          <w:sz w:val="20"/>
          <w:szCs w:val="20"/>
          <w:b w:val="1"/>
          <w:bCs w:val="1"/>
          <w:color w:val="auto"/>
        </w:rPr>
        <w:t>WYNN RESORTS (MACAU) S.A. (THE "COMPANY");</w:t>
      </w:r>
    </w:p>
    <w:p>
      <w:pPr>
        <w:spacing w:after="0" w:line="229" w:lineRule="exact"/>
        <w:rPr>
          <w:rFonts w:ascii="Arial" w:cs="Arial" w:eastAsia="Arial" w:hAnsi="Arial"/>
          <w:sz w:val="18"/>
          <w:szCs w:val="18"/>
          <w:b w:val="1"/>
          <w:bCs w:val="1"/>
          <w:color w:val="auto"/>
        </w:rPr>
      </w:pPr>
    </w:p>
    <w:p>
      <w:pPr>
        <w:ind w:left="560" w:hanging="552"/>
        <w:spacing w:after="0"/>
        <w:tabs>
          <w:tab w:leader="none" w:pos="560" w:val="left"/>
        </w:tabs>
        <w:numPr>
          <w:ilvl w:val="0"/>
          <w:numId w:val="428"/>
        </w:numPr>
        <w:rPr>
          <w:rFonts w:ascii="Arial" w:cs="Arial" w:eastAsia="Arial" w:hAnsi="Arial"/>
          <w:sz w:val="18"/>
          <w:szCs w:val="18"/>
          <w:color w:val="auto"/>
        </w:rPr>
      </w:pPr>
      <w:r>
        <w:rPr>
          <w:rFonts w:ascii="Arial" w:cs="Arial" w:eastAsia="Arial" w:hAnsi="Arial"/>
          <w:sz w:val="20"/>
          <w:szCs w:val="20"/>
          <w:b w:val="1"/>
          <w:bCs w:val="1"/>
          <w:color w:val="auto"/>
        </w:rPr>
        <w:t xml:space="preserve">BANK OF CHINA LIMITED, MACAU BRANCH </w:t>
      </w:r>
      <w:r>
        <w:rPr>
          <w:rFonts w:ascii="Arial" w:cs="Arial" w:eastAsia="Arial" w:hAnsi="Arial"/>
          <w:sz w:val="20"/>
          <w:szCs w:val="20"/>
          <w:color w:val="auto"/>
        </w:rPr>
        <w:t>(the "</w:t>
      </w:r>
      <w:r>
        <w:rPr>
          <w:rFonts w:ascii="Arial" w:cs="Arial" w:eastAsia="Arial" w:hAnsi="Arial"/>
          <w:sz w:val="20"/>
          <w:szCs w:val="20"/>
          <w:b w:val="1"/>
          <w:bCs w:val="1"/>
          <w:color w:val="auto"/>
        </w:rPr>
        <w:t>Revolving Credit Facility Agent</w:t>
      </w:r>
      <w:r>
        <w:rPr>
          <w:rFonts w:ascii="Arial" w:cs="Arial" w:eastAsia="Arial" w:hAnsi="Arial"/>
          <w:sz w:val="20"/>
          <w:szCs w:val="20"/>
          <w:color w:val="auto"/>
        </w:rPr>
        <w:t>"); and</w:t>
      </w:r>
    </w:p>
    <w:p>
      <w:pPr>
        <w:spacing w:after="0" w:line="229" w:lineRule="exact"/>
        <w:rPr>
          <w:rFonts w:ascii="Arial" w:cs="Arial" w:eastAsia="Arial" w:hAnsi="Arial"/>
          <w:sz w:val="18"/>
          <w:szCs w:val="18"/>
          <w:color w:val="auto"/>
        </w:rPr>
      </w:pPr>
    </w:p>
    <w:p>
      <w:pPr>
        <w:ind w:left="560" w:hanging="552"/>
        <w:spacing w:after="0"/>
        <w:tabs>
          <w:tab w:leader="none" w:pos="560" w:val="left"/>
        </w:tabs>
        <w:numPr>
          <w:ilvl w:val="0"/>
          <w:numId w:val="428"/>
        </w:numPr>
        <w:rPr>
          <w:rFonts w:ascii="Arial" w:cs="Arial" w:eastAsia="Arial" w:hAnsi="Arial"/>
          <w:sz w:val="18"/>
          <w:szCs w:val="18"/>
          <w:color w:val="auto"/>
        </w:rPr>
      </w:pPr>
      <w:r>
        <w:rPr>
          <w:rFonts w:ascii="Arial" w:cs="Arial" w:eastAsia="Arial" w:hAnsi="Arial"/>
          <w:sz w:val="20"/>
          <w:szCs w:val="20"/>
          <w:b w:val="1"/>
          <w:bCs w:val="1"/>
          <w:color w:val="auto"/>
        </w:rPr>
        <w:t xml:space="preserve">THE REVOLVING CREDIT FACILITY LENDERS </w:t>
      </w:r>
      <w:r>
        <w:rPr>
          <w:rFonts w:ascii="Arial" w:cs="Arial" w:eastAsia="Arial" w:hAnsi="Arial"/>
          <w:sz w:val="20"/>
          <w:szCs w:val="20"/>
          <w:color w:val="auto"/>
        </w:rPr>
        <w:t>(as defined below).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w:t>
      </w:r>
    </w:p>
    <w:p>
      <w:pPr>
        <w:spacing w:after="0" w:line="235"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The Revolving Credit Facility Lenders have agreed to make certain loan facilities available to the Company in connection with Wynn Macau and the Cotai Project for the refinancing of the Company's existing indebtedness, for financing the design, development and construction of the Cotai Project and for general corporate purposes of the Group (including investment in Excluded Subsidiaries, Excluded Projects or Resort Management Agreements), in each case, upon the terms and subject to the conditions set out in this Agreement and the Common Terms Agreement.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ectPr>
          <w:pgSz w:w="11900" w:h="16838" w:orient="portrait"/>
          <w:cols w:equalWidth="0" w:num="1">
            <w:col w:w="11420"/>
          </w:cols>
          <w:pgMar w:left="240" w:top="576" w:right="239" w:bottom="1440" w:gutter="0" w:footer="0" w:header="0"/>
        </w:sectPr>
      </w:pPr>
    </w:p>
    <w:bookmarkStart w:id="318" w:name="page319"/>
    <w:bookmarkEnd w:id="318"/>
    <w:p>
      <w:pPr>
        <w:spacing w:after="0"/>
        <w:rPr>
          <w:sz w:val="20"/>
          <w:szCs w:val="20"/>
          <w:color w:val="auto"/>
        </w:rPr>
      </w:pPr>
      <w:r>
        <w:rPr>
          <w:rFonts w:ascii="Arial" w:cs="Arial" w:eastAsia="Arial" w:hAnsi="Arial"/>
          <w:sz w:val="20"/>
          <w:szCs w:val="20"/>
          <w:color w:val="auto"/>
        </w:rPr>
        <w:t>1.</w:t>
      </w:r>
      <w:r>
        <w:rPr>
          <w:rFonts w:ascii="Arial" w:cs="Arial" w:eastAsia="Arial" w:hAnsi="Arial"/>
          <w:sz w:val="18"/>
          <w:szCs w:val="18"/>
          <w:b w:val="1"/>
          <w:bCs w:val="1"/>
          <w:color w:val="auto"/>
        </w:rPr>
        <w:t>DEFINITIONS AND INTERPRETATION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Definitions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In this Agreement, unless otherwise defined herein, all terms defined or referred in the Common Terms Agreement shall have the same meaning herein and in addition:</w:t>
      </w:r>
    </w:p>
    <w:p>
      <w:pPr>
        <w:spacing w:after="0" w:line="129"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 Request</w:t>
      </w:r>
      <w:r>
        <w:rPr>
          <w:rFonts w:ascii="Arial" w:cs="Arial" w:eastAsia="Arial" w:hAnsi="Arial"/>
          <w:sz w:val="20"/>
          <w:szCs w:val="20"/>
          <w:color w:val="auto"/>
        </w:rPr>
        <w:t>" means a request for a Revolving Credit Facility Advance in substantially the form set out in Schedule 2 (</w:t>
      </w:r>
      <w:r>
        <w:rPr>
          <w:rFonts w:ascii="Arial" w:cs="Arial" w:eastAsia="Arial" w:hAnsi="Arial"/>
          <w:sz w:val="20"/>
          <w:szCs w:val="20"/>
          <w:i w:val="1"/>
          <w:iCs w:val="1"/>
          <w:color w:val="auto"/>
        </w:rPr>
        <w:t>Form of</w:t>
      </w:r>
      <w:r>
        <w:rPr>
          <w:rFonts w:ascii="Arial" w:cs="Arial" w:eastAsia="Arial" w:hAnsi="Arial"/>
          <w:sz w:val="20"/>
          <w:szCs w:val="20"/>
          <w:color w:val="auto"/>
        </w:rPr>
        <w:t xml:space="preserve"> </w:t>
      </w:r>
      <w:r>
        <w:rPr>
          <w:rFonts w:ascii="Arial" w:cs="Arial" w:eastAsia="Arial" w:hAnsi="Arial"/>
          <w:sz w:val="20"/>
          <w:szCs w:val="20"/>
          <w:i w:val="1"/>
          <w:iCs w:val="1"/>
          <w:color w:val="auto"/>
        </w:rPr>
        <w:t>Advance Request for a Revolving Credit Facility Advance</w:t>
      </w:r>
      <w:r>
        <w:rPr>
          <w:rFonts w:ascii="Arial" w:cs="Arial" w:eastAsia="Arial" w:hAnsi="Arial"/>
          <w:sz w:val="20"/>
          <w:szCs w:val="20"/>
          <w:color w:val="auto"/>
        </w:rPr>
        <w:t>).</w:t>
      </w:r>
    </w:p>
    <w:p>
      <w:pPr>
        <w:spacing w:after="0" w:line="124" w:lineRule="exact"/>
        <w:rPr>
          <w:sz w:val="20"/>
          <w:szCs w:val="20"/>
          <w:color w:val="auto"/>
        </w:rPr>
      </w:pPr>
    </w:p>
    <w:p>
      <w:pPr>
        <w:jc w:val="both"/>
        <w:ind w:left="560"/>
        <w:spacing w:after="0" w:line="3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Commitment</w:t>
      </w:r>
      <w:r>
        <w:rPr>
          <w:rFonts w:ascii="Arial" w:cs="Arial" w:eastAsia="Arial" w:hAnsi="Arial"/>
          <w:sz w:val="20"/>
          <w:szCs w:val="20"/>
          <w:color w:val="auto"/>
        </w:rPr>
        <w:t>" means, in relation to a Revolving Credit Facility Lender at any time and save as otherwise provided herein, the aggregate US dollar equivalent amount of Available Tranche A Commitment and Available Tranche B Commitment of such Revolving Credit Facility Lender.</w:t>
      </w:r>
    </w:p>
    <w:p>
      <w:pPr>
        <w:spacing w:after="0" w:line="138"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Facility</w:t>
      </w:r>
      <w:r>
        <w:rPr>
          <w:rFonts w:ascii="Arial" w:cs="Arial" w:eastAsia="Arial" w:hAnsi="Arial"/>
          <w:sz w:val="20"/>
          <w:szCs w:val="20"/>
          <w:color w:val="auto"/>
        </w:rPr>
        <w:t>" means, at any time, the aggregate US dollar equivalent amount of the Available Tranche A Facility and the Available Tranche B Facility.</w:t>
      </w:r>
    </w:p>
    <w:p>
      <w:pPr>
        <w:spacing w:after="0" w:line="124"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Commitment</w:t>
      </w:r>
      <w:r>
        <w:rPr>
          <w:rFonts w:ascii="Arial" w:cs="Arial" w:eastAsia="Arial" w:hAnsi="Arial"/>
          <w:sz w:val="20"/>
          <w:szCs w:val="20"/>
          <w:color w:val="auto"/>
        </w:rPr>
        <w:t xml:space="preserve">" means, in relation to a Revolving Credit Facility Lender at any time, its Tranche A Facility Commitment </w:t>
      </w:r>
      <w:r>
        <w:rPr>
          <w:rFonts w:ascii="Arial" w:cs="Arial" w:eastAsia="Arial" w:hAnsi="Arial"/>
          <w:sz w:val="20"/>
          <w:szCs w:val="20"/>
          <w:b w:val="1"/>
          <w:bCs w:val="1"/>
          <w:i w:val="1"/>
          <w:iCs w:val="1"/>
          <w:color w:val="auto"/>
        </w:rPr>
        <w:t>less</w:t>
      </w:r>
      <w:r>
        <w:rPr>
          <w:rFonts w:ascii="Arial" w:cs="Arial" w:eastAsia="Arial" w:hAnsi="Arial"/>
          <w:sz w:val="20"/>
          <w:szCs w:val="20"/>
          <w:color w:val="auto"/>
        </w:rPr>
        <w:t>:</w:t>
      </w:r>
    </w:p>
    <w:p>
      <w:pPr>
        <w:spacing w:after="0" w:line="130" w:lineRule="exact"/>
        <w:rPr>
          <w:sz w:val="20"/>
          <w:szCs w:val="20"/>
          <w:color w:val="auto"/>
        </w:rPr>
      </w:pPr>
    </w:p>
    <w:p>
      <w:pPr>
        <w:ind w:left="2520" w:hanging="1958"/>
        <w:spacing w:after="0" w:line="303" w:lineRule="auto"/>
        <w:tabs>
          <w:tab w:leader="none" w:pos="1278" w:val="left"/>
        </w:tabs>
        <w:numPr>
          <w:ilvl w:val="0"/>
          <w:numId w:val="429"/>
        </w:numPr>
        <w:rPr>
          <w:rFonts w:ascii="Arial" w:cs="Arial" w:eastAsia="Arial" w:hAnsi="Arial"/>
          <w:sz w:val="18"/>
          <w:szCs w:val="18"/>
          <w:color w:val="auto"/>
        </w:rPr>
      </w:pPr>
      <w:r>
        <w:rPr>
          <w:rFonts w:ascii="Arial" w:cs="Arial" w:eastAsia="Arial" w:hAnsi="Arial"/>
          <w:sz w:val="20"/>
          <w:szCs w:val="20"/>
          <w:color w:val="auto"/>
        </w:rPr>
        <w:t>the aggregate amount of its participation in any outstanding Tranche A Advances (including, without limitation, the Existing Advances) (other than, in relation to any proposed Tranche A Advance, such Revolving Credit Facility Lender's participation in any Tranche A Advances that are due to be repaid or prepaid on or before the proposed Advance Date); and</w:t>
      </w:r>
    </w:p>
    <w:p>
      <w:pPr>
        <w:spacing w:after="0" w:line="149" w:lineRule="exact"/>
        <w:rPr>
          <w:sz w:val="20"/>
          <w:szCs w:val="20"/>
          <w:color w:val="auto"/>
        </w:rPr>
      </w:pPr>
    </w:p>
    <w:p>
      <w:pPr>
        <w:jc w:val="both"/>
        <w:ind w:left="2000" w:hanging="1444"/>
        <w:spacing w:after="0" w:line="346" w:lineRule="auto"/>
        <w:rPr>
          <w:sz w:val="20"/>
          <w:szCs w:val="20"/>
          <w:color w:val="auto"/>
        </w:rPr>
      </w:pPr>
      <w:r>
        <w:rPr>
          <w:rFonts w:ascii="Arial" w:cs="Arial" w:eastAsia="Arial" w:hAnsi="Arial"/>
          <w:sz w:val="18"/>
          <w:szCs w:val="18"/>
          <w:color w:val="auto"/>
        </w:rPr>
        <w:t>(a)</w:t>
      </w:r>
      <w:r>
        <w:rPr>
          <w:rFonts w:ascii="Arial" w:cs="Arial" w:eastAsia="Arial" w:hAnsi="Arial"/>
          <w:sz w:val="19"/>
          <w:szCs w:val="19"/>
          <w:color w:val="auto"/>
        </w:rPr>
        <w:t>in relation to any proposed Tranche A Advance, the aggregate amount of its participation in any Tranche A Advances that are due to</w:t>
      </w:r>
      <w:r>
        <w:rPr>
          <w:rFonts w:ascii="Arial" w:cs="Arial" w:eastAsia="Arial" w:hAnsi="Arial"/>
          <w:sz w:val="18"/>
          <w:szCs w:val="18"/>
          <w:color w:val="auto"/>
        </w:rPr>
        <w:t xml:space="preserve"> </w:t>
      </w:r>
      <w:r>
        <w:rPr>
          <w:rFonts w:ascii="Arial" w:cs="Arial" w:eastAsia="Arial" w:hAnsi="Arial"/>
          <w:sz w:val="19"/>
          <w:szCs w:val="19"/>
          <w:color w:val="auto"/>
        </w:rPr>
        <w:t>be made on or before the proposed Advance Date.</w:t>
      </w:r>
    </w:p>
    <w:p>
      <w:pPr>
        <w:spacing w:after="0" w:line="107" w:lineRule="exact"/>
        <w:rPr>
          <w:sz w:val="20"/>
          <w:szCs w:val="20"/>
          <w:color w:val="auto"/>
        </w:rPr>
      </w:pPr>
    </w:p>
    <w:p>
      <w:pPr>
        <w:jc w:val="both"/>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Commitment</w:t>
      </w:r>
      <w:r>
        <w:rPr>
          <w:rFonts w:ascii="Arial" w:cs="Arial" w:eastAsia="Arial" w:hAnsi="Arial"/>
          <w:sz w:val="20"/>
          <w:szCs w:val="20"/>
          <w:color w:val="auto"/>
        </w:rPr>
        <w:t xml:space="preserve">" means, in relation to a Revolving Credit Facility Lender at any time, its Tranche B Facility Commitment </w:t>
      </w:r>
      <w:r>
        <w:rPr>
          <w:rFonts w:ascii="Arial" w:cs="Arial" w:eastAsia="Arial" w:hAnsi="Arial"/>
          <w:sz w:val="20"/>
          <w:szCs w:val="20"/>
          <w:b w:val="1"/>
          <w:bCs w:val="1"/>
          <w:i w:val="1"/>
          <w:iCs w:val="1"/>
          <w:color w:val="auto"/>
        </w:rPr>
        <w:t>less</w:t>
      </w:r>
      <w:r>
        <w:rPr>
          <w:rFonts w:ascii="Arial" w:cs="Arial" w:eastAsia="Arial" w:hAnsi="Arial"/>
          <w:sz w:val="20"/>
          <w:szCs w:val="20"/>
          <w:b w:val="1"/>
          <w:bCs w:val="1"/>
          <w:color w:val="auto"/>
        </w:rPr>
        <w:t>:</w:t>
      </w:r>
    </w:p>
    <w:p>
      <w:pPr>
        <w:spacing w:after="0" w:line="130" w:lineRule="exact"/>
        <w:rPr>
          <w:sz w:val="20"/>
          <w:szCs w:val="20"/>
          <w:color w:val="auto"/>
        </w:rPr>
      </w:pPr>
    </w:p>
    <w:p>
      <w:pPr>
        <w:jc w:val="both"/>
        <w:ind w:left="2040" w:hanging="1471"/>
        <w:spacing w:after="0" w:line="303" w:lineRule="auto"/>
        <w:rPr>
          <w:sz w:val="20"/>
          <w:szCs w:val="20"/>
          <w:color w:val="auto"/>
        </w:rPr>
      </w:pPr>
      <w:r>
        <w:rPr>
          <w:rFonts w:ascii="Arial" w:cs="Arial" w:eastAsia="Arial" w:hAnsi="Arial"/>
          <w:sz w:val="20"/>
          <w:szCs w:val="20"/>
          <w:color w:val="auto"/>
        </w:rPr>
        <w:t>(a)the aggregate amount of its participation in any outstanding Tranche B Advances (including, without limitation, the Existing Advances) (other than, in relation to any proposed Tranche B Advance, such Revolving Credit Facility Lender's participation in any Tranche B Advances that are due to be repaid or prepaid on or before the proposed Advance Date); and</w:t>
      </w:r>
    </w:p>
    <w:p>
      <w:pPr>
        <w:spacing w:after="0" w:line="149" w:lineRule="exact"/>
        <w:rPr>
          <w:sz w:val="20"/>
          <w:szCs w:val="20"/>
          <w:color w:val="auto"/>
        </w:rPr>
      </w:pPr>
    </w:p>
    <w:p>
      <w:pPr>
        <w:jc w:val="both"/>
        <w:ind w:left="2040" w:right="20" w:hanging="1485"/>
        <w:spacing w:after="0" w:line="317" w:lineRule="auto"/>
        <w:rPr>
          <w:sz w:val="20"/>
          <w:szCs w:val="20"/>
          <w:color w:val="auto"/>
        </w:rPr>
      </w:pPr>
      <w:r>
        <w:rPr>
          <w:rFonts w:ascii="Arial" w:cs="Arial" w:eastAsia="Arial" w:hAnsi="Arial"/>
          <w:sz w:val="20"/>
          <w:szCs w:val="20"/>
          <w:color w:val="auto"/>
        </w:rPr>
        <w:t>(b)in relation to any proposed Tranche B Advance, the aggregate amount of its participation in any Tranche B Advances that are due to be made on or before the proposed Advance Date.</w:t>
      </w:r>
    </w:p>
    <w:p>
      <w:pPr>
        <w:spacing w:after="0" w:line="129" w:lineRule="exact"/>
        <w:rPr>
          <w:sz w:val="20"/>
          <w:szCs w:val="20"/>
          <w:color w:val="auto"/>
        </w:rPr>
      </w:pPr>
    </w:p>
    <w:p>
      <w:pPr>
        <w:jc w:val="both"/>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A Facility</w:t>
      </w:r>
      <w:r>
        <w:rPr>
          <w:rFonts w:ascii="Arial" w:cs="Arial" w:eastAsia="Arial" w:hAnsi="Arial"/>
          <w:sz w:val="20"/>
          <w:szCs w:val="20"/>
          <w:color w:val="auto"/>
        </w:rPr>
        <w:t>" means, at any time, the aggregate amount of the Available Tranche A Commitments of all the Revolving Credit Facility Lenders at such time.</w:t>
      </w:r>
    </w:p>
    <w:p>
      <w:pPr>
        <w:spacing w:after="0" w:line="124" w:lineRule="exact"/>
        <w:rPr>
          <w:sz w:val="20"/>
          <w:szCs w:val="20"/>
          <w:color w:val="auto"/>
        </w:rPr>
      </w:pPr>
    </w:p>
    <w:p>
      <w:pPr>
        <w:jc w:val="both"/>
        <w:ind w:left="560"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Tranche B Facility</w:t>
      </w:r>
      <w:r>
        <w:rPr>
          <w:rFonts w:ascii="Arial" w:cs="Arial" w:eastAsia="Arial" w:hAnsi="Arial"/>
          <w:sz w:val="20"/>
          <w:szCs w:val="20"/>
          <w:color w:val="auto"/>
        </w:rPr>
        <w:t>" means, at any time, the aggregate amount of the Available Tranche B Commitments of all the Revolving Credit Facility Lenders at such time.</w:t>
      </w:r>
    </w:p>
    <w:p>
      <w:pPr>
        <w:sectPr>
          <w:pgSz w:w="11900" w:h="16838" w:orient="portrait"/>
          <w:cols w:equalWidth="0" w:num="1">
            <w:col w:w="11420"/>
          </w:cols>
          <w:pgMar w:left="240" w:top="663" w:right="239" w:bottom="1440" w:gutter="0" w:footer="0" w:header="0"/>
        </w:sectPr>
      </w:pPr>
    </w:p>
    <w:bookmarkStart w:id="319" w:name="page320"/>
    <w:bookmarkEnd w:id="319"/>
    <w:p>
      <w:pPr>
        <w:jc w:val="both"/>
        <w:spacing w:after="0" w:line="30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Terms Agreement</w:t>
      </w:r>
      <w:r>
        <w:rPr>
          <w:rFonts w:ascii="Arial" w:cs="Arial" w:eastAsia="Arial" w:hAnsi="Arial"/>
          <w:sz w:val="20"/>
          <w:szCs w:val="20"/>
          <w:color w:val="auto"/>
        </w:rPr>
        <w:t>" means the common terms agreement dated 14 September 2004 and made between, among others, the Company, the financial institutions defined therein as Term Facility Lenders and Revolving Credit Facility Lenders, the Term Facility Agent, the Revolving Credit Facility Agent, the Intercreditor Agent and the Security Agent, as amended and restated by the Common Terms Agreement Amendment Agreement, the Common Terms Agreement Second Amendment Agreement, the Common Terms Agreement Third Amendment Agreement, the Common Terms Agreement Fourth Amendment Agreement and the Common Terms Agreement Fifth Amendment Agreement.</w:t>
      </w:r>
    </w:p>
    <w:p>
      <w:pPr>
        <w:spacing w:after="0" w:line="147"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Accounts</w:t>
      </w:r>
      <w:r>
        <w:rPr>
          <w:rFonts w:ascii="Arial" w:cs="Arial" w:eastAsia="Arial" w:hAnsi="Arial"/>
          <w:sz w:val="18"/>
          <w:szCs w:val="18"/>
          <w:color w:val="auto"/>
        </w:rPr>
        <w:t>" means: (a) one or more Accounts of the Company opened and maintained solely for the disbursement of amounts borrowed by the Company under the Term Facility and the Revolving Credit Facility to finance or refinance costs incurred or funds expended on the development of the Cotai Project (and which does not, and will not, contain amounts to be applied for any other purpose other than as set forth in paragraph (b) of this definition) and; (b) one or more interest bearing demand or time deposits opened and maintained from time to time solely for the purpose of investing the amounts referred to in paragraph (a) of this definition prior to their disbursement provided that any such interest bearing demand or time deposit (i) meets the requirement of a Permitted Investment and (ii) is secured by a first ranking fixed Lien in favour of the Security Agent.</w:t>
      </w:r>
    </w:p>
    <w:p>
      <w:pPr>
        <w:spacing w:after="0" w:line="120"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Advances</w:t>
      </w:r>
      <w:r>
        <w:rPr>
          <w:rFonts w:ascii="Arial" w:cs="Arial" w:eastAsia="Arial" w:hAnsi="Arial"/>
          <w:sz w:val="20"/>
          <w:szCs w:val="20"/>
          <w:color w:val="auto"/>
        </w:rPr>
        <w:t>" means the Tranche A Advance in an amount equal to USD227,229,032.26 and the Tranche B Advance in an amount equal to HKD4,561,213,548.39 outstanding as at the Fifth Amendment Effective Date (for the avoidance of doubt, this does not include any advances made pursuant to a Completion Request delivered on the Fifth Amendment Effective Date, as provided for in the Common Terms Agreement Fifth Amendment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Repayment Date</w:t>
      </w:r>
      <w:r>
        <w:rPr>
          <w:rFonts w:ascii="Arial" w:cs="Arial" w:eastAsia="Arial" w:hAnsi="Arial"/>
          <w:sz w:val="20"/>
          <w:szCs w:val="20"/>
          <w:color w:val="auto"/>
        </w:rPr>
        <w:t>" means the fifth anniversary of the Fifth Amendment 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HIBOR</w:t>
      </w:r>
      <w:r>
        <w:rPr>
          <w:rFonts w:ascii="Arial" w:cs="Arial" w:eastAsia="Arial" w:hAnsi="Arial"/>
          <w:sz w:val="20"/>
          <w:szCs w:val="20"/>
          <w:color w:val="auto"/>
        </w:rPr>
        <w:t>" means, in relation to any Tranche B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29" w:lineRule="auto"/>
        <w:rPr>
          <w:sz w:val="20"/>
          <w:szCs w:val="20"/>
          <w:color w:val="auto"/>
        </w:rPr>
      </w:pPr>
      <w:r>
        <w:rPr>
          <w:rFonts w:ascii="Arial" w:cs="Arial" w:eastAsia="Arial" w:hAnsi="Arial"/>
          <w:sz w:val="19"/>
          <w:szCs w:val="19"/>
          <w:color w:val="auto"/>
        </w:rPr>
        <w:t>(b)(if no Screen Rate is available for HK dollars or the Interest Period of that Revolving Credit Facility Advance) the arithmetic mean of the rates (rounded upwards to four decimal places) as supplied to the Revolving Credit Facility Agent at its request quoted by the Reference Banks to leading banks in the Hong Kong interbank market,</w:t>
      </w:r>
    </w:p>
    <w:p>
      <w:pPr>
        <w:spacing w:after="0" w:line="128"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at or about 11.00 am (Hong Kong time) on the Quotation Day for the offering of deposits in HK dollars for a period comparable to the Interest Period for that Revolving Credit Facility Advance (or, if such Screen Rate or arithmetic mean of rates, as the case may be, is less than zero per annum, zero per annum).</w:t>
      </w:r>
    </w:p>
    <w:p>
      <w:pPr>
        <w:spacing w:after="0" w:line="141"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means, in relation to a Revolving Credit Facility Advance, each period determined in accordance with Clause 10 (</w:t>
      </w:r>
      <w:r>
        <w:rPr>
          <w:rFonts w:ascii="Arial" w:cs="Arial" w:eastAsia="Arial" w:hAnsi="Arial"/>
          <w:sz w:val="20"/>
          <w:szCs w:val="20"/>
          <w:i w:val="1"/>
          <w:iCs w:val="1"/>
          <w:color w:val="auto"/>
        </w:rPr>
        <w:t>Interest Periods</w:t>
      </w:r>
      <w:r>
        <w:rPr>
          <w:rFonts w:ascii="Arial" w:cs="Arial" w:eastAsia="Arial" w:hAnsi="Arial"/>
          <w:sz w:val="20"/>
          <w:szCs w:val="20"/>
          <w:color w:val="auto"/>
        </w:rPr>
        <w:t>).</w:t>
      </w:r>
    </w:p>
    <w:p>
      <w:pPr>
        <w:sectPr>
          <w:pgSz w:w="11900" w:h="16838" w:orient="portrait"/>
          <w:cols w:equalWidth="0" w:num="1">
            <w:col w:w="10860"/>
          </w:cols>
          <w:pgMar w:left="800" w:top="576" w:right="239" w:bottom="1440" w:gutter="0" w:footer="0" w:header="0"/>
        </w:sectPr>
      </w:pPr>
    </w:p>
    <w:bookmarkStart w:id="320" w:name="page321"/>
    <w:bookmarkEnd w:id="320"/>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w:t>
      </w:r>
      <w:r>
        <w:rPr>
          <w:rFonts w:ascii="Arial" w:cs="Arial" w:eastAsia="Arial" w:hAnsi="Arial"/>
          <w:sz w:val="20"/>
          <w:szCs w:val="20"/>
          <w:color w:val="auto"/>
        </w:rPr>
        <w:t>" means, in relation to any Tranche A Advance: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(a)the applicable Screen Rate; or</w:t>
      </w:r>
    </w:p>
    <w:p>
      <w:pPr>
        <w:spacing w:after="0" w:line="229" w:lineRule="exact"/>
        <w:rPr>
          <w:sz w:val="20"/>
          <w:szCs w:val="20"/>
          <w:color w:val="auto"/>
        </w:rPr>
      </w:pPr>
    </w:p>
    <w:p>
      <w:pPr>
        <w:jc w:val="both"/>
        <w:ind w:left="1480" w:hanging="1485"/>
        <w:spacing w:after="0" w:line="329" w:lineRule="auto"/>
        <w:rPr>
          <w:sz w:val="20"/>
          <w:szCs w:val="20"/>
          <w:color w:val="auto"/>
        </w:rPr>
      </w:pPr>
      <w:r>
        <w:rPr>
          <w:rFonts w:ascii="Arial" w:cs="Arial" w:eastAsia="Arial" w:hAnsi="Arial"/>
          <w:sz w:val="19"/>
          <w:szCs w:val="19"/>
          <w:color w:val="auto"/>
        </w:rPr>
        <w:t>(b)(if no Screen Rate is available for US dollars or for the Interest Period for that Revolving Credit Facility Advance) the arithmetic mean of the rates (rounded upwards to four decimal places) as supplied to the Revolving Credit Facility Agent at its request quoted by the Reference Banks to leading banks in the London interbank market,</w:t>
      </w:r>
    </w:p>
    <w:p>
      <w:pPr>
        <w:spacing w:after="0" w:line="128" w:lineRule="exact"/>
        <w:rPr>
          <w:sz w:val="20"/>
          <w:szCs w:val="20"/>
          <w:color w:val="auto"/>
        </w:rPr>
      </w:pPr>
    </w:p>
    <w:p>
      <w:pPr>
        <w:jc w:val="both"/>
        <w:ind w:left="60" w:firstLine="14"/>
        <w:spacing w:after="0" w:line="306" w:lineRule="auto"/>
        <w:rPr>
          <w:sz w:val="20"/>
          <w:szCs w:val="20"/>
          <w:color w:val="auto"/>
        </w:rPr>
      </w:pPr>
      <w:r>
        <w:rPr>
          <w:rFonts w:ascii="Arial" w:cs="Arial" w:eastAsia="Arial" w:hAnsi="Arial"/>
          <w:sz w:val="20"/>
          <w:szCs w:val="20"/>
          <w:color w:val="auto"/>
        </w:rPr>
        <w:t>at or about 11:00 a.m. (London time) on the Quotation Day for the offering of deposits in US dollars and for a period comparable to the Interest Period for that Revolving Credit Facility Advance (or, if such Screen Rate or arithmetic mean of rates, as the case may be, is less than zero per annum, zero per annum).</w:t>
      </w:r>
    </w:p>
    <w:p>
      <w:pPr>
        <w:spacing w:after="0" w:line="141" w:lineRule="exact"/>
        <w:rPr>
          <w:sz w:val="20"/>
          <w:szCs w:val="20"/>
          <w:color w:val="auto"/>
        </w:rPr>
      </w:pPr>
    </w:p>
    <w:p>
      <w:pPr>
        <w:jc w:val="both"/>
        <w:ind w:left="60"/>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Revolving Credit Facility Lenders</w:t>
      </w:r>
      <w:r>
        <w:rPr>
          <w:rFonts w:ascii="Arial" w:cs="Arial" w:eastAsia="Arial" w:hAnsi="Arial"/>
          <w:sz w:val="20"/>
          <w:szCs w:val="20"/>
          <w:color w:val="auto"/>
        </w:rPr>
        <w:t>" means a Revolving Credit Facility Lender or Revolving Credit Facility Lenders whose US dollar equivalent participations in the Revolving Credit Facility Advances then outstanding and undrawn Available Commitments amount in aggregate to more than 50% of the US dollar equivalent of the sum of all Revolving Credit Facility Advances then outstanding and undrawn Available Commitments.</w:t>
      </w:r>
    </w:p>
    <w:p>
      <w:pPr>
        <w:spacing w:after="0" w:line="141" w:lineRule="exact"/>
        <w:rPr>
          <w:sz w:val="20"/>
          <w:szCs w:val="20"/>
          <w:color w:val="auto"/>
        </w:rPr>
      </w:pPr>
    </w:p>
    <w:p>
      <w:pPr>
        <w:jc w:val="both"/>
        <w:ind w:left="60"/>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Revolving Credit Facility Advance hereunder on and from the Fifth Amendment Effective Date 1.750% per annum but, if the Leverage Ratio as at the most recent Quarterly Date thereafter thereafter (for the avoidance of doubt, subject to paragraph (e) of the definition of "Specified Equity Contribution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is within the range set out below and the Intercreditor Agent has received, in accordance with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20" w:lineRule="exact"/>
        <w:rPr>
          <w:sz w:val="20"/>
          <w:szCs w:val="20"/>
          <w:color w:val="auto"/>
        </w:rPr>
      </w:pPr>
    </w:p>
    <w:tbl>
      <w:tblPr>
        <w:tblLayout w:type="fixed"/>
        <w:tblInd w:w="74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1980" w:type="dxa"/>
            <w:vAlign w:val="bottom"/>
          </w:tcPr>
          <w:p>
            <w:pPr>
              <w:jc w:val="right"/>
              <w:ind w:right="581"/>
              <w:spacing w:after="0"/>
              <w:rPr>
                <w:sz w:val="20"/>
                <w:szCs w:val="20"/>
                <w:color w:val="auto"/>
              </w:rPr>
            </w:pPr>
            <w:r>
              <w:rPr>
                <w:rFonts w:ascii="Arial" w:cs="Arial" w:eastAsia="Arial" w:hAnsi="Arial"/>
                <w:sz w:val="20"/>
                <w:szCs w:val="20"/>
                <w:b w:val="1"/>
                <w:bCs w:val="1"/>
                <w:color w:val="auto"/>
              </w:rPr>
              <w:t>Margin</w:t>
            </w:r>
          </w:p>
        </w:tc>
        <w:tc>
          <w:tcPr>
            <w:tcW w:w="720" w:type="dxa"/>
            <w:vAlign w:val="bottom"/>
          </w:tcPr>
          <w:p>
            <w:pPr>
              <w:spacing w:after="0"/>
              <w:rPr>
                <w:sz w:val="22"/>
                <w:szCs w:val="22"/>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841"/>
              <w:spacing w:after="0"/>
              <w:rPr>
                <w:sz w:val="20"/>
                <w:szCs w:val="20"/>
                <w:color w:val="auto"/>
              </w:rPr>
            </w:pPr>
            <w:r>
              <w:rPr>
                <w:rFonts w:ascii="Arial" w:cs="Arial" w:eastAsia="Arial" w:hAnsi="Arial"/>
                <w:sz w:val="20"/>
                <w:szCs w:val="20"/>
                <w:color w:val="auto"/>
              </w:rPr>
              <w:t>1.500%</w:t>
            </w:r>
          </w:p>
        </w:tc>
        <w:tc>
          <w:tcPr>
            <w:tcW w:w="7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720" w:type="dxa"/>
            <w:vAlign w:val="bottom"/>
          </w:tcPr>
          <w:p>
            <w:pPr>
              <w:jc w:val="right"/>
              <w:spacing w:after="0"/>
              <w:rPr>
                <w:sz w:val="20"/>
                <w:szCs w:val="20"/>
                <w:color w:val="auto"/>
              </w:rPr>
            </w:pPr>
            <w:r>
              <w:rPr>
                <w:rFonts w:ascii="Arial" w:cs="Arial" w:eastAsia="Arial" w:hAnsi="Arial"/>
                <w:sz w:val="20"/>
                <w:szCs w:val="20"/>
                <w:color w:val="auto"/>
              </w:rPr>
              <w:t>1.875%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72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720" w:type="dxa"/>
            <w:vAlign w:val="bottom"/>
          </w:tcPr>
          <w:p>
            <w:pPr>
              <w:jc w:val="right"/>
              <w:spacing w:after="0"/>
              <w:rPr>
                <w:sz w:val="20"/>
                <w:szCs w:val="20"/>
                <w:color w:val="auto"/>
              </w:rPr>
            </w:pPr>
            <w:r>
              <w:rPr>
                <w:rFonts w:ascii="Arial" w:cs="Arial" w:eastAsia="Arial" w:hAnsi="Arial"/>
                <w:sz w:val="20"/>
                <w:szCs w:val="20"/>
                <w:color w:val="auto"/>
              </w:rPr>
              <w:t>2.125%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921"/>
              <w:spacing w:after="0"/>
              <w:rPr>
                <w:sz w:val="20"/>
                <w:szCs w:val="20"/>
                <w:color w:val="auto"/>
              </w:rPr>
            </w:pPr>
            <w:r>
              <w:rPr>
                <w:rFonts w:ascii="Arial" w:cs="Arial" w:eastAsia="Arial" w:hAnsi="Arial"/>
                <w:sz w:val="20"/>
                <w:szCs w:val="20"/>
                <w:color w:val="auto"/>
              </w:rPr>
              <w:t>2.250%</w:t>
            </w:r>
          </w:p>
        </w:tc>
        <w:tc>
          <w:tcPr>
            <w:tcW w:w="720" w:type="dxa"/>
            <w:vAlign w:val="bottom"/>
          </w:tcPr>
          <w:p>
            <w:pPr>
              <w:spacing w:after="0"/>
              <w:rPr>
                <w:sz w:val="24"/>
                <w:szCs w:val="24"/>
                <w:color w:val="auto"/>
              </w:rPr>
            </w:pPr>
          </w:p>
        </w:tc>
      </w:tr>
    </w:tbl>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Any increase or decrease in the Margin shall take effect from the Business Day following the satisfaction of the conditions or expiry of the applicable periods specified above (or, where such Business Day falls less than five Business Days before the end of the then current Interest Period, from the commencement of the next Interest Period).</w:t>
      </w:r>
    </w:p>
    <w:p>
      <w:pPr>
        <w:sectPr>
          <w:pgSz w:w="11900" w:h="16838" w:orient="portrait"/>
          <w:cols w:equalWidth="0" w:num="1">
            <w:col w:w="10860"/>
          </w:cols>
          <w:pgMar w:left="800" w:top="576" w:right="239" w:bottom="1440" w:gutter="0" w:footer="0" w:header="0"/>
        </w:sectPr>
      </w:pPr>
    </w:p>
    <w:bookmarkStart w:id="321" w:name="page322"/>
    <w:bookmarkEnd w:id="321"/>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Reference Banks</w:t>
      </w:r>
      <w:r>
        <w:rPr>
          <w:rFonts w:ascii="Arial" w:cs="Arial" w:eastAsia="Arial" w:hAnsi="Arial"/>
          <w:sz w:val="20"/>
          <w:szCs w:val="20"/>
          <w:color w:val="auto"/>
        </w:rPr>
        <w:t>" means, in relation to:</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(a)LIBOR, the principal London offices of Deutsche Bank AG and BNP Paribas; and</w:t>
      </w:r>
    </w:p>
    <w:p>
      <w:pPr>
        <w:spacing w:after="0" w:line="229" w:lineRule="exact"/>
        <w:rPr>
          <w:sz w:val="20"/>
          <w:szCs w:val="20"/>
          <w:color w:val="auto"/>
        </w:rPr>
      </w:pPr>
    </w:p>
    <w:p>
      <w:pPr>
        <w:ind w:left="1480" w:hanging="1485"/>
        <w:spacing w:after="0" w:line="317" w:lineRule="auto"/>
        <w:rPr>
          <w:sz w:val="20"/>
          <w:szCs w:val="20"/>
          <w:color w:val="auto"/>
        </w:rPr>
      </w:pPr>
      <w:r>
        <w:rPr>
          <w:rFonts w:ascii="Arial" w:cs="Arial" w:eastAsia="Arial" w:hAnsi="Arial"/>
          <w:sz w:val="20"/>
          <w:szCs w:val="20"/>
          <w:color w:val="auto"/>
        </w:rPr>
        <w:t>(b)HIBOR, the principal Hong Kong offices of Bank of China Limited, Hong Kong Branch and Industrial and Commercial Bank of China (Asia) Limited,</w:t>
      </w:r>
    </w:p>
    <w:p>
      <w:pPr>
        <w:spacing w:after="0" w:line="135" w:lineRule="exact"/>
        <w:rPr>
          <w:sz w:val="20"/>
          <w:szCs w:val="20"/>
          <w:color w:val="auto"/>
        </w:rPr>
      </w:pPr>
    </w:p>
    <w:p>
      <w:pPr>
        <w:ind w:right="20"/>
        <w:spacing w:after="0" w:line="346" w:lineRule="auto"/>
        <w:rPr>
          <w:sz w:val="20"/>
          <w:szCs w:val="20"/>
          <w:color w:val="auto"/>
        </w:rPr>
      </w:pPr>
      <w:r>
        <w:rPr>
          <w:rFonts w:ascii="Arial" w:cs="Arial" w:eastAsia="Arial" w:hAnsi="Arial"/>
          <w:sz w:val="19"/>
          <w:szCs w:val="19"/>
          <w:color w:val="auto"/>
        </w:rPr>
        <w:t>or such other bank or banks designated from time to time by the Revolving Credit Facility Agent provided that the consent of the Company shall be required if such designation is made prior to an occurrence of an Event of Default which is continuing.</w:t>
      </w:r>
    </w:p>
    <w:p>
      <w:pPr>
        <w:spacing w:after="0" w:line="107" w:lineRule="exact"/>
        <w:rPr>
          <w:sz w:val="20"/>
          <w:szCs w:val="20"/>
          <w:color w:val="auto"/>
        </w:rPr>
      </w:pPr>
    </w:p>
    <w:p>
      <w:pPr>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w:t>
      </w:r>
      <w:r>
        <w:rPr>
          <w:rFonts w:ascii="Arial" w:cs="Arial" w:eastAsia="Arial" w:hAnsi="Arial"/>
          <w:sz w:val="20"/>
          <w:szCs w:val="20"/>
          <w:color w:val="auto"/>
        </w:rPr>
        <w:t>" means the Tranche A Facility or the Tranche B Facility and "</w:t>
      </w:r>
      <w:r>
        <w:rPr>
          <w:rFonts w:ascii="Arial" w:cs="Arial" w:eastAsia="Arial" w:hAnsi="Arial"/>
          <w:sz w:val="20"/>
          <w:szCs w:val="20"/>
          <w:b w:val="1"/>
          <w:bCs w:val="1"/>
          <w:color w:val="auto"/>
        </w:rPr>
        <w:t>Revolving Credit Facilities</w:t>
      </w:r>
      <w:r>
        <w:rPr>
          <w:rFonts w:ascii="Arial" w:cs="Arial" w:eastAsia="Arial" w:hAnsi="Arial"/>
          <w:sz w:val="20"/>
          <w:szCs w:val="20"/>
          <w:color w:val="auto"/>
        </w:rPr>
        <w:t>" means each of them.</w:t>
      </w:r>
    </w:p>
    <w:p>
      <w:pPr>
        <w:spacing w:after="0" w:line="124" w:lineRule="exact"/>
        <w:rPr>
          <w:sz w:val="20"/>
          <w:szCs w:val="20"/>
          <w:color w:val="auto"/>
        </w:rPr>
      </w:pPr>
    </w:p>
    <w:p>
      <w:pPr>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Advance</w:t>
      </w:r>
      <w:r>
        <w:rPr>
          <w:rFonts w:ascii="Arial" w:cs="Arial" w:eastAsia="Arial" w:hAnsi="Arial"/>
          <w:sz w:val="20"/>
          <w:szCs w:val="20"/>
          <w:color w:val="auto"/>
        </w:rPr>
        <w:t>" means, as the context may require, a Tranche A Advance or a Tranche B Advance and "</w:t>
      </w:r>
      <w:r>
        <w:rPr>
          <w:rFonts w:ascii="Arial" w:cs="Arial" w:eastAsia="Arial" w:hAnsi="Arial"/>
          <w:sz w:val="20"/>
          <w:szCs w:val="20"/>
          <w:b w:val="1"/>
          <w:bCs w:val="1"/>
          <w:color w:val="auto"/>
        </w:rPr>
        <w:t>Revolving Credit Facility Advances</w:t>
      </w:r>
      <w:r>
        <w:rPr>
          <w:rFonts w:ascii="Arial" w:cs="Arial" w:eastAsia="Arial" w:hAnsi="Arial"/>
          <w:sz w:val="20"/>
          <w:szCs w:val="20"/>
          <w:color w:val="auto"/>
        </w:rPr>
        <w:t>" shall mean each Tranche A Advance and Tranche B Advance or any of them.</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Finance Documents</w:t>
      </w:r>
      <w:r>
        <w:rPr>
          <w:rFonts w:ascii="Arial" w:cs="Arial" w:eastAsia="Arial" w:hAnsi="Arial"/>
          <w:sz w:val="20"/>
          <w:szCs w:val="20"/>
          <w:color w:val="auto"/>
        </w:rPr>
        <w:t>" means: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(b)the Common Terms Agreement;</w:t>
      </w:r>
    </w:p>
    <w:p>
      <w:pPr>
        <w:spacing w:after="0" w:line="229" w:lineRule="exact"/>
        <w:rPr>
          <w:sz w:val="20"/>
          <w:szCs w:val="20"/>
          <w:color w:val="auto"/>
        </w:rPr>
      </w:pPr>
    </w:p>
    <w:p>
      <w:pPr>
        <w:ind w:left="1480" w:hanging="1471"/>
        <w:spacing w:after="0" w:line="317" w:lineRule="auto"/>
        <w:rPr>
          <w:sz w:val="20"/>
          <w:szCs w:val="20"/>
          <w:color w:val="auto"/>
        </w:rPr>
      </w:pPr>
      <w:r>
        <w:rPr>
          <w:rFonts w:ascii="Arial" w:cs="Arial" w:eastAsia="Arial" w:hAnsi="Arial"/>
          <w:sz w:val="20"/>
          <w:szCs w:val="20"/>
          <w:color w:val="auto"/>
        </w:rPr>
        <w:t>(c)any other Senior Finance Document to which a Revolving Credit Facility Lender is a party in its capacity as a Revolving Credit Facility Lender; and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(d)any other document designated as such by the Revolving Credit Facility Agent and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Facility Lender</w:t>
      </w:r>
      <w:r>
        <w:rPr>
          <w:rFonts w:ascii="Arial" w:cs="Arial" w:eastAsia="Arial" w:hAnsi="Arial"/>
          <w:sz w:val="20"/>
          <w:szCs w:val="20"/>
          <w:color w:val="auto"/>
        </w:rPr>
        <w:t>" means a Tranche A Facility Lender or a Tranche B Facility Lender.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Finance Parties</w:t>
      </w:r>
      <w:r>
        <w:rPr>
          <w:rFonts w:ascii="Arial" w:cs="Arial" w:eastAsia="Arial" w:hAnsi="Arial"/>
          <w:sz w:val="20"/>
          <w:szCs w:val="20"/>
          <w:color w:val="auto"/>
        </w:rPr>
        <w:t>" means the Revolving Credit Facility Agent and the Revolving Credit Facility Lenders.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Rollover Advance</w:t>
      </w:r>
      <w:r>
        <w:rPr>
          <w:rFonts w:ascii="Arial" w:cs="Arial" w:eastAsia="Arial" w:hAnsi="Arial"/>
          <w:sz w:val="19"/>
          <w:szCs w:val="19"/>
          <w:color w:val="auto"/>
        </w:rPr>
        <w:t>", in relation to a Revolving Credit Facility, means one or more Revolving Credit Facility Advances under that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 Facility:</w:t>
      </w:r>
    </w:p>
    <w:p>
      <w:pPr>
        <w:spacing w:after="0" w:line="229" w:lineRule="exact"/>
        <w:rPr>
          <w:sz w:val="20"/>
          <w:szCs w:val="20"/>
          <w:color w:val="auto"/>
        </w:rPr>
      </w:pPr>
    </w:p>
    <w:p>
      <w:pPr>
        <w:ind w:left="1480" w:right="20" w:hanging="1471"/>
        <w:spacing w:after="0" w:line="317" w:lineRule="auto"/>
        <w:rPr>
          <w:sz w:val="20"/>
          <w:szCs w:val="20"/>
          <w:color w:val="auto"/>
        </w:rPr>
      </w:pPr>
      <w:r>
        <w:rPr>
          <w:rFonts w:ascii="Arial" w:cs="Arial" w:eastAsia="Arial" w:hAnsi="Arial"/>
          <w:sz w:val="20"/>
          <w:szCs w:val="20"/>
          <w:color w:val="auto"/>
        </w:rPr>
        <w:t>(a)made or to be made on the same day that a maturing Revolving Credit Facility Advance under that Revolving Credit Facility is due to be repaid;</w:t>
      </w:r>
    </w:p>
    <w:p>
      <w:pPr>
        <w:spacing w:after="0" w:line="135" w:lineRule="exact"/>
        <w:rPr>
          <w:sz w:val="20"/>
          <w:szCs w:val="20"/>
          <w:color w:val="auto"/>
        </w:rPr>
      </w:pPr>
    </w:p>
    <w:p>
      <w:pPr>
        <w:ind w:left="1480" w:hanging="1485"/>
        <w:spacing w:after="0" w:line="317" w:lineRule="auto"/>
        <w:rPr>
          <w:sz w:val="20"/>
          <w:szCs w:val="20"/>
          <w:color w:val="auto"/>
        </w:rPr>
      </w:pPr>
      <w:r>
        <w:rPr>
          <w:rFonts w:ascii="Arial" w:cs="Arial" w:eastAsia="Arial" w:hAnsi="Arial"/>
          <w:sz w:val="20"/>
          <w:szCs w:val="20"/>
          <w:color w:val="auto"/>
        </w:rPr>
        <w:t>(b)the aggregate amount of which is equal to or less than the maturing Revolving Credit Facility Advance under that Revolving Credit Facility; and</w:t>
      </w:r>
    </w:p>
    <w:p>
      <w:pPr>
        <w:spacing w:after="0" w:line="135" w:lineRule="exact"/>
        <w:rPr>
          <w:sz w:val="20"/>
          <w:szCs w:val="20"/>
          <w:color w:val="auto"/>
        </w:rPr>
      </w:pPr>
    </w:p>
    <w:p>
      <w:pPr>
        <w:ind w:left="1480" w:right="20" w:hanging="1471"/>
        <w:spacing w:after="0" w:line="317" w:lineRule="auto"/>
        <w:rPr>
          <w:sz w:val="20"/>
          <w:szCs w:val="20"/>
          <w:color w:val="auto"/>
        </w:rPr>
      </w:pPr>
      <w:r>
        <w:rPr>
          <w:rFonts w:ascii="Arial" w:cs="Arial" w:eastAsia="Arial" w:hAnsi="Arial"/>
          <w:sz w:val="20"/>
          <w:szCs w:val="20"/>
          <w:color w:val="auto"/>
        </w:rPr>
        <w:t>(c)made or to be made to the Company for the purpose of refinancing a maturing Revolving Credit Facility Advance under that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Screen Rate</w:t>
      </w:r>
      <w:r>
        <w:rPr>
          <w:rFonts w:ascii="Arial" w:cs="Arial" w:eastAsia="Arial" w:hAnsi="Arial"/>
          <w:sz w:val="20"/>
          <w:szCs w:val="20"/>
          <w:color w:val="auto"/>
        </w:rPr>
        <w:t>" means, in relation to:</w:t>
      </w:r>
    </w:p>
    <w:p>
      <w:pPr>
        <w:spacing w:after="0" w:line="235" w:lineRule="exact"/>
        <w:rPr>
          <w:sz w:val="20"/>
          <w:szCs w:val="20"/>
          <w:color w:val="auto"/>
        </w:rPr>
      </w:pPr>
    </w:p>
    <w:p>
      <w:pPr>
        <w:ind w:left="1480" w:hanging="1471"/>
        <w:spacing w:after="0" w:line="317" w:lineRule="auto"/>
        <w:rPr>
          <w:sz w:val="20"/>
          <w:szCs w:val="20"/>
          <w:color w:val="auto"/>
        </w:rPr>
      </w:pPr>
      <w:r>
        <w:rPr>
          <w:rFonts w:ascii="Arial" w:cs="Arial" w:eastAsia="Arial" w:hAnsi="Arial"/>
          <w:sz w:val="20"/>
          <w:szCs w:val="20"/>
          <w:color w:val="auto"/>
        </w:rPr>
        <w:t>(a)LIBOR, the London interbank offered rate administered by ICE Benchmark Administration Limited (or any other person which takes over the administration</w:t>
      </w:r>
    </w:p>
    <w:p>
      <w:pPr>
        <w:sectPr>
          <w:pgSz w:w="11900" w:h="16838" w:orient="portrait"/>
          <w:cols w:equalWidth="0" w:num="1">
            <w:col w:w="10860"/>
          </w:cols>
          <w:pgMar w:left="800" w:top="576" w:right="239" w:bottom="1440" w:gutter="0" w:footer="0" w:header="0"/>
        </w:sectPr>
      </w:pPr>
    </w:p>
    <w:bookmarkStart w:id="322" w:name="page323"/>
    <w:bookmarkEnd w:id="322"/>
    <w:p>
      <w:pPr>
        <w:jc w:val="both"/>
        <w:ind w:left="720"/>
        <w:spacing w:after="0" w:line="334" w:lineRule="auto"/>
        <w:rPr>
          <w:sz w:val="20"/>
          <w:szCs w:val="20"/>
          <w:color w:val="auto"/>
        </w:rPr>
      </w:pPr>
      <w:r>
        <w:rPr>
          <w:rFonts w:ascii="Arial" w:cs="Arial" w:eastAsia="Arial" w:hAnsi="Arial"/>
          <w:sz w:val="20"/>
          <w:szCs w:val="20"/>
          <w:color w:val="auto"/>
        </w:rPr>
        <w:t>of that rate) for US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134" w:lineRule="exact"/>
        <w:rPr>
          <w:sz w:val="20"/>
          <w:szCs w:val="20"/>
          <w:color w:val="auto"/>
        </w:rPr>
      </w:pPr>
    </w:p>
    <w:p>
      <w:pPr>
        <w:jc w:val="both"/>
        <w:ind w:left="1480" w:hanging="1485"/>
        <w:spacing w:after="0" w:line="345" w:lineRule="auto"/>
        <w:rPr>
          <w:sz w:val="20"/>
          <w:szCs w:val="20"/>
          <w:color w:val="auto"/>
        </w:rPr>
      </w:pPr>
      <w:r>
        <w:rPr>
          <w:rFonts w:ascii="Arial" w:cs="Arial" w:eastAsia="Arial" w:hAnsi="Arial"/>
          <w:sz w:val="18"/>
          <w:szCs w:val="18"/>
          <w:color w:val="auto"/>
        </w:rPr>
        <w:t>(b)HIBOR,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the rate), or on the appropriate page of such other information service which publishes that rate from time to time in place of Thomson Reuters.</w:t>
      </w:r>
    </w:p>
    <w:p>
      <w:pPr>
        <w:spacing w:after="0" w:line="120"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If the agreed page is replaced or service ceases to be available, the Revolving Credit Facility Agent may specify another page or service displaying the appropriate rate after consultation with the Company and the Revolving Credit Facility Lenders.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falling one month prior to the Final Repayment Date.</w:t>
      </w:r>
    </w:p>
    <w:p>
      <w:pPr>
        <w:spacing w:after="0" w:line="229"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Advance</w:t>
      </w:r>
      <w:r>
        <w:rPr>
          <w:rFonts w:ascii="Arial" w:cs="Arial" w:eastAsia="Arial" w:hAnsi="Arial"/>
          <w:sz w:val="20"/>
          <w:szCs w:val="20"/>
          <w:color w:val="auto"/>
        </w:rPr>
        <w:t>" means an advance made or to be made by the Tranche A Facility Lenders under the Tranche A Facility or the principal amount outstanding for the time being of that advance including a Rollover Advance.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revolving credit facility granted to the Company under Clause 3.1.1 (</w:t>
      </w:r>
      <w:r>
        <w:rPr>
          <w:rFonts w:ascii="Arial" w:cs="Arial" w:eastAsia="Arial" w:hAnsi="Arial"/>
          <w:sz w:val="18"/>
          <w:szCs w:val="18"/>
          <w:i w:val="1"/>
          <w:iCs w:val="1"/>
          <w:color w:val="auto"/>
        </w:rPr>
        <w:t>Tranche A Facility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740" w:hanging="738"/>
        <w:spacing w:after="0" w:line="306" w:lineRule="auto"/>
        <w:tabs>
          <w:tab w:leader="none" w:pos="74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in relation to the Original Tranche A Facility Lender, the amount set opposite its name under the column entitled "Tranche A Commitment"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and the amount of any other Tranche A Facility Commitment transferred to it under this Agreement; and</w:t>
      </w:r>
    </w:p>
    <w:p>
      <w:pPr>
        <w:spacing w:after="0" w:line="146" w:lineRule="exact"/>
        <w:rPr>
          <w:rFonts w:ascii="Arial" w:cs="Arial" w:eastAsia="Arial" w:hAnsi="Arial"/>
          <w:sz w:val="20"/>
          <w:szCs w:val="20"/>
          <w:color w:val="auto"/>
        </w:rPr>
      </w:pPr>
    </w:p>
    <w:p>
      <w:pPr>
        <w:ind w:left="740" w:hanging="738"/>
        <w:spacing w:after="0" w:line="317" w:lineRule="auto"/>
        <w:tabs>
          <w:tab w:leader="none" w:pos="74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in relation to any other Tranche A Facility Lender, the amount of any Tranche A Facility Commitment transferred to it under this Agreement,</w:t>
      </w:r>
    </w:p>
    <w:p>
      <w:pPr>
        <w:spacing w:after="0" w:line="135" w:lineRule="exact"/>
        <w:rPr>
          <w:sz w:val="20"/>
          <w:szCs w:val="20"/>
          <w:color w:val="auto"/>
        </w:rPr>
      </w:pPr>
    </w:p>
    <w:p>
      <w:pPr>
        <w:jc w:val="both"/>
        <w:ind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jc w:val="both"/>
        <w:ind w:left="1480" w:right="20" w:hanging="1471"/>
        <w:spacing w:after="0" w:line="323" w:lineRule="auto"/>
        <w:rPr>
          <w:sz w:val="20"/>
          <w:szCs w:val="20"/>
          <w:color w:val="auto"/>
        </w:rPr>
      </w:pPr>
      <w:r>
        <w:rPr>
          <w:rFonts w:ascii="Arial" w:cs="Arial" w:eastAsia="Arial" w:hAnsi="Arial"/>
          <w:sz w:val="20"/>
          <w:szCs w:val="20"/>
          <w:color w:val="auto"/>
        </w:rPr>
        <w:t>(a)is named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as a Tranche A Facility Lender (the "</w:t>
      </w:r>
      <w:r>
        <w:rPr>
          <w:rFonts w:ascii="Arial" w:cs="Arial" w:eastAsia="Arial" w:hAnsi="Arial"/>
          <w:sz w:val="20"/>
          <w:szCs w:val="20"/>
          <w:b w:val="1"/>
          <w:bCs w:val="1"/>
          <w:color w:val="auto"/>
        </w:rPr>
        <w:t>Original Tranche A Facility</w:t>
      </w:r>
      <w:r>
        <w:rPr>
          <w:rFonts w:ascii="Arial" w:cs="Arial" w:eastAsia="Arial" w:hAnsi="Arial"/>
          <w:sz w:val="20"/>
          <w:szCs w:val="20"/>
          <w:color w:val="auto"/>
        </w:rPr>
        <w:t xml:space="preserve"> </w:t>
      </w:r>
      <w:r>
        <w:rPr>
          <w:rFonts w:ascii="Arial" w:cs="Arial" w:eastAsia="Arial" w:hAnsi="Arial"/>
          <w:sz w:val="20"/>
          <w:szCs w:val="20"/>
          <w:b w:val="1"/>
          <w:bCs w:val="1"/>
          <w:color w:val="auto"/>
        </w:rPr>
        <w:t>Lender</w:t>
      </w:r>
      <w:r>
        <w:rPr>
          <w:rFonts w:ascii="Arial" w:cs="Arial" w:eastAsia="Arial" w:hAnsi="Arial"/>
          <w:sz w:val="20"/>
          <w:szCs w:val="20"/>
          <w:color w:val="auto"/>
        </w:rPr>
        <w:t>"); or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(b)has become party hereto as a Tranche A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ectPr>
          <w:pgSz w:w="11900" w:h="16838" w:orient="portrait"/>
          <w:cols w:equalWidth="0" w:num="1">
            <w:col w:w="10860"/>
          </w:cols>
          <w:pgMar w:left="800" w:top="595" w:right="239" w:bottom="1440" w:gutter="0" w:footer="0" w:header="0"/>
        </w:sectPr>
      </w:pPr>
    </w:p>
    <w:bookmarkStart w:id="323" w:name="page324"/>
    <w:bookmarkEnd w:id="323"/>
    <w:p>
      <w:pPr>
        <w:ind w:left="560"/>
        <w:spacing w:after="0" w:line="3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Advance</w:t>
      </w:r>
      <w:r>
        <w:rPr>
          <w:rFonts w:ascii="Arial" w:cs="Arial" w:eastAsia="Arial" w:hAnsi="Arial"/>
          <w:sz w:val="20"/>
          <w:szCs w:val="20"/>
          <w:color w:val="auto"/>
        </w:rPr>
        <w:t>" means an advance made or to be made by the Tranche B Facility Lenders under the Tranche B Facility or the principal amount outstanding for the time being of that advance including a Rollover Advance.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revolving credit facility granted to the Company under Clause 3.1.2 (</w:t>
      </w:r>
      <w:r>
        <w:rPr>
          <w:rFonts w:ascii="Arial" w:cs="Arial" w:eastAsia="Arial" w:hAnsi="Arial"/>
          <w:sz w:val="18"/>
          <w:szCs w:val="18"/>
          <w:i w:val="1"/>
          <w:iCs w:val="1"/>
          <w:color w:val="auto"/>
        </w:rPr>
        <w:t>Tranche B Facility</w:t>
      </w:r>
      <w:r>
        <w:rPr>
          <w:rFonts w:ascii="Arial" w:cs="Arial" w:eastAsia="Arial" w:hAnsi="Arial"/>
          <w:sz w:val="18"/>
          <w:szCs w:val="18"/>
          <w:color w:val="auto"/>
        </w:rPr>
        <w:t>).</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Commitment</w:t>
      </w:r>
      <w:r>
        <w:rPr>
          <w:rFonts w:ascii="Arial" w:cs="Arial" w:eastAsia="Arial" w:hAnsi="Arial"/>
          <w:sz w:val="20"/>
          <w:szCs w:val="20"/>
          <w:color w:val="auto"/>
        </w:rPr>
        <w:t>" means</w:t>
      </w:r>
    </w:p>
    <w:p>
      <w:pPr>
        <w:spacing w:after="0" w:line="235" w:lineRule="exact"/>
        <w:rPr>
          <w:sz w:val="20"/>
          <w:szCs w:val="20"/>
          <w:color w:val="auto"/>
        </w:rPr>
      </w:pPr>
    </w:p>
    <w:p>
      <w:pPr>
        <w:jc w:val="both"/>
        <w:ind w:left="1300" w:hanging="738"/>
        <w:spacing w:after="0" w:line="306" w:lineRule="auto"/>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in relation to the Original Tranche B Facility Lender, the amount set opposite its name under the column entitled "Tranche B Commitment"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and the amount of any other Tranche B Facility Commitment transferred to it under this Agreement; and</w:t>
      </w:r>
    </w:p>
    <w:p>
      <w:pPr>
        <w:spacing w:after="0" w:line="146" w:lineRule="exact"/>
        <w:rPr>
          <w:rFonts w:ascii="Arial" w:cs="Arial" w:eastAsia="Arial" w:hAnsi="Arial"/>
          <w:sz w:val="20"/>
          <w:szCs w:val="20"/>
          <w:color w:val="auto"/>
        </w:rPr>
      </w:pPr>
    </w:p>
    <w:p>
      <w:pPr>
        <w:ind w:left="1300" w:hanging="738"/>
        <w:spacing w:after="0" w:line="317" w:lineRule="auto"/>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in relation to any other Tranche B Facility Lender, the amount of any Tranche B Facility Commitment transferred to it under this Agreement,</w:t>
      </w:r>
    </w:p>
    <w:p>
      <w:pPr>
        <w:spacing w:after="0" w:line="135" w:lineRule="exact"/>
        <w:rPr>
          <w:sz w:val="20"/>
          <w:szCs w:val="20"/>
          <w:color w:val="auto"/>
        </w:rPr>
      </w:pPr>
    </w:p>
    <w:p>
      <w:pPr>
        <w:jc w:val="both"/>
        <w:ind w:left="560" w:right="20"/>
        <w:spacing w:after="0" w:line="306" w:lineRule="auto"/>
        <w:rPr>
          <w:sz w:val="20"/>
          <w:szCs w:val="20"/>
          <w:color w:val="auto"/>
        </w:rPr>
      </w:pPr>
      <w:r>
        <w:rPr>
          <w:rFonts w:ascii="Arial" w:cs="Arial" w:eastAsia="Arial" w:hAnsi="Arial"/>
          <w:sz w:val="20"/>
          <w:szCs w:val="20"/>
          <w:color w:val="auto"/>
        </w:rPr>
        <w:t>to the extent not cancelled pursuant to clause 8 (</w:t>
      </w:r>
      <w:r>
        <w:rPr>
          <w:rFonts w:ascii="Arial" w:cs="Arial" w:eastAsia="Arial" w:hAnsi="Arial"/>
          <w:sz w:val="20"/>
          <w:szCs w:val="20"/>
          <w:i w:val="1"/>
          <w:iCs w:val="1"/>
          <w:color w:val="auto"/>
        </w:rPr>
        <w:t>Repayments, Prepayments and Cancellation</w:t>
      </w:r>
      <w:r>
        <w:rPr>
          <w:rFonts w:ascii="Arial" w:cs="Arial" w:eastAsia="Arial" w:hAnsi="Arial"/>
          <w:sz w:val="20"/>
          <w:szCs w:val="20"/>
          <w:color w:val="auto"/>
        </w:rPr>
        <w:t>) of the Common Terms Agreement or otherwise reduced pursuant to the terms hereof and/or the Common Terms Agreement, reduced or transferred by it in accordance with the Common Terms Agreement.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 Facility Lender</w:t>
      </w:r>
      <w:r>
        <w:rPr>
          <w:rFonts w:ascii="Arial" w:cs="Arial" w:eastAsia="Arial" w:hAnsi="Arial"/>
          <w:sz w:val="20"/>
          <w:szCs w:val="20"/>
          <w:color w:val="auto"/>
        </w:rPr>
        <w:t>" means any commercial bank, financial institution or other entity which:</w:t>
      </w:r>
    </w:p>
    <w:p>
      <w:pPr>
        <w:spacing w:after="0" w:line="229" w:lineRule="exact"/>
        <w:rPr>
          <w:sz w:val="20"/>
          <w:szCs w:val="20"/>
          <w:color w:val="auto"/>
        </w:rPr>
      </w:pPr>
    </w:p>
    <w:p>
      <w:pPr>
        <w:jc w:val="both"/>
        <w:ind w:left="2040" w:hanging="1471"/>
        <w:spacing w:after="0" w:line="323" w:lineRule="auto"/>
        <w:rPr>
          <w:sz w:val="20"/>
          <w:szCs w:val="20"/>
          <w:color w:val="auto"/>
        </w:rPr>
      </w:pPr>
      <w:r>
        <w:rPr>
          <w:rFonts w:ascii="Arial" w:cs="Arial" w:eastAsia="Arial" w:hAnsi="Arial"/>
          <w:sz w:val="20"/>
          <w:szCs w:val="20"/>
          <w:color w:val="auto"/>
        </w:rPr>
        <w:t>(a)is named in Schedule 1 (</w:t>
      </w:r>
      <w:r>
        <w:rPr>
          <w:rFonts w:ascii="Arial" w:cs="Arial" w:eastAsia="Arial" w:hAnsi="Arial"/>
          <w:sz w:val="20"/>
          <w:szCs w:val="20"/>
          <w:i w:val="1"/>
          <w:iCs w:val="1"/>
          <w:color w:val="auto"/>
        </w:rPr>
        <w:t>The Revolving Credit Facility Lenders</w:t>
      </w:r>
      <w:r>
        <w:rPr>
          <w:rFonts w:ascii="Arial" w:cs="Arial" w:eastAsia="Arial" w:hAnsi="Arial"/>
          <w:sz w:val="20"/>
          <w:szCs w:val="20"/>
          <w:color w:val="auto"/>
        </w:rPr>
        <w:t>) as a Tranche B Facility Lender (the "</w:t>
      </w:r>
      <w:r>
        <w:rPr>
          <w:rFonts w:ascii="Arial" w:cs="Arial" w:eastAsia="Arial" w:hAnsi="Arial"/>
          <w:sz w:val="20"/>
          <w:szCs w:val="20"/>
          <w:b w:val="1"/>
          <w:bCs w:val="1"/>
          <w:color w:val="auto"/>
        </w:rPr>
        <w:t>Original Tranche B Facility</w:t>
      </w:r>
      <w:r>
        <w:rPr>
          <w:rFonts w:ascii="Arial" w:cs="Arial" w:eastAsia="Arial" w:hAnsi="Arial"/>
          <w:sz w:val="20"/>
          <w:szCs w:val="20"/>
          <w:color w:val="auto"/>
        </w:rPr>
        <w:t xml:space="preserve"> </w:t>
      </w:r>
      <w:r>
        <w:rPr>
          <w:rFonts w:ascii="Arial" w:cs="Arial" w:eastAsia="Arial" w:hAnsi="Arial"/>
          <w:sz w:val="20"/>
          <w:szCs w:val="20"/>
          <w:b w:val="1"/>
          <w:bCs w:val="1"/>
          <w:color w:val="auto"/>
        </w:rPr>
        <w:t>Lender</w:t>
      </w:r>
      <w:r>
        <w:rPr>
          <w:rFonts w:ascii="Arial" w:cs="Arial" w:eastAsia="Arial" w:hAnsi="Arial"/>
          <w:sz w:val="20"/>
          <w:szCs w:val="20"/>
          <w:color w:val="auto"/>
        </w:rPr>
        <w:t>"); or</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(b)has become party hereto as a Tranche B Facility Lender in accordance with Clause 13 (</w:t>
      </w:r>
      <w:r>
        <w:rPr>
          <w:rFonts w:ascii="Arial" w:cs="Arial" w:eastAsia="Arial" w:hAnsi="Arial"/>
          <w:sz w:val="20"/>
          <w:szCs w:val="20"/>
          <w:i w:val="1"/>
          <w:iCs w:val="1"/>
          <w:color w:val="auto"/>
        </w:rPr>
        <w:t>Changes to the Parties</w:t>
      </w:r>
      <w:r>
        <w:rPr>
          <w:rFonts w:ascii="Arial" w:cs="Arial" w:eastAsia="Arial" w:hAnsi="Arial"/>
          <w:sz w:val="20"/>
          <w:szCs w:val="20"/>
          <w:color w:val="auto"/>
        </w:rPr>
        <w: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and which has not ceased to be a party hereto in accordance with the terms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Interpretation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 this Agreement:</w:t>
      </w:r>
    </w:p>
    <w:p>
      <w:pPr>
        <w:spacing w:after="0" w:line="229" w:lineRule="exact"/>
        <w:rPr>
          <w:sz w:val="20"/>
          <w:szCs w:val="20"/>
          <w:color w:val="auto"/>
        </w:rPr>
      </w:pPr>
    </w:p>
    <w:p>
      <w:pPr>
        <w:jc w:val="both"/>
        <w:ind w:left="2120" w:right="20" w:hanging="1566"/>
        <w:spacing w:after="0" w:line="329" w:lineRule="auto"/>
        <w:rPr>
          <w:sz w:val="20"/>
          <w:szCs w:val="20"/>
          <w:color w:val="auto"/>
        </w:rPr>
      </w:pPr>
      <w:r>
        <w:rPr>
          <w:rFonts w:ascii="Arial" w:cs="Arial" w:eastAsia="Arial" w:hAnsi="Arial"/>
          <w:sz w:val="16"/>
          <w:szCs w:val="16"/>
          <w:color w:val="auto"/>
        </w:rPr>
        <w:t>1.3.1</w:t>
      </w:r>
      <w:r>
        <w:rPr>
          <w:rFonts w:ascii="Arial" w:cs="Arial" w:eastAsia="Arial" w:hAnsi="Arial"/>
          <w:sz w:val="19"/>
          <w:szCs w:val="19"/>
          <w:color w:val="auto"/>
        </w:rPr>
        <w:t>the principles of construction contained in clause 1.2</w:t>
      </w:r>
      <w:r>
        <w:rPr>
          <w:rFonts w:ascii="Arial" w:cs="Arial" w:eastAsia="Arial" w:hAnsi="Arial"/>
          <w:sz w:val="16"/>
          <w:szCs w:val="16"/>
          <w:color w:val="auto"/>
        </w:rPr>
        <w:t xml:space="preserve"> </w:t>
      </w:r>
      <w:r>
        <w:rPr>
          <w:rFonts w:ascii="Arial" w:cs="Arial" w:eastAsia="Arial" w:hAnsi="Arial"/>
          <w:sz w:val="19"/>
          <w:szCs w:val="19"/>
          <w:i w:val="1"/>
          <w:iCs w:val="1"/>
          <w:color w:val="auto"/>
        </w:rPr>
        <w:t>(Principles of Construction)</w:t>
      </w:r>
      <w:r>
        <w:rPr>
          <w:rFonts w:ascii="Arial" w:cs="Arial" w:eastAsia="Arial" w:hAnsi="Arial"/>
          <w:sz w:val="16"/>
          <w:szCs w:val="16"/>
          <w:color w:val="auto"/>
        </w:rPr>
        <w:t xml:space="preserve"> </w:t>
      </w:r>
      <w:r>
        <w:rPr>
          <w:rFonts w:ascii="Arial" w:cs="Arial" w:eastAsia="Arial" w:hAnsi="Arial"/>
          <w:sz w:val="19"/>
          <w:szCs w:val="19"/>
          <w:color w:val="auto"/>
        </w:rPr>
        <w:t>of the Common Terms Agreement and the rules of</w:t>
      </w:r>
      <w:r>
        <w:rPr>
          <w:rFonts w:ascii="Arial" w:cs="Arial" w:eastAsia="Arial" w:hAnsi="Arial"/>
          <w:sz w:val="16"/>
          <w:szCs w:val="16"/>
          <w:color w:val="auto"/>
        </w:rPr>
        <w:t xml:space="preserve"> </w:t>
      </w:r>
      <w:r>
        <w:rPr>
          <w:rFonts w:ascii="Arial" w:cs="Arial" w:eastAsia="Arial" w:hAnsi="Arial"/>
          <w:sz w:val="19"/>
          <w:szCs w:val="19"/>
          <w:color w:val="auto"/>
        </w:rPr>
        <w:t xml:space="preserve">interpretation contained in clause 1.3 </w:t>
      </w:r>
      <w:r>
        <w:rPr>
          <w:rFonts w:ascii="Arial" w:cs="Arial" w:eastAsia="Arial" w:hAnsi="Arial"/>
          <w:sz w:val="19"/>
          <w:szCs w:val="19"/>
          <w:i w:val="1"/>
          <w:iCs w:val="1"/>
          <w:color w:val="auto"/>
        </w:rPr>
        <w:t>(Rules of Interpretation</w:t>
      </w:r>
      <w:r>
        <w:rPr>
          <w:rFonts w:ascii="Arial" w:cs="Arial" w:eastAsia="Arial" w:hAnsi="Arial"/>
          <w:sz w:val="19"/>
          <w:szCs w:val="19"/>
          <w:color w:val="auto"/>
        </w:rPr>
        <w:t>) of the Common Terms Agreement shall apply to the construction and interpretation of this Agreement;</w:t>
      </w:r>
    </w:p>
    <w:p>
      <w:pPr>
        <w:spacing w:after="0" w:line="122" w:lineRule="exact"/>
        <w:rPr>
          <w:sz w:val="20"/>
          <w:szCs w:val="20"/>
          <w:color w:val="auto"/>
        </w:rPr>
      </w:pPr>
    </w:p>
    <w:p>
      <w:pPr>
        <w:jc w:val="both"/>
        <w:ind w:left="2120" w:hanging="1566"/>
        <w:spacing w:after="0" w:line="332" w:lineRule="auto"/>
        <w:rPr>
          <w:sz w:val="20"/>
          <w:szCs w:val="20"/>
          <w:color w:val="auto"/>
        </w:rPr>
      </w:pPr>
      <w:r>
        <w:rPr>
          <w:rFonts w:ascii="Arial" w:cs="Arial" w:eastAsia="Arial" w:hAnsi="Arial"/>
          <w:sz w:val="16"/>
          <w:szCs w:val="16"/>
          <w:color w:val="auto"/>
        </w:rPr>
        <w:t>1.3.2</w:t>
      </w:r>
      <w:r>
        <w:rPr>
          <w:rFonts w:ascii="Arial" w:cs="Arial" w:eastAsia="Arial" w:hAnsi="Arial"/>
          <w:sz w:val="19"/>
          <w:szCs w:val="19"/>
          <w:color w:val="auto"/>
        </w:rPr>
        <w:t>any reference to the "</w:t>
      </w:r>
      <w:r>
        <w:rPr>
          <w:rFonts w:ascii="Arial" w:cs="Arial" w:eastAsia="Arial" w:hAnsi="Arial"/>
          <w:sz w:val="19"/>
          <w:szCs w:val="19"/>
          <w:b w:val="1"/>
          <w:bCs w:val="1"/>
          <w:color w:val="auto"/>
        </w:rPr>
        <w:t>Revolving Credit Facility Agent</w:t>
      </w:r>
      <w:r>
        <w:rPr>
          <w:rFonts w:ascii="Arial" w:cs="Arial" w:eastAsia="Arial" w:hAnsi="Arial"/>
          <w:sz w:val="19"/>
          <w:szCs w:val="19"/>
          <w:color w:val="auto"/>
        </w:rPr>
        <w:t>" or any "</w:t>
      </w:r>
      <w:r>
        <w:rPr>
          <w:rFonts w:ascii="Arial" w:cs="Arial" w:eastAsia="Arial" w:hAnsi="Arial"/>
          <w:sz w:val="19"/>
          <w:szCs w:val="19"/>
          <w:b w:val="1"/>
          <w:bCs w:val="1"/>
          <w:color w:val="auto"/>
        </w:rPr>
        <w:t>Revolving Credit Facility Lender</w:t>
      </w:r>
      <w:r>
        <w:rPr>
          <w:rFonts w:ascii="Arial" w:cs="Arial" w:eastAsia="Arial" w:hAnsi="Arial"/>
          <w:sz w:val="19"/>
          <w:szCs w:val="19"/>
          <w:color w:val="auto"/>
        </w:rPr>
        <w:t>" shall be construed so as to</w:t>
      </w:r>
      <w:r>
        <w:rPr>
          <w:rFonts w:ascii="Arial" w:cs="Arial" w:eastAsia="Arial" w:hAnsi="Arial"/>
          <w:sz w:val="16"/>
          <w:szCs w:val="16"/>
          <w:color w:val="auto"/>
        </w:rPr>
        <w:t xml:space="preserve"> </w:t>
      </w:r>
      <w:r>
        <w:rPr>
          <w:rFonts w:ascii="Arial" w:cs="Arial" w:eastAsia="Arial" w:hAnsi="Arial"/>
          <w:sz w:val="19"/>
          <w:szCs w:val="19"/>
          <w:color w:val="auto"/>
        </w:rPr>
        <w:t>include its or their (and any subsequent) successors and any permitted transferees in accordance with their respective interests; and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1.3.3</w:t>
      </w:r>
      <w:r>
        <w:rPr>
          <w:rFonts w:ascii="Arial" w:cs="Arial" w:eastAsia="Arial" w:hAnsi="Arial"/>
          <w:sz w:val="19"/>
          <w:szCs w:val="19"/>
          <w:color w:val="auto"/>
        </w:rPr>
        <w:t>references in this Agreement to any Clause or Schedule shall be to a clause or schedule contained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Third Party Rights</w:t>
      </w:r>
    </w:p>
    <w:p>
      <w:pPr>
        <w:sectPr>
          <w:pgSz w:w="11900" w:h="16838" w:orient="portrait"/>
          <w:cols w:equalWidth="0" w:num="1">
            <w:col w:w="11420"/>
          </w:cols>
          <w:pgMar w:left="240" w:top="576" w:right="239" w:bottom="1440" w:gutter="0" w:footer="0" w:header="0"/>
        </w:sectPr>
      </w:pPr>
    </w:p>
    <w:bookmarkStart w:id="324" w:name="page325"/>
    <w:bookmarkEnd w:id="324"/>
    <w:p>
      <w:pPr>
        <w:jc w:val="both"/>
        <w:ind w:left="2120" w:hanging="1566"/>
        <w:spacing w:after="0" w:line="346" w:lineRule="auto"/>
        <w:rPr>
          <w:sz w:val="20"/>
          <w:szCs w:val="20"/>
          <w:color w:val="auto"/>
        </w:rPr>
      </w:pPr>
      <w:r>
        <w:rPr>
          <w:rFonts w:ascii="Arial" w:cs="Arial" w:eastAsia="Arial" w:hAnsi="Arial"/>
          <w:sz w:val="16"/>
          <w:szCs w:val="16"/>
          <w:color w:val="auto"/>
        </w:rPr>
        <w:t>1.4.1</w:t>
      </w:r>
      <w:r>
        <w:rPr>
          <w:rFonts w:ascii="Arial" w:cs="Arial" w:eastAsia="Arial" w:hAnsi="Arial"/>
          <w:sz w:val="19"/>
          <w:szCs w:val="19"/>
          <w:color w:val="auto"/>
        </w:rPr>
        <w:t>The Contracts (Rights of Third Parties) Act 1999 applies to Clause 1.4 (</w:t>
      </w:r>
      <w:r>
        <w:rPr>
          <w:rFonts w:ascii="Arial" w:cs="Arial" w:eastAsia="Arial" w:hAnsi="Arial"/>
          <w:sz w:val="19"/>
          <w:szCs w:val="19"/>
          <w:i w:val="1"/>
          <w:iCs w:val="1"/>
          <w:color w:val="auto"/>
        </w:rPr>
        <w:t>Non-recourse liability</w:t>
      </w:r>
      <w:r>
        <w:rPr>
          <w:rFonts w:ascii="Arial" w:cs="Arial" w:eastAsia="Arial" w:hAnsi="Arial"/>
          <w:sz w:val="19"/>
          <w:szCs w:val="19"/>
          <w:color w:val="auto"/>
        </w:rPr>
        <w:t>) but only for the benefit of the</w:t>
      </w:r>
      <w:r>
        <w:rPr>
          <w:rFonts w:ascii="Arial" w:cs="Arial" w:eastAsia="Arial" w:hAnsi="Arial"/>
          <w:sz w:val="16"/>
          <w:szCs w:val="16"/>
          <w:color w:val="auto"/>
        </w:rPr>
        <w:t xml:space="preserve"> </w:t>
      </w:r>
      <w:r>
        <w:rPr>
          <w:rFonts w:ascii="Arial" w:cs="Arial" w:eastAsia="Arial" w:hAnsi="Arial"/>
          <w:sz w:val="19"/>
          <w:szCs w:val="19"/>
          <w:color w:val="auto"/>
        </w:rPr>
        <w:t>Operatives and subject always to the terms of Clause 17 (</w:t>
      </w:r>
      <w:r>
        <w:rPr>
          <w:rFonts w:ascii="Arial" w:cs="Arial" w:eastAsia="Arial" w:hAnsi="Arial"/>
          <w:sz w:val="19"/>
          <w:szCs w:val="19"/>
          <w:i w:val="1"/>
          <w:iCs w:val="1"/>
          <w:color w:val="auto"/>
        </w:rPr>
        <w:t>Governing Law</w:t>
      </w:r>
      <w:r>
        <w:rPr>
          <w:rFonts w:ascii="Arial" w:cs="Arial" w:eastAsia="Arial" w:hAnsi="Arial"/>
          <w:sz w:val="19"/>
          <w:szCs w:val="19"/>
          <w:color w:val="auto"/>
        </w:rPr>
        <w:t>) and Clause 18 (</w:t>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1.4.2</w:t>
      </w:r>
      <w:r>
        <w:rPr>
          <w:rFonts w:ascii="Arial" w:cs="Arial" w:eastAsia="Arial" w:hAnsi="Arial"/>
          <w:sz w:val="19"/>
          <w:szCs w:val="19"/>
          <w:color w:val="auto"/>
        </w:rPr>
        <w:t>Except as provided in sub-clause 1.3.1 above, a Person who is not a party to this Agreement has no right under the Contracts (Rights</w:t>
      </w:r>
      <w:r>
        <w:rPr>
          <w:rFonts w:ascii="Arial" w:cs="Arial" w:eastAsia="Arial" w:hAnsi="Arial"/>
          <w:sz w:val="16"/>
          <w:szCs w:val="16"/>
          <w:color w:val="auto"/>
        </w:rPr>
        <w:t xml:space="preserve"> </w:t>
      </w:r>
      <w:r>
        <w:rPr>
          <w:rFonts w:ascii="Arial" w:cs="Arial" w:eastAsia="Arial" w:hAnsi="Arial"/>
          <w:sz w:val="19"/>
          <w:szCs w:val="19"/>
          <w:color w:val="auto"/>
        </w:rPr>
        <w:t>of Third Parties) Act 1999 to enforce or to enjoy the benefit of any term of this Agreement.</w:t>
      </w:r>
    </w:p>
    <w:p>
      <w:pPr>
        <w:spacing w:after="0" w:line="113" w:lineRule="exact"/>
        <w:rPr>
          <w:sz w:val="20"/>
          <w:szCs w:val="20"/>
          <w:color w:val="auto"/>
        </w:rPr>
      </w:pPr>
    </w:p>
    <w:p>
      <w:pPr>
        <w:jc w:val="both"/>
        <w:ind w:left="2120" w:hanging="1566"/>
        <w:spacing w:after="0" w:line="346" w:lineRule="auto"/>
        <w:rPr>
          <w:sz w:val="20"/>
          <w:szCs w:val="20"/>
          <w:color w:val="auto"/>
        </w:rPr>
      </w:pPr>
      <w:r>
        <w:rPr>
          <w:rFonts w:ascii="Arial" w:cs="Arial" w:eastAsia="Arial" w:hAnsi="Arial"/>
          <w:sz w:val="16"/>
          <w:szCs w:val="16"/>
          <w:color w:val="auto"/>
        </w:rPr>
        <w:t>1.4.3</w:t>
      </w:r>
      <w:r>
        <w:rPr>
          <w:rFonts w:ascii="Arial" w:cs="Arial" w:eastAsia="Arial" w:hAnsi="Arial"/>
          <w:sz w:val="19"/>
          <w:szCs w:val="19"/>
          <w:color w:val="auto"/>
        </w:rPr>
        <w:t>Save as provided by the Common Terms Agreement, the consent of any Person who is not a party to this Agreement is not required</w:t>
      </w:r>
      <w:r>
        <w:rPr>
          <w:rFonts w:ascii="Arial" w:cs="Arial" w:eastAsia="Arial" w:hAnsi="Arial"/>
          <w:sz w:val="16"/>
          <w:szCs w:val="16"/>
          <w:color w:val="auto"/>
        </w:rPr>
        <w:t xml:space="preserve"> </w:t>
      </w:r>
      <w:r>
        <w:rPr>
          <w:rFonts w:ascii="Arial" w:cs="Arial" w:eastAsia="Arial" w:hAnsi="Arial"/>
          <w:sz w:val="19"/>
          <w:szCs w:val="19"/>
          <w:color w:val="auto"/>
        </w:rPr>
        <w:t>to rescind or vary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b w:val="1"/>
          <w:bCs w:val="1"/>
          <w:color w:val="auto"/>
        </w:rPr>
        <w:t>Non-recourse Liability</w:t>
      </w:r>
    </w:p>
    <w:p>
      <w:pPr>
        <w:spacing w:after="0" w:line="75" w:lineRule="exact"/>
        <w:rPr>
          <w:sz w:val="20"/>
          <w:szCs w:val="20"/>
          <w:color w:val="auto"/>
        </w:rPr>
      </w:pPr>
    </w:p>
    <w:p>
      <w:pPr>
        <w:jc w:val="both"/>
        <w:ind w:left="560"/>
        <w:spacing w:after="0" w:line="337" w:lineRule="auto"/>
        <w:rPr>
          <w:sz w:val="20"/>
          <w:szCs w:val="20"/>
          <w:color w:val="auto"/>
        </w:rPr>
      </w:pPr>
      <w:r>
        <w:rPr>
          <w:rFonts w:ascii="Arial" w:cs="Arial" w:eastAsia="Arial" w:hAnsi="Arial"/>
          <w:sz w:val="18"/>
          <w:szCs w:val="18"/>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an individual holding the Executive Director Shares, his or her liability shall be limited to his or her shares in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18"/>
          <w:szCs w:val="18"/>
          <w:b w:val="1"/>
          <w:bCs w:val="1"/>
          <w:color w:val="auto"/>
        </w:rPr>
        <w:t>COMMON TERMS AGREEMENT</w:t>
      </w:r>
    </w:p>
    <w:p>
      <w:pPr>
        <w:spacing w:after="0" w:line="135" w:lineRule="exact"/>
        <w:rPr>
          <w:sz w:val="20"/>
          <w:szCs w:val="20"/>
          <w:color w:val="auto"/>
        </w:rPr>
      </w:pPr>
    </w:p>
    <w:p>
      <w:pPr>
        <w:jc w:val="both"/>
        <w:ind w:left="560"/>
        <w:spacing w:after="0" w:line="329" w:lineRule="auto"/>
        <w:rPr>
          <w:sz w:val="20"/>
          <w:szCs w:val="20"/>
          <w:color w:val="auto"/>
        </w:rPr>
      </w:pPr>
      <w:r>
        <w:rPr>
          <w:rFonts w:ascii="Arial" w:cs="Arial" w:eastAsia="Arial" w:hAnsi="Arial"/>
          <w:sz w:val="19"/>
          <w:szCs w:val="19"/>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18"/>
          <w:szCs w:val="18"/>
          <w:b w:val="1"/>
          <w:bCs w:val="1"/>
          <w:color w:val="auto"/>
        </w:rPr>
        <w:t>THE REVOLVING CREDIT FACILITIES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Grant of the Revolving Credit Facilities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3.1.4</w:t>
      </w:r>
      <w:r>
        <w:rPr>
          <w:rFonts w:ascii="Arial" w:cs="Arial" w:eastAsia="Arial" w:hAnsi="Arial"/>
          <w:sz w:val="19"/>
          <w:szCs w:val="19"/>
          <w:b w:val="1"/>
          <w:bCs w:val="1"/>
          <w:i w:val="1"/>
          <w:iCs w:val="1"/>
          <w:color w:val="auto"/>
        </w:rPr>
        <w:t>Tranche A Facility</w:t>
      </w:r>
    </w:p>
    <w:p>
      <w:pPr>
        <w:spacing w:after="0" w:line="65" w:lineRule="exact"/>
        <w:rPr>
          <w:sz w:val="20"/>
          <w:szCs w:val="20"/>
          <w:color w:val="auto"/>
        </w:rPr>
      </w:pPr>
    </w:p>
    <w:p>
      <w:pPr>
        <w:ind w:left="1280"/>
        <w:spacing w:after="0" w:line="317" w:lineRule="auto"/>
        <w:rPr>
          <w:sz w:val="20"/>
          <w:szCs w:val="20"/>
          <w:color w:val="auto"/>
        </w:rPr>
      </w:pPr>
      <w:r>
        <w:rPr>
          <w:rFonts w:ascii="Arial" w:cs="Arial" w:eastAsia="Arial" w:hAnsi="Arial"/>
          <w:sz w:val="20"/>
          <w:szCs w:val="20"/>
          <w:color w:val="auto"/>
        </w:rPr>
        <w:t>The Tranche A Facility Lenders grant to the Company, upon the terms and subject to the conditions hereof, a US dollar revolving credit facility in an aggregate amount of USD427,000,000.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3.1.5</w:t>
      </w:r>
      <w:r>
        <w:rPr>
          <w:rFonts w:ascii="Arial" w:cs="Arial" w:eastAsia="Arial" w:hAnsi="Arial"/>
          <w:sz w:val="19"/>
          <w:szCs w:val="19"/>
          <w:b w:val="1"/>
          <w:bCs w:val="1"/>
          <w:i w:val="1"/>
          <w:iCs w:val="1"/>
          <w:color w:val="auto"/>
        </w:rPr>
        <w:t>Tranche B Facility</w:t>
      </w:r>
    </w:p>
    <w:p>
      <w:pPr>
        <w:spacing w:after="0" w:line="65" w:lineRule="exact"/>
        <w:rPr>
          <w:sz w:val="20"/>
          <w:szCs w:val="20"/>
          <w:color w:val="auto"/>
        </w:rPr>
      </w:pPr>
    </w:p>
    <w:p>
      <w:pPr>
        <w:ind w:left="1280" w:right="20"/>
        <w:spacing w:after="0" w:line="317" w:lineRule="auto"/>
        <w:rPr>
          <w:sz w:val="20"/>
          <w:szCs w:val="20"/>
          <w:color w:val="auto"/>
        </w:rPr>
      </w:pPr>
      <w:r>
        <w:rPr>
          <w:rFonts w:ascii="Arial" w:cs="Arial" w:eastAsia="Arial" w:hAnsi="Arial"/>
          <w:sz w:val="20"/>
          <w:szCs w:val="20"/>
          <w:color w:val="auto"/>
        </w:rPr>
        <w:t>The Tranche B Facility Lenders grant to the Company, upon the terms and subject to the conditions hereof, a HK dollar revolving credit facility in an aggregate amount of HKD2,511,600,000.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18"/>
          <w:szCs w:val="18"/>
          <w:b w:val="1"/>
          <w:bCs w:val="1"/>
          <w:color w:val="auto"/>
        </w:rPr>
        <w:t>PURPOSE</w:t>
      </w:r>
    </w:p>
    <w:p>
      <w:pPr>
        <w:sectPr>
          <w:pgSz w:w="11900" w:h="16838" w:orient="portrait"/>
          <w:cols w:equalWidth="0" w:num="1">
            <w:col w:w="11420"/>
          </w:cols>
          <w:pgMar w:left="240" w:top="582" w:right="239" w:bottom="1440" w:gutter="0" w:footer="0" w:header="0"/>
        </w:sectPr>
      </w:pPr>
    </w:p>
    <w:bookmarkStart w:id="325" w:name="page326"/>
    <w:bookmarkEnd w:id="325"/>
    <w:p>
      <w:pPr>
        <w:jc w:val="both"/>
        <w:ind w:left="1560" w:hanging="1566"/>
        <w:spacing w:after="0" w:line="323" w:lineRule="auto"/>
        <w:rPr>
          <w:sz w:val="20"/>
          <w:szCs w:val="20"/>
          <w:color w:val="auto"/>
        </w:rPr>
      </w:pPr>
      <w:r>
        <w:rPr>
          <w:rFonts w:ascii="Arial" w:cs="Arial" w:eastAsia="Arial" w:hAnsi="Arial"/>
          <w:sz w:val="16"/>
          <w:szCs w:val="16"/>
          <w:color w:val="auto"/>
        </w:rPr>
        <w:t>4.1.4</w:t>
      </w:r>
      <w:r>
        <w:rPr>
          <w:rFonts w:ascii="Arial" w:cs="Arial" w:eastAsia="Arial" w:hAnsi="Arial"/>
          <w:sz w:val="19"/>
          <w:szCs w:val="19"/>
          <w:color w:val="auto"/>
        </w:rPr>
        <w:t>Subject to Clause 4.1.2, the Company shall apply all amounts borrowed by it under the Revolving Credit Facilities to pay for the</w:t>
      </w:r>
      <w:r>
        <w:rPr>
          <w:rFonts w:ascii="Arial" w:cs="Arial" w:eastAsia="Arial" w:hAnsi="Arial"/>
          <w:sz w:val="16"/>
          <w:szCs w:val="16"/>
          <w:color w:val="auto"/>
        </w:rPr>
        <w:t xml:space="preserve"> </w:t>
      </w:r>
      <w:r>
        <w:rPr>
          <w:rFonts w:ascii="Arial" w:cs="Arial" w:eastAsia="Arial" w:hAnsi="Arial"/>
          <w:sz w:val="19"/>
          <w:szCs w:val="19"/>
          <w:color w:val="auto"/>
        </w:rPr>
        <w:t>refinancing of existing indebtedness of the Company, the design, development and construction of the Cotai Project and for the general corporate purposes of the Group (including investment in Excluded Subsidiaries, Excluded Projects or Resort Management Agreements).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4.1.5</w:t>
      </w:r>
      <w:r>
        <w:rPr>
          <w:rFonts w:ascii="Arial" w:cs="Arial" w:eastAsia="Arial" w:hAnsi="Arial"/>
          <w:sz w:val="19"/>
          <w:szCs w:val="19"/>
          <w:color w:val="auto"/>
        </w:rPr>
        <w:t>The Company shall deposit (immediately upon utilisation of the first Advance made hereunder):</w:t>
      </w:r>
    </w:p>
    <w:p>
      <w:pPr>
        <w:spacing w:after="0" w:line="241" w:lineRule="exact"/>
        <w:rPr>
          <w:sz w:val="20"/>
          <w:szCs w:val="20"/>
          <w:color w:val="auto"/>
        </w:rPr>
      </w:pPr>
    </w:p>
    <w:p>
      <w:pPr>
        <w:jc w:val="both"/>
        <w:ind w:left="2580" w:hanging="1876"/>
        <w:spacing w:after="0" w:line="346" w:lineRule="auto"/>
        <w:rPr>
          <w:sz w:val="20"/>
          <w:szCs w:val="20"/>
          <w:color w:val="auto"/>
        </w:rPr>
      </w:pPr>
      <w:r>
        <w:rPr>
          <w:rFonts w:ascii="Arial" w:cs="Arial" w:eastAsia="Arial" w:hAnsi="Arial"/>
          <w:sz w:val="18"/>
          <w:szCs w:val="18"/>
          <w:color w:val="auto"/>
        </w:rPr>
        <w:t>(a)</w:t>
      </w:r>
      <w:r>
        <w:rPr>
          <w:rFonts w:ascii="Arial" w:cs="Arial" w:eastAsia="Arial" w:hAnsi="Arial"/>
          <w:sz w:val="19"/>
          <w:szCs w:val="19"/>
          <w:color w:val="auto"/>
        </w:rPr>
        <w:t>one or more Development Accounts denominated in HKD, sufficient HKD amounts borrowed by it under the Revolving</w:t>
      </w:r>
      <w:r>
        <w:rPr>
          <w:rFonts w:ascii="Arial" w:cs="Arial" w:eastAsia="Arial" w:hAnsi="Arial"/>
          <w:sz w:val="18"/>
          <w:szCs w:val="18"/>
          <w:color w:val="auto"/>
        </w:rPr>
        <w:t xml:space="preserve"> </w:t>
      </w:r>
      <w:r>
        <w:rPr>
          <w:rFonts w:ascii="Arial" w:cs="Arial" w:eastAsia="Arial" w:hAnsi="Arial"/>
          <w:sz w:val="19"/>
          <w:szCs w:val="19"/>
          <w:color w:val="auto"/>
        </w:rPr>
        <w:t>Credit Facility; and</w:t>
      </w:r>
    </w:p>
    <w:p>
      <w:pPr>
        <w:spacing w:after="0" w:line="113" w:lineRule="exact"/>
        <w:rPr>
          <w:sz w:val="20"/>
          <w:szCs w:val="20"/>
          <w:color w:val="auto"/>
        </w:rPr>
      </w:pPr>
    </w:p>
    <w:p>
      <w:pPr>
        <w:jc w:val="both"/>
        <w:ind w:left="2600" w:hanging="1890"/>
        <w:spacing w:after="0" w:line="346" w:lineRule="auto"/>
        <w:rPr>
          <w:sz w:val="20"/>
          <w:szCs w:val="20"/>
          <w:color w:val="auto"/>
        </w:rPr>
      </w:pPr>
      <w:r>
        <w:rPr>
          <w:rFonts w:ascii="Arial" w:cs="Arial" w:eastAsia="Arial" w:hAnsi="Arial"/>
          <w:sz w:val="18"/>
          <w:szCs w:val="18"/>
          <w:color w:val="auto"/>
        </w:rPr>
        <w:t>(b)</w:t>
      </w:r>
      <w:r>
        <w:rPr>
          <w:rFonts w:ascii="Arial" w:cs="Arial" w:eastAsia="Arial" w:hAnsi="Arial"/>
          <w:sz w:val="19"/>
          <w:szCs w:val="19"/>
          <w:color w:val="auto"/>
        </w:rPr>
        <w:t>one or more Development Accounts denominated in USD, sufficient USD amounts borrowed by it under the Revolving</w:t>
      </w:r>
      <w:r>
        <w:rPr>
          <w:rFonts w:ascii="Arial" w:cs="Arial" w:eastAsia="Arial" w:hAnsi="Arial"/>
          <w:sz w:val="18"/>
          <w:szCs w:val="18"/>
          <w:color w:val="auto"/>
        </w:rPr>
        <w:t xml:space="preserve"> </w:t>
      </w:r>
      <w:r>
        <w:rPr>
          <w:rFonts w:ascii="Arial" w:cs="Arial" w:eastAsia="Arial" w:hAnsi="Arial"/>
          <w:sz w:val="19"/>
          <w:szCs w:val="19"/>
          <w:color w:val="auto"/>
        </w:rPr>
        <w:t>Credit Facility,</w:t>
      </w:r>
    </w:p>
    <w:p>
      <w:pPr>
        <w:spacing w:after="0" w:line="113" w:lineRule="exact"/>
        <w:rPr>
          <w:sz w:val="20"/>
          <w:szCs w:val="20"/>
          <w:color w:val="auto"/>
        </w:rPr>
      </w:pPr>
    </w:p>
    <w:p>
      <w:pPr>
        <w:jc w:val="both"/>
        <w:ind w:left="720"/>
        <w:spacing w:after="0" w:line="317" w:lineRule="auto"/>
        <w:rPr>
          <w:sz w:val="20"/>
          <w:szCs w:val="20"/>
          <w:color w:val="auto"/>
        </w:rPr>
      </w:pPr>
      <w:r>
        <w:rPr>
          <w:rFonts w:ascii="Arial" w:cs="Arial" w:eastAsia="Arial" w:hAnsi="Arial"/>
          <w:sz w:val="19"/>
          <w:szCs w:val="19"/>
          <w:color w:val="auto"/>
        </w:rPr>
        <w:t>such that, when the amounts referred to in paragraphs (a) and (b) of this Clause 4.1.2 are aggregated, they are equal to the RCF Portion (as defined in clause 3.3 (</w:t>
      </w:r>
      <w:r>
        <w:rPr>
          <w:rFonts w:ascii="Arial" w:cs="Arial" w:eastAsia="Arial" w:hAnsi="Arial"/>
          <w:sz w:val="19"/>
          <w:szCs w:val="19"/>
          <w:i w:val="1"/>
          <w:iCs w:val="1"/>
          <w:color w:val="auto"/>
        </w:rPr>
        <w:t>Funding of Development Account from Revolving Credit Facility and the Term Facility</w:t>
      </w:r>
      <w:r>
        <w:rPr>
          <w:rFonts w:ascii="Arial" w:cs="Arial" w:eastAsia="Arial" w:hAnsi="Arial"/>
          <w:sz w:val="19"/>
          <w:szCs w:val="19"/>
          <w:color w:val="auto"/>
        </w:rPr>
        <w:t xml:space="preserve">) of the Common Terms Agreement and the Company shall only apply amounts withdrawn from the Development Accounts from time to time to finance or refinance costs incurred or funds expended on the development of the Cotai Project (including, without limitation, cost and expenses related to design, development, land acquisition, construction, site preparation, equipping, pre-opening expenses and capitalized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r>
        <w:rPr>
          <w:rFonts w:ascii="Arial" w:cs="Arial" w:eastAsia="Arial" w:hAnsi="Arial"/>
          <w:sz w:val="19"/>
          <w:szCs w:val="19"/>
          <w:i w:val="1"/>
          <w:iCs w:val="1"/>
          <w:color w:val="auto"/>
        </w:rPr>
        <w:t>,</w:t>
      </w:r>
      <w:r>
        <w:rPr>
          <w:rFonts w:ascii="Arial" w:cs="Arial" w:eastAsia="Arial" w:hAnsi="Arial"/>
          <w:sz w:val="19"/>
          <w:szCs w:val="19"/>
          <w:color w:val="auto"/>
        </w:rPr>
        <w:t xml:space="preserve"> for the avoidance of doubt, the Company shall be entitled to transfer funds from one Development Account to another Development Account.</w:t>
      </w:r>
    </w:p>
    <w:p>
      <w:pPr>
        <w:spacing w:after="0" w:line="141" w:lineRule="exact"/>
        <w:rPr>
          <w:sz w:val="20"/>
          <w:szCs w:val="20"/>
          <w:color w:val="auto"/>
        </w:rPr>
      </w:pPr>
    </w:p>
    <w:p>
      <w:pPr>
        <w:jc w:val="both"/>
        <w:ind w:left="1560" w:hanging="1566"/>
        <w:spacing w:after="0" w:line="314" w:lineRule="auto"/>
        <w:rPr>
          <w:rFonts w:ascii="Arial" w:cs="Arial" w:eastAsia="Arial" w:hAnsi="Arial"/>
          <w:sz w:val="19"/>
          <w:szCs w:val="19"/>
          <w:color w:val="auto"/>
        </w:rPr>
      </w:pPr>
      <w:r>
        <w:rPr>
          <w:rFonts w:ascii="Arial" w:cs="Arial" w:eastAsia="Arial" w:hAnsi="Arial"/>
          <w:sz w:val="16"/>
          <w:szCs w:val="16"/>
          <w:color w:val="auto"/>
        </w:rPr>
        <w:t>4.1.6</w:t>
      </w:r>
      <w:r>
        <w:rPr>
          <w:rFonts w:ascii="Arial" w:cs="Arial" w:eastAsia="Arial" w:hAnsi="Arial"/>
          <w:sz w:val="19"/>
          <w:szCs w:val="19"/>
          <w:color w:val="auto"/>
        </w:rPr>
        <w:t>It shall be a condition to the Company making the first withdrawal from a Development Account (other than a withdrawal for the</w:t>
      </w:r>
      <w:r>
        <w:rPr>
          <w:rFonts w:ascii="Arial" w:cs="Arial" w:eastAsia="Arial" w:hAnsi="Arial"/>
          <w:sz w:val="16"/>
          <w:szCs w:val="16"/>
          <w:color w:val="auto"/>
        </w:rPr>
        <w:t xml:space="preserve"> </w:t>
      </w:r>
      <w:r>
        <w:rPr>
          <w:rFonts w:ascii="Arial" w:cs="Arial" w:eastAsia="Arial" w:hAnsi="Arial"/>
          <w:sz w:val="19"/>
          <w:szCs w:val="19"/>
          <w:color w:val="auto"/>
        </w:rPr>
        <w:t xml:space="preserve">transfer of funds to another Development Account) and to making subsequent withdrawals from any Development Account (other than a withdrawal for the transfer of funds to another Development Account), that the Company shall (immediately prior to making the first such withdrawal and subsequently, for so long as there are any amounts standing to the credit of any Development Account, on the first Business Day in each calendar month thereafter) certify in writing to the Intercreditor Agent and the Revolving Credit Facility Agent that it (and/or Palo, as the case may be) has incurred costs or expended funds on the development of the Cotai Project (or will immediately upon the making of such withdrawal, have expended funds on the development of the Cotai Project) in an amount at least equal to the aggregate amount of all withdrawals from the Development Accounts (excluding withdrawals for the transfer of funds to another Development Account). For the purposes of this Clause </w:t>
      </w:r>
      <w:hyperlink w:anchor="page326">
        <w:r>
          <w:rPr>
            <w:rFonts w:ascii="Arial" w:cs="Arial" w:eastAsia="Arial" w:hAnsi="Arial"/>
            <w:sz w:val="19"/>
            <w:szCs w:val="19"/>
            <w:u w:val="single" w:color="auto"/>
            <w:color w:val="0000EE"/>
          </w:rPr>
          <w:t>4.1.3</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costs incurred or funds expended on the development of the Cotai Project include, but are not limited to, costs and expenses related to design, development, land acquisition, construction, site preparation, equipping, pre-opening expenses and capitalized interest.</w:t>
      </w:r>
    </w:p>
    <w:p>
      <w:pPr>
        <w:sectPr>
          <w:pgSz w:w="11900" w:h="16838" w:orient="portrait"/>
          <w:cols w:equalWidth="0" w:num="1">
            <w:col w:w="10860"/>
          </w:cols>
          <w:pgMar w:left="800" w:top="582" w:right="239" w:bottom="1440" w:gutter="0" w:footer="0" w:header="0"/>
        </w:sectPr>
      </w:pPr>
    </w:p>
    <w:bookmarkStart w:id="326" w:name="page327"/>
    <w:bookmarkEnd w:id="326"/>
    <w:p>
      <w:pPr>
        <w:jc w:val="both"/>
        <w:ind w:left="2120" w:hanging="1566"/>
        <w:spacing w:after="0" w:line="345" w:lineRule="auto"/>
        <w:rPr>
          <w:sz w:val="20"/>
          <w:szCs w:val="20"/>
          <w:color w:val="auto"/>
        </w:rPr>
      </w:pPr>
      <w:r>
        <w:rPr>
          <w:rFonts w:ascii="Arial" w:cs="Arial" w:eastAsia="Arial" w:hAnsi="Arial"/>
          <w:sz w:val="15"/>
          <w:szCs w:val="15"/>
          <w:color w:val="auto"/>
        </w:rPr>
        <w:t>4.1.7</w:t>
      </w:r>
      <w:r>
        <w:rPr>
          <w:rFonts w:ascii="Arial" w:cs="Arial" w:eastAsia="Arial" w:hAnsi="Arial"/>
          <w:sz w:val="18"/>
          <w:szCs w:val="18"/>
          <w:color w:val="auto"/>
        </w:rPr>
        <w:t>The Company shall notify the Intercreditor Agent and the Revolving Credit Facility Agent of the details of each Development</w:t>
      </w:r>
      <w:r>
        <w:rPr>
          <w:rFonts w:ascii="Arial" w:cs="Arial" w:eastAsia="Arial" w:hAnsi="Arial"/>
          <w:sz w:val="15"/>
          <w:szCs w:val="15"/>
          <w:color w:val="auto"/>
        </w:rPr>
        <w:t xml:space="preserve"> </w:t>
      </w:r>
      <w:r>
        <w:rPr>
          <w:rFonts w:ascii="Arial" w:cs="Arial" w:eastAsia="Arial" w:hAnsi="Arial"/>
          <w:sz w:val="18"/>
          <w:szCs w:val="18"/>
          <w:color w:val="auto"/>
        </w:rPr>
        <w:t>Account (including the bank with which such Development Account is held, in which currency such Development Account is denominated and the balance from time to time) promptly upon the opening of any such Development Account and from time to time upon request of the Intercreditor Agent and the Revolving Credit Facility Agent.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18"/>
          <w:szCs w:val="18"/>
          <w:b w:val="1"/>
          <w:bCs w:val="1"/>
          <w:color w:val="auto"/>
        </w:rPr>
        <w:t>CONDITIONS OF UTILISATION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b w:val="1"/>
          <w:bCs w:val="1"/>
          <w:color w:val="auto"/>
        </w:rPr>
        <w:t>Conditions precedent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2 (</w:t>
      </w:r>
      <w:r>
        <w:rPr>
          <w:rFonts w:ascii="Arial" w:cs="Arial" w:eastAsia="Arial" w:hAnsi="Arial"/>
          <w:sz w:val="20"/>
          <w:szCs w:val="20"/>
          <w:i w:val="1"/>
          <w:iCs w:val="1"/>
          <w:color w:val="auto"/>
        </w:rPr>
        <w:t>Conditions Precedent</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b w:val="1"/>
          <w:bCs w:val="1"/>
          <w:color w:val="auto"/>
        </w:rPr>
        <w:t>Further conditions precedent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obligation of each Revolving Credit Facility Lender to participate in each Revolving Credit Facility Advance under this Agreement is subject to the Company having satisfied the following conditions:</w:t>
      </w:r>
    </w:p>
    <w:p>
      <w:pPr>
        <w:spacing w:after="0" w:line="135" w:lineRule="exact"/>
        <w:rPr>
          <w:sz w:val="20"/>
          <w:szCs w:val="20"/>
          <w:color w:val="auto"/>
        </w:rPr>
      </w:pPr>
    </w:p>
    <w:p>
      <w:pPr>
        <w:jc w:val="both"/>
        <w:ind w:left="2040" w:hanging="1471"/>
        <w:spacing w:after="0" w:line="317" w:lineRule="auto"/>
        <w:rPr>
          <w:sz w:val="20"/>
          <w:szCs w:val="20"/>
          <w:color w:val="auto"/>
        </w:rPr>
      </w:pPr>
      <w:r>
        <w:rPr>
          <w:rFonts w:ascii="Arial" w:cs="Arial" w:eastAsia="Arial" w:hAnsi="Arial"/>
          <w:sz w:val="20"/>
          <w:szCs w:val="20"/>
          <w:color w:val="auto"/>
        </w:rPr>
        <w:t>(a)in the case of a Rollover Advance, no Event of Default shall have occurred and is continuing and, in the case of any other Revolving Credit Facility Advance, no Default shall have occurred and is continuing;</w:t>
      </w:r>
    </w:p>
    <w:p>
      <w:pPr>
        <w:spacing w:after="0" w:line="135" w:lineRule="exact"/>
        <w:rPr>
          <w:sz w:val="20"/>
          <w:szCs w:val="20"/>
          <w:color w:val="auto"/>
        </w:rPr>
      </w:pPr>
    </w:p>
    <w:p>
      <w:pPr>
        <w:jc w:val="both"/>
        <w:ind w:left="2040" w:hanging="1485"/>
        <w:spacing w:after="0" w:line="354" w:lineRule="auto"/>
        <w:rPr>
          <w:sz w:val="20"/>
          <w:szCs w:val="20"/>
          <w:color w:val="auto"/>
        </w:rPr>
      </w:pPr>
      <w:r>
        <w:rPr>
          <w:rFonts w:ascii="Arial" w:cs="Arial" w:eastAsia="Arial" w:hAnsi="Arial"/>
          <w:sz w:val="18"/>
          <w:szCs w:val="18"/>
          <w:color w:val="auto"/>
        </w:rPr>
        <w:t>(b)the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110" w:lineRule="exact"/>
        <w:rPr>
          <w:sz w:val="20"/>
          <w:szCs w:val="20"/>
          <w:color w:val="auto"/>
        </w:rPr>
      </w:pPr>
    </w:p>
    <w:p>
      <w:pPr>
        <w:jc w:val="both"/>
        <w:ind w:left="2040" w:hanging="1471"/>
        <w:spacing w:after="0" w:line="306" w:lineRule="auto"/>
        <w:rPr>
          <w:sz w:val="20"/>
          <w:szCs w:val="20"/>
          <w:color w:val="auto"/>
        </w:rPr>
      </w:pPr>
      <w:r>
        <w:rPr>
          <w:rFonts w:ascii="Arial" w:cs="Arial" w:eastAsia="Arial" w:hAnsi="Arial"/>
          <w:sz w:val="20"/>
          <w:szCs w:val="20"/>
          <w:color w:val="auto"/>
        </w:rPr>
        <w:t>(c)receipt by the Intercreditor Agent of each of the reports, financial statements and other information if and to the extent due pursuant to paragraphs 1 and 2 of Part A of Schedule 5 (</w:t>
      </w:r>
      <w:r>
        <w:rPr>
          <w:rFonts w:ascii="Arial" w:cs="Arial" w:eastAsia="Arial" w:hAnsi="Arial"/>
          <w:sz w:val="20"/>
          <w:szCs w:val="20"/>
          <w:i w:val="1"/>
          <w:iCs w:val="1"/>
          <w:color w:val="auto"/>
        </w:rPr>
        <w:t>Covenants</w:t>
      </w:r>
      <w:r>
        <w:rPr>
          <w:rFonts w:ascii="Arial" w:cs="Arial" w:eastAsia="Arial" w:hAnsi="Arial"/>
          <w:sz w:val="20"/>
          <w:szCs w:val="20"/>
          <w:color w:val="auto"/>
        </w:rPr>
        <w:t>) of the Common Terms Agreement on or before the proposed Advance Date; and</w:t>
      </w:r>
    </w:p>
    <w:p>
      <w:pPr>
        <w:spacing w:after="0" w:line="147" w:lineRule="exact"/>
        <w:rPr>
          <w:sz w:val="20"/>
          <w:szCs w:val="20"/>
          <w:color w:val="auto"/>
        </w:rPr>
      </w:pPr>
    </w:p>
    <w:p>
      <w:pPr>
        <w:jc w:val="both"/>
        <w:ind w:left="2040" w:hanging="1485"/>
        <w:spacing w:after="0" w:line="379" w:lineRule="auto"/>
        <w:rPr>
          <w:sz w:val="20"/>
          <w:szCs w:val="20"/>
          <w:color w:val="auto"/>
        </w:rPr>
      </w:pPr>
      <w:r>
        <w:rPr>
          <w:rFonts w:ascii="Arial" w:cs="Arial" w:eastAsia="Arial" w:hAnsi="Arial"/>
          <w:sz w:val="18"/>
          <w:szCs w:val="18"/>
          <w:color w:val="auto"/>
        </w:rPr>
        <w:t>(d)the Company shall have paid or arranged for payment out of the requested Revolving Credit Facility Advance of all fees, expenses and other charges then due and payable by it under the Revolving Credit Facility Finance Documents.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b w:val="1"/>
          <w:bCs w:val="1"/>
          <w:color w:val="auto"/>
        </w:rPr>
        <w:t>Maximum number of Loans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may not deliver an Advance Request for a Revolving Credit Facility Advance if, as a result of the proposed Revolving Credit Facility Advance, more than ten Revolving Credit Facility Advances would be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18"/>
          <w:szCs w:val="18"/>
          <w:b w:val="1"/>
          <w:bCs w:val="1"/>
          <w:color w:val="auto"/>
        </w:rPr>
        <w:t>AVAILABILITY OF THE REVOLVING CREDIT FACILITIES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auto"/>
        </w:rPr>
        <w:t>Drawdown of Advances</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provisions of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and clause 4.2 (</w:t>
      </w:r>
      <w:r>
        <w:rPr>
          <w:rFonts w:ascii="Arial" w:cs="Arial" w:eastAsia="Arial" w:hAnsi="Arial"/>
          <w:sz w:val="20"/>
          <w:szCs w:val="20"/>
          <w:i w:val="1"/>
          <w:iCs w:val="1"/>
          <w:color w:val="auto"/>
        </w:rPr>
        <w:t>Revolving Credit Facility Availability Period</w:t>
      </w:r>
      <w:r>
        <w:rPr>
          <w:rFonts w:ascii="Arial" w:cs="Arial" w:eastAsia="Arial" w:hAnsi="Arial"/>
          <w:sz w:val="20"/>
          <w:szCs w:val="20"/>
          <w:color w:val="auto"/>
        </w:rPr>
        <w:t>) of the Common Terms Agreement are incorporated by reference herein as if the same were set out in full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b w:val="1"/>
          <w:bCs w:val="1"/>
          <w:color w:val="auto"/>
        </w:rPr>
        <w:t>Each Revolving Credit Facility Lender's participation</w:t>
      </w:r>
    </w:p>
    <w:p>
      <w:pPr>
        <w:sectPr>
          <w:pgSz w:w="11900" w:h="16838" w:orient="portrait"/>
          <w:cols w:equalWidth="0" w:num="1">
            <w:col w:w="11420"/>
          </w:cols>
          <w:pgMar w:left="240" w:top="582" w:right="239" w:bottom="1440" w:gutter="0" w:footer="0" w:header="0"/>
        </w:sectPr>
      </w:pPr>
    </w:p>
    <w:bookmarkStart w:id="327" w:name="page328"/>
    <w:bookmarkEnd w:id="327"/>
    <w:p>
      <w:pPr>
        <w:jc w:val="both"/>
        <w:ind w:left="2120" w:hanging="1566"/>
        <w:spacing w:after="0" w:line="346" w:lineRule="auto"/>
        <w:rPr>
          <w:sz w:val="20"/>
          <w:szCs w:val="20"/>
          <w:color w:val="auto"/>
        </w:rPr>
      </w:pPr>
      <w:r>
        <w:rPr>
          <w:rFonts w:ascii="Arial" w:cs="Arial" w:eastAsia="Arial" w:hAnsi="Arial"/>
          <w:sz w:val="16"/>
          <w:szCs w:val="16"/>
          <w:color w:val="auto"/>
        </w:rPr>
        <w:t>6.2.1</w:t>
      </w:r>
      <w:r>
        <w:rPr>
          <w:rFonts w:ascii="Arial" w:cs="Arial" w:eastAsia="Arial" w:hAnsi="Arial"/>
          <w:sz w:val="19"/>
          <w:szCs w:val="19"/>
          <w:color w:val="auto"/>
        </w:rPr>
        <w:t>It is acknowledged and agreed that, as at the Fifth Amendment Effective Date, the Existing Advances have been made and are</w:t>
      </w:r>
      <w:r>
        <w:rPr>
          <w:rFonts w:ascii="Arial" w:cs="Arial" w:eastAsia="Arial" w:hAnsi="Arial"/>
          <w:sz w:val="16"/>
          <w:szCs w:val="16"/>
          <w:color w:val="auto"/>
        </w:rPr>
        <w:t xml:space="preserve"> </w:t>
      </w:r>
      <w:r>
        <w:rPr>
          <w:rFonts w:ascii="Arial" w:cs="Arial" w:eastAsia="Arial" w:hAnsi="Arial"/>
          <w:sz w:val="19"/>
          <w:szCs w:val="19"/>
          <w:color w:val="auto"/>
        </w:rPr>
        <w:t>outstanding hereunder.</w:t>
      </w:r>
    </w:p>
    <w:p>
      <w:pPr>
        <w:spacing w:after="0" w:line="113"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6.2.2</w:t>
      </w:r>
      <w:r>
        <w:rPr>
          <w:rFonts w:ascii="Arial" w:cs="Arial" w:eastAsia="Arial" w:hAnsi="Arial"/>
          <w:sz w:val="19"/>
          <w:szCs w:val="19"/>
          <w:color w:val="auto"/>
        </w:rPr>
        <w:t>If the conditions set out in this Agreement and the Common Terms Agreement have been met, each Tranche A Facility Lender will</w:t>
      </w:r>
      <w:r>
        <w:rPr>
          <w:rFonts w:ascii="Arial" w:cs="Arial" w:eastAsia="Arial" w:hAnsi="Arial"/>
          <w:sz w:val="16"/>
          <w:szCs w:val="16"/>
          <w:color w:val="auto"/>
        </w:rPr>
        <w:t xml:space="preserve"> </w:t>
      </w:r>
      <w:r>
        <w:rPr>
          <w:rFonts w:ascii="Arial" w:cs="Arial" w:eastAsia="Arial" w:hAnsi="Arial"/>
          <w:sz w:val="19"/>
          <w:szCs w:val="19"/>
          <w:color w:val="auto"/>
        </w:rPr>
        <w:t>participate through its Facility Office in each Tranche A Advance made pursuant to Clause 6.1 (</w:t>
      </w:r>
      <w:r>
        <w:rPr>
          <w:rFonts w:ascii="Arial" w:cs="Arial" w:eastAsia="Arial" w:hAnsi="Arial"/>
          <w:sz w:val="19"/>
          <w:szCs w:val="19"/>
          <w:i w:val="1"/>
          <w:iCs w:val="1"/>
          <w:color w:val="auto"/>
        </w:rPr>
        <w:t>Drawdown of</w:t>
      </w:r>
      <w:r>
        <w:rPr>
          <w:rFonts w:ascii="Arial" w:cs="Arial" w:eastAsia="Arial" w:hAnsi="Arial"/>
          <w:sz w:val="19"/>
          <w:szCs w:val="19"/>
          <w:color w:val="auto"/>
        </w:rPr>
        <w:t xml:space="preserve"> </w:t>
      </w:r>
      <w:r>
        <w:rPr>
          <w:rFonts w:ascii="Arial" w:cs="Arial" w:eastAsia="Arial" w:hAnsi="Arial"/>
          <w:sz w:val="19"/>
          <w:szCs w:val="19"/>
          <w:i w:val="1"/>
          <w:iCs w:val="1"/>
          <w:color w:val="auto"/>
        </w:rPr>
        <w:t>Advances</w:t>
      </w:r>
      <w:r>
        <w:rPr>
          <w:rFonts w:ascii="Arial" w:cs="Arial" w:eastAsia="Arial" w:hAnsi="Arial"/>
          <w:sz w:val="19"/>
          <w:szCs w:val="19"/>
          <w:color w:val="auto"/>
        </w:rPr>
        <w:t>) in the proportion borne by its Available Tranche A Commitment to the Available Tranche A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prior to the making of that Tranche A Advance.</w:t>
      </w:r>
    </w:p>
    <w:p>
      <w:pPr>
        <w:spacing w:after="0" w:line="134" w:lineRule="exact"/>
        <w:rPr>
          <w:sz w:val="20"/>
          <w:szCs w:val="20"/>
          <w:color w:val="auto"/>
        </w:rPr>
      </w:pPr>
    </w:p>
    <w:p>
      <w:pPr>
        <w:jc w:val="both"/>
        <w:ind w:left="2120" w:hanging="1566"/>
        <w:spacing w:after="0" w:line="323" w:lineRule="auto"/>
        <w:rPr>
          <w:sz w:val="20"/>
          <w:szCs w:val="20"/>
          <w:color w:val="auto"/>
        </w:rPr>
      </w:pPr>
      <w:r>
        <w:rPr>
          <w:rFonts w:ascii="Arial" w:cs="Arial" w:eastAsia="Arial" w:hAnsi="Arial"/>
          <w:sz w:val="16"/>
          <w:szCs w:val="16"/>
          <w:color w:val="auto"/>
        </w:rPr>
        <w:t>6.2.3</w:t>
      </w:r>
      <w:r>
        <w:rPr>
          <w:rFonts w:ascii="Arial" w:cs="Arial" w:eastAsia="Arial" w:hAnsi="Arial"/>
          <w:sz w:val="19"/>
          <w:szCs w:val="19"/>
          <w:color w:val="auto"/>
        </w:rPr>
        <w:t>If the conditions set out in this Agreement and the Common Terms Agreement have been met, each Tranche B Facility Lender will</w:t>
      </w:r>
      <w:r>
        <w:rPr>
          <w:rFonts w:ascii="Arial" w:cs="Arial" w:eastAsia="Arial" w:hAnsi="Arial"/>
          <w:sz w:val="16"/>
          <w:szCs w:val="16"/>
          <w:color w:val="auto"/>
        </w:rPr>
        <w:t xml:space="preserve"> </w:t>
      </w:r>
      <w:r>
        <w:rPr>
          <w:rFonts w:ascii="Arial" w:cs="Arial" w:eastAsia="Arial" w:hAnsi="Arial"/>
          <w:sz w:val="19"/>
          <w:szCs w:val="19"/>
          <w:color w:val="auto"/>
        </w:rPr>
        <w:t>participate through its Facility Office in each Tranche B Advance made pursuant to Clause 6.1 (</w:t>
      </w:r>
      <w:r>
        <w:rPr>
          <w:rFonts w:ascii="Arial" w:cs="Arial" w:eastAsia="Arial" w:hAnsi="Arial"/>
          <w:sz w:val="19"/>
          <w:szCs w:val="19"/>
          <w:i w:val="1"/>
          <w:iCs w:val="1"/>
          <w:color w:val="auto"/>
        </w:rPr>
        <w:t>Drawdown of</w:t>
      </w:r>
      <w:r>
        <w:rPr>
          <w:rFonts w:ascii="Arial" w:cs="Arial" w:eastAsia="Arial" w:hAnsi="Arial"/>
          <w:sz w:val="19"/>
          <w:szCs w:val="19"/>
          <w:color w:val="auto"/>
        </w:rPr>
        <w:t xml:space="preserve"> </w:t>
      </w:r>
      <w:r>
        <w:rPr>
          <w:rFonts w:ascii="Arial" w:cs="Arial" w:eastAsia="Arial" w:hAnsi="Arial"/>
          <w:sz w:val="19"/>
          <w:szCs w:val="19"/>
          <w:i w:val="1"/>
          <w:iCs w:val="1"/>
          <w:color w:val="auto"/>
        </w:rPr>
        <w:t>Advances</w:t>
      </w:r>
      <w:r>
        <w:rPr>
          <w:rFonts w:ascii="Arial" w:cs="Arial" w:eastAsia="Arial" w:hAnsi="Arial"/>
          <w:sz w:val="19"/>
          <w:szCs w:val="19"/>
          <w:color w:val="auto"/>
        </w:rPr>
        <w:t>) in the proportion borne by its Available Tranche B Commitment to the Available Tranche B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prior to the making of that Tranche B Advance.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18"/>
          <w:szCs w:val="18"/>
          <w:b w:val="1"/>
          <w:bCs w:val="1"/>
          <w:color w:val="auto"/>
        </w:rPr>
        <w:t>REPAYMENT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(a)The Company shall repay each Revolving Credit Facility Advance on the last day of its Interest Period.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(b)Without prejudice to the Company’s obligation under paragraph (a) above, if:</w:t>
      </w:r>
    </w:p>
    <w:p>
      <w:pPr>
        <w:spacing w:after="0" w:line="238" w:lineRule="exact"/>
        <w:rPr>
          <w:sz w:val="20"/>
          <w:szCs w:val="20"/>
          <w:color w:val="auto"/>
        </w:rPr>
      </w:pPr>
    </w:p>
    <w:p>
      <w:pPr>
        <w:ind w:left="1580" w:hanging="492"/>
        <w:spacing w:after="0"/>
        <w:tabs>
          <w:tab w:leader="none" w:pos="1580" w:val="left"/>
        </w:tabs>
        <w:numPr>
          <w:ilvl w:val="0"/>
          <w:numId w:val="432"/>
        </w:numPr>
        <w:rPr>
          <w:rFonts w:ascii="Arial" w:cs="Arial" w:eastAsia="Arial" w:hAnsi="Arial"/>
          <w:sz w:val="20"/>
          <w:szCs w:val="20"/>
          <w:color w:val="auto"/>
        </w:rPr>
      </w:pPr>
      <w:r>
        <w:rPr>
          <w:rFonts w:ascii="Arial" w:cs="Arial" w:eastAsia="Arial" w:hAnsi="Arial"/>
          <w:sz w:val="22"/>
          <w:szCs w:val="22"/>
          <w:color w:val="auto"/>
        </w:rPr>
        <w:t>one or more Revolving Credit Facility Advances are to be made available to the Company:</w:t>
      </w:r>
    </w:p>
    <w:p>
      <w:pPr>
        <w:spacing w:after="0" w:line="233" w:lineRule="exact"/>
        <w:rPr>
          <w:rFonts w:ascii="Arial" w:cs="Arial" w:eastAsia="Arial" w:hAnsi="Arial"/>
          <w:sz w:val="20"/>
          <w:szCs w:val="20"/>
          <w:color w:val="auto"/>
        </w:rPr>
      </w:pPr>
    </w:p>
    <w:p>
      <w:pPr>
        <w:ind w:left="2080" w:hanging="492"/>
        <w:spacing w:after="0"/>
        <w:tabs>
          <w:tab w:leader="none" w:pos="2080" w:val="left"/>
        </w:tabs>
        <w:numPr>
          <w:ilvl w:val="2"/>
          <w:numId w:val="432"/>
        </w:numPr>
        <w:rPr>
          <w:rFonts w:ascii="Arial" w:cs="Arial" w:eastAsia="Arial" w:hAnsi="Arial"/>
          <w:sz w:val="18"/>
          <w:szCs w:val="18"/>
          <w:color w:val="auto"/>
        </w:rPr>
      </w:pPr>
      <w:r>
        <w:rPr>
          <w:rFonts w:ascii="Arial" w:cs="Arial" w:eastAsia="Arial" w:hAnsi="Arial"/>
          <w:sz w:val="19"/>
          <w:szCs w:val="19"/>
          <w:color w:val="auto"/>
        </w:rPr>
        <w:t>on the same day that a maturing Revolving Credit Facility Advance is due to be repaid by the Company;</w:t>
      </w:r>
    </w:p>
    <w:p>
      <w:pPr>
        <w:spacing w:after="0" w:line="267" w:lineRule="exact"/>
        <w:rPr>
          <w:rFonts w:ascii="Arial" w:cs="Arial" w:eastAsia="Arial" w:hAnsi="Arial"/>
          <w:sz w:val="18"/>
          <w:szCs w:val="18"/>
          <w:color w:val="auto"/>
        </w:rPr>
      </w:pPr>
    </w:p>
    <w:p>
      <w:pPr>
        <w:ind w:left="2080" w:hanging="492"/>
        <w:spacing w:after="0"/>
        <w:tabs>
          <w:tab w:leader="none" w:pos="2080" w:val="left"/>
        </w:tabs>
        <w:numPr>
          <w:ilvl w:val="2"/>
          <w:numId w:val="432"/>
        </w:numPr>
        <w:rPr>
          <w:rFonts w:ascii="Arial" w:cs="Arial" w:eastAsia="Arial" w:hAnsi="Arial"/>
          <w:sz w:val="20"/>
          <w:szCs w:val="20"/>
          <w:color w:val="auto"/>
        </w:rPr>
      </w:pPr>
      <w:r>
        <w:rPr>
          <w:rFonts w:ascii="Arial" w:cs="Arial" w:eastAsia="Arial" w:hAnsi="Arial"/>
          <w:sz w:val="22"/>
          <w:szCs w:val="22"/>
          <w:color w:val="auto"/>
        </w:rPr>
        <w:t>in the same currency as the maturing Revolving Credit Facility Advance; and</w:t>
      </w:r>
    </w:p>
    <w:p>
      <w:pPr>
        <w:spacing w:after="0" w:line="233" w:lineRule="exact"/>
        <w:rPr>
          <w:rFonts w:ascii="Arial" w:cs="Arial" w:eastAsia="Arial" w:hAnsi="Arial"/>
          <w:sz w:val="20"/>
          <w:szCs w:val="20"/>
          <w:color w:val="auto"/>
        </w:rPr>
      </w:pPr>
    </w:p>
    <w:p>
      <w:pPr>
        <w:ind w:left="2080" w:hanging="492"/>
        <w:spacing w:after="0"/>
        <w:tabs>
          <w:tab w:leader="none" w:pos="2080" w:val="left"/>
        </w:tabs>
        <w:numPr>
          <w:ilvl w:val="2"/>
          <w:numId w:val="432"/>
        </w:numPr>
        <w:rPr>
          <w:rFonts w:ascii="Arial" w:cs="Arial" w:eastAsia="Arial" w:hAnsi="Arial"/>
          <w:sz w:val="19"/>
          <w:szCs w:val="19"/>
          <w:color w:val="auto"/>
        </w:rPr>
      </w:pPr>
      <w:r>
        <w:rPr>
          <w:rFonts w:ascii="Arial" w:cs="Arial" w:eastAsia="Arial" w:hAnsi="Arial"/>
          <w:sz w:val="21"/>
          <w:szCs w:val="21"/>
          <w:color w:val="auto"/>
        </w:rPr>
        <w:t>in whole or in part for the purpose of refinancing the maturing Revolving Credit Facility Advance; and</w:t>
      </w:r>
    </w:p>
    <w:p>
      <w:pPr>
        <w:spacing w:after="0" w:line="235" w:lineRule="exact"/>
        <w:rPr>
          <w:rFonts w:ascii="Arial" w:cs="Arial" w:eastAsia="Arial" w:hAnsi="Arial"/>
          <w:sz w:val="19"/>
          <w:szCs w:val="19"/>
          <w:color w:val="auto"/>
        </w:rPr>
      </w:pPr>
    </w:p>
    <w:p>
      <w:pPr>
        <w:ind w:left="3280" w:hanging="2138"/>
        <w:spacing w:after="0" w:line="345" w:lineRule="auto"/>
        <w:tabs>
          <w:tab w:leader="none" w:pos="1605" w:val="left"/>
        </w:tabs>
        <w:numPr>
          <w:ilvl w:val="1"/>
          <w:numId w:val="432"/>
        </w:numPr>
        <w:rPr>
          <w:rFonts w:ascii="Arial" w:cs="Arial" w:eastAsia="Arial" w:hAnsi="Arial"/>
          <w:sz w:val="14"/>
          <w:szCs w:val="14"/>
          <w:color w:val="auto"/>
        </w:rPr>
      </w:pPr>
      <w:r>
        <w:rPr>
          <w:rFonts w:ascii="Arial" w:cs="Arial" w:eastAsia="Arial" w:hAnsi="Arial"/>
          <w:sz w:val="18"/>
          <w:szCs w:val="18"/>
          <w:color w:val="auto"/>
        </w:rPr>
        <w:t>the proportion borne by each Revolving Credit Facility Lender's participation in the maturing Revolving Credit Facility Advance to the amount of that maturing Revolving Credit Facility Advance is the same as the proportion borne by that Revolving Credit Facility Lender's participation in the new Revolving Credit Facility Advance to the aggregate amount of those new Revolving Credit Facility Advances,</w:t>
      </w:r>
    </w:p>
    <w:p>
      <w:pPr>
        <w:spacing w:after="0" w:line="120" w:lineRule="exact"/>
        <w:rPr>
          <w:sz w:val="20"/>
          <w:szCs w:val="20"/>
          <w:color w:val="auto"/>
        </w:rPr>
      </w:pPr>
    </w:p>
    <w:p>
      <w:pPr>
        <w:jc w:val="both"/>
        <w:ind w:left="1280"/>
        <w:spacing w:after="0" w:line="306" w:lineRule="auto"/>
        <w:rPr>
          <w:sz w:val="20"/>
          <w:szCs w:val="20"/>
          <w:color w:val="auto"/>
        </w:rPr>
      </w:pPr>
      <w:r>
        <w:rPr>
          <w:rFonts w:ascii="Arial" w:cs="Arial" w:eastAsia="Arial" w:hAnsi="Arial"/>
          <w:sz w:val="20"/>
          <w:szCs w:val="20"/>
          <w:color w:val="auto"/>
        </w:rPr>
        <w:t>the aggregate amount of the new Revolving Credit Facility Advances shall, unless the Company notifies the Revolving Credit Facility Agent to the contrary in the relevant Advance Request, be treated as if applied in or towards repayment of the maturing Revolving Credit Facility Loan so that:</w:t>
      </w:r>
    </w:p>
    <w:p>
      <w:pPr>
        <w:sectPr>
          <w:pgSz w:w="11900" w:h="16838" w:orient="portrait"/>
          <w:cols w:equalWidth="0" w:num="1">
            <w:col w:w="11420"/>
          </w:cols>
          <w:pgMar w:left="240" w:top="581" w:right="239" w:bottom="1440" w:gutter="0" w:footer="0" w:header="0"/>
        </w:sectPr>
      </w:pPr>
    </w:p>
    <w:bookmarkStart w:id="328" w:name="page329"/>
    <w:bookmarkEnd w:id="328"/>
    <w:p>
      <w:pPr>
        <w:jc w:val="both"/>
        <w:ind w:left="2080" w:hanging="492"/>
        <w:spacing w:after="0" w:line="349" w:lineRule="auto"/>
        <w:tabs>
          <w:tab w:leader="none" w:pos="2080" w:val="left"/>
        </w:tabs>
        <w:numPr>
          <w:ilvl w:val="1"/>
          <w:numId w:val="433"/>
        </w:numPr>
        <w:rPr>
          <w:rFonts w:ascii="Arial" w:cs="Arial" w:eastAsia="Arial" w:hAnsi="Arial"/>
          <w:sz w:val="18"/>
          <w:szCs w:val="18"/>
          <w:color w:val="auto"/>
        </w:rPr>
      </w:pPr>
      <w:r>
        <w:rPr>
          <w:rFonts w:ascii="Arial" w:cs="Arial" w:eastAsia="Arial" w:hAnsi="Arial"/>
          <w:sz w:val="19"/>
          <w:szCs w:val="19"/>
          <w:color w:val="auto"/>
        </w:rPr>
        <w:t xml:space="preserve">if the amount of the maturing Revolving Credit Facility Advance exceeds the aggregate amount of the new Revolving Credit Facility Advances (1) the Company will only be required to make a payment under Clause </w:t>
      </w:r>
      <w:r>
        <w:rPr>
          <w:rFonts w:ascii="Arial" w:cs="Arial" w:eastAsia="Arial" w:hAnsi="Arial"/>
          <w:sz w:val="19"/>
          <w:szCs w:val="19"/>
          <w:u w:val="single" w:color="auto"/>
          <w:color w:val="0000EE"/>
        </w:rPr>
        <w:t>14.1</w:t>
      </w:r>
      <w:r>
        <w:rPr>
          <w:rFonts w:ascii="Arial" w:cs="Arial" w:eastAsia="Arial" w:hAnsi="Arial"/>
          <w:sz w:val="19"/>
          <w:szCs w:val="19"/>
          <w:color w:val="auto"/>
        </w:rPr>
        <w:t xml:space="preserve"> (</w:t>
      </w:r>
      <w:r>
        <w:rPr>
          <w:rFonts w:ascii="Arial" w:cs="Arial" w:eastAsia="Arial" w:hAnsi="Arial"/>
          <w:sz w:val="19"/>
          <w:szCs w:val="19"/>
          <w:i w:val="1"/>
          <w:iCs w:val="1"/>
          <w:color w:val="auto"/>
        </w:rPr>
        <w:t>Payments</w:t>
      </w:r>
      <w:r>
        <w:rPr>
          <w:rFonts w:ascii="Arial" w:cs="Arial" w:eastAsia="Arial" w:hAnsi="Arial"/>
          <w:sz w:val="19"/>
          <w:szCs w:val="19"/>
          <w:color w:val="auto"/>
        </w:rPr>
        <w:t xml:space="preserve">) in an amount in the relevant currency equal to that excess and (2) each Revolving Credit Facility Lender's participation in the new Revolving Credit Facility Advances shall be treated as having been made available and applied by the Company in or towards repayment of that Revolving Credit Facility Lender's participation in the maturing Revolving Credit Facility Advance and that Revolving Credit Facility Advance will not be required to make a payment under Clause </w:t>
      </w:r>
      <w:r>
        <w:rPr>
          <w:rFonts w:ascii="Arial" w:cs="Arial" w:eastAsia="Arial" w:hAnsi="Arial"/>
          <w:sz w:val="19"/>
          <w:szCs w:val="19"/>
          <w:u w:val="single" w:color="auto"/>
          <w:color w:val="0000EE"/>
        </w:rPr>
        <w:t>14.1</w:t>
      </w:r>
      <w:r>
        <w:rPr>
          <w:rFonts w:ascii="Arial" w:cs="Arial" w:eastAsia="Arial" w:hAnsi="Arial"/>
          <w:sz w:val="19"/>
          <w:szCs w:val="19"/>
          <w:color w:val="auto"/>
        </w:rPr>
        <w:t xml:space="preserve"> (</w:t>
      </w:r>
      <w:r>
        <w:rPr>
          <w:rFonts w:ascii="Arial" w:cs="Arial" w:eastAsia="Arial" w:hAnsi="Arial"/>
          <w:sz w:val="19"/>
          <w:szCs w:val="19"/>
          <w:i w:val="1"/>
          <w:iCs w:val="1"/>
          <w:color w:val="auto"/>
        </w:rPr>
        <w:t>Payments</w:t>
      </w:r>
      <w:r>
        <w:rPr>
          <w:rFonts w:ascii="Arial" w:cs="Arial" w:eastAsia="Arial" w:hAnsi="Arial"/>
          <w:sz w:val="19"/>
          <w:szCs w:val="19"/>
          <w:color w:val="auto"/>
        </w:rPr>
        <w:t>) in respect of its participation in the new Revolving Credit Facility Advances; and</w:t>
      </w:r>
    </w:p>
    <w:p>
      <w:pPr>
        <w:spacing w:after="0" w:line="118" w:lineRule="exact"/>
        <w:rPr>
          <w:rFonts w:ascii="Arial" w:cs="Arial" w:eastAsia="Arial" w:hAnsi="Arial"/>
          <w:sz w:val="18"/>
          <w:szCs w:val="18"/>
          <w:color w:val="auto"/>
        </w:rPr>
      </w:pPr>
    </w:p>
    <w:p>
      <w:pPr>
        <w:ind w:left="2040" w:hanging="1478"/>
        <w:spacing w:after="0" w:line="348" w:lineRule="auto"/>
        <w:tabs>
          <w:tab w:leader="none" w:pos="798" w:val="left"/>
        </w:tabs>
        <w:numPr>
          <w:ilvl w:val="0"/>
          <w:numId w:val="434"/>
        </w:numPr>
        <w:rPr>
          <w:rFonts w:ascii="Arial" w:cs="Arial" w:eastAsia="Arial" w:hAnsi="Arial"/>
          <w:sz w:val="19"/>
          <w:szCs w:val="19"/>
          <w:color w:val="000000"/>
        </w:rPr>
      </w:pPr>
      <w:r>
        <w:rPr>
          <w:rFonts w:ascii="Arial" w:cs="Arial" w:eastAsia="Arial" w:hAnsi="Arial"/>
          <w:sz w:val="19"/>
          <w:szCs w:val="19"/>
          <w:color w:val="auto"/>
        </w:rPr>
        <w:t xml:space="preserve">if the amount of the maturing Revolving Credit Facility Advance is equal to or less than the aggregate amount of the new Revolving Credit Facility Advances (1) the Company will not be required to make a payment under Clause </w:t>
      </w:r>
      <w:r>
        <w:rPr>
          <w:rFonts w:ascii="Arial" w:cs="Arial" w:eastAsia="Arial" w:hAnsi="Arial"/>
          <w:sz w:val="19"/>
          <w:szCs w:val="19"/>
          <w:u w:val="single" w:color="auto"/>
          <w:color w:val="0000EE"/>
        </w:rPr>
        <w:t>14.1</w:t>
      </w:r>
      <w:r>
        <w:rPr>
          <w:rFonts w:ascii="Arial" w:cs="Arial" w:eastAsia="Arial" w:hAnsi="Arial"/>
          <w:sz w:val="19"/>
          <w:szCs w:val="19"/>
          <w:color w:val="0000EE"/>
        </w:rPr>
        <w:t xml:space="preserve"> </w:t>
      </w:r>
      <w:r>
        <w:rPr>
          <w:rFonts w:ascii="Arial" w:cs="Arial" w:eastAsia="Arial" w:hAnsi="Arial"/>
          <w:sz w:val="19"/>
          <w:szCs w:val="19"/>
          <w:color w:val="000000"/>
        </w:rPr>
        <w:t>(</w:t>
      </w:r>
      <w:r>
        <w:rPr>
          <w:rFonts w:ascii="Arial" w:cs="Arial" w:eastAsia="Arial" w:hAnsi="Arial"/>
          <w:sz w:val="19"/>
          <w:szCs w:val="19"/>
          <w:i w:val="1"/>
          <w:iCs w:val="1"/>
          <w:color w:val="000000"/>
        </w:rPr>
        <w:t>Payments</w:t>
      </w:r>
      <w:r>
        <w:rPr>
          <w:rFonts w:ascii="Arial" w:cs="Arial" w:eastAsia="Arial" w:hAnsi="Arial"/>
          <w:sz w:val="19"/>
          <w:szCs w:val="19"/>
          <w:color w:val="000000"/>
        </w:rPr>
        <w:t>) and (2) each Revolving Credit Facility Lender will be required to make a payment under</w:t>
      </w:r>
      <w:r>
        <w:rPr>
          <w:rFonts w:ascii="Arial" w:cs="Arial" w:eastAsia="Arial" w:hAnsi="Arial"/>
          <w:sz w:val="19"/>
          <w:szCs w:val="19"/>
          <w:color w:val="0000EE"/>
        </w:rPr>
        <w:t xml:space="preserve"> </w:t>
      </w:r>
      <w:r>
        <w:rPr>
          <w:rFonts w:ascii="Arial" w:cs="Arial" w:eastAsia="Arial" w:hAnsi="Arial"/>
          <w:sz w:val="19"/>
          <w:szCs w:val="19"/>
          <w:color w:val="000000"/>
        </w:rPr>
        <w:t xml:space="preserve">Clause </w:t>
      </w:r>
      <w:hyperlink w:anchor="page332">
        <w:r>
          <w:rPr>
            <w:rFonts w:ascii="Arial" w:cs="Arial" w:eastAsia="Arial" w:hAnsi="Arial"/>
            <w:sz w:val="19"/>
            <w:szCs w:val="19"/>
            <w:u w:val="single" w:color="auto"/>
            <w:color w:val="0000EE"/>
          </w:rPr>
          <w:t>14.1</w:t>
        </w:r>
        <w:r>
          <w:rPr>
            <w:rFonts w:ascii="Arial" w:cs="Arial" w:eastAsia="Arial" w:hAnsi="Arial"/>
            <w:sz w:val="19"/>
            <w:szCs w:val="19"/>
            <w:u w:val="single" w:color="auto"/>
            <w:color w:val="000000"/>
          </w:rPr>
          <w:t xml:space="preserve"> </w:t>
        </w:r>
      </w:hyperlink>
      <w:r>
        <w:rPr>
          <w:rFonts w:ascii="Arial" w:cs="Arial" w:eastAsia="Arial" w:hAnsi="Arial"/>
          <w:sz w:val="19"/>
          <w:szCs w:val="19"/>
          <w:color w:val="000000"/>
        </w:rPr>
        <w:t>(</w:t>
      </w:r>
      <w:r>
        <w:rPr>
          <w:rFonts w:ascii="Arial" w:cs="Arial" w:eastAsia="Arial" w:hAnsi="Arial"/>
          <w:sz w:val="19"/>
          <w:szCs w:val="19"/>
          <w:i w:val="1"/>
          <w:iCs w:val="1"/>
          <w:color w:val="000000"/>
        </w:rPr>
        <w:t>Payments</w:t>
      </w:r>
      <w:r>
        <w:rPr>
          <w:rFonts w:ascii="Arial" w:cs="Arial" w:eastAsia="Arial" w:hAnsi="Arial"/>
          <w:sz w:val="19"/>
          <w:szCs w:val="19"/>
          <w:color w:val="000000"/>
        </w:rPr>
        <w:t>) in respect of its participation in the new Revolving Credit Facility Advances only to the extent that its participation in the new Revolving Credit Facility Advances exceeds that Revolving Credit Facility Lender's participation in the maturing Revolving Credit Facility Loan and the remainder of that Revolving Credit Facility Lender's participation in the new Revolving Credit Facility Advances shall be treated as having been made available and applied by the Company in or towards repayment of that Revolving Credit Facility Lender's participation in the maturing Revolving Credit Facility Advance.</w:t>
      </w:r>
    </w:p>
    <w:p>
      <w:pPr>
        <w:spacing w:after="0" w:line="111" w:lineRule="exact"/>
        <w:rPr>
          <w:sz w:val="20"/>
          <w:szCs w:val="20"/>
          <w:color w:val="auto"/>
        </w:rPr>
      </w:pPr>
    </w:p>
    <w:p>
      <w:pPr>
        <w:ind w:left="2040" w:hanging="1485"/>
        <w:spacing w:after="0" w:line="317" w:lineRule="auto"/>
        <w:rPr>
          <w:rFonts w:ascii="Arial" w:cs="Arial" w:eastAsia="Arial" w:hAnsi="Arial"/>
          <w:sz w:val="20"/>
          <w:szCs w:val="20"/>
          <w:color w:val="auto"/>
        </w:rPr>
      </w:pPr>
      <w:r>
        <w:rPr>
          <w:rFonts w:ascii="Arial" w:cs="Arial" w:eastAsia="Arial" w:hAnsi="Arial"/>
          <w:sz w:val="20"/>
          <w:szCs w:val="20"/>
          <w:color w:val="auto"/>
        </w:rPr>
        <w:t xml:space="preserve">(d)Subject to the other terms of this Agreement and the Common Terms Agreement, any amounts repaid (including with a Rollover Advance) under Clause </w:t>
      </w:r>
      <w:hyperlink w:anchor="page328">
        <w:r>
          <w:rPr>
            <w:rFonts w:ascii="Arial" w:cs="Arial" w:eastAsia="Arial" w:hAnsi="Arial"/>
            <w:sz w:val="20"/>
            <w:szCs w:val="20"/>
            <w:u w:val="single" w:color="auto"/>
            <w:color w:val="0000EE"/>
          </w:rPr>
          <w:t>7</w:t>
        </w:r>
      </w:hyperlink>
      <w:r>
        <w:rPr>
          <w:rFonts w:ascii="Arial" w:cs="Arial" w:eastAsia="Arial" w:hAnsi="Arial"/>
          <w:sz w:val="20"/>
          <w:szCs w:val="20"/>
          <w:color w:val="auto"/>
        </w:rPr>
        <w:t>(a) above may be re-borrowed.</w:t>
      </w:r>
    </w:p>
    <w:p>
      <w:pPr>
        <w:spacing w:after="0" w:line="135" w:lineRule="exact"/>
        <w:rPr>
          <w:sz w:val="20"/>
          <w:szCs w:val="20"/>
          <w:color w:val="auto"/>
        </w:rPr>
      </w:pPr>
    </w:p>
    <w:p>
      <w:pPr>
        <w:ind w:left="2040" w:hanging="1471"/>
        <w:spacing w:after="0" w:line="317" w:lineRule="auto"/>
        <w:rPr>
          <w:sz w:val="20"/>
          <w:szCs w:val="20"/>
          <w:color w:val="auto"/>
        </w:rPr>
      </w:pPr>
      <w:r>
        <w:rPr>
          <w:rFonts w:ascii="Arial" w:cs="Arial" w:eastAsia="Arial" w:hAnsi="Arial"/>
          <w:sz w:val="20"/>
          <w:szCs w:val="20"/>
          <w:color w:val="auto"/>
        </w:rPr>
        <w:t>(e)Any amount of any Revolving Credit Facility Advance still outstanding on the Final Repayment Date shall be repaid on the Final Repayment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18"/>
          <w:szCs w:val="18"/>
          <w:b w:val="1"/>
          <w:bCs w:val="1"/>
          <w:color w:val="auto"/>
        </w:rPr>
        <w:t>CANCELLATION</w:t>
      </w:r>
    </w:p>
    <w:p>
      <w:pPr>
        <w:spacing w:after="0" w:line="135" w:lineRule="exact"/>
        <w:rPr>
          <w:sz w:val="20"/>
          <w:szCs w:val="20"/>
          <w:color w:val="auto"/>
        </w:rPr>
      </w:pPr>
    </w:p>
    <w:p>
      <w:pPr>
        <w:ind w:left="560"/>
        <w:spacing w:after="0" w:line="379" w:lineRule="auto"/>
        <w:rPr>
          <w:sz w:val="20"/>
          <w:szCs w:val="20"/>
          <w:color w:val="auto"/>
        </w:rPr>
      </w:pPr>
      <w:r>
        <w:rPr>
          <w:rFonts w:ascii="Arial" w:cs="Arial" w:eastAsia="Arial" w:hAnsi="Arial"/>
          <w:sz w:val="18"/>
          <w:szCs w:val="18"/>
          <w:color w:val="auto"/>
        </w:rPr>
        <w:t>Any cancellation of Available Commitments shall be made in accordance with this Agreement and the Common Terms Agreement (including clause 8 (</w:t>
      </w:r>
      <w:r>
        <w:rPr>
          <w:rFonts w:ascii="Arial" w:cs="Arial" w:eastAsia="Arial" w:hAnsi="Arial"/>
          <w:sz w:val="18"/>
          <w:szCs w:val="18"/>
          <w:i w:val="1"/>
          <w:iCs w:val="1"/>
          <w:color w:val="auto"/>
        </w:rPr>
        <w:t>Repayment, Prepayment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9.</w:t>
      </w:r>
      <w:r>
        <w:rPr>
          <w:rFonts w:ascii="Arial" w:cs="Arial" w:eastAsia="Arial" w:hAnsi="Arial"/>
          <w:sz w:val="18"/>
          <w:szCs w:val="18"/>
          <w:b w:val="1"/>
          <w:bCs w:val="1"/>
          <w:color w:val="auto"/>
        </w:rPr>
        <w:t>INTEREST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auto"/>
        </w:rPr>
        <w:t>Calculation of interest</w:t>
      </w:r>
    </w:p>
    <w:p>
      <w:pPr>
        <w:sectPr>
          <w:pgSz w:w="11900" w:h="16838" w:orient="portrait"/>
          <w:cols w:equalWidth="0" w:num="1">
            <w:col w:w="11420"/>
          </w:cols>
          <w:pgMar w:left="240" w:top="590" w:right="239" w:bottom="1440" w:gutter="0" w:footer="0" w:header="0"/>
        </w:sectPr>
      </w:pPr>
    </w:p>
    <w:bookmarkStart w:id="329" w:name="page330"/>
    <w:bookmarkEnd w:id="329"/>
    <w:p>
      <w:pPr>
        <w:jc w:val="both"/>
        <w:ind w:left="560" w:right="20"/>
        <w:spacing w:after="0" w:line="317" w:lineRule="auto"/>
        <w:rPr>
          <w:sz w:val="20"/>
          <w:szCs w:val="20"/>
          <w:color w:val="auto"/>
        </w:rPr>
      </w:pPr>
      <w:r>
        <w:rPr>
          <w:rFonts w:ascii="Arial" w:cs="Arial" w:eastAsia="Arial" w:hAnsi="Arial"/>
          <w:sz w:val="20"/>
          <w:szCs w:val="20"/>
          <w:color w:val="auto"/>
        </w:rPr>
        <w:t>The rate of interest on each Revolving Credit Facility Advance for each Interest Period is the percentage rate per annum which is the aggregate of:</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(a)the applicable Margin; and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(b)LIBOR (in the case of a Tranche A Advance) or HIBOR (in the case of a Tranche B Advance).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9.2</w:t>
      </w:r>
      <w:r>
        <w:rPr>
          <w:rFonts w:ascii="Arial" w:cs="Arial" w:eastAsia="Arial" w:hAnsi="Arial"/>
          <w:sz w:val="18"/>
          <w:szCs w:val="18"/>
          <w:b w:val="1"/>
          <w:bCs w:val="1"/>
          <w:color w:val="auto"/>
        </w:rPr>
        <w:t>Payment of interest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Company shall pay accrued interest on each Revolving Credit Facility Advance on the last day of each Interest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b w:val="1"/>
          <w:bCs w:val="1"/>
          <w:color w:val="auto"/>
        </w:rPr>
        <w:t>Default Interest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Default interest shall be calculated and paid in accordance with clause 9.4 (</w:t>
      </w:r>
      <w:r>
        <w:rPr>
          <w:rFonts w:ascii="Arial" w:cs="Arial" w:eastAsia="Arial" w:hAnsi="Arial"/>
          <w:sz w:val="19"/>
          <w:szCs w:val="19"/>
          <w:i w:val="1"/>
          <w:iCs w:val="1"/>
          <w:color w:val="auto"/>
        </w:rPr>
        <w:t>Default Interest</w:t>
      </w:r>
      <w:r>
        <w:rPr>
          <w:rFonts w:ascii="Arial" w:cs="Arial" w:eastAsia="Arial" w:hAnsi="Arial"/>
          <w:sz w:val="19"/>
          <w:szCs w:val="19"/>
          <w:color w:val="auto"/>
        </w:rPr>
        <w:t>) of the Common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9.4</w:t>
      </w:r>
      <w:r>
        <w:rPr>
          <w:rFonts w:ascii="Arial" w:cs="Arial" w:eastAsia="Arial" w:hAnsi="Arial"/>
          <w:sz w:val="18"/>
          <w:szCs w:val="18"/>
          <w:b w:val="1"/>
          <w:bCs w:val="1"/>
          <w:color w:val="auto"/>
        </w:rPr>
        <w:t>Notification of rates of interest</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Revolving Credit Facility Agent shall promptly notify the Company and the Revolving Credit Facility Lenders of each determination of LIBOR and HIBOR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b w:val="1"/>
          <w:bCs w:val="1"/>
          <w:color w:val="auto"/>
        </w:rPr>
        <w:t>Changes to interest rates</w:t>
      </w:r>
    </w:p>
    <w:p>
      <w:pPr>
        <w:spacing w:after="0" w:line="75" w:lineRule="exact"/>
        <w:rPr>
          <w:sz w:val="20"/>
          <w:szCs w:val="20"/>
          <w:color w:val="auto"/>
        </w:rPr>
      </w:pPr>
    </w:p>
    <w:p>
      <w:pPr>
        <w:jc w:val="both"/>
        <w:ind w:left="560"/>
        <w:spacing w:after="0" w:line="346" w:lineRule="auto"/>
        <w:rPr>
          <w:sz w:val="20"/>
          <w:szCs w:val="20"/>
          <w:color w:val="auto"/>
        </w:rPr>
      </w:pPr>
      <w:r>
        <w:rPr>
          <w:rFonts w:ascii="Arial" w:cs="Arial" w:eastAsia="Arial" w:hAnsi="Arial"/>
          <w:sz w:val="19"/>
          <w:szCs w:val="19"/>
          <w:color w:val="auto"/>
        </w:rPr>
        <w:t>The Revolving Credit Facility Agent shall promptly notify the Company and the Intercreditor Agent of any change to any interest rate occasioned by the operation of clause 10 (</w:t>
      </w:r>
      <w:r>
        <w:rPr>
          <w:rFonts w:ascii="Arial" w:cs="Arial" w:eastAsia="Arial" w:hAnsi="Arial"/>
          <w:sz w:val="19"/>
          <w:szCs w:val="19"/>
          <w:i w:val="1"/>
          <w:iCs w:val="1"/>
          <w:color w:val="auto"/>
        </w:rPr>
        <w:t>Changes to the calculation of interest</w:t>
      </w:r>
      <w:r>
        <w:rPr>
          <w:rFonts w:ascii="Arial" w:cs="Arial" w:eastAsia="Arial" w:hAnsi="Arial"/>
          <w:sz w:val="19"/>
          <w:szCs w:val="19"/>
          <w:color w:val="auto"/>
        </w:rPr>
        <w:t>) of the Common Terms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8"/>
          <w:szCs w:val="18"/>
          <w:b w:val="1"/>
          <w:bCs w:val="1"/>
          <w:color w:val="auto"/>
        </w:rPr>
        <w:t>INTEREST PERIODS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duration of each Interest Period shall be determined in accordance with clause 9.3 (</w:t>
      </w:r>
      <w:r>
        <w:rPr>
          <w:rFonts w:ascii="Arial" w:cs="Arial" w:eastAsia="Arial" w:hAnsi="Arial"/>
          <w:sz w:val="20"/>
          <w:szCs w:val="20"/>
          <w:i w:val="1"/>
          <w:iCs w:val="1"/>
          <w:color w:val="auto"/>
        </w:rPr>
        <w:t>Interest Periods</w:t>
      </w:r>
      <w:r>
        <w:rPr>
          <w:rFonts w:ascii="Arial" w:cs="Arial" w:eastAsia="Arial" w:hAnsi="Arial"/>
          <w:sz w:val="20"/>
          <w:szCs w:val="20"/>
          <w:color w:val="auto"/>
        </w:rPr>
        <w:t>) of the Common Terms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w:t>
      </w:r>
      <w:r>
        <w:rPr>
          <w:rFonts w:ascii="Arial" w:cs="Arial" w:eastAsia="Arial" w:hAnsi="Arial"/>
          <w:sz w:val="18"/>
          <w:szCs w:val="18"/>
          <w:b w:val="1"/>
          <w:bCs w:val="1"/>
          <w:color w:val="auto"/>
        </w:rPr>
        <w:t>NOTIFICATION</w:t>
      </w:r>
    </w:p>
    <w:p>
      <w:pPr>
        <w:spacing w:after="0" w:line="135" w:lineRule="exact"/>
        <w:rPr>
          <w:sz w:val="20"/>
          <w:szCs w:val="20"/>
          <w:color w:val="auto"/>
        </w:rPr>
      </w:pPr>
    </w:p>
    <w:p>
      <w:pPr>
        <w:jc w:val="both"/>
        <w:ind w:left="560"/>
        <w:spacing w:after="0" w:line="299" w:lineRule="auto"/>
        <w:rPr>
          <w:sz w:val="20"/>
          <w:szCs w:val="20"/>
          <w:color w:val="auto"/>
        </w:rPr>
      </w:pPr>
      <w:r>
        <w:rPr>
          <w:rFonts w:ascii="Arial" w:cs="Arial" w:eastAsia="Arial" w:hAnsi="Arial"/>
          <w:sz w:val="20"/>
          <w:szCs w:val="20"/>
          <w:color w:val="auto"/>
        </w:rPr>
        <w:t>Promptly, and in any event, not less than 4 Business Days before the proposed Advance Date for each Revolving Credit Facility Advance, the Revolving Credit Facility Agent shall notify each of the relevant Revolving Credit Facility Lenders of the proposed amount of the relevant Revolving Credit Facility Advance and the aggregate principal amount of the relevant Revolving Credit Facility Advance allocated to such Revolving Credit Facility Lender pursuant to Clause 6.2 (</w:t>
      </w:r>
      <w:r>
        <w:rPr>
          <w:rFonts w:ascii="Arial" w:cs="Arial" w:eastAsia="Arial" w:hAnsi="Arial"/>
          <w:sz w:val="20"/>
          <w:szCs w:val="20"/>
          <w:i w:val="1"/>
          <w:iCs w:val="1"/>
          <w:color w:val="auto"/>
        </w:rPr>
        <w:t>Each Revolving Credit Facility Lender's</w:t>
      </w:r>
      <w:r>
        <w:rPr>
          <w:rFonts w:ascii="Arial" w:cs="Arial" w:eastAsia="Arial" w:hAnsi="Arial"/>
          <w:sz w:val="20"/>
          <w:szCs w:val="20"/>
          <w:color w:val="auto"/>
        </w:rPr>
        <w:t xml:space="preserve"> </w:t>
      </w:r>
      <w:r>
        <w:rPr>
          <w:rFonts w:ascii="Arial" w:cs="Arial" w:eastAsia="Arial" w:hAnsi="Arial"/>
          <w:sz w:val="20"/>
          <w:szCs w:val="20"/>
          <w:i w:val="1"/>
          <w:iCs w:val="1"/>
          <w:color w:val="auto"/>
        </w:rPr>
        <w:t>participation</w:t>
      </w:r>
      <w:r>
        <w:rPr>
          <w:rFonts w:ascii="Arial" w:cs="Arial" w:eastAsia="Arial" w:hAnsi="Arial"/>
          <w:sz w:val="20"/>
          <w:szCs w:val="20"/>
          <w:color w:val="auto"/>
        </w:rPr>
        <w:t>) and each Revolving Credit Facility Lender shall, on such Advance Date, subject to the terms and conditions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make available to the Revolving Credit Facility Agent for the account of the Company its said portion of such Revolving Credit Facility Advance.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12.</w:t>
      </w:r>
      <w:r>
        <w:rPr>
          <w:rFonts w:ascii="Arial" w:cs="Arial" w:eastAsia="Arial" w:hAnsi="Arial"/>
          <w:sz w:val="18"/>
          <w:szCs w:val="18"/>
          <w:b w:val="1"/>
          <w:bCs w:val="1"/>
          <w:color w:val="auto"/>
        </w:rPr>
        <w:t>COMMITMENT FEE</w:t>
      </w:r>
    </w:p>
    <w:p>
      <w:pPr>
        <w:spacing w:after="0" w:line="129" w:lineRule="exact"/>
        <w:rPr>
          <w:sz w:val="20"/>
          <w:szCs w:val="20"/>
          <w:color w:val="auto"/>
        </w:rPr>
      </w:pPr>
    </w:p>
    <w:p>
      <w:pPr>
        <w:jc w:val="both"/>
        <w:ind w:left="880" w:hanging="863"/>
        <w:spacing w:after="0" w:line="321" w:lineRule="auto"/>
        <w:rPr>
          <w:sz w:val="20"/>
          <w:szCs w:val="20"/>
          <w:color w:val="auto"/>
        </w:rPr>
      </w:pPr>
      <w:r>
        <w:rPr>
          <w:rFonts w:ascii="Arial" w:cs="Arial" w:eastAsia="Arial" w:hAnsi="Arial"/>
          <w:sz w:val="18"/>
          <w:szCs w:val="18"/>
          <w:color w:val="auto"/>
        </w:rPr>
        <w:t>12.1</w:t>
      </w:r>
      <w:r>
        <w:rPr>
          <w:rFonts w:ascii="Arial" w:cs="Arial" w:eastAsia="Arial" w:hAnsi="Arial"/>
          <w:sz w:val="19"/>
          <w:szCs w:val="19"/>
          <w:color w:val="auto"/>
        </w:rPr>
        <w:t>The Company shall pay to each Revolving Credit Facility Lender a fee computed at 0.5775</w:t>
      </w:r>
      <w:r>
        <w:rPr>
          <w:rFonts w:ascii="Arial" w:cs="Arial" w:eastAsia="Arial" w:hAnsi="Arial"/>
          <w:sz w:val="19"/>
          <w:szCs w:val="19"/>
          <w:b w:val="1"/>
          <w:bCs w:val="1"/>
          <w:color w:val="auto"/>
        </w:rPr>
        <w:t>%</w:t>
      </w:r>
      <w:r>
        <w:rPr>
          <w:rFonts w:ascii="Arial" w:cs="Arial" w:eastAsia="Arial" w:hAnsi="Arial"/>
          <w:sz w:val="18"/>
          <w:szCs w:val="18"/>
          <w:color w:val="auto"/>
        </w:rPr>
        <w:t xml:space="preserve"> </w:t>
      </w:r>
      <w:r>
        <w:rPr>
          <w:rFonts w:ascii="Arial" w:cs="Arial" w:eastAsia="Arial" w:hAnsi="Arial"/>
          <w:sz w:val="19"/>
          <w:szCs w:val="19"/>
          <w:color w:val="auto"/>
        </w:rPr>
        <w:t>per annum but, if the Leverage Ratio as at</w:t>
      </w:r>
      <w:r>
        <w:rPr>
          <w:rFonts w:ascii="Arial" w:cs="Arial" w:eastAsia="Arial" w:hAnsi="Arial"/>
          <w:sz w:val="18"/>
          <w:szCs w:val="18"/>
          <w:color w:val="auto"/>
        </w:rPr>
        <w:t xml:space="preserve"> </w:t>
      </w:r>
      <w:r>
        <w:rPr>
          <w:rFonts w:ascii="Arial" w:cs="Arial" w:eastAsia="Arial" w:hAnsi="Arial"/>
          <w:sz w:val="19"/>
          <w:szCs w:val="19"/>
          <w:color w:val="auto"/>
        </w:rPr>
        <w:t>the most recent Quarterly Date thereafter is within the range set out below and the Intercreditor Agent has received, in accordance with paragraphs 1 and 2 of Part A of Schedule 5 (</w:t>
      </w:r>
      <w:r>
        <w:rPr>
          <w:rFonts w:ascii="Arial" w:cs="Arial" w:eastAsia="Arial" w:hAnsi="Arial"/>
          <w:sz w:val="19"/>
          <w:szCs w:val="19"/>
          <w:i w:val="1"/>
          <w:iCs w:val="1"/>
          <w:color w:val="auto"/>
        </w:rPr>
        <w:t>Covenants</w:t>
      </w:r>
      <w:r>
        <w:rPr>
          <w:rFonts w:ascii="Arial" w:cs="Arial" w:eastAsia="Arial" w:hAnsi="Arial"/>
          <w:sz w:val="19"/>
          <w:szCs w:val="19"/>
          <w:color w:val="auto"/>
        </w:rPr>
        <w:t>) of the Common Terms Agreement, the Company's financial statements for the period ending on such Quarterly Date together with the Compliance Certificate required thereunder then, provided (in the case of any</w:t>
      </w:r>
    </w:p>
    <w:p>
      <w:pPr>
        <w:sectPr>
          <w:pgSz w:w="11900" w:h="16838" w:orient="portrait"/>
          <w:cols w:equalWidth="0" w:num="1">
            <w:col w:w="11420"/>
          </w:cols>
          <w:pgMar w:left="240" w:top="582" w:right="239" w:bottom="1440" w:gutter="0" w:footer="0" w:header="0"/>
        </w:sectPr>
      </w:pPr>
    </w:p>
    <w:bookmarkStart w:id="330" w:name="page331"/>
    <w:bookmarkEnd w:id="330"/>
    <w:p>
      <w:pPr>
        <w:jc w:val="both"/>
        <w:ind w:left="560"/>
        <w:spacing w:after="0" w:line="345" w:lineRule="auto"/>
        <w:rPr>
          <w:sz w:val="20"/>
          <w:szCs w:val="20"/>
          <w:color w:val="auto"/>
        </w:rPr>
      </w:pPr>
      <w:r>
        <w:rPr>
          <w:rFonts w:ascii="Arial" w:cs="Arial" w:eastAsia="Arial" w:hAnsi="Arial"/>
          <w:sz w:val="20"/>
          <w:szCs w:val="20"/>
          <w:color w:val="auto"/>
        </w:rPr>
        <w:t>decrease in the rate set out below) no Default has occurred and is continuing, the fee will be computed at the percentage rate per annum specified for that range:</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Leverage Ratio</w:t>
            </w:r>
          </w:p>
        </w:tc>
        <w:tc>
          <w:tcPr>
            <w:tcW w:w="2800" w:type="dxa"/>
            <w:vAlign w:val="bottom"/>
            <w:gridSpan w:val="2"/>
          </w:tcPr>
          <w:p>
            <w:pPr>
              <w:jc w:val="right"/>
              <w:ind w:right="301"/>
              <w:spacing w:after="0"/>
              <w:rPr>
                <w:sz w:val="20"/>
                <w:szCs w:val="20"/>
                <w:color w:val="auto"/>
              </w:rPr>
            </w:pPr>
            <w:r>
              <w:rPr>
                <w:rFonts w:ascii="Arial" w:cs="Arial" w:eastAsia="Arial" w:hAnsi="Arial"/>
                <w:sz w:val="20"/>
                <w:szCs w:val="20"/>
                <w:b w:val="1"/>
                <w:bCs w:val="1"/>
                <w:color w:val="auto"/>
              </w:rPr>
              <w:t>Rate (% per annum)</w:t>
            </w:r>
          </w:p>
        </w:tc>
      </w:tr>
      <w:tr>
        <w:trPr>
          <w:trHeight w:val="459"/>
        </w:trPr>
        <w:tc>
          <w:tcPr>
            <w:tcW w:w="1620" w:type="dxa"/>
            <w:vAlign w:val="bottom"/>
          </w:tcPr>
          <w:p>
            <w:pPr>
              <w:spacing w:after="0"/>
              <w:rPr>
                <w:sz w:val="20"/>
                <w:szCs w:val="20"/>
                <w:color w:val="auto"/>
              </w:rPr>
            </w:pPr>
            <w:r>
              <w:rPr>
                <w:rFonts w:ascii="Arial" w:cs="Arial" w:eastAsia="Arial" w:hAnsi="Arial"/>
                <w:sz w:val="20"/>
                <w:szCs w:val="20"/>
                <w:color w:val="auto"/>
              </w:rPr>
              <w:t>Less than 1.0</w:t>
            </w:r>
          </w:p>
        </w:tc>
        <w:tc>
          <w:tcPr>
            <w:tcW w:w="1980" w:type="dxa"/>
            <w:vAlign w:val="bottom"/>
          </w:tcPr>
          <w:p>
            <w:pPr>
              <w:jc w:val="right"/>
              <w:ind w:right="741"/>
              <w:spacing w:after="0"/>
              <w:rPr>
                <w:sz w:val="20"/>
                <w:szCs w:val="20"/>
                <w:color w:val="auto"/>
              </w:rPr>
            </w:pPr>
            <w:r>
              <w:rPr>
                <w:rFonts w:ascii="Arial" w:cs="Arial" w:eastAsia="Arial" w:hAnsi="Arial"/>
                <w:sz w:val="20"/>
                <w:szCs w:val="20"/>
                <w:color w:val="auto"/>
              </w:rPr>
              <w:t>0.5250%</w:t>
            </w:r>
          </w:p>
        </w:tc>
        <w:tc>
          <w:tcPr>
            <w:tcW w:w="820" w:type="dxa"/>
            <w:vAlign w:val="bottom"/>
          </w:tcPr>
          <w:p>
            <w:pPr>
              <w:spacing w:after="0"/>
              <w:rPr>
                <w:sz w:val="24"/>
                <w:szCs w:val="24"/>
                <w:color w:val="auto"/>
              </w:rPr>
            </w:pP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1.0 but less than 3.0</w:t>
            </w:r>
          </w:p>
        </w:tc>
        <w:tc>
          <w:tcPr>
            <w:tcW w:w="820" w:type="dxa"/>
            <w:vAlign w:val="bottom"/>
          </w:tcPr>
          <w:p>
            <w:pPr>
              <w:jc w:val="right"/>
              <w:spacing w:after="0"/>
              <w:rPr>
                <w:sz w:val="20"/>
                <w:szCs w:val="20"/>
                <w:color w:val="auto"/>
              </w:rPr>
            </w:pPr>
            <w:r>
              <w:rPr>
                <w:rFonts w:ascii="Arial" w:cs="Arial" w:eastAsia="Arial" w:hAnsi="Arial"/>
                <w:sz w:val="20"/>
                <w:szCs w:val="20"/>
                <w:color w:val="auto"/>
              </w:rPr>
              <w:t>0.5775%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3.0 but less than 3.5</w:t>
            </w:r>
          </w:p>
        </w:tc>
        <w:tc>
          <w:tcPr>
            <w:tcW w:w="820" w:type="dxa"/>
            <w:vAlign w:val="bottom"/>
          </w:tcPr>
          <w:p>
            <w:pPr>
              <w:jc w:val="right"/>
              <w:spacing w:after="0"/>
              <w:rPr>
                <w:sz w:val="20"/>
                <w:szCs w:val="20"/>
                <w:color w:val="auto"/>
              </w:rPr>
            </w:pPr>
            <w:r>
              <w:rPr>
                <w:rFonts w:ascii="Arial" w:cs="Arial" w:eastAsia="Arial" w:hAnsi="Arial"/>
                <w:sz w:val="20"/>
                <w:szCs w:val="20"/>
                <w:color w:val="auto"/>
              </w:rPr>
              <w:t>0.6300%</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3.5 but less than 4.0</w:t>
            </w:r>
          </w:p>
        </w:tc>
        <w:tc>
          <w:tcPr>
            <w:tcW w:w="820" w:type="dxa"/>
            <w:vAlign w:val="bottom"/>
          </w:tcPr>
          <w:p>
            <w:pPr>
              <w:jc w:val="right"/>
              <w:spacing w:after="0"/>
              <w:rPr>
                <w:sz w:val="20"/>
                <w:szCs w:val="20"/>
                <w:color w:val="auto"/>
              </w:rPr>
            </w:pPr>
            <w:r>
              <w:rPr>
                <w:rFonts w:ascii="Arial" w:cs="Arial" w:eastAsia="Arial" w:hAnsi="Arial"/>
                <w:sz w:val="20"/>
                <w:szCs w:val="20"/>
                <w:color w:val="auto"/>
              </w:rPr>
              <w:t>0.6825%</w:t>
            </w:r>
          </w:p>
        </w:tc>
      </w:tr>
      <w:tr>
        <w:trPr>
          <w:trHeight w:val="284"/>
        </w:trPr>
        <w:tc>
          <w:tcPr>
            <w:tcW w:w="3600" w:type="dxa"/>
            <w:vAlign w:val="bottom"/>
            <w:gridSpan w:val="2"/>
          </w:tcPr>
          <w:p>
            <w:pPr>
              <w:spacing w:after="0"/>
              <w:rPr>
                <w:sz w:val="20"/>
                <w:szCs w:val="20"/>
                <w:color w:val="auto"/>
              </w:rPr>
            </w:pPr>
            <w:r>
              <w:rPr>
                <w:rFonts w:ascii="Arial" w:cs="Arial" w:eastAsia="Arial" w:hAnsi="Arial"/>
                <w:sz w:val="20"/>
                <w:szCs w:val="20"/>
                <w:color w:val="auto"/>
                <w:w w:val="89"/>
              </w:rPr>
              <w:t>Greater than or equal to 4.0 but less than 4.5</w:t>
            </w:r>
          </w:p>
        </w:tc>
        <w:tc>
          <w:tcPr>
            <w:tcW w:w="820" w:type="dxa"/>
            <w:vAlign w:val="bottom"/>
          </w:tcPr>
          <w:p>
            <w:pPr>
              <w:jc w:val="right"/>
              <w:spacing w:after="0"/>
              <w:rPr>
                <w:sz w:val="20"/>
                <w:szCs w:val="20"/>
                <w:color w:val="auto"/>
              </w:rPr>
            </w:pPr>
            <w:r>
              <w:rPr>
                <w:rFonts w:ascii="Arial" w:cs="Arial" w:eastAsia="Arial" w:hAnsi="Arial"/>
                <w:sz w:val="20"/>
                <w:szCs w:val="20"/>
                <w:color w:val="auto"/>
              </w:rPr>
              <w:t>0.7350%</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4.5 or above</w:t>
            </w:r>
          </w:p>
        </w:tc>
        <w:tc>
          <w:tcPr>
            <w:tcW w:w="1980" w:type="dxa"/>
            <w:vAlign w:val="bottom"/>
          </w:tcPr>
          <w:p>
            <w:pPr>
              <w:jc w:val="right"/>
              <w:ind w:right="821"/>
              <w:spacing w:after="0"/>
              <w:rPr>
                <w:sz w:val="20"/>
                <w:szCs w:val="20"/>
                <w:color w:val="auto"/>
              </w:rPr>
            </w:pPr>
            <w:r>
              <w:rPr>
                <w:rFonts w:ascii="Arial" w:cs="Arial" w:eastAsia="Arial" w:hAnsi="Arial"/>
                <w:sz w:val="20"/>
                <w:szCs w:val="20"/>
                <w:color w:val="auto"/>
              </w:rPr>
              <w:t>0.7875%</w:t>
            </w:r>
          </w:p>
        </w:tc>
        <w:tc>
          <w:tcPr>
            <w:tcW w:w="820" w:type="dxa"/>
            <w:vAlign w:val="bottom"/>
          </w:tcPr>
          <w:p>
            <w:pPr>
              <w:spacing w:after="0"/>
              <w:rPr>
                <w:sz w:val="24"/>
                <w:szCs w:val="24"/>
                <w:color w:val="auto"/>
              </w:rPr>
            </w:pPr>
          </w:p>
        </w:tc>
      </w:tr>
    </w:tbl>
    <w:p>
      <w:pPr>
        <w:spacing w:after="0" w:line="209"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in each case, on that Revolving Credit Facility Lender's daily Available Commitment from the Fifth Amendment Effective Date to the end of the Revolving Credit Facility Availability Period. Any increase or decrease in such fee shall take effect from the Business Day following the satisfaction of the conditions or expiry of the applicable periods specified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12.2</w:t>
      </w:r>
      <w:r>
        <w:rPr>
          <w:rFonts w:ascii="Arial" w:cs="Arial" w:eastAsia="Arial" w:hAnsi="Arial"/>
          <w:sz w:val="19"/>
          <w:szCs w:val="19"/>
          <w:color w:val="auto"/>
        </w:rPr>
        <w:t>The accrued commitment fee is payable:</w:t>
      </w:r>
    </w:p>
    <w:p>
      <w:pPr>
        <w:spacing w:after="0" w:line="241"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12.2.1</w:t>
      </w:r>
      <w:r>
        <w:rPr>
          <w:rFonts w:ascii="Arial" w:cs="Arial" w:eastAsia="Arial" w:hAnsi="Arial"/>
          <w:sz w:val="19"/>
          <w:szCs w:val="19"/>
          <w:color w:val="auto"/>
        </w:rPr>
        <w:t>in US dollars (or in any other currency mutually agreed between the Company and the relevant Revolving Credit Facility Lender</w:t>
      </w:r>
      <w:r>
        <w:rPr>
          <w:rFonts w:ascii="Arial" w:cs="Arial" w:eastAsia="Arial" w:hAnsi="Arial"/>
          <w:sz w:val="16"/>
          <w:szCs w:val="16"/>
          <w:color w:val="auto"/>
        </w:rPr>
        <w:t xml:space="preserve"> </w:t>
      </w:r>
      <w:r>
        <w:rPr>
          <w:rFonts w:ascii="Arial" w:cs="Arial" w:eastAsia="Arial" w:hAnsi="Arial"/>
          <w:sz w:val="19"/>
          <w:szCs w:val="19"/>
          <w:color w:val="auto"/>
        </w:rPr>
        <w:t>receiving such fee) in respect of accrued commitment fee payable on a Revolving Credit Facility Lender's Available Tranche A Commitment;</w:t>
      </w:r>
    </w:p>
    <w:p>
      <w:pPr>
        <w:spacing w:after="0" w:line="128"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12.2.2</w:t>
      </w:r>
      <w:r>
        <w:rPr>
          <w:rFonts w:ascii="Arial" w:cs="Arial" w:eastAsia="Arial" w:hAnsi="Arial"/>
          <w:sz w:val="19"/>
          <w:szCs w:val="19"/>
          <w:color w:val="auto"/>
        </w:rPr>
        <w:t>in HK dollars (or in any other currency mutually agreed between the Company and the relevant Revolving Credit Facility Lender</w:t>
      </w:r>
      <w:r>
        <w:rPr>
          <w:rFonts w:ascii="Arial" w:cs="Arial" w:eastAsia="Arial" w:hAnsi="Arial"/>
          <w:sz w:val="16"/>
          <w:szCs w:val="16"/>
          <w:color w:val="auto"/>
        </w:rPr>
        <w:t xml:space="preserve"> </w:t>
      </w:r>
      <w:r>
        <w:rPr>
          <w:rFonts w:ascii="Arial" w:cs="Arial" w:eastAsia="Arial" w:hAnsi="Arial"/>
          <w:sz w:val="19"/>
          <w:szCs w:val="19"/>
          <w:color w:val="auto"/>
        </w:rPr>
        <w:t>receiving such fee) in respect of accrued commitment fee payable on a Revolving Credit Facility Lender's Available Tranche B Commitment; and</w:t>
      </w:r>
    </w:p>
    <w:p>
      <w:pPr>
        <w:spacing w:after="0" w:line="128" w:lineRule="exact"/>
        <w:rPr>
          <w:sz w:val="20"/>
          <w:szCs w:val="20"/>
          <w:color w:val="auto"/>
        </w:rPr>
      </w:pPr>
    </w:p>
    <w:p>
      <w:pPr>
        <w:jc w:val="both"/>
        <w:ind w:left="2200" w:right="20" w:hanging="1647"/>
        <w:spacing w:after="0" w:line="346" w:lineRule="auto"/>
        <w:rPr>
          <w:sz w:val="20"/>
          <w:szCs w:val="20"/>
          <w:color w:val="auto"/>
        </w:rPr>
      </w:pPr>
      <w:r>
        <w:rPr>
          <w:rFonts w:ascii="Arial" w:cs="Arial" w:eastAsia="Arial" w:hAnsi="Arial"/>
          <w:sz w:val="16"/>
          <w:szCs w:val="16"/>
          <w:color w:val="auto"/>
        </w:rPr>
        <w:t>12.2.3</w:t>
      </w:r>
      <w:r>
        <w:rPr>
          <w:rFonts w:ascii="Arial" w:cs="Arial" w:eastAsia="Arial" w:hAnsi="Arial"/>
          <w:sz w:val="19"/>
          <w:szCs w:val="19"/>
          <w:color w:val="auto"/>
        </w:rPr>
        <w:t>on the last day of each successive period of three months which ends during the Revolving Credit Facility Availability Period, on</w:t>
      </w:r>
      <w:r>
        <w:rPr>
          <w:rFonts w:ascii="Arial" w:cs="Arial" w:eastAsia="Arial" w:hAnsi="Arial"/>
          <w:sz w:val="16"/>
          <w:szCs w:val="16"/>
          <w:color w:val="auto"/>
        </w:rPr>
        <w:t xml:space="preserve"> </w:t>
      </w:r>
      <w:r>
        <w:rPr>
          <w:rFonts w:ascii="Arial" w:cs="Arial" w:eastAsia="Arial" w:hAnsi="Arial"/>
          <w:sz w:val="19"/>
          <w:szCs w:val="19"/>
          <w:color w:val="auto"/>
        </w:rPr>
        <w:t>the last day of the Revolving Credit Facility Availability Period,</w:t>
      </w:r>
    </w:p>
    <w:p>
      <w:pPr>
        <w:spacing w:after="0" w:line="113"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and, if cancelled in full or part, on the cancelled amount of the relevant Revolving Credit Facility Lender's Available Commitment, immediately prior to the time the cancellation is effective.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13.</w:t>
      </w:r>
      <w:r>
        <w:rPr>
          <w:rFonts w:ascii="Arial" w:cs="Arial" w:eastAsia="Arial" w:hAnsi="Arial"/>
          <w:sz w:val="18"/>
          <w:szCs w:val="18"/>
          <w:b w:val="1"/>
          <w:bCs w:val="1"/>
          <w:color w:val="auto"/>
        </w:rPr>
        <w:t>CHANGES TO THE PARTIES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Transfers by the Revolving Credit Facility Agent</w:t>
      </w:r>
    </w:p>
    <w:p>
      <w:pPr>
        <w:spacing w:after="0" w:line="75"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The Revolving Credit Facility Agent may resign in accordance with the Common Terms Agreement and may assign and transfer all of its rights and obligations under the Revolving Credit Facility Finance Documents to a replacement Revolving Credit Facility Agent appointed in accordance with the terms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Transfers by the Company</w:t>
      </w:r>
    </w:p>
    <w:p>
      <w:pPr>
        <w:spacing w:after="0" w:line="7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The Company may not assign, transfer, novate or dispose of any of its rights or obligations under the Revolving Credit Facility Finance Documents.</w:t>
      </w:r>
    </w:p>
    <w:p>
      <w:pPr>
        <w:sectPr>
          <w:pgSz w:w="11900" w:h="16838" w:orient="portrait"/>
          <w:cols w:equalWidth="0" w:num="1">
            <w:col w:w="11420"/>
          </w:cols>
          <w:pgMar w:left="240" w:top="595" w:right="2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Transfers by the Revolving Credit Facility Lenders</w:t>
      </w:r>
    </w:p>
    <w:p>
      <w:pPr>
        <w:spacing w:after="0" w:line="75" w:lineRule="exact"/>
        <w:rPr>
          <w:sz w:val="20"/>
          <w:szCs w:val="20"/>
          <w:color w:val="auto"/>
        </w:rPr>
      </w:pPr>
    </w:p>
    <w:p>
      <w:pPr>
        <w:jc w:val="both"/>
        <w:ind w:left="560"/>
        <w:spacing w:after="0" w:line="306" w:lineRule="auto"/>
        <w:rPr>
          <w:sz w:val="20"/>
          <w:szCs w:val="20"/>
          <w:color w:val="auto"/>
        </w:rPr>
      </w:pPr>
      <w:r>
        <w:rPr>
          <w:rFonts w:ascii="Arial" w:cs="Arial" w:eastAsia="Arial" w:hAnsi="Arial"/>
          <w:sz w:val="20"/>
          <w:szCs w:val="20"/>
          <w:color w:val="auto"/>
        </w:rPr>
        <w:t>A Revolving Credit Facility Lender may assign, transfer or novate any of its rights and/or obligations under the Revolving Credit Facility Finance Documents in accordance with clause 21.4 (</w:t>
      </w:r>
      <w:r>
        <w:rPr>
          <w:rFonts w:ascii="Arial" w:cs="Arial" w:eastAsia="Arial" w:hAnsi="Arial"/>
          <w:sz w:val="20"/>
          <w:szCs w:val="20"/>
          <w:i w:val="1"/>
          <w:iCs w:val="1"/>
          <w:color w:val="auto"/>
        </w:rPr>
        <w:t>Assignment and Transfer by Lenders</w:t>
      </w:r>
      <w:r>
        <w:rPr>
          <w:rFonts w:ascii="Arial" w:cs="Arial" w:eastAsia="Arial" w:hAnsi="Arial"/>
          <w:sz w:val="20"/>
          <w:szCs w:val="20"/>
          <w:color w:val="auto"/>
        </w:rPr>
        <w:t>), clause 21.5 (</w:t>
      </w:r>
      <w:r>
        <w:rPr>
          <w:rFonts w:ascii="Arial" w:cs="Arial" w:eastAsia="Arial" w:hAnsi="Arial"/>
          <w:sz w:val="20"/>
          <w:szCs w:val="20"/>
          <w:i w:val="1"/>
          <w:iCs w:val="1"/>
          <w:color w:val="auto"/>
        </w:rPr>
        <w:t>Assignments by</w:t>
      </w:r>
      <w:r>
        <w:rPr>
          <w:rFonts w:ascii="Arial" w:cs="Arial" w:eastAsia="Arial" w:hAnsi="Arial"/>
          <w:sz w:val="20"/>
          <w:szCs w:val="20"/>
          <w:color w:val="auto"/>
        </w:rPr>
        <w:t xml:space="preserve"> </w:t>
      </w:r>
      <w:r>
        <w:rPr>
          <w:rFonts w:ascii="Arial" w:cs="Arial" w:eastAsia="Arial" w:hAnsi="Arial"/>
          <w:sz w:val="20"/>
          <w:szCs w:val="20"/>
          <w:i w:val="1"/>
          <w:iCs w:val="1"/>
          <w:color w:val="auto"/>
        </w:rPr>
        <w:t>Lenders</w:t>
      </w:r>
      <w:r>
        <w:rPr>
          <w:rFonts w:ascii="Arial" w:cs="Arial" w:eastAsia="Arial" w:hAnsi="Arial"/>
          <w:sz w:val="20"/>
          <w:szCs w:val="20"/>
          <w:color w:val="auto"/>
        </w:rPr>
        <w:t>) and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Assignment and Transfer Fees</w:t>
      </w:r>
    </w:p>
    <w:p>
      <w:pPr>
        <w:spacing w:after="0" w:line="75"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On the date upon which an assignment takes effect pursuant to clause 21.5 (</w:t>
      </w:r>
      <w:r>
        <w:rPr>
          <w:rFonts w:ascii="Arial" w:cs="Arial" w:eastAsia="Arial" w:hAnsi="Arial"/>
          <w:sz w:val="20"/>
          <w:szCs w:val="20"/>
          <w:i w:val="1"/>
          <w:iCs w:val="1"/>
          <w:color w:val="auto"/>
        </w:rPr>
        <w:t>Assignments by Lenders</w:t>
      </w:r>
      <w:r>
        <w:rPr>
          <w:rFonts w:ascii="Arial" w:cs="Arial" w:eastAsia="Arial" w:hAnsi="Arial"/>
          <w:sz w:val="20"/>
          <w:szCs w:val="20"/>
          <w:color w:val="auto"/>
        </w:rPr>
        <w:t>) of the Common Terms Agreement or a transfer takes effect pursuant to clause 21.6 (</w:t>
      </w:r>
      <w:r>
        <w:rPr>
          <w:rFonts w:ascii="Arial" w:cs="Arial" w:eastAsia="Arial" w:hAnsi="Arial"/>
          <w:sz w:val="20"/>
          <w:szCs w:val="20"/>
          <w:i w:val="1"/>
          <w:iCs w:val="1"/>
          <w:color w:val="auto"/>
        </w:rPr>
        <w:t>Transfers by Lenders</w:t>
      </w:r>
      <w:r>
        <w:rPr>
          <w:rFonts w:ascii="Arial" w:cs="Arial" w:eastAsia="Arial" w:hAnsi="Arial"/>
          <w:sz w:val="20"/>
          <w:szCs w:val="20"/>
          <w:color w:val="auto"/>
        </w:rPr>
        <w:t>) of the Common Terms Agreement, the relevant assignee or Transferee shall pay to the Intercreditor Agent for its own account a fee in accordance with clause 21.7 (</w:t>
      </w:r>
      <w:r>
        <w:rPr>
          <w:rFonts w:ascii="Arial" w:cs="Arial" w:eastAsia="Arial" w:hAnsi="Arial"/>
          <w:sz w:val="20"/>
          <w:szCs w:val="20"/>
          <w:i w:val="1"/>
          <w:iCs w:val="1"/>
          <w:color w:val="auto"/>
        </w:rPr>
        <w:t>Assignment and Transfer Fees</w:t>
      </w:r>
      <w:r>
        <w:rPr>
          <w:rFonts w:ascii="Arial" w:cs="Arial" w:eastAsia="Arial" w:hAnsi="Arial"/>
          <w:sz w:val="20"/>
          <w:szCs w:val="20"/>
          <w:color w:val="auto"/>
        </w:rPr>
        <w:t>) of the Common Terms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14.</w:t>
      </w:r>
      <w:r>
        <w:rPr>
          <w:rFonts w:ascii="Arial" w:cs="Arial" w:eastAsia="Arial" w:hAnsi="Arial"/>
          <w:sz w:val="18"/>
          <w:szCs w:val="18"/>
          <w:b w:val="1"/>
          <w:bCs w:val="1"/>
          <w:color w:val="auto"/>
        </w:rPr>
        <w:t>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b w:val="1"/>
          <w:bCs w:val="1"/>
          <w:color w:val="auto"/>
        </w:rPr>
        <w:t>Payments</w:t>
      </w:r>
    </w:p>
    <w:p>
      <w:pPr>
        <w:spacing w:after="0" w:line="75"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14.1.1</w:t>
      </w:r>
      <w:r>
        <w:rPr>
          <w:rFonts w:ascii="Arial" w:cs="Arial" w:eastAsia="Arial" w:hAnsi="Arial"/>
          <w:sz w:val="19"/>
          <w:szCs w:val="19"/>
          <w:color w:val="auto"/>
        </w:rPr>
        <w:t>All payments under this Agreement shall be made in accordance with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w:t>
      </w:r>
      <w:r>
        <w:rPr>
          <w:rFonts w:ascii="Arial" w:cs="Arial" w:eastAsia="Arial" w:hAnsi="Arial"/>
          <w:sz w:val="16"/>
          <w:szCs w:val="16"/>
          <w:color w:val="auto"/>
        </w:rPr>
        <w:t xml:space="preserve"> </w:t>
      </w:r>
      <w:r>
        <w:rPr>
          <w:rFonts w:ascii="Arial" w:cs="Arial" w:eastAsia="Arial" w:hAnsi="Arial"/>
          <w:sz w:val="19"/>
          <w:szCs w:val="19"/>
          <w:color w:val="auto"/>
        </w:rPr>
        <w:t>Agreement.</w:t>
      </w:r>
    </w:p>
    <w:p>
      <w:pPr>
        <w:spacing w:after="0" w:line="113" w:lineRule="exact"/>
        <w:rPr>
          <w:sz w:val="20"/>
          <w:szCs w:val="20"/>
          <w:color w:val="auto"/>
        </w:rPr>
      </w:pPr>
    </w:p>
    <w:p>
      <w:pPr>
        <w:jc w:val="both"/>
        <w:ind w:left="2200" w:hanging="1647"/>
        <w:spacing w:after="0" w:line="320" w:lineRule="auto"/>
        <w:rPr>
          <w:sz w:val="20"/>
          <w:szCs w:val="20"/>
          <w:color w:val="auto"/>
        </w:rPr>
      </w:pPr>
      <w:r>
        <w:rPr>
          <w:rFonts w:ascii="Arial" w:cs="Arial" w:eastAsia="Arial" w:hAnsi="Arial"/>
          <w:sz w:val="16"/>
          <w:szCs w:val="16"/>
          <w:color w:val="auto"/>
        </w:rPr>
        <w:t>14.1.2</w:t>
      </w:r>
      <w:r>
        <w:rPr>
          <w:rFonts w:ascii="Arial" w:cs="Arial" w:eastAsia="Arial" w:hAnsi="Arial"/>
          <w:sz w:val="19"/>
          <w:szCs w:val="19"/>
          <w:color w:val="auto"/>
        </w:rPr>
        <w:t>Subject to clause 26 (</w:t>
      </w:r>
      <w:r>
        <w:rPr>
          <w:rFonts w:ascii="Arial" w:cs="Arial" w:eastAsia="Arial" w:hAnsi="Arial"/>
          <w:sz w:val="19"/>
          <w:szCs w:val="19"/>
          <w:i w:val="1"/>
          <w:iCs w:val="1"/>
          <w:color w:val="auto"/>
        </w:rPr>
        <w:t>Payment Mechanics</w:t>
      </w:r>
      <w:r>
        <w:rPr>
          <w:rFonts w:ascii="Arial" w:cs="Arial" w:eastAsia="Arial" w:hAnsi="Arial"/>
          <w:sz w:val="19"/>
          <w:szCs w:val="19"/>
          <w:color w:val="auto"/>
        </w:rPr>
        <w:t>) of the Common Terms Agreement, on each date on which this Agreement requires an</w:t>
      </w:r>
      <w:r>
        <w:rPr>
          <w:rFonts w:ascii="Arial" w:cs="Arial" w:eastAsia="Arial" w:hAnsi="Arial"/>
          <w:sz w:val="16"/>
          <w:szCs w:val="16"/>
          <w:color w:val="auto"/>
        </w:rPr>
        <w:t xml:space="preserve"> </w:t>
      </w:r>
      <w:r>
        <w:rPr>
          <w:rFonts w:ascii="Arial" w:cs="Arial" w:eastAsia="Arial" w:hAnsi="Arial"/>
          <w:sz w:val="19"/>
          <w:szCs w:val="19"/>
          <w:color w:val="auto"/>
        </w:rPr>
        <w:t>amount to be paid by the Company or a Revolving Credit Facility Lender, the Company or, as the case may be, such Revolving Credit Facility Lender, shall make the same available to the Revolving Credit Facility Agent for value on such due date and at such time and in such funds and to such account with such bank as the Revolving Credit Facility Agent shall specify from time to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b w:val="1"/>
          <w:bCs w:val="1"/>
          <w:color w:val="auto"/>
        </w:rPr>
        <w:t>Partial Payments</w:t>
      </w:r>
    </w:p>
    <w:p>
      <w:pPr>
        <w:spacing w:after="0" w:line="75" w:lineRule="exact"/>
        <w:rPr>
          <w:sz w:val="20"/>
          <w:szCs w:val="20"/>
          <w:color w:val="auto"/>
        </w:rPr>
      </w:pPr>
    </w:p>
    <w:p>
      <w:pPr>
        <w:jc w:val="both"/>
        <w:ind w:left="2200" w:hanging="1647"/>
        <w:spacing w:after="0" w:line="323" w:lineRule="auto"/>
        <w:rPr>
          <w:sz w:val="20"/>
          <w:szCs w:val="20"/>
          <w:color w:val="auto"/>
        </w:rPr>
      </w:pPr>
      <w:r>
        <w:rPr>
          <w:rFonts w:ascii="Arial" w:cs="Arial" w:eastAsia="Arial" w:hAnsi="Arial"/>
          <w:sz w:val="16"/>
          <w:szCs w:val="16"/>
          <w:color w:val="auto"/>
        </w:rPr>
        <w:t>14.2.1</w:t>
      </w:r>
      <w:r>
        <w:rPr>
          <w:rFonts w:ascii="Arial" w:cs="Arial" w:eastAsia="Arial" w:hAnsi="Arial"/>
          <w:sz w:val="19"/>
          <w:szCs w:val="19"/>
          <w:color w:val="auto"/>
        </w:rPr>
        <w:t>If the Revolving Credit Facility Agent receives a payment that is insufficient to discharge all the amounts then due and payable by</w:t>
      </w:r>
      <w:r>
        <w:rPr>
          <w:rFonts w:ascii="Arial" w:cs="Arial" w:eastAsia="Arial" w:hAnsi="Arial"/>
          <w:sz w:val="16"/>
          <w:szCs w:val="16"/>
          <w:color w:val="auto"/>
        </w:rPr>
        <w:t xml:space="preserve"> </w:t>
      </w:r>
      <w:r>
        <w:rPr>
          <w:rFonts w:ascii="Arial" w:cs="Arial" w:eastAsia="Arial" w:hAnsi="Arial"/>
          <w:sz w:val="19"/>
          <w:szCs w:val="19"/>
          <w:color w:val="auto"/>
        </w:rPr>
        <w:t>the Company to the Revolving Credit Facility Lenders under the Revolving Credit Facility Finance Documents, the Revolving Credit Facility Agent shall apply that payment towards the obligations of the Company under the Revolving Credit Facility Finance Documents in the following order:</w:t>
      </w:r>
    </w:p>
    <w:p>
      <w:pPr>
        <w:spacing w:after="0" w:line="128" w:lineRule="exact"/>
        <w:rPr>
          <w:sz w:val="20"/>
          <w:szCs w:val="20"/>
          <w:color w:val="auto"/>
        </w:rPr>
      </w:pPr>
    </w:p>
    <w:p>
      <w:pPr>
        <w:jc w:val="both"/>
        <w:ind w:left="3140" w:hanging="1876"/>
        <w:spacing w:after="0" w:line="332" w:lineRule="auto"/>
        <w:rPr>
          <w:sz w:val="20"/>
          <w:szCs w:val="20"/>
          <w:color w:val="auto"/>
        </w:rPr>
      </w:pPr>
      <w:r>
        <w:rPr>
          <w:rFonts w:ascii="Arial" w:cs="Arial" w:eastAsia="Arial" w:hAnsi="Arial"/>
          <w:sz w:val="18"/>
          <w:szCs w:val="18"/>
          <w:color w:val="auto"/>
        </w:rPr>
        <w:t>(a)</w:t>
      </w:r>
      <w:r>
        <w:rPr>
          <w:rFonts w:ascii="Arial" w:cs="Arial" w:eastAsia="Arial" w:hAnsi="Arial"/>
          <w:sz w:val="19"/>
          <w:szCs w:val="19"/>
          <w:b w:val="1"/>
          <w:bCs w:val="1"/>
          <w:color w:val="auto"/>
        </w:rPr>
        <w:t>first</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amounts paid by the Revolving Credit Facility Lenders under clause 23.15</w:t>
      </w:r>
      <w:r>
        <w:rPr>
          <w:rFonts w:ascii="Arial" w:cs="Arial" w:eastAsia="Arial" w:hAnsi="Arial"/>
          <w:sz w:val="18"/>
          <w:szCs w:val="18"/>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Indemnity to Intercreditor Agent</w:t>
      </w:r>
      <w:r>
        <w:rPr>
          <w:rFonts w:ascii="Arial" w:cs="Arial" w:eastAsia="Arial" w:hAnsi="Arial"/>
          <w:sz w:val="19"/>
          <w:szCs w:val="19"/>
          <w:color w:val="auto"/>
        </w:rPr>
        <w:t>) of the Common Terms Agreement but which have not been reimbursed by the Company;</w:t>
      </w:r>
    </w:p>
    <w:p>
      <w:pPr>
        <w:spacing w:after="0" w:line="120" w:lineRule="exact"/>
        <w:rPr>
          <w:sz w:val="20"/>
          <w:szCs w:val="20"/>
          <w:color w:val="auto"/>
        </w:rPr>
      </w:pPr>
    </w:p>
    <w:p>
      <w:pPr>
        <w:jc w:val="both"/>
        <w:ind w:left="3160" w:hanging="1890"/>
        <w:spacing w:after="0" w:line="386" w:lineRule="auto"/>
        <w:rPr>
          <w:sz w:val="20"/>
          <w:szCs w:val="20"/>
          <w:color w:val="auto"/>
        </w:rPr>
      </w:pPr>
      <w:r>
        <w:rPr>
          <w:rFonts w:ascii="Arial" w:cs="Arial" w:eastAsia="Arial" w:hAnsi="Arial"/>
          <w:sz w:val="17"/>
          <w:szCs w:val="17"/>
          <w:color w:val="auto"/>
        </w:rPr>
        <w:t>(b)</w:t>
      </w: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7"/>
          <w:szCs w:val="17"/>
          <w:color w:val="auto"/>
        </w:rPr>
        <w:t xml:space="preserve"> </w:t>
      </w:r>
      <w:r>
        <w:rPr>
          <w:rFonts w:ascii="Arial" w:cs="Arial" w:eastAsia="Arial" w:hAnsi="Arial"/>
          <w:sz w:val="18"/>
          <w:szCs w:val="18"/>
          <w:i w:val="1"/>
          <w:iCs w:val="1"/>
          <w:color w:val="auto"/>
        </w:rPr>
        <w:t>pro rata</w:t>
      </w:r>
      <w:r>
        <w:rPr>
          <w:rFonts w:ascii="Arial" w:cs="Arial" w:eastAsia="Arial" w:hAnsi="Arial"/>
          <w:sz w:val="17"/>
          <w:szCs w:val="17"/>
          <w:color w:val="auto"/>
        </w:rPr>
        <w:t xml:space="preserve"> </w:t>
      </w:r>
      <w:r>
        <w:rPr>
          <w:rFonts w:ascii="Arial" w:cs="Arial" w:eastAsia="Arial" w:hAnsi="Arial"/>
          <w:sz w:val="18"/>
          <w:szCs w:val="18"/>
          <w:color w:val="auto"/>
        </w:rPr>
        <w:t>of all amounts paid by the Revolving Credit Facility Lenders under Clause 15.3</w:t>
      </w:r>
      <w:r>
        <w:rPr>
          <w:rFonts w:ascii="Arial" w:cs="Arial" w:eastAsia="Arial" w:hAnsi="Arial"/>
          <w:sz w:val="17"/>
          <w:szCs w:val="17"/>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Indemnity to Revolving Credit Facility Agent</w:t>
      </w:r>
      <w:r>
        <w:rPr>
          <w:rFonts w:ascii="Arial" w:cs="Arial" w:eastAsia="Arial" w:hAnsi="Arial"/>
          <w:sz w:val="18"/>
          <w:szCs w:val="18"/>
          <w:color w:val="auto"/>
        </w:rPr>
        <w:t>) but which have not been reimbursed by the Company;</w:t>
      </w:r>
    </w:p>
    <w:p>
      <w:pPr>
        <w:spacing w:after="0" w:line="77" w:lineRule="exact"/>
        <w:rPr>
          <w:sz w:val="20"/>
          <w:szCs w:val="20"/>
          <w:color w:val="auto"/>
        </w:rPr>
      </w:pPr>
    </w:p>
    <w:p>
      <w:pPr>
        <w:jc w:val="both"/>
        <w:ind w:left="3140" w:hanging="1876"/>
        <w:spacing w:after="0" w:line="353" w:lineRule="auto"/>
        <w:rPr>
          <w:sz w:val="20"/>
          <w:szCs w:val="20"/>
          <w:color w:val="auto"/>
        </w:rPr>
      </w:pPr>
      <w:r>
        <w:rPr>
          <w:rFonts w:ascii="Arial" w:cs="Arial" w:eastAsia="Arial" w:hAnsi="Arial"/>
          <w:sz w:val="18"/>
          <w:szCs w:val="18"/>
          <w:color w:val="auto"/>
        </w:rPr>
        <w:t>(c)</w:t>
      </w:r>
      <w:r>
        <w:rPr>
          <w:rFonts w:ascii="Arial" w:cs="Arial" w:eastAsia="Arial" w:hAnsi="Arial"/>
          <w:sz w:val="19"/>
          <w:szCs w:val="19"/>
          <w:b w:val="1"/>
          <w:bCs w:val="1"/>
          <w:color w:val="auto"/>
        </w:rPr>
        <w:t>thirdly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costs and expenses incurred by the Revolving Credit Facility Lenders which</w:t>
      </w:r>
      <w:r>
        <w:rPr>
          <w:rFonts w:ascii="Arial" w:cs="Arial" w:eastAsia="Arial" w:hAnsi="Arial"/>
          <w:sz w:val="18"/>
          <w:szCs w:val="18"/>
          <w:color w:val="auto"/>
        </w:rPr>
        <w:t xml:space="preserve"> </w:t>
      </w:r>
      <w:r>
        <w:rPr>
          <w:rFonts w:ascii="Arial" w:cs="Arial" w:eastAsia="Arial" w:hAnsi="Arial"/>
          <w:sz w:val="19"/>
          <w:szCs w:val="19"/>
          <w:color w:val="auto"/>
        </w:rPr>
        <w:t>the Company is obliged to reimburse;</w:t>
      </w:r>
    </w:p>
    <w:p>
      <w:pPr>
        <w:sectPr>
          <w:pgSz w:w="11900" w:h="16838" w:orient="portrait"/>
          <w:cols w:equalWidth="0" w:num="1">
            <w:col w:w="11420"/>
          </w:cols>
          <w:pgMar w:left="240" w:top="570" w:right="239" w:bottom="1440" w:gutter="0" w:footer="0" w:header="0"/>
        </w:sectPr>
      </w:pPr>
    </w:p>
    <w:bookmarkStart w:id="332" w:name="page333"/>
    <w:bookmarkEnd w:id="332"/>
    <w:p>
      <w:pPr>
        <w:jc w:val="both"/>
        <w:ind w:left="3160" w:hanging="1890"/>
        <w:spacing w:after="0" w:line="332" w:lineRule="auto"/>
        <w:rPr>
          <w:sz w:val="20"/>
          <w:szCs w:val="20"/>
          <w:color w:val="auto"/>
        </w:rPr>
      </w:pPr>
      <w:r>
        <w:rPr>
          <w:rFonts w:ascii="Arial" w:cs="Arial" w:eastAsia="Arial" w:hAnsi="Arial"/>
          <w:sz w:val="18"/>
          <w:szCs w:val="18"/>
          <w:color w:val="auto"/>
        </w:rPr>
        <w:t>(d)</w:t>
      </w:r>
      <w:r>
        <w:rPr>
          <w:rFonts w:ascii="Arial" w:cs="Arial" w:eastAsia="Arial" w:hAnsi="Arial"/>
          <w:sz w:val="19"/>
          <w:szCs w:val="19"/>
          <w:b w:val="1"/>
          <w:bCs w:val="1"/>
          <w:color w:val="auto"/>
        </w:rPr>
        <w:t>fourthly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all accrued and unpaid interest (including default interest), fees and</w:t>
      </w:r>
      <w:r>
        <w:rPr>
          <w:rFonts w:ascii="Arial" w:cs="Arial" w:eastAsia="Arial" w:hAnsi="Arial"/>
          <w:sz w:val="18"/>
          <w:szCs w:val="18"/>
          <w:color w:val="auto"/>
        </w:rPr>
        <w:t xml:space="preserve"> </w:t>
      </w:r>
      <w:r>
        <w:rPr>
          <w:rFonts w:ascii="Arial" w:cs="Arial" w:eastAsia="Arial" w:hAnsi="Arial"/>
          <w:sz w:val="19"/>
          <w:szCs w:val="19"/>
          <w:color w:val="auto"/>
        </w:rPr>
        <w:t>commissions due to the Revolving Credit Facility Lenders under the Revolving Credit Facility Finance Documents;</w:t>
      </w:r>
    </w:p>
    <w:p>
      <w:pPr>
        <w:spacing w:after="0" w:line="120" w:lineRule="exact"/>
        <w:rPr>
          <w:sz w:val="20"/>
          <w:szCs w:val="20"/>
          <w:color w:val="auto"/>
        </w:rPr>
      </w:pPr>
    </w:p>
    <w:p>
      <w:pPr>
        <w:jc w:val="both"/>
        <w:ind w:left="3140" w:right="20" w:hanging="1876"/>
        <w:spacing w:after="0" w:line="353" w:lineRule="auto"/>
        <w:rPr>
          <w:sz w:val="20"/>
          <w:szCs w:val="20"/>
          <w:color w:val="auto"/>
        </w:rPr>
      </w:pPr>
      <w:r>
        <w:rPr>
          <w:rFonts w:ascii="Arial" w:cs="Arial" w:eastAsia="Arial" w:hAnsi="Arial"/>
          <w:sz w:val="18"/>
          <w:szCs w:val="18"/>
          <w:color w:val="auto"/>
        </w:rPr>
        <w:t>(e)</w:t>
      </w:r>
      <w:r>
        <w:rPr>
          <w:rFonts w:ascii="Arial" w:cs="Arial" w:eastAsia="Arial" w:hAnsi="Arial"/>
          <w:sz w:val="19"/>
          <w:szCs w:val="19"/>
          <w:b w:val="1"/>
          <w:bCs w:val="1"/>
          <w:color w:val="auto"/>
        </w:rPr>
        <w:t>fifthly</w:t>
      </w:r>
      <w:r>
        <w:rPr>
          <w:rFonts w:ascii="Arial" w:cs="Arial" w:eastAsia="Arial" w:hAnsi="Arial"/>
          <w:sz w:val="19"/>
          <w:szCs w:val="19"/>
          <w:color w:val="auto"/>
        </w:rPr>
        <w:t>, in or towards payment</w:t>
      </w:r>
      <w:r>
        <w:rPr>
          <w:rFonts w:ascii="Arial" w:cs="Arial" w:eastAsia="Arial" w:hAnsi="Arial"/>
          <w:sz w:val="18"/>
          <w:szCs w:val="18"/>
          <w:color w:val="auto"/>
        </w:rPr>
        <w:t xml:space="preserve"> </w:t>
      </w:r>
      <w:r>
        <w:rPr>
          <w:rFonts w:ascii="Arial" w:cs="Arial" w:eastAsia="Arial" w:hAnsi="Arial"/>
          <w:sz w:val="19"/>
          <w:szCs w:val="19"/>
          <w:i w:val="1"/>
          <w:iCs w:val="1"/>
          <w:color w:val="auto"/>
        </w:rPr>
        <w:t>pro rata</w:t>
      </w:r>
      <w:r>
        <w:rPr>
          <w:rFonts w:ascii="Arial" w:cs="Arial" w:eastAsia="Arial" w:hAnsi="Arial"/>
          <w:sz w:val="18"/>
          <w:szCs w:val="18"/>
          <w:color w:val="auto"/>
        </w:rPr>
        <w:t xml:space="preserve"> </w:t>
      </w:r>
      <w:r>
        <w:rPr>
          <w:rFonts w:ascii="Arial" w:cs="Arial" w:eastAsia="Arial" w:hAnsi="Arial"/>
          <w:sz w:val="19"/>
          <w:szCs w:val="19"/>
          <w:color w:val="auto"/>
        </w:rPr>
        <w:t>of any principal due to the Revolving Credit Facility Lenders under the Revolving</w:t>
      </w:r>
      <w:r>
        <w:rPr>
          <w:rFonts w:ascii="Arial" w:cs="Arial" w:eastAsia="Arial" w:hAnsi="Arial"/>
          <w:sz w:val="18"/>
          <w:szCs w:val="18"/>
          <w:color w:val="auto"/>
        </w:rPr>
        <w:t xml:space="preserve"> </w:t>
      </w:r>
      <w:r>
        <w:rPr>
          <w:rFonts w:ascii="Arial" w:cs="Arial" w:eastAsia="Arial" w:hAnsi="Arial"/>
          <w:sz w:val="19"/>
          <w:szCs w:val="19"/>
          <w:color w:val="auto"/>
        </w:rPr>
        <w:t>Credit Facility Finance Documents but unpaid; and</w:t>
      </w:r>
    </w:p>
    <w:p>
      <w:pPr>
        <w:spacing w:after="0" w:line="100" w:lineRule="exact"/>
        <w:rPr>
          <w:sz w:val="20"/>
          <w:szCs w:val="20"/>
          <w:color w:val="auto"/>
        </w:rPr>
      </w:pPr>
    </w:p>
    <w:p>
      <w:pPr>
        <w:ind w:left="3120" w:hanging="1856"/>
        <w:spacing w:after="0" w:line="323" w:lineRule="auto"/>
        <w:tabs>
          <w:tab w:leader="none" w:pos="1445" w:val="left"/>
        </w:tabs>
        <w:numPr>
          <w:ilvl w:val="0"/>
          <w:numId w:val="435"/>
        </w:numPr>
        <w:rPr>
          <w:rFonts w:ascii="Arial" w:cs="Arial" w:eastAsia="Arial" w:hAnsi="Arial"/>
          <w:sz w:val="18"/>
          <w:szCs w:val="18"/>
          <w:color w:val="auto"/>
        </w:rPr>
      </w:pPr>
      <w:r>
        <w:rPr>
          <w:rFonts w:ascii="Arial" w:cs="Arial" w:eastAsia="Arial" w:hAnsi="Arial"/>
          <w:sz w:val="20"/>
          <w:szCs w:val="20"/>
          <w:b w:val="1"/>
          <w:bCs w:val="1"/>
          <w:color w:val="auto"/>
        </w:rPr>
        <w:t>sixthly</w:t>
      </w:r>
      <w:r>
        <w:rPr>
          <w:rFonts w:ascii="Arial" w:cs="Arial" w:eastAsia="Arial" w:hAnsi="Arial"/>
          <w:sz w:val="20"/>
          <w:szCs w:val="20"/>
          <w:color w:val="auto"/>
        </w:rPr>
        <w:t>, in or towards payment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b w:val="1"/>
          <w:bCs w:val="1"/>
          <w:color w:val="auto"/>
        </w:rPr>
        <w:t xml:space="preserve"> </w:t>
      </w:r>
      <w:r>
        <w:rPr>
          <w:rFonts w:ascii="Arial" w:cs="Arial" w:eastAsia="Arial" w:hAnsi="Arial"/>
          <w:sz w:val="20"/>
          <w:szCs w:val="20"/>
          <w:color w:val="auto"/>
        </w:rPr>
        <w:t>of any other sum due to the Revolving Credit Facility Lenders under the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Facility Finance Documents but unpaid.</w:t>
      </w:r>
    </w:p>
    <w:p>
      <w:pPr>
        <w:spacing w:after="0" w:line="130"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14.2.2</w:t>
      </w:r>
      <w:r>
        <w:rPr>
          <w:rFonts w:ascii="Arial" w:cs="Arial" w:eastAsia="Arial" w:hAnsi="Arial"/>
          <w:sz w:val="19"/>
          <w:szCs w:val="19"/>
          <w:color w:val="auto"/>
        </w:rPr>
        <w:t>The Revolving Credit Facility Agent shall, if so directed by the Majority Revolving Credit Facility Lenders, vary the order set out</w:t>
      </w:r>
      <w:r>
        <w:rPr>
          <w:rFonts w:ascii="Arial" w:cs="Arial" w:eastAsia="Arial" w:hAnsi="Arial"/>
          <w:sz w:val="16"/>
          <w:szCs w:val="16"/>
          <w:color w:val="auto"/>
        </w:rPr>
        <w:t xml:space="preserve"> </w:t>
      </w:r>
      <w:r>
        <w:rPr>
          <w:rFonts w:ascii="Arial" w:cs="Arial" w:eastAsia="Arial" w:hAnsi="Arial"/>
          <w:sz w:val="19"/>
          <w:szCs w:val="19"/>
          <w:color w:val="auto"/>
        </w:rPr>
        <w:t>in sub-clause 14.2.1 above.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14.2.3</w:t>
      </w:r>
      <w:r>
        <w:rPr>
          <w:rFonts w:ascii="Arial" w:cs="Arial" w:eastAsia="Arial" w:hAnsi="Arial"/>
          <w:sz w:val="19"/>
          <w:szCs w:val="19"/>
          <w:color w:val="auto"/>
        </w:rPr>
        <w:t>Sub-clause 14.2.1 above will override any appropriation made by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15.</w:t>
      </w:r>
      <w:r>
        <w:rPr>
          <w:rFonts w:ascii="Arial" w:cs="Arial" w:eastAsia="Arial" w:hAnsi="Arial"/>
          <w:sz w:val="18"/>
          <w:szCs w:val="18"/>
          <w:b w:val="1"/>
          <w:bCs w:val="1"/>
          <w:color w:val="auto"/>
        </w:rPr>
        <w:t>DECISION MAKING AMONGST REVOLVING CREDIT FACILITY LENDERS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b w:val="1"/>
          <w:bCs w:val="1"/>
          <w:color w:val="auto"/>
        </w:rPr>
        <w:t>Decisions</w:t>
      </w:r>
    </w:p>
    <w:p>
      <w:pPr>
        <w:spacing w:after="0" w:line="75" w:lineRule="exact"/>
        <w:rPr>
          <w:sz w:val="20"/>
          <w:szCs w:val="20"/>
          <w:color w:val="auto"/>
        </w:rPr>
      </w:pPr>
    </w:p>
    <w:p>
      <w:pPr>
        <w:jc w:val="both"/>
        <w:ind w:left="560"/>
        <w:spacing w:after="0" w:line="303" w:lineRule="auto"/>
        <w:rPr>
          <w:sz w:val="20"/>
          <w:szCs w:val="20"/>
          <w:color w:val="auto"/>
        </w:rPr>
      </w:pPr>
      <w:r>
        <w:rPr>
          <w:rFonts w:ascii="Arial" w:cs="Arial" w:eastAsia="Arial" w:hAnsi="Arial"/>
          <w:sz w:val="20"/>
          <w:szCs w:val="20"/>
          <w:color w:val="auto"/>
        </w:rPr>
        <w:t>Save as otherwise set out herein and subject to the Common Terms Agreement, the required Senior Secured Creditors for the purposes of any decision within the scope of clause 34.2 (</w:t>
      </w:r>
      <w:r>
        <w:rPr>
          <w:rFonts w:ascii="Arial" w:cs="Arial" w:eastAsia="Arial" w:hAnsi="Arial"/>
          <w:sz w:val="20"/>
          <w:szCs w:val="20"/>
          <w:i w:val="1"/>
          <w:iCs w:val="1"/>
          <w:color w:val="auto"/>
        </w:rPr>
        <w:t>Amendment and waiver of Facility Agreements</w:t>
      </w:r>
      <w:r>
        <w:rPr>
          <w:rFonts w:ascii="Arial" w:cs="Arial" w:eastAsia="Arial" w:hAnsi="Arial"/>
          <w:sz w:val="20"/>
          <w:szCs w:val="20"/>
          <w:color w:val="auto"/>
        </w:rPr>
        <w:t>) of the Common Terms Agreement relating to this Agreement shall be the Revolving Credit Facility Agent acting on the instructions of the Majority Revolving Credit Facility Lenders.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b w:val="1"/>
          <w:bCs w:val="1"/>
          <w:color w:val="auto"/>
        </w:rPr>
        <w:t>Failure to Give Instructions</w:t>
      </w:r>
    </w:p>
    <w:p>
      <w:pPr>
        <w:spacing w:after="0" w:line="75" w:lineRule="exact"/>
        <w:rPr>
          <w:sz w:val="20"/>
          <w:szCs w:val="20"/>
          <w:color w:val="auto"/>
        </w:rPr>
      </w:pPr>
    </w:p>
    <w:p>
      <w:pPr>
        <w:jc w:val="both"/>
        <w:ind w:left="560"/>
        <w:spacing w:after="0" w:line="316" w:lineRule="auto"/>
        <w:rPr>
          <w:sz w:val="20"/>
          <w:szCs w:val="20"/>
          <w:color w:val="auto"/>
        </w:rPr>
      </w:pPr>
      <w:r>
        <w:rPr>
          <w:rFonts w:ascii="Arial" w:cs="Arial" w:eastAsia="Arial" w:hAnsi="Arial"/>
          <w:sz w:val="19"/>
          <w:szCs w:val="19"/>
          <w:color w:val="auto"/>
        </w:rPr>
        <w:t>If the Revolving Credit Facility Agent gives notice to the Revolving Credit Facility Lenders requesting their specific instructions on any matter referred to in Clause 15.1 (</w:t>
      </w:r>
      <w:r>
        <w:rPr>
          <w:rFonts w:ascii="Arial" w:cs="Arial" w:eastAsia="Arial" w:hAnsi="Arial"/>
          <w:sz w:val="19"/>
          <w:szCs w:val="19"/>
          <w:i w:val="1"/>
          <w:iCs w:val="1"/>
          <w:color w:val="auto"/>
        </w:rPr>
        <w:t>Decisions</w:t>
      </w:r>
      <w:r>
        <w:rPr>
          <w:rFonts w:ascii="Arial" w:cs="Arial" w:eastAsia="Arial" w:hAnsi="Arial"/>
          <w:sz w:val="19"/>
          <w:szCs w:val="19"/>
          <w:color w:val="auto"/>
        </w:rPr>
        <w:t>) and it specifies in such notice that the Revolving Credit Facility Lenders are to give such instructions by a certain date and time specified in such notice, any Revolving Credit Facility Lender which fails to respond by the date and time so specified shall have its portion of the Revolving Credit Facility Advances and its Available Commitment disregarded for all purposes of determining whether instructions have been given to the Revolving Credit Facility Agent by the Majority Revolving Credit Facility Lenders (and, for the purposes of determining the Available Facility or the amount of all Revolving Credit Facility Advances outstanding, the Available Commitments and portion of Revolving Credit Facility Advances of such Revolving Credit Facility Lender shall be deducted).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b w:val="1"/>
          <w:bCs w:val="1"/>
          <w:color w:val="auto"/>
        </w:rPr>
        <w:t>Indemnity to Revolving Credit Facility Agent</w:t>
      </w:r>
    </w:p>
    <w:p>
      <w:pPr>
        <w:spacing w:after="0" w:line="75" w:lineRule="exact"/>
        <w:rPr>
          <w:sz w:val="20"/>
          <w:szCs w:val="20"/>
          <w:color w:val="auto"/>
        </w:rPr>
      </w:pPr>
    </w:p>
    <w:p>
      <w:pPr>
        <w:jc w:val="both"/>
        <w:ind w:left="2200" w:hanging="1647"/>
        <w:spacing w:after="0" w:line="320" w:lineRule="auto"/>
        <w:rPr>
          <w:sz w:val="20"/>
          <w:szCs w:val="20"/>
          <w:color w:val="auto"/>
        </w:rPr>
      </w:pPr>
      <w:r>
        <w:rPr>
          <w:rFonts w:ascii="Arial" w:cs="Arial" w:eastAsia="Arial" w:hAnsi="Arial"/>
          <w:sz w:val="16"/>
          <w:szCs w:val="16"/>
          <w:color w:val="auto"/>
        </w:rPr>
        <w:t>15.3.1</w:t>
      </w:r>
      <w:r>
        <w:rPr>
          <w:rFonts w:ascii="Arial" w:cs="Arial" w:eastAsia="Arial" w:hAnsi="Arial"/>
          <w:sz w:val="19"/>
          <w:szCs w:val="19"/>
          <w:color w:val="auto"/>
        </w:rPr>
        <w:t>Each Revolving Credit Facility Lender shall, rateably in accordance with the proportion that the US dollar equivalent of the sum of</w:t>
      </w:r>
      <w:r>
        <w:rPr>
          <w:rFonts w:ascii="Arial" w:cs="Arial" w:eastAsia="Arial" w:hAnsi="Arial"/>
          <w:sz w:val="16"/>
          <w:szCs w:val="16"/>
          <w:color w:val="auto"/>
        </w:rPr>
        <w:t xml:space="preserve"> </w:t>
      </w:r>
      <w:r>
        <w:rPr>
          <w:rFonts w:ascii="Arial" w:cs="Arial" w:eastAsia="Arial" w:hAnsi="Arial"/>
          <w:sz w:val="19"/>
          <w:szCs w:val="19"/>
          <w:color w:val="auto"/>
        </w:rPr>
        <w:t>its Available Commitments and its participations in any outstanding Revolving Credit Facility Advances bear to the US dollar equivalent of the aggregate of the Available Commitments and such participations of all the Revolving Credit Facility Lenders (or, if all such amounts have been reduced to zero, such proportion determined immediately prior to such reduction) for the time being, indemnify the Revolving Credit Facility</w:t>
      </w:r>
    </w:p>
    <w:p>
      <w:pPr>
        <w:sectPr>
          <w:pgSz w:w="11900" w:h="16838" w:orient="portrait"/>
          <w:cols w:equalWidth="0" w:num="1">
            <w:col w:w="11420"/>
          </w:cols>
          <w:pgMar w:left="240" w:top="575" w:right="239" w:bottom="1440" w:gutter="0" w:footer="0" w:header="0"/>
        </w:sectPr>
      </w:pPr>
    </w:p>
    <w:bookmarkStart w:id="333" w:name="page334"/>
    <w:bookmarkEnd w:id="333"/>
    <w:p>
      <w:pPr>
        <w:jc w:val="both"/>
        <w:ind w:left="1280"/>
        <w:spacing w:after="0" w:line="331" w:lineRule="auto"/>
        <w:rPr>
          <w:sz w:val="20"/>
          <w:szCs w:val="20"/>
          <w:color w:val="auto"/>
        </w:rPr>
      </w:pPr>
      <w:r>
        <w:rPr>
          <w:rFonts w:ascii="Arial" w:cs="Arial" w:eastAsia="Arial" w:hAnsi="Arial"/>
          <w:sz w:val="20"/>
          <w:szCs w:val="20"/>
          <w:color w:val="auto"/>
        </w:rPr>
        <w:t>Agent, within fifteen days of demand, against any cost, loss or liability incurred by the Revolving Credit Facility Agent (other than by reason of the negligence or wilful misconduct of the Revolving Credit Facility Agent) in acting as Revolving Credit Facility Agent under any of the Senior Finance Documents (unless the Revolving Credit Facility Agent has been reimbursed by the Company pursuant to a Senior Finance Document).</w:t>
      </w:r>
    </w:p>
    <w:p>
      <w:pPr>
        <w:spacing w:after="0" w:line="136" w:lineRule="exact"/>
        <w:rPr>
          <w:sz w:val="20"/>
          <w:szCs w:val="20"/>
          <w:color w:val="auto"/>
        </w:rPr>
      </w:pPr>
    </w:p>
    <w:p>
      <w:pPr>
        <w:jc w:val="both"/>
        <w:ind w:left="2200" w:hanging="1647"/>
        <w:spacing w:after="0" w:line="345" w:lineRule="auto"/>
        <w:rPr>
          <w:sz w:val="20"/>
          <w:szCs w:val="20"/>
          <w:color w:val="auto"/>
        </w:rPr>
      </w:pPr>
      <w:r>
        <w:rPr>
          <w:rFonts w:ascii="Arial" w:cs="Arial" w:eastAsia="Arial" w:hAnsi="Arial"/>
          <w:sz w:val="15"/>
          <w:szCs w:val="15"/>
          <w:color w:val="auto"/>
        </w:rPr>
        <w:t>15.3.2</w:t>
      </w:r>
      <w:r>
        <w:rPr>
          <w:rFonts w:ascii="Arial" w:cs="Arial" w:eastAsia="Arial" w:hAnsi="Arial"/>
          <w:sz w:val="18"/>
          <w:szCs w:val="18"/>
          <w:color w:val="auto"/>
        </w:rPr>
        <w:t>Provided that the Company is required to reimburse or indemnify the Revolving Credit Facility Agent for such cost, loss or liability</w:t>
      </w:r>
      <w:r>
        <w:rPr>
          <w:rFonts w:ascii="Arial" w:cs="Arial" w:eastAsia="Arial" w:hAnsi="Arial"/>
          <w:sz w:val="15"/>
          <w:szCs w:val="15"/>
          <w:color w:val="auto"/>
        </w:rPr>
        <w:t xml:space="preserve"> </w:t>
      </w:r>
      <w:r>
        <w:rPr>
          <w:rFonts w:ascii="Arial" w:cs="Arial" w:eastAsia="Arial" w:hAnsi="Arial"/>
          <w:sz w:val="18"/>
          <w:szCs w:val="18"/>
          <w:color w:val="auto"/>
        </w:rPr>
        <w:t>in accordance with the terms of the Senior Finance Documents, the Company shall, within fifteen days of demand in writing by any Revolving Credit Facility Lender, indemnify such Revolving Credit Facility Lender in relation to any payment actually made by such Revolving Credit Facility Lender pursuant to Clause 15.3.1 above.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16.</w:t>
      </w:r>
      <w:r>
        <w:rPr>
          <w:rFonts w:ascii="Arial" w:cs="Arial" w:eastAsia="Arial" w:hAnsi="Arial"/>
          <w:sz w:val="18"/>
          <w:szCs w:val="18"/>
          <w:b w:val="1"/>
          <w:bCs w:val="1"/>
          <w:color w:val="auto"/>
        </w:rPr>
        <w:t>COUNTERPARTS</w:t>
      </w:r>
    </w:p>
    <w:p>
      <w:pPr>
        <w:spacing w:after="0" w:line="135" w:lineRule="exact"/>
        <w:rPr>
          <w:sz w:val="20"/>
          <w:szCs w:val="20"/>
          <w:color w:val="auto"/>
        </w:rPr>
      </w:pPr>
    </w:p>
    <w:p>
      <w:pPr>
        <w:jc w:val="both"/>
        <w:ind w:left="560"/>
        <w:spacing w:after="0" w:line="317" w:lineRule="auto"/>
        <w:rPr>
          <w:sz w:val="20"/>
          <w:szCs w:val="20"/>
          <w:color w:val="auto"/>
        </w:rPr>
      </w:pPr>
      <w:r>
        <w:rPr>
          <w:rFonts w:ascii="Arial" w:cs="Arial" w:eastAsia="Arial" w:hAnsi="Arial"/>
          <w:sz w:val="20"/>
          <w:szCs w:val="20"/>
          <w:color w:val="auto"/>
        </w:rPr>
        <w:t>This Agreement may be executed in any number of counterparts, all of which taken together shall constitute one and the same instrument.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17.</w:t>
      </w: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18.</w:t>
      </w:r>
      <w:r>
        <w:rPr>
          <w:rFonts w:ascii="Arial" w:cs="Arial" w:eastAsia="Arial" w:hAnsi="Arial"/>
          <w:sz w:val="18"/>
          <w:szCs w:val="18"/>
          <w:b w:val="1"/>
          <w:bCs w:val="1"/>
          <w:color w:val="auto"/>
        </w:rPr>
        <w:t>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b w:val="1"/>
          <w:bCs w:val="1"/>
          <w:color w:val="auto"/>
        </w:rPr>
        <w:t>Jurisdiction of English courts</w:t>
      </w:r>
    </w:p>
    <w:p>
      <w:pPr>
        <w:spacing w:after="0" w:line="75" w:lineRule="exact"/>
        <w:rPr>
          <w:sz w:val="20"/>
          <w:szCs w:val="20"/>
          <w:color w:val="auto"/>
        </w:rPr>
      </w:pPr>
    </w:p>
    <w:p>
      <w:pPr>
        <w:jc w:val="both"/>
        <w:ind w:left="2200" w:hanging="1647"/>
        <w:spacing w:after="0" w:line="329" w:lineRule="auto"/>
        <w:rPr>
          <w:sz w:val="20"/>
          <w:szCs w:val="20"/>
          <w:color w:val="auto"/>
        </w:rPr>
      </w:pPr>
      <w:r>
        <w:rPr>
          <w:rFonts w:ascii="Arial" w:cs="Arial" w:eastAsia="Arial" w:hAnsi="Arial"/>
          <w:sz w:val="16"/>
          <w:szCs w:val="16"/>
          <w:color w:val="auto"/>
        </w:rPr>
        <w:t>18.1.1</w:t>
      </w:r>
      <w:r>
        <w:rPr>
          <w:rFonts w:ascii="Arial" w:cs="Arial" w:eastAsia="Arial" w:hAnsi="Arial"/>
          <w:sz w:val="19"/>
          <w:szCs w:val="19"/>
          <w:color w:val="auto"/>
        </w:rPr>
        <w:t>The courts of England have exclusive jurisdiction to settle any dispute arising out of or in connection with this Agreement</w:t>
      </w:r>
      <w:r>
        <w:rPr>
          <w:rFonts w:ascii="Arial" w:cs="Arial" w:eastAsia="Arial" w:hAnsi="Arial"/>
          <w:sz w:val="16"/>
          <w:szCs w:val="16"/>
          <w:color w:val="auto"/>
        </w:rPr>
        <w:t xml:space="preserve"> </w:t>
      </w:r>
      <w:r>
        <w:rPr>
          <w:rFonts w:ascii="Arial" w:cs="Arial" w:eastAsia="Arial" w:hAnsi="Arial"/>
          <w:sz w:val="19"/>
          <w:szCs w:val="19"/>
          <w:color w:val="auto"/>
        </w:rPr>
        <w:t>(including a dispute regarding the existence, validity or termination of this Agreement or the consequences of its nullity) (a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28" w:lineRule="exact"/>
        <w:rPr>
          <w:sz w:val="20"/>
          <w:szCs w:val="20"/>
          <w:color w:val="auto"/>
        </w:rPr>
      </w:pPr>
    </w:p>
    <w:p>
      <w:pPr>
        <w:jc w:val="both"/>
        <w:ind w:left="2200" w:hanging="1647"/>
        <w:spacing w:after="0" w:line="346" w:lineRule="auto"/>
        <w:rPr>
          <w:sz w:val="20"/>
          <w:szCs w:val="20"/>
          <w:color w:val="auto"/>
        </w:rPr>
      </w:pPr>
      <w:r>
        <w:rPr>
          <w:rFonts w:ascii="Arial" w:cs="Arial" w:eastAsia="Arial" w:hAnsi="Arial"/>
          <w:sz w:val="16"/>
          <w:szCs w:val="16"/>
          <w:color w:val="auto"/>
        </w:rPr>
        <w:t>18.1.2</w:t>
      </w:r>
      <w:r>
        <w:rPr>
          <w:rFonts w:ascii="Arial" w:cs="Arial" w:eastAsia="Arial" w:hAnsi="Arial"/>
          <w:sz w:val="19"/>
          <w:szCs w:val="19"/>
          <w:color w:val="auto"/>
        </w:rPr>
        <w:t>The parties hereto agree that the courts of England are the most appropriate and convenient courts to settle Disputes and</w:t>
      </w:r>
      <w:r>
        <w:rPr>
          <w:rFonts w:ascii="Arial" w:cs="Arial" w:eastAsia="Arial" w:hAnsi="Arial"/>
          <w:sz w:val="16"/>
          <w:szCs w:val="16"/>
          <w:color w:val="auto"/>
        </w:rPr>
        <w:t xml:space="preserve"> </w:t>
      </w:r>
      <w:r>
        <w:rPr>
          <w:rFonts w:ascii="Arial" w:cs="Arial" w:eastAsia="Arial" w:hAnsi="Arial"/>
          <w:sz w:val="19"/>
          <w:szCs w:val="19"/>
          <w:color w:val="auto"/>
        </w:rPr>
        <w:t>accordingly they will not argue to the contrary.</w:t>
      </w:r>
    </w:p>
    <w:p>
      <w:pPr>
        <w:spacing w:after="0" w:line="113" w:lineRule="exact"/>
        <w:rPr>
          <w:sz w:val="20"/>
          <w:szCs w:val="20"/>
          <w:color w:val="auto"/>
        </w:rPr>
      </w:pPr>
    </w:p>
    <w:p>
      <w:pPr>
        <w:jc w:val="both"/>
        <w:ind w:left="2200" w:hanging="1647"/>
        <w:spacing w:after="0" w:line="345" w:lineRule="auto"/>
        <w:rPr>
          <w:sz w:val="20"/>
          <w:szCs w:val="20"/>
          <w:color w:val="auto"/>
        </w:rPr>
      </w:pPr>
      <w:r>
        <w:rPr>
          <w:rFonts w:ascii="Arial" w:cs="Arial" w:eastAsia="Arial" w:hAnsi="Arial"/>
          <w:sz w:val="15"/>
          <w:szCs w:val="15"/>
          <w:color w:val="auto"/>
        </w:rPr>
        <w:t>18.1.3</w:t>
      </w:r>
      <w:r>
        <w:rPr>
          <w:rFonts w:ascii="Arial" w:cs="Arial" w:eastAsia="Arial" w:hAnsi="Arial"/>
          <w:sz w:val="18"/>
          <w:szCs w:val="18"/>
          <w:color w:val="auto"/>
        </w:rPr>
        <w:t>This Clause 18.1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is for the benefit of the Revolving Credit Finance Parties only. As a result, no</w:t>
      </w:r>
      <w:r>
        <w:rPr>
          <w:rFonts w:ascii="Arial" w:cs="Arial" w:eastAsia="Arial" w:hAnsi="Arial"/>
          <w:sz w:val="15"/>
          <w:szCs w:val="15"/>
          <w:color w:val="auto"/>
        </w:rPr>
        <w:t xml:space="preserve"> </w:t>
      </w:r>
      <w:r>
        <w:rPr>
          <w:rFonts w:ascii="Arial" w:cs="Arial" w:eastAsia="Arial" w:hAnsi="Arial"/>
          <w:sz w:val="18"/>
          <w:szCs w:val="18"/>
          <w:color w:val="auto"/>
        </w:rPr>
        <w:t>Revolving Credit Finance Party shall be prevented from taking proceedings relating to a Dispute in any other courts with jurisdiction. To the extent allowed by law and the Revolving Credit Facility Finance Documents, the Revolving Credit Finance Parties may take concurrent proceedings in any number of jurisdictions.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18.2</w:t>
      </w:r>
      <w:r>
        <w:rPr>
          <w:rFonts w:ascii="Arial" w:cs="Arial" w:eastAsia="Arial" w:hAnsi="Arial"/>
          <w:sz w:val="18"/>
          <w:szCs w:val="18"/>
          <w:b w:val="1"/>
          <w:bCs w:val="1"/>
          <w:color w:val="auto"/>
        </w:rPr>
        <w:t>Service of process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Without prejudice to any other mode of service allowed under any relevant law, the Company:</w:t>
      </w:r>
    </w:p>
    <w:p>
      <w:pPr>
        <w:spacing w:after="0" w:line="229" w:lineRule="exact"/>
        <w:rPr>
          <w:sz w:val="20"/>
          <w:szCs w:val="20"/>
          <w:color w:val="auto"/>
        </w:rPr>
      </w:pPr>
    </w:p>
    <w:p>
      <w:pPr>
        <w:jc w:val="both"/>
        <w:ind w:left="2040" w:right="20" w:hanging="1471"/>
        <w:spacing w:after="0" w:line="317" w:lineRule="auto"/>
        <w:rPr>
          <w:sz w:val="20"/>
          <w:szCs w:val="20"/>
          <w:color w:val="auto"/>
        </w:rPr>
      </w:pPr>
      <w:r>
        <w:rPr>
          <w:rFonts w:ascii="Arial" w:cs="Arial" w:eastAsia="Arial" w:hAnsi="Arial"/>
          <w:sz w:val="20"/>
          <w:szCs w:val="20"/>
          <w:color w:val="auto"/>
        </w:rPr>
        <w:t>(a)irrevocably appoints Law Debenture Corporate Services Limited as its agent for service of process in relation to any proceedings before the English courts in connection with this Agreement; and</w:t>
      </w:r>
    </w:p>
    <w:p>
      <w:pPr>
        <w:sectPr>
          <w:pgSz w:w="11900" w:h="16838" w:orient="portrait"/>
          <w:cols w:equalWidth="0" w:num="1">
            <w:col w:w="11420"/>
          </w:cols>
          <w:pgMar w:left="240" w:top="595" w:right="239" w:bottom="1440" w:gutter="0" w:footer="0" w:header="0"/>
        </w:sectPr>
      </w:pPr>
    </w:p>
    <w:bookmarkStart w:id="334" w:name="page335"/>
    <w:bookmarkEnd w:id="334"/>
    <w:p>
      <w:pPr>
        <w:ind w:left="560"/>
        <w:spacing w:after="0"/>
        <w:rPr>
          <w:sz w:val="20"/>
          <w:szCs w:val="20"/>
          <w:color w:val="auto"/>
        </w:rPr>
      </w:pPr>
      <w:r>
        <w:rPr>
          <w:rFonts w:ascii="Arial" w:cs="Arial" w:eastAsia="Arial" w:hAnsi="Arial"/>
          <w:sz w:val="19"/>
          <w:szCs w:val="19"/>
          <w:color w:val="auto"/>
        </w:rPr>
        <w:t>(b)agrees that failure by a process agent to notify the Company of the process will not invalidate the proceedings concerned.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This Agreement has been entered into on the date stated at the beginning of this Agreement.</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420" w:type="dxa"/>
            <w:vAlign w:val="bottom"/>
          </w:tcPr>
          <w:p>
            <w:pPr>
              <w:ind w:left="960"/>
              <w:spacing w:after="0"/>
              <w:rPr>
                <w:sz w:val="20"/>
                <w:szCs w:val="20"/>
                <w:color w:val="auto"/>
              </w:rPr>
            </w:pPr>
            <w:r>
              <w:rPr>
                <w:rFonts w:ascii="Arial" w:cs="Arial" w:eastAsia="Arial" w:hAnsi="Arial"/>
                <w:sz w:val="20"/>
                <w:szCs w:val="20"/>
                <w:b w:val="1"/>
                <w:bCs w:val="1"/>
                <w:color w:val="auto"/>
              </w:rPr>
              <w:t>Revolving Credit Facility Lender</w:t>
            </w:r>
          </w:p>
        </w:tc>
        <w:tc>
          <w:tcPr>
            <w:tcW w:w="3640" w:type="dxa"/>
            <w:vAlign w:val="bottom"/>
          </w:tcPr>
          <w:p>
            <w:pPr>
              <w:jc w:val="center"/>
              <w:ind w:left="261"/>
              <w:spacing w:after="0"/>
              <w:rPr>
                <w:sz w:val="20"/>
                <w:szCs w:val="20"/>
                <w:color w:val="auto"/>
              </w:rPr>
            </w:pPr>
            <w:r>
              <w:rPr>
                <w:rFonts w:ascii="Arial" w:cs="Arial" w:eastAsia="Arial" w:hAnsi="Arial"/>
                <w:sz w:val="20"/>
                <w:szCs w:val="20"/>
                <w:b w:val="1"/>
                <w:bCs w:val="1"/>
                <w:color w:val="auto"/>
                <w:w w:val="92"/>
              </w:rPr>
              <w:t>Tranche A Commitment (USD)</w:t>
            </w:r>
          </w:p>
        </w:tc>
        <w:tc>
          <w:tcPr>
            <w:tcW w:w="3000" w:type="dxa"/>
            <w:vAlign w:val="bottom"/>
          </w:tcPr>
          <w:p>
            <w:pPr>
              <w:jc w:val="center"/>
              <w:ind w:left="221"/>
              <w:spacing w:after="0"/>
              <w:rPr>
                <w:sz w:val="20"/>
                <w:szCs w:val="20"/>
                <w:color w:val="auto"/>
              </w:rPr>
            </w:pPr>
            <w:r>
              <w:rPr>
                <w:rFonts w:ascii="Arial" w:cs="Arial" w:eastAsia="Arial" w:hAnsi="Arial"/>
                <w:sz w:val="20"/>
                <w:szCs w:val="20"/>
                <w:b w:val="1"/>
                <w:bCs w:val="1"/>
                <w:color w:val="auto"/>
                <w:w w:val="93"/>
              </w:rPr>
              <w:t>Tranche B Commitment (HKD)</w:t>
            </w:r>
          </w:p>
        </w:tc>
      </w:tr>
      <w:tr>
        <w:trPr>
          <w:trHeight w:val="365"/>
        </w:trPr>
        <w:tc>
          <w:tcPr>
            <w:tcW w:w="4420" w:type="dxa"/>
            <w:vAlign w:val="bottom"/>
          </w:tcPr>
          <w:p>
            <w:pPr>
              <w:spacing w:after="0"/>
              <w:rPr>
                <w:sz w:val="20"/>
                <w:szCs w:val="20"/>
                <w:color w:val="auto"/>
              </w:rPr>
            </w:pPr>
            <w:r>
              <w:rPr>
                <w:rFonts w:ascii="Arial" w:cs="Arial" w:eastAsia="Arial" w:hAnsi="Arial"/>
                <w:sz w:val="20"/>
                <w:szCs w:val="20"/>
                <w:color w:val="auto"/>
              </w:rPr>
              <w:t>Bank of China Limited, Macau Branch</w:t>
            </w:r>
          </w:p>
        </w:tc>
        <w:tc>
          <w:tcPr>
            <w:tcW w:w="3640" w:type="dxa"/>
            <w:vAlign w:val="bottom"/>
          </w:tcPr>
          <w:p>
            <w:pPr>
              <w:jc w:val="center"/>
              <w:ind w:left="261"/>
              <w:spacing w:after="0"/>
              <w:rPr>
                <w:sz w:val="20"/>
                <w:szCs w:val="20"/>
                <w:color w:val="auto"/>
              </w:rPr>
            </w:pPr>
            <w:r>
              <w:rPr>
                <w:rFonts w:ascii="Arial" w:cs="Arial" w:eastAsia="Arial" w:hAnsi="Arial"/>
                <w:sz w:val="20"/>
                <w:szCs w:val="20"/>
                <w:color w:val="auto"/>
                <w:w w:val="89"/>
              </w:rPr>
              <w:t>427,000,000</w:t>
            </w:r>
          </w:p>
        </w:tc>
        <w:tc>
          <w:tcPr>
            <w:tcW w:w="3000" w:type="dxa"/>
            <w:vAlign w:val="bottom"/>
          </w:tcPr>
          <w:p>
            <w:pPr>
              <w:jc w:val="center"/>
              <w:ind w:left="241"/>
              <w:spacing w:after="0"/>
              <w:rPr>
                <w:sz w:val="20"/>
                <w:szCs w:val="20"/>
                <w:color w:val="auto"/>
              </w:rPr>
            </w:pPr>
            <w:r>
              <w:rPr>
                <w:rFonts w:ascii="Arial" w:cs="Arial" w:eastAsia="Arial" w:hAnsi="Arial"/>
                <w:sz w:val="20"/>
                <w:szCs w:val="20"/>
                <w:color w:val="auto"/>
                <w:w w:val="89"/>
              </w:rPr>
              <w:t>2,511,600,000</w:t>
            </w:r>
          </w:p>
        </w:tc>
      </w:tr>
      <w:tr>
        <w:trPr>
          <w:trHeight w:val="608"/>
        </w:trPr>
        <w:tc>
          <w:tcPr>
            <w:tcW w:w="442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640" w:type="dxa"/>
            <w:vAlign w:val="bottom"/>
          </w:tcPr>
          <w:p>
            <w:pPr>
              <w:jc w:val="center"/>
              <w:ind w:left="261"/>
              <w:spacing w:after="0"/>
              <w:rPr>
                <w:sz w:val="20"/>
                <w:szCs w:val="20"/>
                <w:color w:val="auto"/>
              </w:rPr>
            </w:pPr>
            <w:r>
              <w:rPr>
                <w:rFonts w:ascii="Arial" w:cs="Arial" w:eastAsia="Arial" w:hAnsi="Arial"/>
                <w:sz w:val="20"/>
                <w:szCs w:val="20"/>
                <w:color w:val="auto"/>
                <w:w w:val="89"/>
              </w:rPr>
              <w:t>427,000,000</w:t>
            </w:r>
          </w:p>
        </w:tc>
        <w:tc>
          <w:tcPr>
            <w:tcW w:w="3000" w:type="dxa"/>
            <w:vAlign w:val="bottom"/>
          </w:tcPr>
          <w:p>
            <w:pPr>
              <w:jc w:val="center"/>
              <w:ind w:left="241"/>
              <w:spacing w:after="0"/>
              <w:rPr>
                <w:sz w:val="20"/>
                <w:szCs w:val="20"/>
                <w:color w:val="auto"/>
              </w:rPr>
            </w:pPr>
            <w:r>
              <w:rPr>
                <w:rFonts w:ascii="Arial" w:cs="Arial" w:eastAsia="Arial" w:hAnsi="Arial"/>
                <w:sz w:val="20"/>
                <w:szCs w:val="20"/>
                <w:color w:val="auto"/>
                <w:w w:val="89"/>
              </w:rPr>
              <w:t>2,511,600,000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ADVANCE REQUEST FOR A REVOLVING CREDIT FACILITY ADVANCE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 ] as Intercreditor Agent</w:t>
      </w:r>
    </w:p>
    <w:p>
      <w:pPr>
        <w:spacing w:after="0" w:line="229" w:lineRule="exact"/>
        <w:rPr>
          <w:sz w:val="20"/>
          <w:szCs w:val="20"/>
          <w:color w:val="auto"/>
        </w:rPr>
      </w:pPr>
    </w:p>
    <w:p>
      <w:pPr>
        <w:ind w:left="780" w:hanging="124"/>
        <w:spacing w:after="0"/>
        <w:tabs>
          <w:tab w:leader="none" w:pos="78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 as Revolving Credit Facility Agent</w:t>
      </w:r>
    </w:p>
    <w:p>
      <w:pPr>
        <w:spacing w:after="0" w:line="2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Date:  [ ]</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3"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Wynn Resorts (Macau) S.A. - Revolving Credit Facility Agreement dated 31 July 2012 (as amended by the Revolving Credit Facility Agreement Amendment Agreement dated [ ] 2015 (the "Agreement")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 Request No. [ ]</w:t>
      </w:r>
    </w:p>
    <w:p>
      <w:pPr>
        <w:spacing w:after="0" w:line="229" w:lineRule="exact"/>
        <w:rPr>
          <w:sz w:val="20"/>
          <w:szCs w:val="20"/>
          <w:color w:val="auto"/>
        </w:rPr>
      </w:pPr>
    </w:p>
    <w:p>
      <w:pPr>
        <w:jc w:val="both"/>
        <w:ind w:left="560" w:hanging="552"/>
        <w:spacing w:after="0" w:line="302" w:lineRule="auto"/>
        <w:tabs>
          <w:tab w:leader="none" w:pos="56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We refer to the Agreement and the common terms agreement (the "</w:t>
      </w:r>
      <w:r>
        <w:rPr>
          <w:rFonts w:ascii="Arial" w:cs="Arial" w:eastAsia="Arial" w:hAnsi="Arial"/>
          <w:sz w:val="20"/>
          <w:szCs w:val="20"/>
          <w:b w:val="1"/>
          <w:bCs w:val="1"/>
          <w:color w:val="auto"/>
        </w:rPr>
        <w:t>Common Terms Agreement</w:t>
      </w:r>
      <w:r>
        <w:rPr>
          <w:rFonts w:ascii="Arial" w:cs="Arial" w:eastAsia="Arial" w:hAnsi="Arial"/>
          <w:sz w:val="20"/>
          <w:szCs w:val="20"/>
          <w:color w:val="auto"/>
        </w:rPr>
        <w:t>") dated 14 September 2004 (as amended from time to time) and made between, among others, Wynn Resorts (Macau) S.A. (the "</w:t>
      </w:r>
      <w:r>
        <w:rPr>
          <w:rFonts w:ascii="Arial" w:cs="Arial" w:eastAsia="Arial" w:hAnsi="Arial"/>
          <w:sz w:val="20"/>
          <w:szCs w:val="20"/>
          <w:b w:val="1"/>
          <w:bCs w:val="1"/>
          <w:color w:val="auto"/>
        </w:rPr>
        <w:t>Company</w:t>
      </w:r>
      <w:r>
        <w:rPr>
          <w:rFonts w:ascii="Arial" w:cs="Arial" w:eastAsia="Arial" w:hAnsi="Arial"/>
          <w:sz w:val="20"/>
          <w:szCs w:val="20"/>
          <w:color w:val="auto"/>
        </w:rPr>
        <w:t>"), the financial institutions defined therein as Revolving Credit Facility Lenders, the Revolving Credit Facility Agent, the Intercreditor Agent and the Security Agent. Terms defined in the Common Terms Agreement shall have the same meaning herein and the principles of construction and rules of interpretation set out therein shall also apply.</w:t>
      </w:r>
    </w:p>
    <w:p>
      <w:pPr>
        <w:sectPr>
          <w:pgSz w:w="11900" w:h="16838" w:orient="portrait"/>
          <w:cols w:equalWidth="0" w:num="1">
            <w:col w:w="11420"/>
          </w:cols>
          <w:pgMar w:left="240" w:top="582" w:right="239" w:bottom="1440" w:gutter="0" w:footer="0" w:header="0"/>
        </w:sectPr>
      </w:pPr>
    </w:p>
    <w:bookmarkStart w:id="335" w:name="page336"/>
    <w:bookmarkEnd w:id="335"/>
    <w:p>
      <w:pPr>
        <w:ind w:left="560" w:hanging="552"/>
        <w:spacing w:after="0"/>
        <w:tabs>
          <w:tab w:leader="none" w:pos="56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This is an Advance Request given pursuant to Clause 3 (</w:t>
      </w:r>
      <w:r>
        <w:rPr>
          <w:rFonts w:ascii="Arial" w:cs="Arial" w:eastAsia="Arial" w:hAnsi="Arial"/>
          <w:sz w:val="20"/>
          <w:szCs w:val="20"/>
          <w:i w:val="1"/>
          <w:iCs w:val="1"/>
          <w:color w:val="auto"/>
        </w:rPr>
        <w:t>Drawdown of Advances</w:t>
      </w:r>
      <w:r>
        <w:rPr>
          <w:rFonts w:ascii="Arial" w:cs="Arial" w:eastAsia="Arial" w:hAnsi="Arial"/>
          <w:sz w:val="20"/>
          <w:szCs w:val="20"/>
          <w:color w:val="auto"/>
        </w:rPr>
        <w:t>) of the Common Terms Agreement.</w:t>
      </w:r>
    </w:p>
    <w:p>
      <w:pPr>
        <w:spacing w:after="0" w:line="269" w:lineRule="exact"/>
        <w:rPr>
          <w:rFonts w:ascii="Arial" w:cs="Arial" w:eastAsia="Arial" w:hAnsi="Arial"/>
          <w:sz w:val="20"/>
          <w:szCs w:val="20"/>
          <w:color w:val="auto"/>
        </w:rPr>
      </w:pPr>
    </w:p>
    <w:p>
      <w:pPr>
        <w:ind w:left="560" w:hanging="552"/>
        <w:spacing w:after="0"/>
        <w:tabs>
          <w:tab w:leader="none" w:pos="56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This Advance Request is irrevocable.</w:t>
      </w:r>
    </w:p>
    <w:p>
      <w:pPr>
        <w:spacing w:after="0" w:line="269" w:lineRule="exact"/>
        <w:rPr>
          <w:rFonts w:ascii="Arial" w:cs="Arial" w:eastAsia="Arial" w:hAnsi="Arial"/>
          <w:sz w:val="20"/>
          <w:szCs w:val="20"/>
          <w:color w:val="auto"/>
        </w:rPr>
      </w:pPr>
    </w:p>
    <w:p>
      <w:pPr>
        <w:jc w:val="both"/>
        <w:ind w:left="560" w:hanging="552"/>
        <w:spacing w:after="0" w:line="306" w:lineRule="auto"/>
        <w:tabs>
          <w:tab w:leader="none" w:pos="56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We hereby give you notice that, upon the terms and subject to the conditions contained in the Common Terms Agreement and the Revolving Credit Facility Agreement, we wish to borrow the following Revolving Credit Facility Advance under the following Revolving Credit Facility on the following terms:</w:t>
      </w:r>
    </w:p>
    <w:p>
      <w:pPr>
        <w:sectPr>
          <w:pgSz w:w="11900" w:h="16838" w:orient="portrait"/>
          <w:cols w:equalWidth="0" w:num="1">
            <w:col w:w="11420"/>
          </w:cols>
          <w:pgMar w:left="240" w:top="582" w:right="239" w:bottom="1440" w:gutter="0" w:footer="0" w:header="0"/>
        </w:sectPr>
      </w:pPr>
    </w:p>
    <w:p>
      <w:pPr>
        <w:spacing w:after="0" w:line="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Proposed Advance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2540" w:space="200"/>
            <w:col w:w="60" w:space="400"/>
            <w:col w:w="8220"/>
          </w:cols>
          <w:pgMar w:left="240" w:top="582" w:right="239" w:bottom="1440" w:gutter="0" w:footer="0" w:header="0"/>
          <w:type w:val="continuous"/>
        </w:sectPr>
      </w:pP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[Tranche A/Tranche B] Facility</w:t>
      </w:r>
    </w:p>
    <w:p>
      <w:pPr>
        <w:spacing w:after="0" w:line="200" w:lineRule="exact"/>
        <w:rPr>
          <w:sz w:val="20"/>
          <w:szCs w:val="20"/>
          <w:color w:val="auto"/>
        </w:rPr>
      </w:pPr>
    </w:p>
    <w:p>
      <w:pPr>
        <w:sectPr>
          <w:pgSz w:w="11900" w:h="16838" w:orient="portrait"/>
          <w:cols w:equalWidth="0" w:num="2">
            <w:col w:w="2600" w:space="720"/>
            <w:col w:w="8100"/>
          </w:cols>
          <w:pgMar w:left="240" w:top="582" w:right="239" w:bottom="1440" w:gutter="0" w:footer="0" w:header="0"/>
          <w:type w:val="continuous"/>
        </w:sectPr>
      </w:pP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[USD][HKD][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1280" w:space="200"/>
            <w:col w:w="1160" w:space="380"/>
            <w:col w:w="8400"/>
          </w:cols>
          <w:pgMar w:left="240" w:top="582" w:right="239" w:bottom="1440" w:gutter="0" w:footer="0" w:header="0"/>
          <w:type w:val="continuous"/>
        </w:sectPr>
      </w:pPr>
    </w:p>
    <w:p>
      <w:pPr>
        <w:spacing w:after="0" w:line="29" w:lineRule="exact"/>
        <w:rPr>
          <w:sz w:val="20"/>
          <w:szCs w:val="20"/>
          <w:color w:val="auto"/>
        </w:rPr>
      </w:pPr>
    </w:p>
    <w:p>
      <w:pPr>
        <w:ind w:left="580"/>
        <w:spacing w:after="0"/>
        <w:tabs>
          <w:tab w:leader="none" w:pos="1960" w:val="left"/>
        </w:tabs>
        <w:rPr>
          <w:sz w:val="20"/>
          <w:szCs w:val="20"/>
          <w:color w:val="auto"/>
        </w:rPr>
      </w:pPr>
      <w:r>
        <w:rPr>
          <w:rFonts w:ascii="Arial" w:cs="Arial" w:eastAsia="Arial" w:hAnsi="Arial"/>
          <w:sz w:val="20"/>
          <w:szCs w:val="20"/>
          <w:color w:val="auto"/>
        </w:rPr>
        <w:t>Interest Period:</w:t>
      </w:r>
      <w:r>
        <w:rPr>
          <w:sz w:val="20"/>
          <w:szCs w:val="20"/>
          <w:color w:val="auto"/>
        </w:rPr>
        <w:tab/>
      </w:r>
      <w:r>
        <w:rPr>
          <w:rFonts w:ascii="Arial" w:cs="Arial" w:eastAsia="Arial" w:hAnsi="Arial"/>
          <w:sz w:val="18"/>
          <w:szCs w:val="18"/>
          <w:color w:val="auto"/>
        </w:rPr>
        <w:t>[1, 2, 3 or 6] months</w:t>
      </w:r>
    </w:p>
    <w:p>
      <w:pPr>
        <w:spacing w:after="0" w:line="270" w:lineRule="exact"/>
        <w:rPr>
          <w:sz w:val="20"/>
          <w:szCs w:val="20"/>
          <w:color w:val="auto"/>
        </w:rPr>
      </w:pPr>
    </w:p>
    <w:p>
      <w:pPr>
        <w:ind w:left="560" w:hanging="552"/>
        <w:spacing w:after="0"/>
        <w:tabs>
          <w:tab w:leader="none" w:pos="56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We confirm that:</w:t>
      </w:r>
    </w:p>
    <w:p>
      <w:pPr>
        <w:spacing w:after="0" w:line="134" w:lineRule="exact"/>
        <w:rPr>
          <w:rFonts w:ascii="Arial" w:cs="Arial" w:eastAsia="Arial" w:hAnsi="Arial"/>
          <w:sz w:val="20"/>
          <w:szCs w:val="20"/>
          <w:color w:val="auto"/>
        </w:rPr>
      </w:pPr>
    </w:p>
    <w:p>
      <w:pPr>
        <w:ind w:left="2040" w:hanging="1472"/>
        <w:spacing w:after="0" w:line="317" w:lineRule="auto"/>
        <w:rPr>
          <w:rFonts w:ascii="Arial" w:cs="Arial" w:eastAsia="Arial" w:hAnsi="Arial"/>
          <w:sz w:val="20"/>
          <w:szCs w:val="20"/>
          <w:color w:val="auto"/>
        </w:rPr>
      </w:pPr>
      <w:r>
        <w:rPr>
          <w:rFonts w:ascii="Arial" w:cs="Arial" w:eastAsia="Arial" w:hAnsi="Arial"/>
          <w:sz w:val="20"/>
          <w:szCs w:val="20"/>
          <w:color w:val="auto"/>
        </w:rPr>
        <w:t>(a)each condition specified in Clause 5.2 (</w:t>
      </w:r>
      <w:r>
        <w:rPr>
          <w:rFonts w:ascii="Arial" w:cs="Arial" w:eastAsia="Arial" w:hAnsi="Arial"/>
          <w:sz w:val="20"/>
          <w:szCs w:val="20"/>
          <w:i w:val="1"/>
          <w:iCs w:val="1"/>
          <w:color w:val="auto"/>
        </w:rPr>
        <w:t>Further conditions precedent</w:t>
      </w:r>
      <w:r>
        <w:rPr>
          <w:rFonts w:ascii="Arial" w:cs="Arial" w:eastAsia="Arial" w:hAnsi="Arial"/>
          <w:sz w:val="20"/>
          <w:szCs w:val="20"/>
          <w:color w:val="auto"/>
        </w:rPr>
        <w:t>) of the Agreement is satisfied on the date of this Advance Request;</w:t>
      </w:r>
    </w:p>
    <w:p>
      <w:pPr>
        <w:spacing w:after="0" w:line="135" w:lineRule="exact"/>
        <w:rPr>
          <w:rFonts w:ascii="Arial" w:cs="Arial" w:eastAsia="Arial" w:hAnsi="Arial"/>
          <w:sz w:val="20"/>
          <w:szCs w:val="20"/>
          <w:color w:val="auto"/>
        </w:rPr>
      </w:pPr>
    </w:p>
    <w:p>
      <w:pPr>
        <w:ind w:left="2040" w:hanging="1486"/>
        <w:spacing w:after="0" w:line="317" w:lineRule="auto"/>
        <w:rPr>
          <w:rFonts w:ascii="Arial" w:cs="Arial" w:eastAsia="Arial" w:hAnsi="Arial"/>
          <w:sz w:val="20"/>
          <w:szCs w:val="20"/>
          <w:color w:val="auto"/>
        </w:rPr>
      </w:pPr>
      <w:r>
        <w:rPr>
          <w:rFonts w:ascii="Arial" w:cs="Arial" w:eastAsia="Arial" w:hAnsi="Arial"/>
          <w:sz w:val="20"/>
          <w:szCs w:val="20"/>
          <w:color w:val="auto"/>
        </w:rPr>
        <w:t>(b)the Revolving Credit Facility Advance complies with the permitted use of the Revolving Credit Facilities under the Revolving Credit Facility Agreement and clause 5 (</w:t>
      </w:r>
      <w:r>
        <w:rPr>
          <w:rFonts w:ascii="Arial" w:cs="Arial" w:eastAsia="Arial" w:hAnsi="Arial"/>
          <w:sz w:val="20"/>
          <w:szCs w:val="20"/>
          <w:i w:val="1"/>
          <w:iCs w:val="1"/>
          <w:color w:val="auto"/>
        </w:rPr>
        <w:t>Purpose</w:t>
      </w:r>
      <w:r>
        <w:rPr>
          <w:rFonts w:ascii="Arial" w:cs="Arial" w:eastAsia="Arial" w:hAnsi="Arial"/>
          <w:sz w:val="20"/>
          <w:szCs w:val="20"/>
          <w:color w:val="auto"/>
        </w:rPr>
        <w:t>) of the Common Terms Agreement; and</w:t>
      </w:r>
    </w:p>
    <w:p>
      <w:pPr>
        <w:spacing w:after="0" w:line="135" w:lineRule="exact"/>
        <w:rPr>
          <w:rFonts w:ascii="Arial" w:cs="Arial" w:eastAsia="Arial" w:hAnsi="Arial"/>
          <w:sz w:val="20"/>
          <w:szCs w:val="20"/>
          <w:color w:val="auto"/>
        </w:rPr>
      </w:pPr>
    </w:p>
    <w:p>
      <w:pPr>
        <w:ind w:left="2040" w:right="20" w:hanging="1472"/>
        <w:spacing w:after="0" w:line="317" w:lineRule="auto"/>
        <w:rPr>
          <w:rFonts w:ascii="Arial" w:cs="Arial" w:eastAsia="Arial" w:hAnsi="Arial"/>
          <w:sz w:val="20"/>
          <w:szCs w:val="20"/>
          <w:color w:val="auto"/>
        </w:rPr>
      </w:pPr>
      <w:r>
        <w:rPr>
          <w:rFonts w:ascii="Arial" w:cs="Arial" w:eastAsia="Arial" w:hAnsi="Arial"/>
          <w:sz w:val="20"/>
          <w:szCs w:val="20"/>
          <w:color w:val="auto"/>
        </w:rPr>
        <w:t>(c)since the Fifth Amendment Effective Date, no Material Adverse Effect has occurred and is continuing nor could reasonably be expected to occur.</w:t>
      </w:r>
    </w:p>
    <w:p>
      <w:pPr>
        <w:spacing w:after="0" w:line="175" w:lineRule="exact"/>
        <w:rPr>
          <w:rFonts w:ascii="Arial" w:cs="Arial" w:eastAsia="Arial" w:hAnsi="Arial"/>
          <w:sz w:val="20"/>
          <w:szCs w:val="20"/>
          <w:color w:val="auto"/>
        </w:rPr>
      </w:pPr>
    </w:p>
    <w:p>
      <w:pPr>
        <w:ind w:left="560" w:hanging="552"/>
        <w:spacing w:after="0" w:line="317" w:lineRule="auto"/>
        <w:tabs>
          <w:tab w:leader="none" w:pos="56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We attach signed but undated receipts for the Revolving Credit Facility Advance requested above and hereby authorise the Revolving Credit Facility Agent to date such receipts on the date such Revolving Credit Facility Advances are made.</w:t>
      </w:r>
    </w:p>
    <w:p>
      <w:pPr>
        <w:spacing w:after="0" w:line="176" w:lineRule="exact"/>
        <w:rPr>
          <w:sz w:val="20"/>
          <w:szCs w:val="20"/>
          <w:color w:val="auto"/>
        </w:rPr>
      </w:pPr>
    </w:p>
    <w:p>
      <w:pPr>
        <w:spacing w:after="0"/>
        <w:tabs>
          <w:tab w:leader="none" w:pos="540" w:val="left"/>
          <w:tab w:leader="none" w:pos="74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The proceeds of the above Revolving Credit Facility Advance should be credited to [</w:t>
      </w:r>
      <w:r>
        <w:rPr>
          <w:sz w:val="20"/>
          <w:szCs w:val="20"/>
          <w:color w:val="auto"/>
        </w:rPr>
        <w:tab/>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Responsible Officer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(Macau) S.A.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Attachments: Receipts for the Revolving Credit Facility Advance</w:t>
      </w:r>
    </w:p>
    <w:p>
      <w:pPr>
        <w:sectPr>
          <w:pgSz w:w="11900" w:h="16838" w:orient="portrait"/>
          <w:cols w:equalWidth="0" w:num="1">
            <w:col w:w="11420"/>
          </w:cols>
          <w:pgMar w:left="240" w:top="582" w:right="239" w:bottom="1440" w:gutter="0" w:footer="0" w:header="0"/>
          <w:type w:val="continuous"/>
        </w:sectPr>
      </w:pPr>
    </w:p>
    <w:bookmarkStart w:id="336" w:name="page337"/>
    <w:bookmarkEnd w:id="336"/>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FIRST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First Amendment to Credit Agreement, dated as of November 5, 2015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and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reference is hereby made to the Credit Agreement, dated as of November 20, 2014 (as it may be amended,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replaced, supplemented or otherwise modified and in effect immediately prior to giving effect to the amendments contemplated by this Agreement,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the Existing Credit Agreement as modified by this Agreement, the “</w:t>
      </w:r>
      <w:r>
        <w:rPr>
          <w:rFonts w:ascii="Arial" w:cs="Arial" w:eastAsia="Arial" w:hAnsi="Arial"/>
          <w:sz w:val="19"/>
          <w:szCs w:val="19"/>
          <w:b w:val="1"/>
          <w:bCs w:val="1"/>
          <w:color w:val="auto"/>
        </w:rPr>
        <w:t>Amended 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capitalized terms defined in the Amended Credit Agreement and not otherwise defined herein being used herein as therein</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among Borrower, the Guarantors party thereto, the Lenders party thereto from time to time, the L/C Lenders party thereto from time to time, Administrative Agent, Collateral Agent and the other parties thereto;</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Consenting Lenders (as defined below) holding Term Facility Commitments (as defined under the Existing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have agreed to extend the Term Facility Availability Period (as defined under the Existing Credit Agreement) applicable to their respective Term Facility Commitments (as defined under the Existing Credit Agreement) on the terms and subject to the conditions set forth in this Agreement; and</w:t>
      </w:r>
    </w:p>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Borrower, the Guarantors, the Consenting Lenders, Administrative Agent and Collateral Agent will make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the Existing Credit Agreement and the other Credit Documents (as defined in the Existing Credit Agreement) as set forth herein;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Consent of Required Lenders</w:t>
      </w:r>
      <w:r>
        <w:rPr>
          <w:rFonts w:ascii="Arial" w:cs="Arial" w:eastAsia="Arial" w:hAnsi="Arial"/>
          <w:sz w:val="16"/>
          <w:szCs w:val="16"/>
          <w:color w:val="auto"/>
        </w:rPr>
        <w:t>.</w:t>
      </w:r>
    </w:p>
    <w:p>
      <w:pPr>
        <w:spacing w:after="0" w:line="200" w:lineRule="exact"/>
        <w:rPr>
          <w:sz w:val="20"/>
          <w:szCs w:val="20"/>
          <w:color w:val="auto"/>
        </w:rPr>
      </w:pPr>
    </w:p>
    <w:p>
      <w:pPr>
        <w:spacing w:after="0" w:line="259" w:lineRule="exact"/>
        <w:rPr>
          <w:sz w:val="20"/>
          <w:szCs w:val="20"/>
          <w:color w:val="auto"/>
        </w:rPr>
      </w:pPr>
    </w:p>
    <w:p>
      <w:pPr>
        <w:jc w:val="both"/>
        <w:ind w:left="660" w:firstLine="645"/>
        <w:spacing w:after="0" w:line="293" w:lineRule="auto"/>
        <w:tabs>
          <w:tab w:leader="none" w:pos="2176"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Each Lender under the Existing Credit Agreement that executes and delivers a lender agreement and consent in substantially the form attached hereto as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 “</w:t>
      </w:r>
      <w:r>
        <w:rPr>
          <w:rFonts w:ascii="Arial" w:cs="Arial" w:eastAsia="Arial" w:hAnsi="Arial"/>
          <w:sz w:val="19"/>
          <w:szCs w:val="19"/>
          <w:b w:val="1"/>
          <w:bCs w:val="1"/>
          <w:color w:val="auto"/>
        </w:rPr>
        <w:t>Consenting Lender Agreement</w:t>
      </w:r>
      <w:r>
        <w:rPr>
          <w:rFonts w:ascii="Arial" w:cs="Arial" w:eastAsia="Arial" w:hAnsi="Arial"/>
          <w:sz w:val="19"/>
          <w:szCs w:val="19"/>
          <w:color w:val="auto"/>
        </w:rPr>
        <w:t>”) (each, a “</w:t>
      </w:r>
      <w:r>
        <w:rPr>
          <w:rFonts w:ascii="Arial" w:cs="Arial" w:eastAsia="Arial" w:hAnsi="Arial"/>
          <w:sz w:val="19"/>
          <w:szCs w:val="19"/>
          <w:b w:val="1"/>
          <w:bCs w:val="1"/>
          <w:color w:val="auto"/>
        </w:rPr>
        <w:t>Consenting Lender</w:t>
      </w:r>
      <w:r>
        <w:rPr>
          <w:rFonts w:ascii="Arial" w:cs="Arial" w:eastAsia="Arial" w:hAnsi="Arial"/>
          <w:sz w:val="19"/>
          <w:szCs w:val="19"/>
          <w:color w:val="auto"/>
        </w:rPr>
        <w:t>” and, together, the “</w:t>
      </w:r>
      <w:r>
        <w:rPr>
          <w:rFonts w:ascii="Arial" w:cs="Arial" w:eastAsia="Arial" w:hAnsi="Arial"/>
          <w:sz w:val="19"/>
          <w:szCs w:val="19"/>
          <w:b w:val="1"/>
          <w:bCs w:val="1"/>
          <w:color w:val="auto"/>
        </w:rPr>
        <w:t>Consenting Lenders</w:t>
      </w:r>
      <w:r>
        <w:rPr>
          <w:rFonts w:ascii="Arial" w:cs="Arial" w:eastAsia="Arial" w:hAnsi="Arial"/>
          <w:sz w:val="19"/>
          <w:szCs w:val="19"/>
          <w:color w:val="auto"/>
        </w:rPr>
        <w:t>”) thereby irrevocably agrees to the amendments to, and waivers and consents under, the Existing Credit Agreement provided for herein with respect to all of such Consenting Lender’s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LA\4299489.6</w:t>
      </w:r>
    </w:p>
    <w:p>
      <w:pPr>
        <w:sectPr>
          <w:pgSz w:w="11900" w:h="16838" w:orient="portrait"/>
          <w:cols w:equalWidth="0" w:num="1">
            <w:col w:w="11420"/>
          </w:cols>
          <w:pgMar w:left="240" w:top="576" w:right="239" w:bottom="1440" w:gutter="0" w:footer="0" w:header="0"/>
        </w:sectPr>
      </w:pPr>
    </w:p>
    <w:bookmarkStart w:id="337" w:name="page338"/>
    <w:bookmarkEnd w:id="337"/>
    <w:p>
      <w:pPr>
        <w:jc w:val="both"/>
        <w:ind w:left="660"/>
        <w:spacing w:after="0" w:line="314" w:lineRule="auto"/>
        <w:rPr>
          <w:sz w:val="20"/>
          <w:szCs w:val="20"/>
          <w:color w:val="auto"/>
        </w:rPr>
      </w:pPr>
      <w:r>
        <w:rPr>
          <w:rFonts w:ascii="Arial" w:cs="Arial" w:eastAsia="Arial" w:hAnsi="Arial"/>
          <w:sz w:val="18"/>
          <w:szCs w:val="18"/>
          <w:color w:val="auto"/>
        </w:rPr>
        <w:t>Commitments and, in the case of each Consenting Lender that is a Term Facility Lender, agrees that the Term Facility Availability Period with respect to such Term Facility Lender’s Term Facility Commitments as in effect immediately prior to the Agreement Effective Date (as defined below) shall be as set forth in its Consenting Lender Agreement. Such agreement shall be irrevocably binding on any subsequent assignees, transferees, participants, successors and assigns with respect to such Loans and Commitments.</w:t>
      </w:r>
    </w:p>
    <w:p>
      <w:pPr>
        <w:spacing w:after="0" w:line="375" w:lineRule="exact"/>
        <w:rPr>
          <w:sz w:val="20"/>
          <w:szCs w:val="20"/>
          <w:color w:val="auto"/>
        </w:rPr>
      </w:pPr>
    </w:p>
    <w:p>
      <w:pPr>
        <w:jc w:val="both"/>
        <w:ind w:left="660" w:firstLine="645"/>
        <w:spacing w:after="0" w:line="278" w:lineRule="auto"/>
        <w:tabs>
          <w:tab w:leader="none" w:pos="2187" w:val="left"/>
        </w:tabs>
        <w:numPr>
          <w:ilvl w:val="0"/>
          <w:numId w:val="441"/>
        </w:numPr>
        <w:rPr>
          <w:rFonts w:ascii="Arial" w:cs="Arial" w:eastAsia="Arial" w:hAnsi="Arial"/>
          <w:sz w:val="20"/>
          <w:szCs w:val="20"/>
          <w:color w:val="auto"/>
        </w:rPr>
      </w:pPr>
      <w:r>
        <w:rPr>
          <w:rFonts w:ascii="Arial" w:cs="Arial" w:eastAsia="Arial" w:hAnsi="Arial"/>
          <w:sz w:val="20"/>
          <w:szCs w:val="20"/>
          <w:color w:val="auto"/>
        </w:rPr>
        <w:t>Each Consenting Lender Agreement shall be subject to the terms and conditions of this Agreement and shall be binding upon the Lender party thereto and any successor, participant or assignee of such Lender and may not be revoked or terminated by the Lender party thereto or any such successor, participant or assignee.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 xml:space="preserve">. The terms and provisions of the Existing Credit Agreement are hereby amended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such that all of the newly inserted and underscored provisions and any formatting changes reflected therein shall be deemed inserted or made, as applicable, and all of the stricken provisions shall be deemed to be deleted therefrom, immediately and automatically upon the Agreement Effective Date. Annexes, Schedules and Exhibits to the Credit Agreement shall remain as in effect under the Existing Credit Agreement, except with respect to Exhibits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each of which shall replace the respective Exhibit to the Existing Credit Agreement in its entirety, immediately and automatically upon the Agreement Effective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Lenders party hereto to agree to this Agreement, the Credit Parties represent to Administrative Agent and the Lenders that, as of the Agreement Effective Date: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3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Action; Enforceability</w:t>
      </w:r>
      <w:r>
        <w:rPr>
          <w:rFonts w:ascii="Arial" w:cs="Arial" w:eastAsia="Arial" w:hAnsi="Arial"/>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338" w:name="page339"/>
    <w:bookmarkEnd w:id="338"/>
    <w:p>
      <w:pPr>
        <w:jc w:val="both"/>
        <w:ind w:left="660" w:firstLine="645"/>
        <w:spacing w:after="0" w:line="286" w:lineRule="auto"/>
        <w:tabs>
          <w:tab w:leader="none" w:pos="2176" w:val="left"/>
        </w:tabs>
        <w:numPr>
          <w:ilvl w:val="0"/>
          <w:numId w:val="442"/>
        </w:numPr>
        <w:rPr>
          <w:rFonts w:ascii="Arial" w:cs="Arial" w:eastAsia="Arial" w:hAnsi="Arial"/>
          <w:sz w:val="19"/>
          <w:szCs w:val="19"/>
          <w:color w:val="auto"/>
        </w:rPr>
      </w:pPr>
      <w:r>
        <w:rPr>
          <w:rFonts w:ascii="Arial" w:cs="Arial" w:eastAsia="Arial" w:hAnsi="Arial"/>
          <w:sz w:val="19"/>
          <w:szCs w:val="19"/>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398" w:lineRule="exact"/>
        <w:rPr>
          <w:rFonts w:ascii="Arial" w:cs="Arial" w:eastAsia="Arial" w:hAnsi="Arial"/>
          <w:sz w:val="19"/>
          <w:szCs w:val="19"/>
          <w:color w:val="auto"/>
        </w:rPr>
      </w:pPr>
    </w:p>
    <w:p>
      <w:pPr>
        <w:ind w:left="2180" w:hanging="875"/>
        <w:spacing w:after="0"/>
        <w:tabs>
          <w:tab w:leader="none" w:pos="218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This Agreement and the Amended Credit Agreement shall become effective on the date (the “</w:t>
      </w:r>
      <w:r>
        <w:rPr>
          <w:rFonts w:ascii="Arial" w:cs="Arial" w:eastAsia="Arial" w:hAnsi="Arial"/>
          <w:sz w:val="20"/>
          <w:szCs w:val="20"/>
          <w:b w:val="1"/>
          <w:bCs w:val="1"/>
          <w:color w:val="auto"/>
        </w:rPr>
        <w:t>Agreement Effective Date</w:t>
      </w:r>
      <w:r>
        <w:rPr>
          <w:rFonts w:ascii="Arial" w:cs="Arial" w:eastAsia="Arial" w:hAnsi="Arial"/>
          <w:sz w:val="20"/>
          <w:szCs w:val="20"/>
          <w:color w:val="auto"/>
        </w:rPr>
        <w:t>”) on which each of the following conditions is satisfied or waived:</w:t>
      </w:r>
    </w:p>
    <w:p>
      <w:pPr>
        <w:spacing w:after="0" w:line="39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Administrative Agent shall have received (a) executed counterparts of this Agreement from each Credit Party, Administrative Agent and Collateral Agent and (b) executed Consenting Lender Agreements from Lenders constituting at least the Required Lenders.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No Default or Event of Default; Representations and Warranties True</w:t>
      </w:r>
      <w:r>
        <w:rPr>
          <w:rFonts w:ascii="Arial" w:cs="Arial" w:eastAsia="Arial" w:hAnsi="Arial"/>
          <w:sz w:val="20"/>
          <w:szCs w:val="20"/>
          <w:color w:val="auto"/>
        </w:rPr>
        <w:t>. Both immediately prior to and immediately after giving effect to this Agreement:</w:t>
      </w:r>
    </w:p>
    <w:p>
      <w:pPr>
        <w:spacing w:after="0" w:line="392" w:lineRule="exact"/>
        <w:rPr>
          <w:sz w:val="20"/>
          <w:szCs w:val="20"/>
          <w:color w:val="auto"/>
        </w:rPr>
      </w:pPr>
    </w:p>
    <w:p>
      <w:pPr>
        <w:ind w:left="2220" w:hanging="915"/>
        <w:spacing w:after="0"/>
        <w:tabs>
          <w:tab w:leader="none" w:pos="2220" w:val="left"/>
        </w:tabs>
        <w:numPr>
          <w:ilvl w:val="0"/>
          <w:numId w:val="443"/>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left="660" w:firstLine="645"/>
        <w:spacing w:after="0" w:line="273" w:lineRule="auto"/>
        <w:tabs>
          <w:tab w:leader="none" w:pos="2187" w:val="left"/>
        </w:tabs>
        <w:numPr>
          <w:ilvl w:val="0"/>
          <w:numId w:val="443"/>
        </w:numPr>
        <w:rPr>
          <w:rFonts w:ascii="Arial" w:cs="Arial" w:eastAsia="Arial" w:hAnsi="Arial"/>
          <w:sz w:val="20"/>
          <w:szCs w:val="20"/>
          <w:color w:val="auto"/>
        </w:rPr>
      </w:pPr>
      <w:r>
        <w:rPr>
          <w:rFonts w:ascii="Arial" w:cs="Arial" w:eastAsia="Arial" w:hAnsi="Arial"/>
          <w:sz w:val="20"/>
          <w:szCs w:val="20"/>
          <w:color w:val="auto"/>
        </w:rPr>
        <w:t xml:space="preserve">each of the representations and warranties made by the Credit Parties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Payment of Fees to Consenting Lenders</w:t>
      </w:r>
      <w:r>
        <w:rPr>
          <w:rFonts w:ascii="Arial" w:cs="Arial" w:eastAsia="Arial" w:hAnsi="Arial"/>
          <w:sz w:val="19"/>
          <w:szCs w:val="19"/>
          <w:color w:val="auto"/>
        </w:rPr>
        <w:t>. Borrower shall have paid to Administrative Agent, for the account of each Term Facility Lender under the Existing Credit Agreement that has executed a Consenting Lender Agreement prior to 5:00 p.m., New York time on November 5, 2015, a consent fee equal to (a) for each Term Facility Lender electing “Extension Option 1” in its Consenting Lender Agreement, 0.125% and (b) for each Term Facility Lender electing “Extension Option 2” in its Consenting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5" w:right="239" w:bottom="1440" w:gutter="0" w:footer="0" w:header="0"/>
        </w:sectPr>
      </w:pPr>
    </w:p>
    <w:bookmarkStart w:id="339" w:name="page340"/>
    <w:bookmarkEnd w:id="339"/>
    <w:p>
      <w:pPr>
        <w:jc w:val="center"/>
        <w:ind w:right="140"/>
        <w:spacing w:after="0"/>
        <w:rPr>
          <w:sz w:val="20"/>
          <w:szCs w:val="20"/>
          <w:color w:val="auto"/>
        </w:rPr>
      </w:pPr>
      <w:r>
        <w:rPr>
          <w:rFonts w:ascii="Arial" w:cs="Arial" w:eastAsia="Arial" w:hAnsi="Arial"/>
          <w:sz w:val="16"/>
          <w:szCs w:val="16"/>
          <w:color w:val="auto"/>
        </w:rPr>
        <w:t>Agreement, 0.250%, in each case, of the amount of such Lender’s commitments under the Term Facilities as of the Agreement Effective Date.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Validity of Obligations</w:t>
      </w:r>
      <w:r>
        <w:rPr>
          <w:rFonts w:ascii="Arial" w:cs="Arial" w:eastAsia="Arial" w:hAnsi="Arial"/>
          <w:sz w:val="20"/>
          <w:szCs w:val="20"/>
          <w:color w:val="auto"/>
        </w:rPr>
        <w:t>. Each Credit Party hereby ratifies and reaffirms the validity, enforceability and 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900" w:type="dxa"/>
            <w:vAlign w:val="bottom"/>
          </w:tcPr>
          <w:p>
            <w:pPr>
              <w:jc w:val="center"/>
              <w:ind w:right="3401"/>
              <w:spacing w:after="0"/>
              <w:rPr>
                <w:sz w:val="20"/>
                <w:szCs w:val="20"/>
                <w:color w:val="auto"/>
              </w:rPr>
            </w:pPr>
            <w:r>
              <w:rPr>
                <w:rFonts w:ascii="Arial" w:cs="Arial" w:eastAsia="Arial" w:hAnsi="Arial"/>
                <w:sz w:val="20"/>
                <w:szCs w:val="20"/>
                <w:b w:val="1"/>
                <w:bCs w:val="1"/>
                <w:color w:val="auto"/>
              </w:rPr>
              <w:t>ARTICLE V</w:t>
            </w:r>
          </w:p>
        </w:tc>
      </w:tr>
      <w:tr>
        <w:trPr>
          <w:trHeight w:val="446"/>
        </w:trPr>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00" w:type="dxa"/>
            <w:vAlign w:val="bottom"/>
          </w:tcPr>
          <w:p>
            <w:pPr>
              <w:jc w:val="center"/>
              <w:ind w:right="3421"/>
              <w:spacing w:after="0"/>
              <w:rPr>
                <w:sz w:val="20"/>
                <w:szCs w:val="20"/>
                <w:color w:val="auto"/>
              </w:rPr>
            </w:pPr>
            <w:r>
              <w:rPr>
                <w:rFonts w:ascii="Arial" w:cs="Arial" w:eastAsia="Arial" w:hAnsi="Arial"/>
                <w:sz w:val="20"/>
                <w:szCs w:val="20"/>
                <w:b w:val="1"/>
                <w:bCs w:val="1"/>
                <w:color w:val="auto"/>
              </w:rPr>
              <w:t>MISCELLANEOUS</w:t>
            </w:r>
          </w:p>
        </w:tc>
      </w:tr>
      <w:tr>
        <w:trPr>
          <w:trHeight w:val="631"/>
        </w:trPr>
        <w:tc>
          <w:tcPr>
            <w:tcW w:w="2980" w:type="dxa"/>
            <w:vAlign w:val="bottom"/>
          </w:tcPr>
          <w:p>
            <w:pPr>
              <w:ind w:left="660"/>
              <w:spacing w:after="0"/>
              <w:rPr>
                <w:sz w:val="20"/>
                <w:szCs w:val="20"/>
                <w:color w:val="auto"/>
              </w:rPr>
            </w:pPr>
            <w:r>
              <w:rPr>
                <w:rFonts w:ascii="Arial" w:cs="Arial" w:eastAsia="Arial" w:hAnsi="Arial"/>
                <w:sz w:val="20"/>
                <w:szCs w:val="20"/>
                <w:color w:val="auto"/>
              </w:rPr>
              <w:t>SECTION 1.</w:t>
            </w:r>
          </w:p>
        </w:tc>
        <w:tc>
          <w:tcPr>
            <w:tcW w:w="8440" w:type="dxa"/>
            <w:vAlign w:val="bottom"/>
            <w:gridSpan w:val="2"/>
          </w:tcPr>
          <w:p>
            <w:pPr>
              <w:spacing w:after="0"/>
              <w:rPr>
                <w:sz w:val="20"/>
                <w:szCs w:val="20"/>
                <w:color w:val="auto"/>
              </w:rPr>
            </w:pPr>
            <w:r>
              <w:rPr>
                <w:rFonts w:ascii="Arial" w:cs="Arial" w:eastAsia="Arial" w:hAnsi="Arial"/>
                <w:sz w:val="20"/>
                <w:szCs w:val="20"/>
                <w:color w:val="auto"/>
                <w:w w:val="89"/>
              </w:rPr>
              <w:t>Notice. For purposes of this Agreement, the notice address of each party hereto shall be as set forth in the</w:t>
            </w:r>
          </w:p>
        </w:tc>
      </w:tr>
      <w:tr>
        <w:trPr>
          <w:trHeight w:val="281"/>
        </w:trPr>
        <w:tc>
          <w:tcPr>
            <w:tcW w:w="2980" w:type="dxa"/>
            <w:vAlign w:val="bottom"/>
          </w:tcPr>
          <w:p>
            <w:pPr>
              <w:spacing w:after="0"/>
              <w:rPr>
                <w:sz w:val="20"/>
                <w:szCs w:val="20"/>
                <w:color w:val="auto"/>
              </w:rPr>
            </w:pPr>
            <w:r>
              <w:rPr>
                <w:rFonts w:ascii="Arial" w:cs="Arial" w:eastAsia="Arial" w:hAnsi="Arial"/>
                <w:sz w:val="20"/>
                <w:szCs w:val="20"/>
                <w:color w:val="auto"/>
              </w:rPr>
              <w:t>Existing Credit Agreement.</w:t>
            </w:r>
          </w:p>
        </w:tc>
        <w:tc>
          <w:tcPr>
            <w:tcW w:w="540" w:type="dxa"/>
            <w:vAlign w:val="bottom"/>
            <w:tcBorders>
              <w:top w:val="single" w:sz="8" w:color="auto"/>
            </w:tcBorders>
          </w:tcPr>
          <w:p>
            <w:pPr>
              <w:spacing w:after="0"/>
              <w:rPr>
                <w:sz w:val="24"/>
                <w:szCs w:val="24"/>
                <w:color w:val="auto"/>
              </w:rPr>
            </w:pPr>
          </w:p>
        </w:tc>
        <w:tc>
          <w:tcPr>
            <w:tcW w:w="790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Amended Credit Agreement and the other Credit Documents and the Consenting Lender Agreements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6" w:right="239" w:bottom="1440" w:gutter="0" w:footer="0" w:header="0"/>
        </w:sectPr>
      </w:pPr>
    </w:p>
    <w:bookmarkStart w:id="340" w:name="page341"/>
    <w:bookmarkEnd w:id="340"/>
    <w:p>
      <w:pPr>
        <w:jc w:val="both"/>
        <w:ind w:firstLine="648"/>
        <w:spacing w:after="0" w:line="27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AGREES THAT SECTION 13.09(b) OF THE EXISTING CREDIT AGREEMENT (OR, AFTER GIVING EFFECT TO THE AMENDMENTS CONTEMPLATED HEREBY, THE AMENDED CREDIT AGREEMENT) SHALL APPLY TO THIS AGREEMENT MUTATIS MUTANDIS.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200" w:lineRule="exact"/>
        <w:rPr>
          <w:sz w:val="20"/>
          <w:szCs w:val="20"/>
          <w:color w:val="auto"/>
        </w:rPr>
      </w:pPr>
    </w:p>
    <w:p>
      <w:pPr>
        <w:spacing w:after="0" w:line="20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Credit Document</w:t>
      </w:r>
      <w:r>
        <w:rPr>
          <w:rFonts w:ascii="Arial" w:cs="Arial" w:eastAsia="Arial" w:hAnsi="Arial"/>
          <w:sz w:val="20"/>
          <w:szCs w:val="20"/>
          <w:color w:val="auto"/>
        </w:rPr>
        <w:t>. This Agreement shall constitute a “Credit Document” as defined in the Existing Credit Agreement.</w:t>
      </w:r>
    </w:p>
    <w:p>
      <w:pPr>
        <w:spacing w:after="0" w:line="3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95" w:right="239" w:bottom="1440" w:gutter="0" w:footer="0" w:header="0"/>
        </w:sectPr>
      </w:pPr>
    </w:p>
    <w:bookmarkStart w:id="341" w:name="page342"/>
    <w:bookmarkEnd w:id="34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WYNN AMERICA, LLC,</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 Nevada limited liability company,</w:t>
      </w:r>
    </w:p>
    <w:p>
      <w:pPr>
        <w:ind w:left="358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Nevada corporation,</w:t>
      </w:r>
    </w:p>
    <w:p>
      <w:pPr>
        <w:ind w:left="45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381" w:lineRule="exact"/>
        <w:rPr>
          <w:sz w:val="20"/>
          <w:szCs w:val="20"/>
          <w:color w:val="auto"/>
        </w:rPr>
      </w:pPr>
    </w:p>
    <w:tbl>
      <w:tblPr>
        <w:tblLayout w:type="fixed"/>
        <w:tblInd w:w="3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0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20"/>
                <w:szCs w:val="20"/>
                <w:color w:val="auto"/>
              </w:rPr>
              <w:t>/s/ Stephen Cootey</w:t>
            </w: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8"/>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2880" w:type="dxa"/>
            <w:vAlign w:val="bottom"/>
            <w:gridSpan w:val="3"/>
          </w:tcPr>
          <w:p>
            <w:pPr>
              <w:ind w:left="260"/>
              <w:spacing w:after="0"/>
              <w:rPr>
                <w:sz w:val="20"/>
                <w:szCs w:val="20"/>
                <w:color w:val="auto"/>
              </w:rPr>
            </w:pPr>
            <w:r>
              <w:rPr>
                <w:rFonts w:ascii="Arial" w:cs="Arial" w:eastAsia="Arial" w:hAnsi="Arial"/>
                <w:sz w:val="20"/>
                <w:szCs w:val="20"/>
                <w:color w:val="auto"/>
              </w:rPr>
              <w:t>Stephen Cootey</w:t>
            </w:r>
          </w:p>
        </w:tc>
      </w:tr>
      <w:tr>
        <w:trPr>
          <w:trHeight w:val="263"/>
        </w:trPr>
        <w:tc>
          <w:tcPr>
            <w:tcW w:w="780" w:type="dxa"/>
            <w:vAlign w:val="bottom"/>
          </w:tcPr>
          <w:p>
            <w:pPr>
              <w:spacing w:after="0"/>
              <w:rPr>
                <w:sz w:val="22"/>
                <w:szCs w:val="22"/>
                <w:color w:val="auto"/>
              </w:rPr>
            </w:pPr>
          </w:p>
        </w:tc>
        <w:tc>
          <w:tcPr>
            <w:tcW w:w="2880" w:type="dxa"/>
            <w:vAlign w:val="bottom"/>
            <w:gridSpan w:val="3"/>
          </w:tcPr>
          <w:p>
            <w:pPr>
              <w:ind w:left="260"/>
              <w:spacing w:after="0"/>
              <w:rPr>
                <w:sz w:val="20"/>
                <w:szCs w:val="20"/>
                <w:color w:val="auto"/>
              </w:rPr>
            </w:pPr>
            <w:r>
              <w:rPr>
                <w:rFonts w:ascii="Arial" w:cs="Arial" w:eastAsia="Arial" w:hAnsi="Arial"/>
                <w:sz w:val="20"/>
                <w:szCs w:val="20"/>
                <w:color w:val="auto"/>
                <w:w w:val="90"/>
              </w:rPr>
              <w:t>Chief Financial Officer, SVP and</w:t>
            </w:r>
          </w:p>
        </w:tc>
      </w:t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2880" w:type="dxa"/>
            <w:vAlign w:val="bottom"/>
            <w:gridSpan w:val="3"/>
          </w:tcPr>
          <w:p>
            <w:pPr>
              <w:ind w:left="260"/>
              <w:spacing w:after="0"/>
              <w:rPr>
                <w:sz w:val="20"/>
                <w:szCs w:val="20"/>
                <w:color w:val="auto"/>
              </w:rPr>
            </w:pPr>
            <w:r>
              <w:rPr>
                <w:rFonts w:ascii="Arial" w:cs="Arial" w:eastAsia="Arial" w:hAnsi="Arial"/>
                <w:sz w:val="20"/>
                <w:szCs w:val="20"/>
                <w:color w:val="auto"/>
              </w:rPr>
              <w:t>Treasurer</w:t>
            </w:r>
          </w:p>
        </w:tc>
      </w:tr>
      <w:tr>
        <w:trPr>
          <w:trHeight w:val="729"/>
        </w:trPr>
        <w:tc>
          <w:tcPr>
            <w:tcW w:w="780" w:type="dxa"/>
            <w:vAlign w:val="bottom"/>
          </w:tcPr>
          <w:p>
            <w:pPr>
              <w:spacing w:after="0"/>
              <w:rPr>
                <w:sz w:val="24"/>
                <w:szCs w:val="24"/>
                <w:color w:val="auto"/>
              </w:rPr>
            </w:pPr>
          </w:p>
        </w:tc>
        <w:tc>
          <w:tcPr>
            <w:tcW w:w="1800" w:type="dxa"/>
            <w:vAlign w:val="bottom"/>
            <w:gridSpan w:val="2"/>
          </w:tcPr>
          <w:p>
            <w:pPr>
              <w:jc w:val="right"/>
              <w:ind w:right="481"/>
              <w:spacing w:after="0"/>
              <w:rPr>
                <w:sz w:val="20"/>
                <w:szCs w:val="20"/>
                <w:color w:val="auto"/>
              </w:rPr>
            </w:pPr>
            <w:r>
              <w:rPr>
                <w:rFonts w:ascii="Arial" w:cs="Arial" w:eastAsia="Arial" w:hAnsi="Arial"/>
                <w:sz w:val="20"/>
                <w:szCs w:val="20"/>
                <w:color w:val="auto"/>
              </w:rPr>
              <w:t>6</w:t>
            </w: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42" w:name="page343"/>
    <w:bookmarkEnd w:id="342"/>
    <w:p>
      <w:pPr>
        <w:ind w:left="23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5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limited liability company,</w:t>
      </w: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tbl>
      <w:tblPr>
        <w:tblLayout w:type="fixed"/>
        <w:tblInd w:w="256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40" w:type="dxa"/>
            <w:vAlign w:val="bottom"/>
            <w:gridSpan w:val="2"/>
          </w:tcPr>
          <w:p>
            <w:pPr>
              <w:ind w:left="320"/>
              <w:spacing w:after="0"/>
              <w:rPr>
                <w:sz w:val="20"/>
                <w:szCs w:val="20"/>
                <w:color w:val="auto"/>
              </w:rPr>
            </w:pPr>
            <w:r>
              <w:rPr>
                <w:rFonts w:ascii="Arial" w:cs="Arial" w:eastAsia="Arial" w:hAnsi="Arial"/>
                <w:sz w:val="20"/>
                <w:szCs w:val="20"/>
                <w:color w:val="auto"/>
                <w:w w:val="91"/>
              </w:rPr>
              <w:t>a Nevada limited liability company,</w:t>
            </w:r>
          </w:p>
        </w:tc>
      </w:tr>
      <w:tr>
        <w:trPr>
          <w:trHeight w:val="250"/>
        </w:trPr>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40" w:type="dxa"/>
            <w:vAlign w:val="bottom"/>
            <w:gridSpan w:val="2"/>
          </w:tcPr>
          <w:p>
            <w:pPr>
              <w:ind w:left="320"/>
              <w:spacing w:after="0"/>
              <w:rPr>
                <w:sz w:val="20"/>
                <w:szCs w:val="20"/>
                <w:color w:val="auto"/>
              </w:rPr>
            </w:pPr>
            <w:r>
              <w:rPr>
                <w:rFonts w:ascii="Arial" w:cs="Arial" w:eastAsia="Arial" w:hAnsi="Arial"/>
                <w:sz w:val="20"/>
                <w:szCs w:val="20"/>
                <w:color w:val="auto"/>
              </w:rPr>
              <w:t>its sole member</w:t>
            </w:r>
          </w:p>
        </w:tc>
      </w:tr>
      <w:tr>
        <w:trPr>
          <w:trHeight w:val="438"/>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2"/>
          </w:tcPr>
          <w:p>
            <w:pPr>
              <w:ind w:left="320"/>
              <w:spacing w:after="0"/>
              <w:rPr>
                <w:sz w:val="20"/>
                <w:szCs w:val="20"/>
                <w:color w:val="auto"/>
              </w:rPr>
            </w:pPr>
            <w:r>
              <w:rPr>
                <w:rFonts w:ascii="Arial" w:cs="Arial" w:eastAsia="Arial" w:hAnsi="Arial"/>
                <w:sz w:val="20"/>
                <w:szCs w:val="20"/>
                <w:color w:val="auto"/>
              </w:rPr>
              <w:t>By: Wynn Resorts, Limited,</w:t>
            </w:r>
          </w:p>
        </w:tc>
      </w:tr>
      <w:tr>
        <w:trPr>
          <w:trHeight w:val="230"/>
        </w:trPr>
        <w:tc>
          <w:tcPr>
            <w:tcW w:w="660" w:type="dxa"/>
            <w:vAlign w:val="bottom"/>
          </w:tcPr>
          <w:p>
            <w:pPr>
              <w:spacing w:after="0"/>
              <w:rPr>
                <w:sz w:val="19"/>
                <w:szCs w:val="19"/>
                <w:color w:val="auto"/>
              </w:rPr>
            </w:pPr>
          </w:p>
        </w:tc>
        <w:tc>
          <w:tcPr>
            <w:tcW w:w="3600" w:type="dxa"/>
            <w:vAlign w:val="bottom"/>
            <w:gridSpan w:val="3"/>
          </w:tcPr>
          <w:p>
            <w:pPr>
              <w:ind w:left="380"/>
              <w:spacing w:after="0"/>
              <w:rPr>
                <w:sz w:val="20"/>
                <w:szCs w:val="20"/>
                <w:color w:val="auto"/>
              </w:rPr>
            </w:pPr>
            <w:r>
              <w:rPr>
                <w:rFonts w:ascii="Arial" w:cs="Arial" w:eastAsia="Arial" w:hAnsi="Arial"/>
                <w:sz w:val="20"/>
                <w:szCs w:val="20"/>
                <w:color w:val="auto"/>
              </w:rPr>
              <w:t>a Nevada corporation,</w:t>
            </w:r>
          </w:p>
        </w:tc>
      </w:tr>
      <w:tr>
        <w:trPr>
          <w:trHeight w:val="250"/>
        </w:trPr>
        <w:tc>
          <w:tcPr>
            <w:tcW w:w="660" w:type="dxa"/>
            <w:vAlign w:val="bottom"/>
          </w:tcPr>
          <w:p>
            <w:pPr>
              <w:spacing w:after="0"/>
              <w:rPr>
                <w:sz w:val="21"/>
                <w:szCs w:val="21"/>
                <w:color w:val="auto"/>
              </w:rPr>
            </w:pPr>
          </w:p>
        </w:tc>
        <w:tc>
          <w:tcPr>
            <w:tcW w:w="3600" w:type="dxa"/>
            <w:vAlign w:val="bottom"/>
            <w:gridSpan w:val="3"/>
          </w:tcPr>
          <w:p>
            <w:pPr>
              <w:ind w:left="120"/>
              <w:spacing w:after="0"/>
              <w:rPr>
                <w:sz w:val="20"/>
                <w:szCs w:val="20"/>
                <w:color w:val="auto"/>
              </w:rPr>
            </w:pPr>
            <w:r>
              <w:rPr>
                <w:rFonts w:ascii="Arial" w:cs="Arial" w:eastAsia="Arial" w:hAnsi="Arial"/>
                <w:sz w:val="20"/>
                <w:szCs w:val="20"/>
                <w:color w:val="auto"/>
              </w:rPr>
              <w:t>its sole member</w:t>
            </w:r>
          </w:p>
        </w:tc>
      </w:tr>
      <w:tr>
        <w:trPr>
          <w:trHeight w:val="806"/>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6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20"/>
                <w:szCs w:val="20"/>
                <w:color w:val="auto"/>
              </w:rPr>
              <w:t>/s/ Stephen Cootey</w:t>
            </w:r>
          </w:p>
        </w:tc>
      </w:tr>
      <w:tr>
        <w:trPr>
          <w:trHeight w:val="20"/>
        </w:trPr>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8"/>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3600" w:type="dxa"/>
            <w:vAlign w:val="bottom"/>
            <w:gridSpan w:val="3"/>
          </w:tcPr>
          <w:p>
            <w:pPr>
              <w:ind w:left="420"/>
              <w:spacing w:after="0"/>
              <w:rPr>
                <w:sz w:val="20"/>
                <w:szCs w:val="20"/>
                <w:color w:val="auto"/>
              </w:rPr>
            </w:pPr>
            <w:r>
              <w:rPr>
                <w:rFonts w:ascii="Arial" w:cs="Arial" w:eastAsia="Arial" w:hAnsi="Arial"/>
                <w:sz w:val="20"/>
                <w:szCs w:val="20"/>
                <w:color w:val="auto"/>
              </w:rPr>
              <w:t>Stephen Cootey</w:t>
            </w:r>
          </w:p>
        </w:tc>
      </w:tr>
      <w:tr>
        <w:trPr>
          <w:trHeight w:val="263"/>
        </w:trPr>
        <w:tc>
          <w:tcPr>
            <w:tcW w:w="660" w:type="dxa"/>
            <w:vAlign w:val="bottom"/>
          </w:tcPr>
          <w:p>
            <w:pPr>
              <w:spacing w:after="0"/>
              <w:rPr>
                <w:sz w:val="22"/>
                <w:szCs w:val="22"/>
                <w:color w:val="auto"/>
              </w:rPr>
            </w:pPr>
          </w:p>
        </w:tc>
        <w:tc>
          <w:tcPr>
            <w:tcW w:w="3600" w:type="dxa"/>
            <w:vAlign w:val="bottom"/>
            <w:gridSpan w:val="3"/>
          </w:tcPr>
          <w:p>
            <w:pPr>
              <w:ind w:left="420"/>
              <w:spacing w:after="0"/>
              <w:rPr>
                <w:sz w:val="20"/>
                <w:szCs w:val="20"/>
                <w:color w:val="auto"/>
              </w:rPr>
            </w:pPr>
            <w:r>
              <w:rPr>
                <w:rFonts w:ascii="Arial" w:cs="Arial" w:eastAsia="Arial" w:hAnsi="Arial"/>
                <w:sz w:val="20"/>
                <w:szCs w:val="20"/>
                <w:color w:val="auto"/>
              </w:rPr>
              <w:t>Chief Financial Officer, SVP and</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600" w:type="dxa"/>
            <w:vAlign w:val="bottom"/>
            <w:gridSpan w:val="3"/>
          </w:tcPr>
          <w:p>
            <w:pPr>
              <w:ind w:left="4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limited liability company,</w:t>
      </w: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351"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3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20"/>
                <w:szCs w:val="20"/>
                <w:color w:val="auto"/>
              </w:rPr>
              <w:t>/s/ Stephen Cootey</w:t>
            </w: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8"/>
        </w:trPr>
        <w:tc>
          <w:tcPr>
            <w:tcW w:w="800" w:type="dxa"/>
            <w:vAlign w:val="bottom"/>
          </w:tcPr>
          <w:p>
            <w:pPr>
              <w:spacing w:after="0"/>
              <w:rPr>
                <w:sz w:val="20"/>
                <w:szCs w:val="20"/>
                <w:color w:val="auto"/>
              </w:rPr>
            </w:pPr>
            <w:r>
              <w:rPr>
                <w:rFonts w:ascii="Arial" w:cs="Arial" w:eastAsia="Arial" w:hAnsi="Arial"/>
                <w:sz w:val="20"/>
                <w:szCs w:val="20"/>
                <w:color w:val="auto"/>
              </w:rPr>
              <w:t>Name:</w:t>
            </w:r>
          </w:p>
        </w:tc>
        <w:tc>
          <w:tcPr>
            <w:tcW w:w="2900" w:type="dxa"/>
            <w:vAlign w:val="bottom"/>
            <w:gridSpan w:val="3"/>
          </w:tcPr>
          <w:p>
            <w:pPr>
              <w:ind w:left="280"/>
              <w:spacing w:after="0"/>
              <w:rPr>
                <w:sz w:val="20"/>
                <w:szCs w:val="20"/>
                <w:color w:val="auto"/>
              </w:rPr>
            </w:pPr>
            <w:r>
              <w:rPr>
                <w:rFonts w:ascii="Arial" w:cs="Arial" w:eastAsia="Arial" w:hAnsi="Arial"/>
                <w:sz w:val="20"/>
                <w:szCs w:val="20"/>
                <w:color w:val="auto"/>
              </w:rPr>
              <w:t>Stephen Cootey</w:t>
            </w:r>
          </w:p>
        </w:tc>
      </w:tr>
      <w:tr>
        <w:trPr>
          <w:trHeight w:val="263"/>
        </w:trPr>
        <w:tc>
          <w:tcPr>
            <w:tcW w:w="800" w:type="dxa"/>
            <w:vAlign w:val="bottom"/>
          </w:tcPr>
          <w:p>
            <w:pPr>
              <w:spacing w:after="0"/>
              <w:rPr>
                <w:sz w:val="22"/>
                <w:szCs w:val="22"/>
                <w:color w:val="auto"/>
              </w:rPr>
            </w:pPr>
          </w:p>
        </w:tc>
        <w:tc>
          <w:tcPr>
            <w:tcW w:w="2900" w:type="dxa"/>
            <w:vAlign w:val="bottom"/>
            <w:gridSpan w:val="3"/>
          </w:tcPr>
          <w:p>
            <w:pPr>
              <w:ind w:left="280"/>
              <w:spacing w:after="0"/>
              <w:rPr>
                <w:sz w:val="20"/>
                <w:szCs w:val="20"/>
                <w:color w:val="auto"/>
              </w:rPr>
            </w:pPr>
            <w:r>
              <w:rPr>
                <w:rFonts w:ascii="Arial" w:cs="Arial" w:eastAsia="Arial" w:hAnsi="Arial"/>
                <w:sz w:val="20"/>
                <w:szCs w:val="20"/>
                <w:color w:val="auto"/>
                <w:w w:val="90"/>
              </w:rPr>
              <w:t>Chief Financial Officer, SVP and</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2900" w:type="dxa"/>
            <w:vAlign w:val="bottom"/>
            <w:gridSpan w:val="3"/>
          </w:tcPr>
          <w:p>
            <w:pPr>
              <w:ind w:left="280"/>
              <w:spacing w:after="0"/>
              <w:rPr>
                <w:sz w:val="20"/>
                <w:szCs w:val="20"/>
                <w:color w:val="auto"/>
              </w:rPr>
            </w:pPr>
            <w:r>
              <w:rPr>
                <w:rFonts w:ascii="Arial" w:cs="Arial" w:eastAsia="Arial" w:hAnsi="Arial"/>
                <w:sz w:val="20"/>
                <w:szCs w:val="20"/>
                <w:color w:val="auto"/>
              </w:rPr>
              <w:t>Treasurer</w:t>
            </w:r>
          </w:p>
        </w:tc>
      </w:tr>
      <w:tr>
        <w:trPr>
          <w:trHeight w:val="729"/>
        </w:trPr>
        <w:tc>
          <w:tcPr>
            <w:tcW w:w="800" w:type="dxa"/>
            <w:vAlign w:val="bottom"/>
          </w:tcPr>
          <w:p>
            <w:pPr>
              <w:spacing w:after="0"/>
              <w:rPr>
                <w:sz w:val="24"/>
                <w:szCs w:val="24"/>
                <w:color w:val="auto"/>
              </w:rPr>
            </w:pPr>
          </w:p>
        </w:tc>
        <w:tc>
          <w:tcPr>
            <w:tcW w:w="1820" w:type="dxa"/>
            <w:vAlign w:val="bottom"/>
            <w:gridSpan w:val="2"/>
          </w:tcPr>
          <w:p>
            <w:pPr>
              <w:jc w:val="right"/>
              <w:ind w:right="521"/>
              <w:spacing w:after="0"/>
              <w:rPr>
                <w:sz w:val="20"/>
                <w:szCs w:val="20"/>
                <w:color w:val="auto"/>
              </w:rPr>
            </w:pPr>
            <w:r>
              <w:rPr>
                <w:rFonts w:ascii="Arial" w:cs="Arial" w:eastAsia="Arial" w:hAnsi="Arial"/>
                <w:sz w:val="20"/>
                <w:szCs w:val="20"/>
                <w:color w:val="auto"/>
              </w:rPr>
              <w:t>7</w:t>
            </w:r>
          </w:p>
        </w:tc>
        <w:tc>
          <w:tcPr>
            <w:tcW w:w="1080" w:type="dxa"/>
            <w:vAlign w:val="bottom"/>
          </w:tcPr>
          <w:p>
            <w:pPr>
              <w:spacing w:after="0"/>
              <w:rPr>
                <w:sz w:val="24"/>
                <w:szCs w:val="24"/>
                <w:color w:val="auto"/>
              </w:rPr>
            </w:pPr>
          </w:p>
        </w:tc>
      </w:tr>
    </w:tbl>
    <w:p>
      <w:pPr>
        <w:sectPr>
          <w:pgSz w:w="11900" w:h="16838" w:orient="portrait"/>
          <w:cols w:equalWidth="0" w:num="1">
            <w:col w:w="9019"/>
          </w:cols>
          <w:pgMar w:left="1440" w:top="595" w:right="1440" w:bottom="1440" w:gutter="0" w:footer="0" w:header="0"/>
        </w:sectPr>
      </w:pPr>
    </w:p>
    <w:bookmarkStart w:id="343" w:name="page344"/>
    <w:bookmarkEnd w:id="343"/>
    <w:p>
      <w:pPr>
        <w:ind w:left="238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Massachusetts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Wynn Resorts, Limited,</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Stephen Cootey</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Name: Stephen Cootey</w:t>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Chief Financial</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Officer, SVP and</w:t>
      </w:r>
    </w:p>
    <w:p>
      <w:pPr>
        <w:ind w:left="3120"/>
        <w:spacing w:after="0"/>
        <w:tabs>
          <w:tab w:leader="none" w:pos="37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019"/>
          </w:cols>
          <w:pgMar w:left="1440" w:top="819" w:right="1440" w:bottom="1440" w:gutter="0" w:footer="0" w:header="0"/>
        </w:sectPr>
      </w:pPr>
    </w:p>
    <w:bookmarkStart w:id="344" w:name="page345"/>
    <w:bookmarkEnd w:id="344"/>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DEUTSCHE BANK AG NEW YORK BRANCH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as Collateral Agent, with the consent of the Required Lenders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 Kay Coyle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Name: Mary Kay Coyle</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Winters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Name: Michael Winters</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9"/>
          </w:cols>
          <w:pgMar w:left="240" w:top="590"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AMENDED CREDIT AGREEMENT</w:t>
      </w:r>
    </w:p>
    <w:p>
      <w:pPr>
        <w:spacing w:after="0" w:line="200" w:lineRule="exact"/>
        <w:rPr>
          <w:sz w:val="20"/>
          <w:szCs w:val="20"/>
          <w:color w:val="auto"/>
        </w:rPr>
      </w:pPr>
    </w:p>
    <w:p>
      <w:pPr>
        <w:spacing w:after="0" w:line="3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$1,250,000,000</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AGREEMENT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Dated as of November 20, 2014</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WYNN AMERICA,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Borrower,</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SUBSIDIARIES OF BORROWER PARTY HERETO,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Guarantors,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LENDERS PARTY HERETO,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L/C LENDERS PARTY HERETO,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AG NEW YORK BRANCH,</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Administrative Agent,</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AG NEW YORK BRANCH,</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Collateral Agent</w:t>
      </w:r>
    </w:p>
    <w:p>
      <w:pPr>
        <w:spacing w:after="0" w:line="200" w:lineRule="exact"/>
        <w:rPr>
          <w:sz w:val="20"/>
          <w:szCs w:val="20"/>
          <w:color w:val="auto"/>
        </w:rPr>
      </w:pP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SECURITIES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FIFTH THIRD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SUNTRUST ROBINSON HUMPHREY, INC.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NOVA SCOTIA</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BNP PARIBAS SECURITIES CORP.</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SUMITOMO MITSUI BANKING CORPORATION</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UBS SECURITIES LLC,</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Joint Lead Arrangers and Joint Bookrunners,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MORGAN STANLEY SENIOR FUNDING,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BANK OF CHINA, LOS ANGELES BRANCH,</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Arrangers,</w:t>
      </w: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Documentation Agent,</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and</w:t>
      </w:r>
    </w:p>
    <w:p>
      <w:pPr>
        <w:sectPr>
          <w:pgSz w:w="11900" w:h="16838" w:orient="portrait"/>
          <w:cols w:equalWidth="0" w:num="1">
            <w:col w:w="10220"/>
          </w:cols>
          <w:pgMar w:left="1440" w:top="819" w:right="2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FIFTH THIRD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SUNTRUST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BANK OF NOVA SCOTIA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Syndication Agents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1980" w:type="dxa"/>
            <w:vAlign w:val="bottom"/>
          </w:tcPr>
          <w:p>
            <w:pPr>
              <w:ind w:left="220"/>
              <w:spacing w:after="0"/>
              <w:rPr>
                <w:sz w:val="20"/>
                <w:szCs w:val="20"/>
                <w:color w:val="auto"/>
              </w:rPr>
            </w:pPr>
            <w:r>
              <w:rPr>
                <w:rFonts w:ascii="Arial" w:cs="Arial" w:eastAsia="Arial" w:hAnsi="Arial"/>
                <w:sz w:val="18"/>
                <w:szCs w:val="18"/>
                <w:color w:val="auto"/>
                <w:w w:val="96"/>
              </w:rPr>
              <w:t>Certain Defined Terms</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51</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3200" w:type="dxa"/>
            <w:vAlign w:val="bottom"/>
            <w:gridSpan w:val="8"/>
          </w:tcPr>
          <w:p>
            <w:pPr>
              <w:ind w:left="220"/>
              <w:spacing w:after="0"/>
              <w:rPr>
                <w:sz w:val="20"/>
                <w:szCs w:val="20"/>
                <w:color w:val="auto"/>
              </w:rPr>
            </w:pPr>
            <w:r>
              <w:rPr>
                <w:rFonts w:ascii="Arial" w:cs="Arial" w:eastAsia="Arial" w:hAnsi="Arial"/>
                <w:sz w:val="18"/>
                <w:szCs w:val="18"/>
                <w:color w:val="auto"/>
                <w:w w:val="96"/>
              </w:rPr>
              <w:t>Accounting Terms and Determinations</w:t>
            </w:r>
          </w:p>
        </w:tc>
        <w:tc>
          <w:tcPr>
            <w:tcW w:w="1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w w:val="88"/>
              </w:rPr>
              <w:t>Classes and Types of 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0000FF"/>
                <w:w w:val="79"/>
              </w:rPr>
              <w:t>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1.04.</w:t>
            </w:r>
          </w:p>
        </w:tc>
        <w:tc>
          <w:tcPr>
            <w:tcW w:w="19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50</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9"/>
              </w:rPr>
              <w:t>51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52</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1.05.</w:t>
            </w:r>
          </w:p>
        </w:tc>
        <w:tc>
          <w:tcPr>
            <w:tcW w:w="3200" w:type="dxa"/>
            <w:vAlign w:val="bottom"/>
            <w:gridSpan w:val="8"/>
          </w:tcPr>
          <w:p>
            <w:pPr>
              <w:ind w:left="220"/>
              <w:spacing w:after="0"/>
              <w:rPr>
                <w:sz w:val="20"/>
                <w:szCs w:val="20"/>
                <w:color w:val="auto"/>
              </w:rPr>
            </w:pPr>
            <w:r>
              <w:rPr>
                <w:rFonts w:ascii="Arial" w:cs="Arial" w:eastAsia="Arial" w:hAnsi="Arial"/>
                <w:sz w:val="18"/>
                <w:szCs w:val="18"/>
                <w:color w:val="auto"/>
                <w:w w:val="94"/>
              </w:rPr>
              <w:t>Exchange Rates; Currency Equivalents</w:t>
            </w:r>
          </w:p>
        </w:tc>
        <w:tc>
          <w:tcPr>
            <w:tcW w:w="2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1.06.</w:t>
            </w:r>
          </w:p>
        </w:tc>
        <w:tc>
          <w:tcPr>
            <w:tcW w:w="1980" w:type="dxa"/>
            <w:vAlign w:val="bottom"/>
          </w:tcPr>
          <w:p>
            <w:pPr>
              <w:ind w:left="220"/>
              <w:spacing w:after="0"/>
              <w:rPr>
                <w:sz w:val="20"/>
                <w:szCs w:val="20"/>
                <w:color w:val="auto"/>
              </w:rPr>
            </w:pPr>
            <w:r>
              <w:rPr>
                <w:rFonts w:ascii="Arial" w:cs="Arial" w:eastAsia="Arial" w:hAnsi="Arial"/>
                <w:sz w:val="18"/>
                <w:szCs w:val="18"/>
                <w:color w:val="auto"/>
                <w:w w:val="92"/>
              </w:rPr>
              <w:t>Pro Forma Calculations</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rPr>
              <w:t>51</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0000FF"/>
                <w:w w:val="79"/>
              </w:rPr>
              <w:t>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1.07.</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Letter of Credit Amounts</w:t>
            </w: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52</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0000FF"/>
                <w:w w:val="79"/>
              </w:rPr>
              <w:t>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790"/>
              <w:spacing w:after="0"/>
              <w:rPr>
                <w:sz w:val="20"/>
                <w:szCs w:val="20"/>
                <w:color w:val="auto"/>
              </w:rPr>
            </w:pPr>
            <w:r>
              <w:rPr>
                <w:rFonts w:ascii="Arial" w:cs="Arial" w:eastAsia="Arial" w:hAnsi="Arial"/>
                <w:sz w:val="18"/>
                <w:szCs w:val="18"/>
                <w:color w:val="auto"/>
              </w:rPr>
              <w:t>CREDITS</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740" w:type="dxa"/>
            <w:vAlign w:val="bottom"/>
          </w:tcPr>
          <w:p>
            <w:pPr>
              <w:ind w:left="220"/>
              <w:spacing w:after="0"/>
              <w:rPr>
                <w:sz w:val="20"/>
                <w:szCs w:val="20"/>
                <w:color w:val="auto"/>
              </w:rPr>
            </w:pPr>
            <w:r>
              <w:rPr>
                <w:rFonts w:ascii="Arial" w:cs="Arial" w:eastAsia="Arial" w:hAnsi="Arial"/>
                <w:sz w:val="18"/>
                <w:szCs w:val="18"/>
                <w:color w:val="auto"/>
              </w:rPr>
              <w:t>Loans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52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54</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53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1200" w:type="dxa"/>
            <w:vAlign w:val="bottom"/>
            <w:gridSpan w:val="4"/>
          </w:tcPr>
          <w:p>
            <w:pPr>
              <w:ind w:left="220"/>
              <w:spacing w:after="0"/>
              <w:rPr>
                <w:sz w:val="20"/>
                <w:szCs w:val="20"/>
                <w:color w:val="auto"/>
              </w:rPr>
            </w:pPr>
            <w:r>
              <w:rPr>
                <w:rFonts w:ascii="Arial" w:cs="Arial" w:eastAsia="Arial" w:hAnsi="Arial"/>
                <w:sz w:val="18"/>
                <w:szCs w:val="18"/>
                <w:color w:val="auto"/>
              </w:rPr>
              <w:t>Borrowings</w:t>
            </w: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3"/>
              </w:rPr>
              <w:t>Letters of Credit</w:t>
            </w:r>
          </w:p>
        </w:tc>
        <w:tc>
          <w:tcPr>
            <w:tcW w:w="12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53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0000FF"/>
                <w:w w:val="79"/>
              </w:rPr>
              <w:t>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60</w:t>
            </w:r>
          </w:p>
        </w:tc>
        <w:tc>
          <w:tcPr>
            <w:tcW w:w="138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0000FF"/>
                <w:w w:val="79"/>
              </w:rPr>
              <w:t>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3640" w:type="dxa"/>
            <w:vAlign w:val="bottom"/>
            <w:gridSpan w:val="23"/>
          </w:tcPr>
          <w:p>
            <w:pPr>
              <w:ind w:left="220"/>
              <w:spacing w:after="0"/>
              <w:rPr>
                <w:sz w:val="20"/>
                <w:szCs w:val="20"/>
                <w:color w:val="auto"/>
              </w:rPr>
            </w:pPr>
            <w:r>
              <w:rPr>
                <w:rFonts w:ascii="Arial" w:cs="Arial" w:eastAsia="Arial" w:hAnsi="Arial"/>
                <w:sz w:val="18"/>
                <w:szCs w:val="18"/>
                <w:color w:val="auto"/>
                <w:w w:val="96"/>
              </w:rPr>
              <w:t>Termination and Reductions of Commitment</w:t>
            </w:r>
          </w:p>
        </w:tc>
        <w:tc>
          <w:tcPr>
            <w:tcW w:w="1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740" w:type="dxa"/>
            <w:vAlign w:val="bottom"/>
          </w:tcPr>
          <w:p>
            <w:pPr>
              <w:ind w:left="220"/>
              <w:spacing w:after="0"/>
              <w:rPr>
                <w:sz w:val="20"/>
                <w:szCs w:val="20"/>
                <w:color w:val="auto"/>
              </w:rPr>
            </w:pPr>
            <w:r>
              <w:rPr>
                <w:rFonts w:ascii="Arial" w:cs="Arial" w:eastAsia="Arial" w:hAnsi="Arial"/>
                <w:sz w:val="18"/>
                <w:szCs w:val="18"/>
                <w:color w:val="auto"/>
              </w:rPr>
              <w:t>Fees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89"/>
              </w:rPr>
              <w:t>61</w:t>
            </w:r>
          </w:p>
        </w:tc>
        <w:tc>
          <w:tcPr>
            <w:tcW w:w="40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0000FF"/>
                <w:w w:val="79"/>
              </w:rPr>
              <w:t>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5"/>
              </w:rPr>
              <w:t>Lending Offices</w:t>
            </w:r>
          </w:p>
        </w:tc>
        <w:tc>
          <w:tcPr>
            <w:tcW w:w="120" w:type="dxa"/>
            <w:vAlign w:val="bottom"/>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0000FF"/>
                <w:w w:val="79"/>
              </w:rPr>
              <w:t>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2540" w:type="dxa"/>
            <w:vAlign w:val="bottom"/>
            <w:gridSpan w:val="17"/>
          </w:tcPr>
          <w:p>
            <w:pPr>
              <w:ind w:left="220"/>
              <w:spacing w:after="0"/>
              <w:rPr>
                <w:sz w:val="20"/>
                <w:szCs w:val="20"/>
                <w:color w:val="auto"/>
              </w:rPr>
            </w:pPr>
            <w:r>
              <w:rPr>
                <w:rFonts w:ascii="Arial" w:cs="Arial" w:eastAsia="Arial" w:hAnsi="Arial"/>
                <w:sz w:val="18"/>
                <w:szCs w:val="18"/>
                <w:color w:val="auto"/>
                <w:w w:val="93"/>
              </w:rPr>
              <w:t>Several Obligations of Lenders</w:t>
            </w: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6"/>
              </w:rPr>
              <w:t>Notes; Register</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61</w:t>
            </w:r>
          </w:p>
        </w:tc>
        <w:tc>
          <w:tcPr>
            <w:tcW w:w="4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0000FF"/>
                <w:w w:val="79"/>
              </w:rPr>
              <w:t>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62</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64</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5200" w:type="dxa"/>
            <w:vAlign w:val="bottom"/>
            <w:gridSpan w:val="25"/>
          </w:tcPr>
          <w:p>
            <w:pPr>
              <w:ind w:left="220"/>
              <w:spacing w:after="0"/>
              <w:rPr>
                <w:sz w:val="20"/>
                <w:szCs w:val="20"/>
                <w:color w:val="auto"/>
              </w:rPr>
            </w:pPr>
            <w:r>
              <w:rPr>
                <w:rFonts w:ascii="Arial" w:cs="Arial" w:eastAsia="Arial" w:hAnsi="Arial"/>
                <w:sz w:val="18"/>
                <w:szCs w:val="18"/>
                <w:color w:val="auto"/>
                <w:w w:val="93"/>
              </w:rPr>
              <w:t>Optional Prepayments and Conversions or Continuations of Loans</w:t>
            </w:r>
          </w:p>
        </w:tc>
        <w:tc>
          <w:tcPr>
            <w:tcW w:w="1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7"/>
              </w:rPr>
              <w:t>Mandatory Prepayments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63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7"/>
              </w:rPr>
              <w:t>Replacement of Lenders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67</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1200" w:type="dxa"/>
            <w:vAlign w:val="bottom"/>
            <w:gridSpan w:val="4"/>
          </w:tcPr>
          <w:p>
            <w:pPr>
              <w:ind w:left="220"/>
              <w:spacing w:after="0"/>
              <w:rPr>
                <w:sz w:val="20"/>
                <w:szCs w:val="20"/>
                <w:color w:val="auto"/>
              </w:rPr>
            </w:pPr>
            <w:r>
              <w:rPr>
                <w:rFonts w:ascii="Arial" w:cs="Arial" w:eastAsia="Arial" w:hAnsi="Arial"/>
                <w:sz w:val="18"/>
                <w:szCs w:val="18"/>
                <w:color w:val="auto"/>
              </w:rPr>
              <w:t>[Reserved]</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2140" w:type="dxa"/>
            <w:vAlign w:val="bottom"/>
            <w:gridSpan w:val="5"/>
            <w:vMerge w:val="restart"/>
          </w:tcPr>
          <w:p>
            <w:pPr>
              <w:jc w:val="right"/>
              <w:ind w:right="1870"/>
              <w:spacing w:after="0"/>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3240" w:type="dxa"/>
            <w:vAlign w:val="bottom"/>
            <w:gridSpan w:val="21"/>
          </w:tcPr>
          <w:p>
            <w:pPr>
              <w:ind w:left="220"/>
              <w:spacing w:after="0"/>
              <w:rPr>
                <w:sz w:val="20"/>
                <w:szCs w:val="20"/>
                <w:color w:val="auto"/>
              </w:rPr>
            </w:pPr>
            <w:r>
              <w:rPr>
                <w:rFonts w:ascii="Arial" w:cs="Arial" w:eastAsia="Arial" w:hAnsi="Arial"/>
                <w:sz w:val="18"/>
                <w:szCs w:val="18"/>
                <w:color w:val="auto"/>
                <w:w w:val="95"/>
              </w:rPr>
              <w:t>Extensions of Loans and Commitments</w:t>
            </w:r>
          </w:p>
        </w:tc>
        <w:tc>
          <w:tcPr>
            <w:tcW w:w="180" w:type="dxa"/>
            <w:vAlign w:val="bottom"/>
            <w:vMerge w:val="continue"/>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2540" w:type="dxa"/>
            <w:vAlign w:val="bottom"/>
            <w:gridSpan w:val="17"/>
          </w:tcPr>
          <w:p>
            <w:pPr>
              <w:ind w:left="220"/>
              <w:spacing w:after="0"/>
              <w:rPr>
                <w:sz w:val="20"/>
                <w:szCs w:val="20"/>
                <w:color w:val="auto"/>
              </w:rPr>
            </w:pPr>
            <w:r>
              <w:rPr>
                <w:rFonts w:ascii="Arial" w:cs="Arial" w:eastAsia="Arial" w:hAnsi="Arial"/>
                <w:sz w:val="18"/>
                <w:szCs w:val="18"/>
                <w:color w:val="auto"/>
                <w:w w:val="99"/>
              </w:rPr>
              <w:t>Defaulting Lender Provisions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0000FF"/>
                <w:w w:val="79"/>
              </w:rPr>
              <w:t>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2160" w:type="dxa"/>
            <w:vAlign w:val="bottom"/>
            <w:gridSpan w:val="13"/>
          </w:tcPr>
          <w:p>
            <w:pPr>
              <w:ind w:left="220"/>
              <w:spacing w:after="0"/>
              <w:rPr>
                <w:sz w:val="20"/>
                <w:szCs w:val="20"/>
                <w:color w:val="auto"/>
              </w:rPr>
            </w:pPr>
            <w:r>
              <w:rPr>
                <w:rFonts w:ascii="Arial" w:cs="Arial" w:eastAsia="Arial" w:hAnsi="Arial"/>
                <w:sz w:val="18"/>
                <w:szCs w:val="18"/>
                <w:color w:val="auto"/>
                <w:w w:val="93"/>
              </w:rPr>
              <w:t>Refinancing Amendments</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rPr>
              <w:t>72</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1440" w:type="dxa"/>
            <w:vAlign w:val="bottom"/>
            <w:gridSpan w:val="7"/>
          </w:tcPr>
          <w:p>
            <w:pPr>
              <w:ind w:left="220"/>
              <w:spacing w:after="0"/>
              <w:rPr>
                <w:sz w:val="20"/>
                <w:szCs w:val="20"/>
                <w:color w:val="auto"/>
              </w:rPr>
            </w:pPr>
            <w:r>
              <w:rPr>
                <w:rFonts w:ascii="Arial" w:cs="Arial" w:eastAsia="Arial" w:hAnsi="Arial"/>
                <w:sz w:val="18"/>
                <w:szCs w:val="18"/>
                <w:color w:val="auto"/>
                <w:w w:val="93"/>
              </w:rPr>
              <w:t>Cash Collateral.</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73</w:t>
            </w:r>
          </w:p>
        </w:tc>
        <w:tc>
          <w:tcPr>
            <w:tcW w:w="4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0000FF"/>
                <w:w w:val="79"/>
              </w:rPr>
              <w:t>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ectPr>
          <w:pgSz w:w="11900" w:h="16838" w:orient="portrait"/>
          <w:cols w:equalWidth="0" w:num="1">
            <w:col w:w="11420"/>
          </w:cols>
          <w:pgMar w:left="240" w:top="369" w:right="239" w:bottom="1440" w:gutter="0" w:footer="0" w:header="0"/>
        </w:sectPr>
      </w:pPr>
    </w:p>
    <w:bookmarkStart w:id="347" w:name="page348"/>
    <w:bookmarkEnd w:id="347"/>
    <w:p>
      <w:pPr>
        <w:ind w:left="3960"/>
        <w:spacing w:after="0"/>
        <w:rPr>
          <w:sz w:val="20"/>
          <w:szCs w:val="20"/>
          <w:color w:val="auto"/>
        </w:rPr>
      </w:pPr>
      <w:r>
        <w:rPr>
          <w:rFonts w:ascii="Arial" w:cs="Arial" w:eastAsia="Arial" w:hAnsi="Arial"/>
          <w:sz w:val="18"/>
          <w:szCs w:val="18"/>
          <w:color w:val="auto"/>
        </w:rPr>
        <w:t>PAYMENTS OF PRINCIPAL AND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SECTION 3.01.</w:t>
            </w:r>
          </w:p>
        </w:tc>
        <w:tc>
          <w:tcPr>
            <w:tcW w:w="1900" w:type="dxa"/>
            <w:vAlign w:val="bottom"/>
            <w:gridSpan w:val="3"/>
            <w:vMerge w:val="restart"/>
          </w:tcPr>
          <w:p>
            <w:pPr>
              <w:ind w:left="220"/>
              <w:spacing w:after="0"/>
              <w:rPr>
                <w:sz w:val="20"/>
                <w:szCs w:val="20"/>
                <w:color w:val="auto"/>
              </w:rPr>
            </w:pPr>
            <w:r>
              <w:rPr>
                <w:rFonts w:ascii="Arial" w:cs="Arial" w:eastAsia="Arial" w:hAnsi="Arial"/>
                <w:sz w:val="18"/>
                <w:szCs w:val="18"/>
                <w:color w:val="auto"/>
                <w:w w:val="99"/>
              </w:rPr>
              <w:t>Repayment of Loans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74</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line="20" w:lineRule="exact"/>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9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75</w:t>
            </w:r>
          </w:p>
        </w:tc>
        <w:tc>
          <w:tcPr>
            <w:tcW w:w="11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7"/>
          </w:tcPr>
          <w:p>
            <w:pPr>
              <w:ind w:left="20"/>
              <w:spacing w:after="0"/>
              <w:rPr>
                <w:sz w:val="20"/>
                <w:szCs w:val="20"/>
                <w:color w:val="auto"/>
              </w:rPr>
            </w:pPr>
            <w:r>
              <w:rPr>
                <w:rFonts w:ascii="Arial" w:cs="Arial" w:eastAsia="Arial" w:hAnsi="Arial"/>
                <w:sz w:val="18"/>
                <w:szCs w:val="18"/>
                <w:color w:val="auto"/>
                <w:w w:val="94"/>
              </w:rPr>
              <w:t>PAYMENTS; PRO RATA TREATMENT; COMPUTATIONS; ETC.</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1100" w:type="dxa"/>
            <w:vAlign w:val="bottom"/>
          </w:tcPr>
          <w:p>
            <w:pPr>
              <w:ind w:left="220"/>
              <w:spacing w:after="0"/>
              <w:rPr>
                <w:sz w:val="20"/>
                <w:szCs w:val="20"/>
                <w:color w:val="auto"/>
              </w:rPr>
            </w:pPr>
            <w:r>
              <w:rPr>
                <w:rFonts w:ascii="Arial" w:cs="Arial" w:eastAsia="Arial" w:hAnsi="Arial"/>
                <w:sz w:val="18"/>
                <w:szCs w:val="18"/>
                <w:color w:val="auto"/>
              </w:rPr>
              <w:t>Payments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79"/>
              </w:rPr>
              <w:t>76</w:t>
            </w:r>
          </w:p>
        </w:tc>
        <w:tc>
          <w:tcPr>
            <w:tcW w:w="1400" w:type="dxa"/>
            <w:vAlign w:val="bottom"/>
            <w:gridSpan w:val="2"/>
            <w:vMerge w:val="restart"/>
          </w:tcPr>
          <w:p>
            <w:pPr>
              <w:jc w:val="right"/>
              <w:ind w:right="1130"/>
              <w:spacing w:after="0"/>
              <w:rPr>
                <w:sz w:val="20"/>
                <w:szCs w:val="20"/>
                <w:color w:val="auto"/>
              </w:rPr>
            </w:pPr>
            <w:r>
              <w:rPr>
                <w:rFonts w:ascii="Arial" w:cs="Arial" w:eastAsia="Arial" w:hAnsi="Arial"/>
                <w:sz w:val="18"/>
                <w:szCs w:val="18"/>
                <w:b w:val="1"/>
                <w:bCs w:val="1"/>
                <w:color w:val="0000FF"/>
                <w:w w:val="79"/>
              </w:rPr>
              <w:t>78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1820" w:type="dxa"/>
            <w:vAlign w:val="bottom"/>
            <w:gridSpan w:val="7"/>
          </w:tcPr>
          <w:p>
            <w:pPr>
              <w:ind w:left="220"/>
              <w:spacing w:after="0"/>
              <w:rPr>
                <w:sz w:val="20"/>
                <w:szCs w:val="20"/>
                <w:color w:val="auto"/>
              </w:rPr>
            </w:pPr>
            <w:r>
              <w:rPr>
                <w:rFonts w:ascii="Arial" w:cs="Arial" w:eastAsia="Arial" w:hAnsi="Arial"/>
                <w:sz w:val="18"/>
                <w:szCs w:val="18"/>
                <w:color w:val="auto"/>
                <w:w w:val="99"/>
              </w:rPr>
              <w:t>Pro Rata Treatment</w:t>
            </w:r>
          </w:p>
        </w:tc>
        <w:tc>
          <w:tcPr>
            <w:tcW w:w="18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4.03.</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rPr>
              <w:t>Computations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79</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FF0000"/>
                <w:strike w:val="1"/>
                <w:w w:val="79"/>
              </w:rPr>
              <w:t>77</w:t>
            </w:r>
          </w:p>
        </w:tc>
        <w:tc>
          <w:tcPr>
            <w:tcW w:w="138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0000FF"/>
                <w:w w:val="79"/>
              </w:rPr>
              <w:t>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4.04.</w:t>
            </w:r>
          </w:p>
        </w:tc>
        <w:tc>
          <w:tcPr>
            <w:tcW w:w="1820" w:type="dxa"/>
            <w:vAlign w:val="bottom"/>
            <w:gridSpan w:val="7"/>
          </w:tcPr>
          <w:p>
            <w:pPr>
              <w:ind w:left="220"/>
              <w:spacing w:after="0"/>
              <w:rPr>
                <w:sz w:val="20"/>
                <w:szCs w:val="20"/>
                <w:color w:val="auto"/>
              </w:rPr>
            </w:pPr>
            <w:r>
              <w:rPr>
                <w:rFonts w:ascii="Arial" w:cs="Arial" w:eastAsia="Arial" w:hAnsi="Arial"/>
                <w:sz w:val="18"/>
                <w:szCs w:val="18"/>
                <w:color w:val="auto"/>
              </w:rPr>
              <w:t>Minimum Amounts</w:t>
            </w:r>
          </w:p>
        </w:tc>
        <w:tc>
          <w:tcPr>
            <w:tcW w:w="2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4.05.</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w w:val="95"/>
              </w:rPr>
              <w:t>Certain Notices</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79</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2760" w:type="dxa"/>
            <w:vAlign w:val="bottom"/>
            <w:vMerge w:val="restart"/>
          </w:tcPr>
          <w:p>
            <w:pPr>
              <w:jc w:val="right"/>
              <w:ind w:right="2490"/>
              <w:spacing w:after="0"/>
              <w:rPr>
                <w:sz w:val="20"/>
                <w:szCs w:val="20"/>
                <w:color w:val="auto"/>
              </w:rPr>
            </w:pPr>
            <w:r>
              <w:rPr>
                <w:rFonts w:ascii="Arial" w:cs="Arial" w:eastAsia="Arial" w:hAnsi="Arial"/>
                <w:sz w:val="18"/>
                <w:szCs w:val="18"/>
                <w:b w:val="1"/>
                <w:bCs w:val="1"/>
                <w:color w:val="0000FF"/>
                <w:w w:val="79"/>
              </w:rPr>
              <w:t>80</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4.06.</w:t>
            </w:r>
          </w:p>
        </w:tc>
        <w:tc>
          <w:tcPr>
            <w:tcW w:w="3840" w:type="dxa"/>
            <w:vAlign w:val="bottom"/>
            <w:gridSpan w:val="12"/>
          </w:tcPr>
          <w:p>
            <w:pPr>
              <w:ind w:left="220"/>
              <w:spacing w:after="0"/>
              <w:rPr>
                <w:sz w:val="20"/>
                <w:szCs w:val="20"/>
                <w:color w:val="auto"/>
              </w:rPr>
            </w:pPr>
            <w:r>
              <w:rPr>
                <w:rFonts w:ascii="Arial" w:cs="Arial" w:eastAsia="Arial" w:hAnsi="Arial"/>
                <w:sz w:val="18"/>
                <w:szCs w:val="18"/>
                <w:color w:val="auto"/>
                <w:w w:val="97"/>
              </w:rPr>
              <w:t>Non-Receipt of Funds by Administrative Agent</w:t>
            </w:r>
          </w:p>
        </w:tc>
        <w:tc>
          <w:tcPr>
            <w:tcW w:w="1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4.07.</w:t>
            </w:r>
          </w:p>
        </w:tc>
        <w:tc>
          <w:tcPr>
            <w:tcW w:w="3400" w:type="dxa"/>
            <w:vAlign w:val="bottom"/>
            <w:gridSpan w:val="10"/>
          </w:tcPr>
          <w:p>
            <w:pPr>
              <w:ind w:left="220"/>
              <w:spacing w:after="0"/>
              <w:rPr>
                <w:sz w:val="20"/>
                <w:szCs w:val="20"/>
                <w:color w:val="auto"/>
              </w:rPr>
            </w:pPr>
            <w:r>
              <w:rPr>
                <w:rFonts w:ascii="Arial" w:cs="Arial" w:eastAsia="Arial" w:hAnsi="Arial"/>
                <w:sz w:val="18"/>
                <w:szCs w:val="18"/>
                <w:color w:val="auto"/>
                <w:w w:val="96"/>
              </w:rPr>
              <w:t>Right of Setoff, Sharing of Payments; Etc</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FF0000"/>
                <w:strike w:val="1"/>
                <w:w w:val="89"/>
              </w:rPr>
              <w:t>78</w:t>
            </w:r>
          </w:p>
        </w:tc>
        <w:tc>
          <w:tcPr>
            <w:tcW w:w="3180" w:type="dxa"/>
            <w:vAlign w:val="bottom"/>
            <w:gridSpan w:val="3"/>
          </w:tcPr>
          <w:p>
            <w:pPr>
              <w:jc w:val="right"/>
              <w:ind w:right="2910"/>
              <w:spacing w:after="0"/>
              <w:rPr>
                <w:sz w:val="20"/>
                <w:szCs w:val="20"/>
                <w:color w:val="auto"/>
              </w:rPr>
            </w:pPr>
            <w:r>
              <w:rPr>
                <w:rFonts w:ascii="Arial" w:cs="Arial" w:eastAsia="Arial" w:hAnsi="Arial"/>
                <w:sz w:val="18"/>
                <w:szCs w:val="18"/>
                <w:b w:val="1"/>
                <w:bCs w:val="1"/>
                <w:color w:val="0000FF"/>
                <w:w w:val="79"/>
              </w:rPr>
              <w:t>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w w:val="95"/>
              </w:rPr>
              <w:t>YIELD PROTECTION, ETC.</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w w:val="92"/>
              </w:rPr>
              <w:t>Additional Costs</w:t>
            </w:r>
          </w:p>
        </w:tc>
        <w:tc>
          <w:tcPr>
            <w:tcW w:w="16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FF0000"/>
                <w:strike w:val="1"/>
                <w:w w:val="79"/>
              </w:rPr>
              <w:t>79</w:t>
            </w:r>
          </w:p>
        </w:tc>
        <w:tc>
          <w:tcPr>
            <w:tcW w:w="700" w:type="dxa"/>
            <w:vAlign w:val="bottom"/>
          </w:tcPr>
          <w:p>
            <w:pPr>
              <w:jc w:val="right"/>
              <w:ind w:right="430"/>
              <w:spacing w:after="0"/>
              <w:rPr>
                <w:sz w:val="20"/>
                <w:szCs w:val="20"/>
                <w:color w:val="auto"/>
              </w:rPr>
            </w:pPr>
            <w:r>
              <w:rPr>
                <w:rFonts w:ascii="Arial" w:cs="Arial" w:eastAsia="Arial" w:hAnsi="Arial"/>
                <w:sz w:val="18"/>
                <w:szCs w:val="18"/>
                <w:b w:val="1"/>
                <w:bCs w:val="1"/>
                <w:color w:val="0000FF"/>
                <w:w w:val="79"/>
              </w:rPr>
              <w:t>82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2200" w:type="dxa"/>
            <w:vAlign w:val="bottom"/>
            <w:vMerge w:val="restart"/>
          </w:tcPr>
          <w:p>
            <w:pPr>
              <w:spacing w:after="0"/>
              <w:rPr>
                <w:sz w:val="20"/>
                <w:szCs w:val="20"/>
                <w:color w:val="auto"/>
              </w:rPr>
            </w:pPr>
            <w:r>
              <w:rPr>
                <w:rFonts w:ascii="Arial" w:cs="Arial" w:eastAsia="Arial" w:hAnsi="Arial"/>
                <w:sz w:val="18"/>
                <w:szCs w:val="18"/>
                <w:b w:val="1"/>
                <w:bCs w:val="1"/>
                <w:color w:val="0000FF"/>
              </w:rPr>
              <w:t>83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3020" w:type="dxa"/>
            <w:vAlign w:val="bottom"/>
            <w:gridSpan w:val="10"/>
          </w:tcPr>
          <w:p>
            <w:pPr>
              <w:ind w:left="220"/>
              <w:spacing w:after="0"/>
              <w:rPr>
                <w:sz w:val="20"/>
                <w:szCs w:val="20"/>
                <w:color w:val="auto"/>
              </w:rPr>
            </w:pPr>
            <w:r>
              <w:rPr>
                <w:rFonts w:ascii="Arial" w:cs="Arial" w:eastAsia="Arial" w:hAnsi="Arial"/>
                <w:sz w:val="18"/>
                <w:szCs w:val="18"/>
                <w:color w:val="auto"/>
                <w:w w:val="98"/>
              </w:rPr>
              <w:t>Inability To Determine Interest Rate</w:t>
            </w:r>
          </w:p>
        </w:tc>
        <w:tc>
          <w:tcPr>
            <w:tcW w:w="18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106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2720" w:type="dxa"/>
            <w:vAlign w:val="bottom"/>
            <w:gridSpan w:val="3"/>
            <w:vMerge w:val="restart"/>
          </w:tcPr>
          <w:p>
            <w:pPr>
              <w:jc w:val="right"/>
              <w:ind w:right="2450"/>
              <w:spacing w:after="0"/>
              <w:rPr>
                <w:sz w:val="20"/>
                <w:szCs w:val="20"/>
                <w:color w:val="auto"/>
              </w:rPr>
            </w:pPr>
            <w:r>
              <w:rPr>
                <w:rFonts w:ascii="Arial" w:cs="Arial" w:eastAsia="Arial" w:hAnsi="Arial"/>
                <w:sz w:val="18"/>
                <w:szCs w:val="18"/>
                <w:b w:val="1"/>
                <w:bCs w:val="1"/>
                <w:color w:val="0000FF"/>
                <w:w w:val="79"/>
              </w:rPr>
              <w:t>83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5.04.</w:t>
            </w:r>
          </w:p>
        </w:tc>
        <w:tc>
          <w:tcPr>
            <w:tcW w:w="2500" w:type="dxa"/>
            <w:vAlign w:val="bottom"/>
            <w:gridSpan w:val="8"/>
          </w:tcPr>
          <w:p>
            <w:pPr>
              <w:ind w:left="220"/>
              <w:spacing w:after="0"/>
              <w:rPr>
                <w:sz w:val="20"/>
                <w:szCs w:val="20"/>
                <w:color w:val="auto"/>
              </w:rPr>
            </w:pPr>
            <w:r>
              <w:rPr>
                <w:rFonts w:ascii="Arial" w:cs="Arial" w:eastAsia="Arial" w:hAnsi="Arial"/>
                <w:sz w:val="18"/>
                <w:szCs w:val="18"/>
                <w:color w:val="auto"/>
                <w:w w:val="99"/>
              </w:rPr>
              <w:t>Treatment of Affected Loans</w:t>
            </w:r>
          </w:p>
        </w:tc>
        <w:tc>
          <w:tcPr>
            <w:tcW w:w="180" w:type="dxa"/>
            <w:vAlign w:val="bottom"/>
            <w:vMerge w:val="continue"/>
          </w:tcPr>
          <w:p>
            <w:pPr>
              <w:spacing w:after="0"/>
              <w:rPr>
                <w:sz w:val="18"/>
                <w:szCs w:val="18"/>
                <w:color w:val="auto"/>
              </w:rPr>
            </w:pPr>
          </w:p>
        </w:tc>
        <w:tc>
          <w:tcPr>
            <w:tcW w:w="2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5.05.</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rPr>
              <w:t>Compensation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0000FF"/>
              </w:rPr>
              <w:t>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5.06.</w:t>
            </w:r>
          </w:p>
        </w:tc>
        <w:tc>
          <w:tcPr>
            <w:tcW w:w="1420" w:type="dxa"/>
            <w:vAlign w:val="bottom"/>
            <w:gridSpan w:val="3"/>
          </w:tcPr>
          <w:p>
            <w:pPr>
              <w:ind w:left="220"/>
              <w:spacing w:after="0"/>
              <w:rPr>
                <w:sz w:val="20"/>
                <w:szCs w:val="20"/>
                <w:color w:val="auto"/>
              </w:rPr>
            </w:pPr>
            <w:r>
              <w:rPr>
                <w:rFonts w:ascii="Arial" w:cs="Arial" w:eastAsia="Arial" w:hAnsi="Arial"/>
                <w:sz w:val="18"/>
                <w:szCs w:val="18"/>
                <w:color w:val="auto"/>
              </w:rPr>
              <w:t>Net Payments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82</w:t>
            </w:r>
          </w:p>
        </w:tc>
        <w:tc>
          <w:tcPr>
            <w:tcW w:w="3800" w:type="dxa"/>
            <w:vAlign w:val="bottom"/>
            <w:gridSpan w:val="7"/>
          </w:tcPr>
          <w:p>
            <w:pPr>
              <w:jc w:val="right"/>
              <w:ind w:right="3530"/>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8"/>
              </w:rPr>
              <w:t>GUARANTEES</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w w:val="92"/>
              </w:rPr>
              <w:t>The Guarantees</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0000FF"/>
                <w:w w:val="79"/>
              </w:rPr>
              <w:t>87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85</w:t>
            </w:r>
          </w:p>
        </w:tc>
        <w:tc>
          <w:tcPr>
            <w:tcW w:w="1180" w:type="dxa"/>
            <w:vAlign w:val="bottom"/>
            <w:gridSpan w:val="2"/>
            <w:vMerge w:val="restart"/>
          </w:tcPr>
          <w:p>
            <w:pPr>
              <w:jc w:val="right"/>
              <w:ind w:right="910"/>
              <w:spacing w:after="0"/>
              <w:rPr>
                <w:sz w:val="20"/>
                <w:szCs w:val="20"/>
                <w:color w:val="auto"/>
              </w:rPr>
            </w:pPr>
            <w:r>
              <w:rPr>
                <w:rFonts w:ascii="Arial" w:cs="Arial" w:eastAsia="Arial" w:hAnsi="Arial"/>
                <w:sz w:val="18"/>
                <w:szCs w:val="18"/>
                <w:b w:val="1"/>
                <w:bCs w:val="1"/>
                <w:color w:val="0000FF"/>
                <w:w w:val="79"/>
              </w:rPr>
              <w:t>87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2320" w:type="dxa"/>
            <w:vAlign w:val="bottom"/>
            <w:gridSpan w:val="12"/>
          </w:tcPr>
          <w:p>
            <w:pPr>
              <w:ind w:left="220"/>
              <w:spacing w:after="0"/>
              <w:rPr>
                <w:sz w:val="20"/>
                <w:szCs w:val="20"/>
                <w:color w:val="auto"/>
              </w:rPr>
            </w:pPr>
            <w:r>
              <w:rPr>
                <w:rFonts w:ascii="Arial" w:cs="Arial" w:eastAsia="Arial" w:hAnsi="Arial"/>
                <w:sz w:val="18"/>
                <w:szCs w:val="18"/>
                <w:color w:val="auto"/>
              </w:rPr>
              <w:t>Obligations Unconditional</w:t>
            </w:r>
          </w:p>
        </w:tc>
        <w:tc>
          <w:tcPr>
            <w:tcW w:w="1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6.03.</w:t>
            </w: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rPr>
              <w:t>Reinstatement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0000FF"/>
                <w:w w:val="79"/>
              </w:rPr>
              <w:t>89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11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0000FF"/>
                <w:w w:val="79"/>
              </w:rPr>
              <w:t>89</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6.04.</w:t>
            </w:r>
          </w:p>
        </w:tc>
        <w:tc>
          <w:tcPr>
            <w:tcW w:w="2320" w:type="dxa"/>
            <w:vAlign w:val="bottom"/>
            <w:gridSpan w:val="12"/>
          </w:tcPr>
          <w:p>
            <w:pPr>
              <w:ind w:left="220"/>
              <w:spacing w:after="0"/>
              <w:rPr>
                <w:sz w:val="20"/>
                <w:szCs w:val="20"/>
                <w:color w:val="auto"/>
              </w:rPr>
            </w:pPr>
            <w:r>
              <w:rPr>
                <w:rFonts w:ascii="Arial" w:cs="Arial" w:eastAsia="Arial" w:hAnsi="Arial"/>
                <w:sz w:val="18"/>
                <w:szCs w:val="18"/>
                <w:color w:val="auto"/>
                <w:w w:val="95"/>
              </w:rPr>
              <w:t>Subrogation; Subordination</w:t>
            </w:r>
          </w:p>
        </w:tc>
        <w:tc>
          <w:tcPr>
            <w:tcW w:w="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6.05.</w:t>
            </w:r>
          </w:p>
        </w:tc>
        <w:tc>
          <w:tcPr>
            <w:tcW w:w="11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87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79"/>
              </w:rPr>
              <w:t>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6.06.</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w w:val="97"/>
              </w:rPr>
              <w:t>Continuing Guarantee</w:t>
            </w:r>
          </w:p>
        </w:tc>
        <w:tc>
          <w:tcPr>
            <w:tcW w:w="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10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0000FF"/>
                <w:w w:val="79"/>
              </w:rPr>
              <w:t>89</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6.07.</w:t>
            </w:r>
          </w:p>
        </w:tc>
        <w:tc>
          <w:tcPr>
            <w:tcW w:w="3680" w:type="dxa"/>
            <w:vAlign w:val="bottom"/>
            <w:gridSpan w:val="16"/>
          </w:tcPr>
          <w:p>
            <w:pPr>
              <w:ind w:left="220"/>
              <w:spacing w:after="0"/>
              <w:rPr>
                <w:sz w:val="20"/>
                <w:szCs w:val="20"/>
                <w:color w:val="auto"/>
              </w:rPr>
            </w:pPr>
            <w:r>
              <w:rPr>
                <w:rFonts w:ascii="Arial" w:cs="Arial" w:eastAsia="Arial" w:hAnsi="Arial"/>
                <w:sz w:val="18"/>
                <w:szCs w:val="18"/>
                <w:color w:val="auto"/>
                <w:w w:val="96"/>
              </w:rPr>
              <w:t>General Limitation on Guarantee Obligations</w:t>
            </w: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6.08.</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w w:val="94"/>
              </w:rPr>
              <w:t>Release of Guarantors</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6.09.</w:t>
            </w:r>
          </w:p>
        </w:tc>
        <w:tc>
          <w:tcPr>
            <w:tcW w:w="1100" w:type="dxa"/>
            <w:vAlign w:val="bottom"/>
          </w:tcPr>
          <w:p>
            <w:pPr>
              <w:ind w:left="220"/>
              <w:spacing w:after="0"/>
              <w:rPr>
                <w:sz w:val="20"/>
                <w:szCs w:val="20"/>
                <w:color w:val="auto"/>
              </w:rPr>
            </w:pPr>
            <w:r>
              <w:rPr>
                <w:rFonts w:ascii="Arial" w:cs="Arial" w:eastAsia="Arial" w:hAnsi="Arial"/>
                <w:sz w:val="18"/>
                <w:szCs w:val="18"/>
                <w:color w:val="auto"/>
              </w:rPr>
              <w:t>Keepwell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6.10.</w:t>
            </w:r>
          </w:p>
        </w:tc>
        <w:tc>
          <w:tcPr>
            <w:tcW w:w="1960" w:type="dxa"/>
            <w:vAlign w:val="bottom"/>
            <w:gridSpan w:val="8"/>
          </w:tcPr>
          <w:p>
            <w:pPr>
              <w:ind w:left="220"/>
              <w:spacing w:after="0"/>
              <w:rPr>
                <w:sz w:val="20"/>
                <w:szCs w:val="20"/>
                <w:color w:val="auto"/>
              </w:rPr>
            </w:pPr>
            <w:r>
              <w:rPr>
                <w:rFonts w:ascii="Arial" w:cs="Arial" w:eastAsia="Arial" w:hAnsi="Arial"/>
                <w:sz w:val="18"/>
                <w:szCs w:val="18"/>
                <w:color w:val="auto"/>
              </w:rPr>
              <w:t>Right of Contribution</w:t>
            </w:r>
          </w:p>
        </w:tc>
        <w:tc>
          <w:tcPr>
            <w:tcW w:w="180" w:type="dxa"/>
            <w:vAlign w:val="bottom"/>
            <w:gridSpan w:val="2"/>
            <w:vMerge w:val="continue"/>
          </w:tcPr>
          <w:p>
            <w:pPr>
              <w:spacing w:after="0"/>
              <w:rPr>
                <w:sz w:val="20"/>
                <w:szCs w:val="20"/>
                <w:color w:val="auto"/>
              </w:rPr>
            </w:pPr>
          </w:p>
        </w:tc>
        <w:tc>
          <w:tcPr>
            <w:tcW w:w="2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CONDITIONS PRECEDENT</w:t>
      </w:r>
    </w:p>
    <w:p>
      <w:pPr>
        <w:sectPr>
          <w:pgSz w:w="11900" w:h="16838" w:orient="portrait"/>
          <w:cols w:equalWidth="0" w:num="1">
            <w:col w:w="10219"/>
          </w:cols>
          <w:pgMar w:left="240" w:top="584" w:right="1440" w:bottom="1440" w:gutter="0" w:footer="0" w:header="0"/>
          <w:type w:val="continuous"/>
        </w:sectPr>
      </w:pPr>
    </w:p>
    <w:bookmarkStart w:id="348" w:name="page349"/>
    <w:bookmarkEnd w:id="348"/>
    <w:tbl>
      <w:tblPr>
        <w:tblLayout w:type="fixed"/>
        <w:tblInd w:w="0" w:type="dxa"/>
        <w:tblCellMar>
          <w:top w:w="0" w:type="dxa"/>
          <w:left w:w="0" w:type="dxa"/>
          <w:bottom w:w="0" w:type="dxa"/>
          <w:right w:w="0" w:type="dxa"/>
        </w:tblCellMar>
      </w:tblP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SECTION 7.01.</w:t>
            </w:r>
          </w:p>
        </w:tc>
        <w:tc>
          <w:tcPr>
            <w:tcW w:w="3380" w:type="dxa"/>
            <w:vAlign w:val="bottom"/>
            <w:gridSpan w:val="3"/>
            <w:vMerge w:val="restart"/>
          </w:tcPr>
          <w:p>
            <w:pPr>
              <w:ind w:left="220"/>
              <w:spacing w:after="0"/>
              <w:rPr>
                <w:sz w:val="20"/>
                <w:szCs w:val="20"/>
                <w:color w:val="auto"/>
              </w:rPr>
            </w:pPr>
            <w:r>
              <w:rPr>
                <w:rFonts w:ascii="Arial" w:cs="Arial" w:eastAsia="Arial" w:hAnsi="Arial"/>
                <w:sz w:val="18"/>
                <w:szCs w:val="18"/>
                <w:color w:val="auto"/>
                <w:w w:val="98"/>
              </w:rPr>
              <w:t>Conditions to Initial Extensions of Credit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132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line="20" w:lineRule="exact"/>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338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7.02.</w:t>
            </w:r>
          </w:p>
        </w:tc>
        <w:tc>
          <w:tcPr>
            <w:tcW w:w="3180" w:type="dxa"/>
            <w:vAlign w:val="bottom"/>
          </w:tcPr>
          <w:p>
            <w:pPr>
              <w:ind w:left="220"/>
              <w:spacing w:after="0"/>
              <w:rPr>
                <w:sz w:val="20"/>
                <w:szCs w:val="20"/>
                <w:color w:val="auto"/>
              </w:rPr>
            </w:pPr>
            <w:r>
              <w:rPr>
                <w:rFonts w:ascii="Arial" w:cs="Arial" w:eastAsia="Arial" w:hAnsi="Arial"/>
                <w:sz w:val="18"/>
                <w:szCs w:val="18"/>
                <w:color w:val="auto"/>
                <w:w w:val="99"/>
              </w:rPr>
              <w:t>Conditions to All Extensions of Credit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90</w:t>
            </w:r>
          </w:p>
        </w:tc>
        <w:tc>
          <w:tcPr>
            <w:tcW w:w="1520" w:type="dxa"/>
            <w:vAlign w:val="bottom"/>
            <w:gridSpan w:val="3"/>
          </w:tcPr>
          <w:p>
            <w:pPr>
              <w:jc w:val="right"/>
              <w:ind w:right="1250"/>
              <w:spacing w:after="0"/>
              <w:rPr>
                <w:sz w:val="20"/>
                <w:szCs w:val="20"/>
                <w:color w:val="auto"/>
              </w:rPr>
            </w:pPr>
            <w:r>
              <w:rPr>
                <w:rFonts w:ascii="Arial" w:cs="Arial" w:eastAsia="Arial" w:hAnsi="Arial"/>
                <w:sz w:val="18"/>
                <w:szCs w:val="18"/>
                <w:b w:val="1"/>
                <w:bCs w:val="1"/>
                <w:color w:val="0000FF"/>
                <w:w w:val="79"/>
              </w:rPr>
              <w:t>92</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ARTICLE VIII.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gridSpan w:val="8"/>
          </w:tcPr>
          <w:p>
            <w:pPr>
              <w:jc w:val="right"/>
              <w:spacing w:after="0"/>
              <w:rPr>
                <w:sz w:val="20"/>
                <w:szCs w:val="20"/>
                <w:color w:val="auto"/>
              </w:rPr>
            </w:pPr>
            <w:r>
              <w:rPr>
                <w:rFonts w:ascii="Arial" w:cs="Arial" w:eastAsia="Arial" w:hAnsi="Arial"/>
                <w:sz w:val="18"/>
                <w:szCs w:val="18"/>
                <w:color w:val="auto"/>
                <w:w w:val="96"/>
              </w:rPr>
              <w:t>REPRESENTATIONS AND WARRANTIES</w:t>
            </w: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0"/>
                <w:szCs w:val="20"/>
                <w:color w:val="auto"/>
              </w:rPr>
            </w:pPr>
            <w:r>
              <w:rPr>
                <w:rFonts w:ascii="Arial" w:cs="Arial" w:eastAsia="Arial" w:hAnsi="Arial"/>
                <w:sz w:val="18"/>
                <w:szCs w:val="18"/>
                <w:color w:val="auto"/>
              </w:rPr>
              <w:t>SECTION 8.01.</w:t>
            </w:r>
          </w:p>
        </w:tc>
        <w:tc>
          <w:tcPr>
            <w:tcW w:w="3540" w:type="dxa"/>
            <w:vAlign w:val="bottom"/>
            <w:gridSpan w:val="28"/>
          </w:tcPr>
          <w:p>
            <w:pPr>
              <w:ind w:left="220"/>
              <w:spacing w:after="0"/>
              <w:rPr>
                <w:sz w:val="20"/>
                <w:szCs w:val="20"/>
                <w:color w:val="auto"/>
              </w:rPr>
            </w:pPr>
            <w:r>
              <w:rPr>
                <w:rFonts w:ascii="Arial" w:cs="Arial" w:eastAsia="Arial" w:hAnsi="Arial"/>
                <w:sz w:val="18"/>
                <w:szCs w:val="18"/>
                <w:color w:val="auto"/>
                <w:w w:val="96"/>
              </w:rPr>
              <w:t>Corporate Existence; Compliance with Law</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91</w:t>
            </w:r>
          </w:p>
        </w:tc>
        <w:tc>
          <w:tcPr>
            <w:tcW w:w="700" w:type="dxa"/>
            <w:vAlign w:val="bottom"/>
          </w:tcPr>
          <w:p>
            <w:pPr>
              <w:jc w:val="right"/>
              <w:ind w:right="430"/>
              <w:spacing w:after="0"/>
              <w:rPr>
                <w:sz w:val="20"/>
                <w:szCs w:val="20"/>
                <w:color w:val="auto"/>
              </w:rPr>
            </w:pPr>
            <w:r>
              <w:rPr>
                <w:rFonts w:ascii="Arial" w:cs="Arial" w:eastAsia="Arial" w:hAnsi="Arial"/>
                <w:sz w:val="18"/>
                <w:szCs w:val="18"/>
                <w:b w:val="1"/>
                <w:bCs w:val="1"/>
                <w:color w:val="0000FF"/>
                <w:w w:val="79"/>
              </w:rPr>
              <w:t>93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8.02.</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w w:val="98"/>
              </w:rPr>
              <w:t>Material Adverse Effect</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9"/>
              </w:rPr>
              <w:t>91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8.03.</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Litigation</w:t>
            </w: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91</w:t>
            </w:r>
          </w:p>
        </w:tc>
        <w:tc>
          <w:tcPr>
            <w:tcW w:w="260" w:type="dxa"/>
            <w:vAlign w:val="bottom"/>
            <w:gridSpan w:val="5"/>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91</w:t>
            </w:r>
          </w:p>
        </w:tc>
        <w:tc>
          <w:tcPr>
            <w:tcW w:w="300" w:type="dxa"/>
            <w:vAlign w:val="bottom"/>
            <w:gridSpan w:val="3"/>
            <w:vMerge w:val="restart"/>
          </w:tcPr>
          <w:p>
            <w:pPr>
              <w:spacing w:after="0"/>
              <w:rPr>
                <w:sz w:val="20"/>
                <w:szCs w:val="20"/>
                <w:color w:val="auto"/>
              </w:rPr>
            </w:pPr>
            <w:r>
              <w:rPr>
                <w:rFonts w:ascii="Arial" w:cs="Arial" w:eastAsia="Arial" w:hAnsi="Arial"/>
                <w:sz w:val="18"/>
                <w:szCs w:val="18"/>
                <w:b w:val="1"/>
                <w:bCs w:val="1"/>
                <w:color w:val="0000FF"/>
              </w:rPr>
              <w:t>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8.04.</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rPr>
              <w:t>No Breach; No Default</w:t>
            </w:r>
          </w:p>
        </w:tc>
        <w:tc>
          <w:tcPr>
            <w:tcW w:w="1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8.05.</w:t>
            </w:r>
          </w:p>
        </w:tc>
        <w:tc>
          <w:tcPr>
            <w:tcW w:w="820" w:type="dxa"/>
            <w:vAlign w:val="bottom"/>
          </w:tcPr>
          <w:p>
            <w:pPr>
              <w:ind w:left="220"/>
              <w:spacing w:after="0"/>
              <w:rPr>
                <w:sz w:val="20"/>
                <w:szCs w:val="20"/>
                <w:color w:val="auto"/>
              </w:rPr>
            </w:pPr>
            <w:r>
              <w:rPr>
                <w:rFonts w:ascii="Arial" w:cs="Arial" w:eastAsia="Arial" w:hAnsi="Arial"/>
                <w:sz w:val="18"/>
                <w:szCs w:val="18"/>
                <w:color w:val="auto"/>
              </w:rPr>
              <w:t>Action</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92</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8.06.</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Approvals</w:t>
            </w:r>
          </w:p>
        </w:tc>
        <w:tc>
          <w:tcPr>
            <w:tcW w:w="26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92</w:t>
            </w: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720" w:type="dxa"/>
            <w:vAlign w:val="bottom"/>
            <w:gridSpan w:val="2"/>
            <w:vMerge w:val="restart"/>
          </w:tcPr>
          <w:p>
            <w:pPr>
              <w:jc w:val="right"/>
              <w:ind w:right="450"/>
              <w:spacing w:after="0"/>
              <w:rPr>
                <w:sz w:val="20"/>
                <w:szCs w:val="20"/>
                <w:color w:val="auto"/>
              </w:rPr>
            </w:pPr>
            <w:r>
              <w:rPr>
                <w:rFonts w:ascii="Arial" w:cs="Arial" w:eastAsia="Arial" w:hAnsi="Arial"/>
                <w:sz w:val="18"/>
                <w:szCs w:val="18"/>
                <w:b w:val="1"/>
                <w:bCs w:val="1"/>
                <w:color w:val="0000FF"/>
                <w:w w:val="79"/>
              </w:rPr>
              <w:t>95</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8.07.</w:t>
            </w:r>
          </w:p>
        </w:tc>
        <w:tc>
          <w:tcPr>
            <w:tcW w:w="3540" w:type="dxa"/>
            <w:vAlign w:val="bottom"/>
            <w:gridSpan w:val="28"/>
          </w:tcPr>
          <w:p>
            <w:pPr>
              <w:ind w:left="220"/>
              <w:spacing w:after="0"/>
              <w:rPr>
                <w:sz w:val="20"/>
                <w:szCs w:val="20"/>
                <w:color w:val="auto"/>
              </w:rPr>
            </w:pPr>
            <w:r>
              <w:rPr>
                <w:rFonts w:ascii="Arial" w:cs="Arial" w:eastAsia="Arial" w:hAnsi="Arial"/>
                <w:sz w:val="18"/>
                <w:szCs w:val="18"/>
                <w:color w:val="auto"/>
                <w:w w:val="96"/>
              </w:rPr>
              <w:t>ERISA and Employee Benefit Plan Matters</w:t>
            </w:r>
          </w:p>
        </w:tc>
        <w:tc>
          <w:tcPr>
            <w:tcW w:w="1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8.08.</w:t>
            </w:r>
          </w:p>
        </w:tc>
        <w:tc>
          <w:tcPr>
            <w:tcW w:w="8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79"/>
              </w:rPr>
              <w:t>93</w:t>
            </w:r>
          </w:p>
        </w:tc>
        <w:tc>
          <w:tcPr>
            <w:tcW w:w="30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0000FF"/>
                <w:w w:val="79"/>
              </w:rPr>
              <w:t>95</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8.09.</w:t>
            </w:r>
          </w:p>
        </w:tc>
        <w:tc>
          <w:tcPr>
            <w:tcW w:w="2260" w:type="dxa"/>
            <w:vAlign w:val="bottom"/>
            <w:gridSpan w:val="21"/>
          </w:tcPr>
          <w:p>
            <w:pPr>
              <w:ind w:left="220"/>
              <w:spacing w:after="0"/>
              <w:rPr>
                <w:sz w:val="20"/>
                <w:szCs w:val="20"/>
                <w:color w:val="auto"/>
              </w:rPr>
            </w:pPr>
            <w:r>
              <w:rPr>
                <w:rFonts w:ascii="Arial" w:cs="Arial" w:eastAsia="Arial" w:hAnsi="Arial"/>
                <w:sz w:val="18"/>
                <w:szCs w:val="18"/>
                <w:color w:val="auto"/>
              </w:rPr>
              <w:t>Investment Company Act</w:t>
            </w:r>
          </w:p>
        </w:tc>
        <w:tc>
          <w:tcPr>
            <w:tcW w:w="18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8.10.</w:t>
            </w:r>
          </w:p>
        </w:tc>
        <w:tc>
          <w:tcPr>
            <w:tcW w:w="2080" w:type="dxa"/>
            <w:vAlign w:val="bottom"/>
            <w:gridSpan w:val="19"/>
          </w:tcPr>
          <w:p>
            <w:pPr>
              <w:ind w:left="220"/>
              <w:spacing w:after="0"/>
              <w:rPr>
                <w:sz w:val="20"/>
                <w:szCs w:val="20"/>
                <w:color w:val="auto"/>
              </w:rPr>
            </w:pPr>
            <w:r>
              <w:rPr>
                <w:rFonts w:ascii="Arial" w:cs="Arial" w:eastAsia="Arial" w:hAnsi="Arial"/>
                <w:sz w:val="18"/>
                <w:szCs w:val="18"/>
                <w:color w:val="auto"/>
              </w:rPr>
              <w:t>Environmental Matters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0000FF"/>
                <w:w w:val="79"/>
              </w:rPr>
              <w:t>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8.11.</w:t>
            </w:r>
          </w:p>
        </w:tc>
        <w:tc>
          <w:tcPr>
            <w:tcW w:w="1580" w:type="dxa"/>
            <w:vAlign w:val="bottom"/>
            <w:gridSpan w:val="13"/>
          </w:tcPr>
          <w:p>
            <w:pPr>
              <w:ind w:left="220"/>
              <w:spacing w:after="0"/>
              <w:rPr>
                <w:sz w:val="20"/>
                <w:szCs w:val="20"/>
                <w:color w:val="auto"/>
              </w:rPr>
            </w:pPr>
            <w:r>
              <w:rPr>
                <w:rFonts w:ascii="Arial" w:cs="Arial" w:eastAsia="Arial" w:hAnsi="Arial"/>
                <w:sz w:val="18"/>
                <w:szCs w:val="18"/>
                <w:color w:val="auto"/>
              </w:rPr>
              <w:t>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0000FF"/>
                <w:w w:val="79"/>
              </w:rPr>
              <w:t>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8.12.</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rPr>
              <w:t>Subsidiaries</w:t>
            </w:r>
          </w:p>
        </w:tc>
        <w:tc>
          <w:tcPr>
            <w:tcW w:w="1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3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0000FF"/>
                <w:w w:val="79"/>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800" w:type="dxa"/>
            <w:vAlign w:val="bottom"/>
            <w:gridSpan w:val="2"/>
            <w:vMerge w:val="restart"/>
          </w:tcPr>
          <w:p>
            <w:pPr>
              <w:jc w:val="right"/>
              <w:ind w:right="530"/>
              <w:spacing w:after="0"/>
              <w:rPr>
                <w:sz w:val="20"/>
                <w:szCs w:val="20"/>
                <w:color w:val="auto"/>
              </w:rPr>
            </w:pPr>
            <w:r>
              <w:rPr>
                <w:rFonts w:ascii="Arial" w:cs="Arial" w:eastAsia="Arial" w:hAnsi="Arial"/>
                <w:sz w:val="18"/>
                <w:szCs w:val="18"/>
                <w:b w:val="1"/>
                <w:bCs w:val="1"/>
                <w:color w:val="0000FF"/>
                <w:w w:val="79"/>
              </w:rPr>
              <w:t>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8.13.</w:t>
            </w:r>
          </w:p>
        </w:tc>
        <w:tc>
          <w:tcPr>
            <w:tcW w:w="2560" w:type="dxa"/>
            <w:vAlign w:val="bottom"/>
            <w:gridSpan w:val="24"/>
          </w:tcPr>
          <w:p>
            <w:pPr>
              <w:ind w:left="220"/>
              <w:spacing w:after="0"/>
              <w:rPr>
                <w:sz w:val="20"/>
                <w:szCs w:val="20"/>
                <w:color w:val="auto"/>
              </w:rPr>
            </w:pPr>
            <w:r>
              <w:rPr>
                <w:rFonts w:ascii="Arial" w:cs="Arial" w:eastAsia="Arial" w:hAnsi="Arial"/>
                <w:sz w:val="18"/>
                <w:szCs w:val="18"/>
                <w:color w:val="auto"/>
                <w:w w:val="99"/>
              </w:rPr>
              <w:t>Ownership of Property; Liens</w:t>
            </w:r>
          </w:p>
        </w:tc>
        <w:tc>
          <w:tcPr>
            <w:tcW w:w="1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34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0000FF"/>
                <w:w w:val="79"/>
              </w:rPr>
              <w:t>96</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8.14.</w:t>
            </w:r>
          </w:p>
        </w:tc>
        <w:tc>
          <w:tcPr>
            <w:tcW w:w="4440" w:type="dxa"/>
            <w:vAlign w:val="bottom"/>
            <w:gridSpan w:val="31"/>
          </w:tcPr>
          <w:p>
            <w:pPr>
              <w:ind w:left="220"/>
              <w:spacing w:after="0"/>
              <w:rPr>
                <w:sz w:val="20"/>
                <w:szCs w:val="20"/>
                <w:color w:val="auto"/>
              </w:rPr>
            </w:pPr>
            <w:r>
              <w:rPr>
                <w:rFonts w:ascii="Arial" w:cs="Arial" w:eastAsia="Arial" w:hAnsi="Arial"/>
                <w:sz w:val="18"/>
                <w:szCs w:val="18"/>
                <w:color w:val="auto"/>
                <w:w w:val="94"/>
              </w:rPr>
              <w:t>Security Interest; Absence of Financing Statements; Etc</w:t>
            </w:r>
          </w:p>
        </w:tc>
        <w:tc>
          <w:tcPr>
            <w:tcW w:w="1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8.15.</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w w:val="94"/>
              </w:rPr>
              <w:t>Licenses and Permits</w:t>
            </w:r>
          </w:p>
        </w:tc>
        <w:tc>
          <w:tcPr>
            <w:tcW w:w="26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rPr>
              <w:t>94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8.16.</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w w:val="99"/>
              </w:rPr>
              <w:t>Disclosure</w:t>
            </w:r>
          </w:p>
        </w:tc>
        <w:tc>
          <w:tcPr>
            <w:tcW w:w="28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rPr>
              <w:t>94</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8.17.</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Solvency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200" w:type="dxa"/>
            <w:vAlign w:val="bottom"/>
            <w:gridSpan w:val="6"/>
          </w:tcPr>
          <w:p>
            <w:pPr>
              <w:jc w:val="right"/>
              <w:spacing w:after="0"/>
              <w:rPr>
                <w:sz w:val="20"/>
                <w:szCs w:val="20"/>
                <w:color w:val="auto"/>
              </w:rPr>
            </w:pPr>
            <w:r>
              <w:rPr>
                <w:rFonts w:ascii="Arial" w:cs="Arial" w:eastAsia="Arial" w:hAnsi="Arial"/>
                <w:sz w:val="18"/>
                <w:szCs w:val="18"/>
                <w:b w:val="1"/>
                <w:bCs w:val="1"/>
                <w:color w:val="0000FF"/>
                <w:w w:val="79"/>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9"/>
              </w:rPr>
              <w:t>95</w:t>
            </w: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8.18.</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rPr>
              <w:t>Intellectual Property</w:t>
            </w:r>
          </w:p>
        </w:tc>
        <w:tc>
          <w:tcPr>
            <w:tcW w:w="200" w:type="dxa"/>
            <w:vAlign w:val="bottom"/>
            <w:gridSpan w:val="2"/>
            <w:vMerge w:val="continue"/>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8.19.</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w w:val="99"/>
              </w:rPr>
              <w:t>Regulation H</w:t>
            </w:r>
          </w:p>
        </w:tc>
        <w:tc>
          <w:tcPr>
            <w:tcW w:w="80" w:type="dxa"/>
            <w:vAlign w:val="bottom"/>
            <w:gridSpan w:val="3"/>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b w:val="1"/>
                <w:bCs w:val="1"/>
                <w:color w:val="FF0000"/>
                <w:strike w:val="1"/>
                <w:w w:val="79"/>
              </w:rPr>
              <w:t>95</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8.20.</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89"/>
              </w:rPr>
              <w:t>95</w:t>
            </w:r>
          </w:p>
        </w:tc>
        <w:tc>
          <w:tcPr>
            <w:tcW w:w="180" w:type="dxa"/>
            <w:vAlign w:val="bottom"/>
            <w:gridSpan w:val="5"/>
          </w:tcPr>
          <w:p>
            <w:pPr>
              <w:jc w:val="right"/>
              <w:spacing w:after="0"/>
              <w:rPr>
                <w:sz w:val="20"/>
                <w:szCs w:val="20"/>
                <w:color w:val="auto"/>
              </w:rPr>
            </w:pPr>
            <w:r>
              <w:rPr>
                <w:rFonts w:ascii="Arial" w:cs="Arial" w:eastAsia="Arial" w:hAnsi="Arial"/>
                <w:sz w:val="18"/>
                <w:szCs w:val="18"/>
                <w:b w:val="1"/>
                <w:bCs w:val="1"/>
                <w:color w:val="0000FF"/>
                <w:w w:val="7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8.21.</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w w:val="90"/>
              </w:rPr>
              <w:t>Real Estate</w:t>
            </w:r>
          </w:p>
        </w:tc>
        <w:tc>
          <w:tcPr>
            <w:tcW w:w="140" w:type="dxa"/>
            <w:vAlign w:val="bottom"/>
          </w:tcPr>
          <w:p>
            <w:pPr>
              <w:spacing w:after="0"/>
              <w:rPr>
                <w:sz w:val="19"/>
                <w:szCs w:val="19"/>
                <w:color w:val="auto"/>
              </w:rPr>
            </w:pPr>
          </w:p>
        </w:tc>
        <w:tc>
          <w:tcPr>
            <w:tcW w:w="18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220" w:type="dxa"/>
            <w:vAlign w:val="bottom"/>
            <w:gridSpan w:val="4"/>
          </w:tcPr>
          <w:p>
            <w:pPr>
              <w:spacing w:after="0"/>
              <w:rPr>
                <w:sz w:val="20"/>
                <w:szCs w:val="20"/>
                <w:color w:val="auto"/>
              </w:rPr>
            </w:pPr>
            <w:r>
              <w:rPr>
                <w:rFonts w:ascii="Arial" w:cs="Arial" w:eastAsia="Arial" w:hAnsi="Arial"/>
                <w:sz w:val="18"/>
                <w:szCs w:val="18"/>
                <w:b w:val="1"/>
                <w:bCs w:val="1"/>
                <w:color w:val="0000FF"/>
                <w:w w:val="99"/>
              </w:rPr>
              <w:t>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2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8.22.</w:t>
            </w:r>
          </w:p>
        </w:tc>
        <w:tc>
          <w:tcPr>
            <w:tcW w:w="1860" w:type="dxa"/>
            <w:vAlign w:val="bottom"/>
            <w:gridSpan w:val="16"/>
          </w:tcPr>
          <w:p>
            <w:pPr>
              <w:ind w:left="220"/>
              <w:spacing w:after="0"/>
              <w:rPr>
                <w:sz w:val="20"/>
                <w:szCs w:val="20"/>
                <w:color w:val="auto"/>
              </w:rPr>
            </w:pPr>
            <w:r>
              <w:rPr>
                <w:rFonts w:ascii="Arial" w:cs="Arial" w:eastAsia="Arial" w:hAnsi="Arial"/>
                <w:sz w:val="18"/>
                <w:szCs w:val="18"/>
                <w:color w:val="auto"/>
              </w:rPr>
              <w:t>Anti-Terrorism Law</w:t>
            </w:r>
          </w:p>
        </w:tc>
        <w:tc>
          <w:tcPr>
            <w:tcW w:w="180" w:type="dxa"/>
            <w:vAlign w:val="bottom"/>
            <w:vMerge w:val="continue"/>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7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0000FF"/>
                <w:w w:val="79"/>
              </w:rPr>
              <w:t>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8.23.</w:t>
            </w:r>
          </w:p>
        </w:tc>
        <w:tc>
          <w:tcPr>
            <w:tcW w:w="2560" w:type="dxa"/>
            <w:vAlign w:val="bottom"/>
            <w:gridSpan w:val="24"/>
          </w:tcPr>
          <w:p>
            <w:pPr>
              <w:ind w:left="220"/>
              <w:spacing w:after="0"/>
              <w:rPr>
                <w:sz w:val="20"/>
                <w:szCs w:val="20"/>
                <w:color w:val="auto"/>
              </w:rPr>
            </w:pPr>
            <w:r>
              <w:rPr>
                <w:rFonts w:ascii="Arial" w:cs="Arial" w:eastAsia="Arial" w:hAnsi="Arial"/>
                <w:sz w:val="18"/>
                <w:szCs w:val="18"/>
                <w:color w:val="auto"/>
              </w:rPr>
              <w:t>Anti-Corruption Laws/Bribery</w:t>
            </w:r>
          </w:p>
        </w:tc>
        <w:tc>
          <w:tcPr>
            <w:tcW w:w="6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8.24.</w:t>
            </w:r>
          </w:p>
        </w:tc>
        <w:tc>
          <w:tcPr>
            <w:tcW w:w="1280" w:type="dxa"/>
            <w:vAlign w:val="bottom"/>
            <w:gridSpan w:val="6"/>
          </w:tcPr>
          <w:p>
            <w:pPr>
              <w:ind w:left="220"/>
              <w:spacing w:after="0"/>
              <w:rPr>
                <w:sz w:val="20"/>
                <w:szCs w:val="20"/>
                <w:color w:val="auto"/>
              </w:rPr>
            </w:pPr>
            <w:r>
              <w:rPr>
                <w:rFonts w:ascii="Arial" w:cs="Arial" w:eastAsia="Arial" w:hAnsi="Arial"/>
                <w:sz w:val="18"/>
                <w:szCs w:val="18"/>
                <w:color w:val="auto"/>
                <w:w w:val="93"/>
              </w:rPr>
              <w:t>Labor Matters</w:t>
            </w:r>
          </w:p>
        </w:tc>
        <w:tc>
          <w:tcPr>
            <w:tcW w:w="120" w:type="dxa"/>
            <w:vAlign w:val="bottom"/>
            <w:gridSpan w:val="4"/>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9"/>
              </w:rPr>
              <w:t>96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12"/>
          </w:tcPr>
          <w:p>
            <w:pPr>
              <w:ind w:left="40"/>
              <w:spacing w:after="0"/>
              <w:rPr>
                <w:sz w:val="20"/>
                <w:szCs w:val="20"/>
                <w:color w:val="auto"/>
              </w:rPr>
            </w:pPr>
            <w:r>
              <w:rPr>
                <w:rFonts w:ascii="Arial" w:cs="Arial" w:eastAsia="Arial" w:hAnsi="Arial"/>
                <w:sz w:val="18"/>
                <w:szCs w:val="18"/>
                <w:color w:val="auto"/>
                <w:w w:val="97"/>
              </w:rPr>
              <w:t>AFFIRMATIVE COVENANTS</w:t>
            </w: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0"/>
                <w:szCs w:val="20"/>
                <w:color w:val="auto"/>
              </w:rPr>
            </w:pPr>
            <w:r>
              <w:rPr>
                <w:rFonts w:ascii="Arial" w:cs="Arial" w:eastAsia="Arial" w:hAnsi="Arial"/>
                <w:sz w:val="18"/>
                <w:szCs w:val="18"/>
                <w:color w:val="auto"/>
              </w:rPr>
              <w:t>SECTION 9.01.</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5"/>
              </w:rPr>
              <w:t>Existence; Business Properties</w:t>
            </w: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FF0000"/>
                <w:strike w:val="1"/>
                <w:w w:val="79"/>
              </w:rPr>
              <w:t>97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99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9.02.</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97</w:t>
            </w:r>
          </w:p>
        </w:tc>
        <w:tc>
          <w:tcPr>
            <w:tcW w:w="820" w:type="dxa"/>
            <w:vAlign w:val="bottom"/>
          </w:tcPr>
          <w:p>
            <w:pPr>
              <w:jc w:val="right"/>
              <w:ind w:right="450"/>
              <w:spacing w:after="0"/>
              <w:rPr>
                <w:sz w:val="20"/>
                <w:szCs w:val="20"/>
                <w:color w:val="auto"/>
              </w:rPr>
            </w:pPr>
            <w:r>
              <w:rPr>
                <w:rFonts w:ascii="Arial" w:cs="Arial" w:eastAsia="Arial" w:hAnsi="Arial"/>
                <w:sz w:val="18"/>
                <w:szCs w:val="18"/>
                <w:b w:val="1"/>
                <w:bCs w:val="1"/>
                <w:color w:val="0000FF"/>
                <w:w w:val="86"/>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9.03.</w:t>
            </w:r>
          </w:p>
        </w:tc>
        <w:tc>
          <w:tcPr>
            <w:tcW w:w="8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97</w:t>
            </w:r>
          </w:p>
        </w:tc>
        <w:tc>
          <w:tcPr>
            <w:tcW w:w="11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0000FF"/>
                <w:w w:val="86"/>
              </w:rPr>
              <w:t>100</w:t>
            </w:r>
          </w:p>
        </w:tc>
        <w:tc>
          <w:tcPr>
            <w:tcW w:w="140" w:type="dxa"/>
            <w:vAlign w:val="bottom"/>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98</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86"/>
              </w:rPr>
              <w:t>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9.04.</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1"/>
              </w:rPr>
              <w:t>Financial Statements, Etc</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100</w:t>
            </w:r>
          </w:p>
        </w:tc>
        <w:tc>
          <w:tcPr>
            <w:tcW w:w="5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000FF"/>
                <w:w w:val="86"/>
              </w:rPr>
              <w:t>103</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9.05.</w:t>
            </w:r>
          </w:p>
        </w:tc>
        <w:tc>
          <w:tcPr>
            <w:tcW w:w="4660" w:type="dxa"/>
            <w:vAlign w:val="bottom"/>
            <w:gridSpan w:val="24"/>
          </w:tcPr>
          <w:p>
            <w:pPr>
              <w:ind w:left="220"/>
              <w:spacing w:after="0"/>
              <w:rPr>
                <w:sz w:val="20"/>
                <w:szCs w:val="20"/>
                <w:color w:val="auto"/>
              </w:rPr>
            </w:pPr>
            <w:r>
              <w:rPr>
                <w:rFonts w:ascii="Arial" w:cs="Arial" w:eastAsia="Arial" w:hAnsi="Arial"/>
                <w:sz w:val="18"/>
                <w:szCs w:val="18"/>
                <w:color w:val="auto"/>
                <w:w w:val="93"/>
              </w:rPr>
              <w:t>Maintaining Records; Access to Properties and Inspections</w:t>
            </w: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9.06.</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7"/>
              </w:rPr>
              <w:t>Use of Proceeds; FCPA</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101</w:t>
            </w:r>
          </w:p>
        </w:tc>
        <w:tc>
          <w:tcPr>
            <w:tcW w:w="4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0000FF"/>
                <w:w w:val="86"/>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101</w:t>
            </w:r>
          </w:p>
        </w:tc>
        <w:tc>
          <w:tcPr>
            <w:tcW w:w="5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104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9.07.</w:t>
            </w:r>
          </w:p>
        </w:tc>
        <w:tc>
          <w:tcPr>
            <w:tcW w:w="3120" w:type="dxa"/>
            <w:vAlign w:val="bottom"/>
            <w:gridSpan w:val="15"/>
          </w:tcPr>
          <w:p>
            <w:pPr>
              <w:ind w:left="220"/>
              <w:spacing w:after="0"/>
              <w:rPr>
                <w:sz w:val="20"/>
                <w:szCs w:val="20"/>
                <w:color w:val="auto"/>
              </w:rPr>
            </w:pPr>
            <w:r>
              <w:rPr>
                <w:rFonts w:ascii="Arial" w:cs="Arial" w:eastAsia="Arial" w:hAnsi="Arial"/>
                <w:sz w:val="18"/>
                <w:szCs w:val="18"/>
                <w:color w:val="auto"/>
                <w:w w:val="99"/>
              </w:rPr>
              <w:t>Compliance with Environmental Law</w:t>
            </w:r>
          </w:p>
        </w:tc>
        <w:tc>
          <w:tcPr>
            <w:tcW w:w="2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102</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86"/>
              </w:rPr>
              <w:t>104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9.08.</w:t>
            </w:r>
          </w:p>
        </w:tc>
        <w:tc>
          <w:tcPr>
            <w:tcW w:w="3940" w:type="dxa"/>
            <w:vAlign w:val="bottom"/>
            <w:gridSpan w:val="19"/>
          </w:tcPr>
          <w:p>
            <w:pPr>
              <w:ind w:left="220"/>
              <w:spacing w:after="0"/>
              <w:rPr>
                <w:sz w:val="20"/>
                <w:szCs w:val="20"/>
                <w:color w:val="auto"/>
              </w:rPr>
            </w:pPr>
            <w:r>
              <w:rPr>
                <w:rFonts w:ascii="Arial" w:cs="Arial" w:eastAsia="Arial" w:hAnsi="Arial"/>
                <w:sz w:val="18"/>
                <w:szCs w:val="18"/>
                <w:color w:val="auto"/>
                <w:w w:val="95"/>
              </w:rPr>
              <w:t>Pledge of Property or Mortgage of Real Property</w:t>
            </w:r>
          </w:p>
        </w:tc>
        <w:tc>
          <w:tcPr>
            <w:tcW w:w="26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16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9.09.</w:t>
            </w:r>
          </w:p>
        </w:tc>
        <w:tc>
          <w:tcPr>
            <w:tcW w:w="3120" w:type="dxa"/>
            <w:vAlign w:val="bottom"/>
            <w:gridSpan w:val="15"/>
          </w:tcPr>
          <w:p>
            <w:pPr>
              <w:ind w:left="220"/>
              <w:spacing w:after="0"/>
              <w:rPr>
                <w:sz w:val="20"/>
                <w:szCs w:val="20"/>
                <w:color w:val="auto"/>
              </w:rPr>
            </w:pPr>
            <w:r>
              <w:rPr>
                <w:rFonts w:ascii="Arial" w:cs="Arial" w:eastAsia="Arial" w:hAnsi="Arial"/>
                <w:sz w:val="18"/>
                <w:szCs w:val="18"/>
                <w:color w:val="auto"/>
                <w:w w:val="94"/>
              </w:rPr>
              <w:t>Security Interests; Further Assurances</w:t>
            </w:r>
          </w:p>
        </w:tc>
        <w:tc>
          <w:tcPr>
            <w:tcW w:w="4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color w:val="FF0000"/>
                <w:strike w:val="1"/>
                <w:w w:val="79"/>
              </w:rPr>
              <w:t>104</w:t>
            </w:r>
          </w:p>
        </w:tc>
        <w:tc>
          <w:tcPr>
            <w:tcW w:w="520" w:type="dxa"/>
            <w:vAlign w:val="bottom"/>
          </w:tcPr>
          <w:p>
            <w:pPr>
              <w:spacing w:after="0"/>
              <w:rPr>
                <w:sz w:val="20"/>
                <w:szCs w:val="20"/>
                <w:color w:val="auto"/>
              </w:rPr>
            </w:pPr>
            <w:r>
              <w:rPr>
                <w:rFonts w:ascii="Arial" w:cs="Arial" w:eastAsia="Arial" w:hAnsi="Arial"/>
                <w:sz w:val="18"/>
                <w:szCs w:val="18"/>
                <w:b w:val="1"/>
                <w:bCs w:val="1"/>
                <w:color w:val="0000FF"/>
              </w:rPr>
              <w:t>106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9.10.</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0"/>
              </w:rPr>
              <w:t>Wynn Las Vegas Reorganization</w:t>
            </w: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104</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0000FF"/>
                <w:w w:val="86"/>
              </w:rPr>
              <w:t>106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SECTION 9.11.</w:t>
            </w:r>
          </w:p>
        </w:tc>
        <w:tc>
          <w:tcPr>
            <w:tcW w:w="2100" w:type="dxa"/>
            <w:vAlign w:val="bottom"/>
            <w:gridSpan w:val="5"/>
          </w:tcPr>
          <w:p>
            <w:pPr>
              <w:ind w:left="220"/>
              <w:spacing w:after="0"/>
              <w:rPr>
                <w:sz w:val="20"/>
                <w:szCs w:val="20"/>
                <w:color w:val="auto"/>
              </w:rPr>
            </w:pPr>
            <w:r>
              <w:rPr>
                <w:rFonts w:ascii="Arial" w:cs="Arial" w:eastAsia="Arial" w:hAnsi="Arial"/>
                <w:sz w:val="18"/>
                <w:szCs w:val="18"/>
                <w:color w:val="auto"/>
                <w:w w:val="96"/>
              </w:rPr>
              <w:t>Additional Credit Parties</w:t>
            </w:r>
          </w:p>
        </w:tc>
        <w:tc>
          <w:tcPr>
            <w:tcW w:w="3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rPr>
              <w:t>104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105</w:t>
            </w:r>
          </w:p>
        </w:tc>
        <w:tc>
          <w:tcPr>
            <w:tcW w:w="78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0000FF"/>
                <w:w w:val="86"/>
              </w:rPr>
              <w:t>108</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SECTION 9.12.</w:t>
            </w:r>
          </w:p>
        </w:tc>
        <w:tc>
          <w:tcPr>
            <w:tcW w:w="4260" w:type="dxa"/>
            <w:vAlign w:val="bottom"/>
            <w:gridSpan w:val="21"/>
          </w:tcPr>
          <w:p>
            <w:pPr>
              <w:ind w:left="220"/>
              <w:spacing w:after="0"/>
              <w:rPr>
                <w:sz w:val="20"/>
                <w:szCs w:val="20"/>
                <w:color w:val="auto"/>
              </w:rPr>
            </w:pPr>
            <w:r>
              <w:rPr>
                <w:rFonts w:ascii="Arial" w:cs="Arial" w:eastAsia="Arial" w:hAnsi="Arial"/>
                <w:sz w:val="18"/>
                <w:szCs w:val="18"/>
                <w:color w:val="auto"/>
                <w:w w:val="92"/>
              </w:rPr>
              <w:t>Limitation on Designations of Unrestricted Subsidiaries</w:t>
            </w:r>
          </w:p>
        </w:tc>
        <w:tc>
          <w:tcPr>
            <w:tcW w:w="18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9.13.</w:t>
            </w:r>
          </w:p>
        </w:tc>
        <w:tc>
          <w:tcPr>
            <w:tcW w:w="4260" w:type="dxa"/>
            <w:vAlign w:val="bottom"/>
            <w:gridSpan w:val="21"/>
          </w:tcPr>
          <w:p>
            <w:pPr>
              <w:ind w:left="220"/>
              <w:spacing w:after="0"/>
              <w:rPr>
                <w:sz w:val="20"/>
                <w:szCs w:val="20"/>
                <w:color w:val="auto"/>
              </w:rPr>
            </w:pPr>
            <w:r>
              <w:rPr>
                <w:rFonts w:ascii="Arial" w:cs="Arial" w:eastAsia="Arial" w:hAnsi="Arial"/>
                <w:sz w:val="18"/>
                <w:szCs w:val="18"/>
                <w:color w:val="auto"/>
                <w:w w:val="97"/>
              </w:rPr>
              <w:t>Limitation on Designation of Immaterial Subsidiaries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6"/>
              </w:rPr>
              <w:t>106</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0000FF"/>
                <w:w w:val="79"/>
              </w:rPr>
              <w:t>109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Arial" w:cs="Arial" w:eastAsia="Arial" w:hAnsi="Arial"/>
                <w:sz w:val="18"/>
                <w:szCs w:val="18"/>
                <w:color w:val="auto"/>
              </w:rPr>
              <w:t>SECTION 9.14.</w:t>
            </w:r>
          </w:p>
        </w:tc>
        <w:tc>
          <w:tcPr>
            <w:tcW w:w="2600" w:type="dxa"/>
            <w:vAlign w:val="bottom"/>
            <w:gridSpan w:val="10"/>
          </w:tcPr>
          <w:p>
            <w:pPr>
              <w:ind w:left="220"/>
              <w:spacing w:after="0"/>
              <w:rPr>
                <w:sz w:val="20"/>
                <w:szCs w:val="20"/>
                <w:color w:val="auto"/>
              </w:rPr>
            </w:pPr>
            <w:r>
              <w:rPr>
                <w:rFonts w:ascii="Arial" w:cs="Arial" w:eastAsia="Arial" w:hAnsi="Arial"/>
                <w:sz w:val="18"/>
                <w:szCs w:val="18"/>
                <w:color w:val="auto"/>
                <w:w w:val="98"/>
              </w:rPr>
              <w:t>Wynn Las Vegas Distributions</w:t>
            </w:r>
          </w:p>
        </w:tc>
        <w:tc>
          <w:tcPr>
            <w:tcW w:w="280" w:type="dxa"/>
            <w:vAlign w:val="bottom"/>
            <w:gridSpan w:val="3"/>
          </w:tcPr>
          <w:p>
            <w:pPr>
              <w:spacing w:after="0"/>
              <w:rPr>
                <w:sz w:val="20"/>
                <w:szCs w:val="20"/>
                <w:color w:val="auto"/>
              </w:rPr>
            </w:pPr>
            <w:r>
              <w:rPr>
                <w:rFonts w:ascii="Arial" w:cs="Arial" w:eastAsia="Arial" w:hAnsi="Arial"/>
                <w:sz w:val="18"/>
                <w:szCs w:val="18"/>
                <w:b w:val="1"/>
                <w:bCs w:val="1"/>
                <w:color w:val="FF0000"/>
                <w:strike w:val="1"/>
                <w:w w:val="86"/>
              </w:rPr>
              <w:t>107</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0000FF"/>
                <w:w w:val="79"/>
              </w:rPr>
              <w:t>109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4" w:right="1440" w:bottom="1440" w:gutter="0" w:footer="0" w:header="0"/>
        </w:sectPr>
      </w:pPr>
    </w:p>
    <w:bookmarkStart w:id="349" w:name="page350"/>
    <w:bookmarkEnd w:id="349"/>
    <w:p>
      <w:pPr>
        <w:spacing w:after="0"/>
        <w:tabs>
          <w:tab w:leader="none" w:pos="1600" w:val="left"/>
          <w:tab w:leader="none" w:pos="234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8"/>
          <w:szCs w:val="18"/>
          <w:color w:val="auto"/>
        </w:rPr>
        <w:t>Ratings</w:t>
      </w:r>
      <w:r>
        <w:rPr>
          <w:sz w:val="20"/>
          <w:szCs w:val="20"/>
          <w:color w:val="auto"/>
        </w:rPr>
        <w:tab/>
      </w:r>
      <w:r>
        <w:rPr>
          <w:rFonts w:ascii="Arial" w:cs="Arial" w:eastAsia="Arial" w:hAnsi="Arial"/>
          <w:sz w:val="15"/>
          <w:szCs w:val="15"/>
          <w:b w:val="1"/>
          <w:bCs w:val="1"/>
          <w:color w:val="FF0000"/>
          <w:strike w:val="1"/>
        </w:rPr>
        <w:t>107</w:t>
      </w:r>
      <w:r>
        <w:rPr>
          <w:rFonts w:ascii="Arial" w:cs="Arial" w:eastAsia="Arial" w:hAnsi="Arial"/>
          <w:sz w:val="15"/>
          <w:szCs w:val="15"/>
          <w:b w:val="1"/>
          <w:bCs w:val="1"/>
          <w:color w:val="0000FF"/>
          <w:strike w:val="1"/>
        </w:rPr>
        <w:t>110</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color w:val="auto"/>
              </w:rPr>
              <w:t>NEGATIVE COVENANTS</w:t>
            </w: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0"/>
                <w:szCs w:val="20"/>
                <w:color w:val="auto"/>
              </w:rPr>
            </w:pPr>
            <w:r>
              <w:rPr>
                <w:rFonts w:ascii="Arial" w:cs="Arial" w:eastAsia="Arial" w:hAnsi="Arial"/>
                <w:sz w:val="18"/>
                <w:szCs w:val="18"/>
                <w:color w:val="auto"/>
              </w:rPr>
              <w:t>SECTION 10.01.</w:t>
            </w:r>
          </w:p>
        </w:tc>
        <w:tc>
          <w:tcPr>
            <w:tcW w:w="1300" w:type="dxa"/>
            <w:vAlign w:val="bottom"/>
            <w:gridSpan w:val="4"/>
          </w:tcPr>
          <w:p>
            <w:pPr>
              <w:ind w:left="180"/>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107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10.02.</w:t>
            </w:r>
          </w:p>
        </w:tc>
        <w:tc>
          <w:tcPr>
            <w:tcW w:w="760" w:type="dxa"/>
            <w:vAlign w:val="bottom"/>
          </w:tcPr>
          <w:p>
            <w:pPr>
              <w:ind w:left="180"/>
              <w:spacing w:after="0"/>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112</w:t>
            </w:r>
          </w:p>
        </w:tc>
        <w:tc>
          <w:tcPr>
            <w:tcW w:w="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10.03.</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113</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0000FF"/>
                <w:w w:val="79"/>
              </w:rPr>
              <w:t>116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79"/>
              </w:rPr>
              <w:t>114</w:t>
            </w:r>
          </w:p>
        </w:tc>
        <w:tc>
          <w:tcPr>
            <w:tcW w:w="500" w:type="dxa"/>
            <w:vAlign w:val="bottom"/>
            <w:gridSpan w:val="3"/>
            <w:vMerge w:val="restart"/>
          </w:tcPr>
          <w:p>
            <w:pPr>
              <w:jc w:val="right"/>
              <w:ind w:right="150"/>
              <w:spacing w:after="0"/>
              <w:rPr>
                <w:sz w:val="20"/>
                <w:szCs w:val="20"/>
                <w:color w:val="auto"/>
              </w:rPr>
            </w:pPr>
            <w:r>
              <w:rPr>
                <w:rFonts w:ascii="Arial" w:cs="Arial" w:eastAsia="Arial" w:hAnsi="Arial"/>
                <w:sz w:val="18"/>
                <w:szCs w:val="18"/>
                <w:b w:val="1"/>
                <w:bCs w:val="1"/>
                <w:color w:val="0000FF"/>
                <w:w w:val="79"/>
              </w:rPr>
              <w:t>116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10.04.</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90"/>
              </w:rPr>
              <w:t>Investments, Loans and Advances</w:t>
            </w:r>
          </w:p>
        </w:tc>
        <w:tc>
          <w:tcPr>
            <w:tcW w:w="14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116</w:t>
            </w: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0000FF"/>
                <w:w w:val="79"/>
              </w:rPr>
              <w:t>119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10.05.</w:t>
            </w:r>
          </w:p>
        </w:tc>
        <w:tc>
          <w:tcPr>
            <w:tcW w:w="3580" w:type="dxa"/>
            <w:vAlign w:val="bottom"/>
            <w:gridSpan w:val="19"/>
          </w:tcPr>
          <w:p>
            <w:pPr>
              <w:ind w:left="180"/>
              <w:spacing w:after="0"/>
              <w:rPr>
                <w:sz w:val="20"/>
                <w:szCs w:val="20"/>
                <w:color w:val="auto"/>
              </w:rPr>
            </w:pPr>
            <w:r>
              <w:rPr>
                <w:rFonts w:ascii="Arial" w:cs="Arial" w:eastAsia="Arial" w:hAnsi="Arial"/>
                <w:sz w:val="18"/>
                <w:szCs w:val="18"/>
                <w:color w:val="auto"/>
                <w:w w:val="94"/>
              </w:rPr>
              <w:t>Mergers, Consolidations and Sales of Assets</w:t>
            </w:r>
          </w:p>
        </w:tc>
        <w:tc>
          <w:tcPr>
            <w:tcW w:w="2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10.06.</w:t>
            </w:r>
          </w:p>
        </w:tc>
        <w:tc>
          <w:tcPr>
            <w:tcW w:w="1820" w:type="dxa"/>
            <w:vAlign w:val="bottom"/>
            <w:gridSpan w:val="6"/>
          </w:tcPr>
          <w:p>
            <w:pPr>
              <w:ind w:left="180"/>
              <w:spacing w:after="0"/>
              <w:rPr>
                <w:sz w:val="20"/>
                <w:szCs w:val="20"/>
                <w:color w:val="auto"/>
              </w:rPr>
            </w:pPr>
            <w:r>
              <w:rPr>
                <w:rFonts w:ascii="Arial" w:cs="Arial" w:eastAsia="Arial" w:hAnsi="Arial"/>
                <w:sz w:val="18"/>
                <w:szCs w:val="18"/>
                <w:color w:val="auto"/>
                <w:w w:val="97"/>
              </w:rPr>
              <w:t>Restricted Payments</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118</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0000FF"/>
                <w:w w:val="86"/>
              </w:rPr>
              <w:t>121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10.07.</w:t>
            </w:r>
          </w:p>
        </w:tc>
        <w:tc>
          <w:tcPr>
            <w:tcW w:w="2360" w:type="dxa"/>
            <w:vAlign w:val="bottom"/>
            <w:gridSpan w:val="10"/>
          </w:tcPr>
          <w:p>
            <w:pPr>
              <w:ind w:left="180"/>
              <w:spacing w:after="0"/>
              <w:rPr>
                <w:sz w:val="20"/>
                <w:szCs w:val="20"/>
                <w:color w:val="auto"/>
              </w:rPr>
            </w:pPr>
            <w:r>
              <w:rPr>
                <w:rFonts w:ascii="Arial" w:cs="Arial" w:eastAsia="Arial" w:hAnsi="Arial"/>
                <w:sz w:val="18"/>
                <w:szCs w:val="18"/>
                <w:color w:val="auto"/>
              </w:rPr>
              <w:t>Transactions with Affiliates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119</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122</w:t>
            </w:r>
          </w:p>
        </w:tc>
        <w:tc>
          <w:tcPr>
            <w:tcW w:w="1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10.08.</w:t>
            </w:r>
          </w:p>
        </w:tc>
        <w:tc>
          <w:tcPr>
            <w:tcW w:w="1820" w:type="dxa"/>
            <w:vAlign w:val="bottom"/>
            <w:gridSpan w:val="6"/>
          </w:tcPr>
          <w:p>
            <w:pPr>
              <w:ind w:left="180"/>
              <w:spacing w:after="0"/>
              <w:rPr>
                <w:sz w:val="20"/>
                <w:szCs w:val="20"/>
                <w:color w:val="auto"/>
              </w:rPr>
            </w:pPr>
            <w:r>
              <w:rPr>
                <w:rFonts w:ascii="Arial" w:cs="Arial" w:eastAsia="Arial" w:hAnsi="Arial"/>
                <w:sz w:val="18"/>
                <w:szCs w:val="18"/>
                <w:color w:val="auto"/>
              </w:rPr>
              <w:t>Financial Covenant.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0000FF"/>
                <w:w w:val="86"/>
              </w:rPr>
              <w:t>122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4"/>
            <w:vMerge w:val="restart"/>
          </w:tcPr>
          <w:p>
            <w:pPr>
              <w:spacing w:after="0"/>
              <w:rPr>
                <w:sz w:val="20"/>
                <w:szCs w:val="20"/>
                <w:color w:val="auto"/>
              </w:rPr>
            </w:pPr>
            <w:r>
              <w:rPr>
                <w:rFonts w:ascii="Arial" w:cs="Arial" w:eastAsia="Arial" w:hAnsi="Arial"/>
                <w:sz w:val="18"/>
                <w:szCs w:val="18"/>
                <w:b w:val="1"/>
                <w:bCs w:val="1"/>
                <w:color w:val="FF0000"/>
                <w:strike w:val="1"/>
                <w:w w:val="86"/>
              </w:rPr>
              <w:t>120</w:t>
            </w:r>
          </w:p>
        </w:tc>
        <w:tc>
          <w:tcPr>
            <w:tcW w:w="48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0000FF"/>
                <w:w w:val="79"/>
              </w:rPr>
              <w:t>123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10.09.</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89"/>
              </w:rPr>
              <w:t>Certain Payments of Indebtedness</w:t>
            </w:r>
          </w:p>
        </w:tc>
        <w:tc>
          <w:tcPr>
            <w:tcW w:w="140" w:type="dxa"/>
            <w:vAlign w:val="bottom"/>
          </w:tcPr>
          <w:p>
            <w:pPr>
              <w:spacing w:after="0"/>
              <w:rPr>
                <w:sz w:val="18"/>
                <w:szCs w:val="18"/>
                <w:color w:val="auto"/>
              </w:rPr>
            </w:pPr>
          </w:p>
        </w:tc>
        <w:tc>
          <w:tcPr>
            <w:tcW w:w="280" w:type="dxa"/>
            <w:vAlign w:val="bottom"/>
            <w:gridSpan w:val="4"/>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121</w:t>
            </w: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10.10.</w:t>
            </w:r>
          </w:p>
        </w:tc>
        <w:tc>
          <w:tcPr>
            <w:tcW w:w="4480" w:type="dxa"/>
            <w:vAlign w:val="bottom"/>
            <w:gridSpan w:val="21"/>
          </w:tcPr>
          <w:p>
            <w:pPr>
              <w:ind w:left="180"/>
              <w:spacing w:after="0"/>
              <w:rPr>
                <w:sz w:val="20"/>
                <w:szCs w:val="20"/>
                <w:color w:val="auto"/>
              </w:rPr>
            </w:pPr>
            <w:r>
              <w:rPr>
                <w:rFonts w:ascii="Arial" w:cs="Arial" w:eastAsia="Arial" w:hAnsi="Arial"/>
                <w:sz w:val="18"/>
                <w:szCs w:val="18"/>
                <w:color w:val="auto"/>
                <w:w w:val="96"/>
              </w:rPr>
              <w:t>Limitation on Certain Restrictions Affecting Subsidiaries</w:t>
            </w:r>
          </w:p>
        </w:tc>
        <w:tc>
          <w:tcPr>
            <w:tcW w:w="2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10.11.</w:t>
            </w:r>
          </w:p>
        </w:tc>
        <w:tc>
          <w:tcPr>
            <w:tcW w:w="2680" w:type="dxa"/>
            <w:vAlign w:val="bottom"/>
            <w:gridSpan w:val="12"/>
          </w:tcPr>
          <w:p>
            <w:pPr>
              <w:ind w:left="180"/>
              <w:spacing w:after="0"/>
              <w:rPr>
                <w:sz w:val="20"/>
                <w:szCs w:val="20"/>
                <w:color w:val="auto"/>
              </w:rPr>
            </w:pPr>
            <w:r>
              <w:rPr>
                <w:rFonts w:ascii="Arial" w:cs="Arial" w:eastAsia="Arial" w:hAnsi="Arial"/>
                <w:sz w:val="18"/>
                <w:szCs w:val="18"/>
                <w:color w:val="auto"/>
                <w:w w:val="99"/>
              </w:rPr>
              <w:t>Limitation on Lines of Business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color w:val="auto"/>
              </w:rPr>
              <w:t>SECTION 10.12.</w:t>
            </w:r>
          </w:p>
        </w:tc>
        <w:tc>
          <w:tcPr>
            <w:tcW w:w="3060" w:type="dxa"/>
            <w:vAlign w:val="bottom"/>
            <w:gridSpan w:val="15"/>
          </w:tcPr>
          <w:p>
            <w:pPr>
              <w:ind w:left="180"/>
              <w:spacing w:after="0"/>
              <w:rPr>
                <w:sz w:val="20"/>
                <w:szCs w:val="20"/>
                <w:color w:val="auto"/>
              </w:rPr>
            </w:pPr>
            <w:r>
              <w:rPr>
                <w:rFonts w:ascii="Arial" w:cs="Arial" w:eastAsia="Arial" w:hAnsi="Arial"/>
                <w:sz w:val="18"/>
                <w:szCs w:val="18"/>
                <w:color w:val="auto"/>
                <w:w w:val="97"/>
              </w:rPr>
              <w:t>Limitation on Changes to Fiscal Year</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1960" w:type="dxa"/>
            <w:vAlign w:val="bottom"/>
            <w:gridSpan w:val="5"/>
          </w:tcPr>
          <w:p>
            <w:pPr>
              <w:jc w:val="right"/>
              <w:ind w:right="1590"/>
              <w:spacing w:after="0"/>
              <w:rPr>
                <w:sz w:val="20"/>
                <w:szCs w:val="20"/>
                <w:color w:val="auto"/>
              </w:rPr>
            </w:pPr>
            <w:r>
              <w:rPr>
                <w:rFonts w:ascii="Arial" w:cs="Arial" w:eastAsia="Arial" w:hAnsi="Arial"/>
                <w:sz w:val="18"/>
                <w:szCs w:val="18"/>
                <w:b w:val="1"/>
                <w:bCs w:val="1"/>
                <w:color w:val="0000FF"/>
                <w:w w:val="86"/>
              </w:rPr>
              <w:t>124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EVENTS OF DEFAULT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40" w:type="dxa"/>
            <w:vAlign w:val="bottom"/>
            <w:vMerge w:val="restart"/>
          </w:tcPr>
          <w:p>
            <w:pPr>
              <w:spacing w:after="0"/>
              <w:rPr>
                <w:sz w:val="20"/>
                <w:szCs w:val="20"/>
                <w:color w:val="auto"/>
              </w:rPr>
            </w:pPr>
            <w:r>
              <w:rPr>
                <w:rFonts w:ascii="Arial" w:cs="Arial" w:eastAsia="Arial" w:hAnsi="Arial"/>
                <w:sz w:val="18"/>
                <w:szCs w:val="18"/>
                <w:color w:val="auto"/>
              </w:rPr>
              <w:t>SECTION 11.01.</w:t>
            </w:r>
          </w:p>
        </w:tc>
        <w:tc>
          <w:tcPr>
            <w:tcW w:w="1640" w:type="dxa"/>
            <w:vAlign w:val="bottom"/>
            <w:vMerge w:val="restart"/>
          </w:tcPr>
          <w:p>
            <w:pPr>
              <w:ind w:left="180"/>
              <w:spacing w:after="0"/>
              <w:rPr>
                <w:sz w:val="20"/>
                <w:szCs w:val="20"/>
                <w:color w:val="auto"/>
              </w:rPr>
            </w:pPr>
            <w:r>
              <w:rPr>
                <w:rFonts w:ascii="Arial" w:cs="Arial" w:eastAsia="Arial" w:hAnsi="Arial"/>
                <w:sz w:val="18"/>
                <w:szCs w:val="18"/>
                <w:color w:val="auto"/>
              </w:rPr>
              <w:t>Events of Default</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w w:val="86"/>
              </w:rPr>
              <w:t>124</w:t>
            </w: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11.02.</w:t>
            </w:r>
          </w:p>
        </w:tc>
        <w:tc>
          <w:tcPr>
            <w:tcW w:w="2080" w:type="dxa"/>
            <w:vAlign w:val="bottom"/>
            <w:gridSpan w:val="3"/>
          </w:tcPr>
          <w:p>
            <w:pPr>
              <w:ind w:left="180"/>
              <w:spacing w:after="0"/>
              <w:rPr>
                <w:sz w:val="20"/>
                <w:szCs w:val="20"/>
                <w:color w:val="auto"/>
              </w:rPr>
            </w:pPr>
            <w:r>
              <w:rPr>
                <w:rFonts w:ascii="Arial" w:cs="Arial" w:eastAsia="Arial" w:hAnsi="Arial"/>
                <w:sz w:val="18"/>
                <w:szCs w:val="18"/>
                <w:color w:val="auto"/>
                <w:w w:val="99"/>
              </w:rPr>
              <w:t>Application of Proceeds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93"/>
              </w:rPr>
              <w:t>125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0000FF"/>
                <w:w w:val="79"/>
              </w:rPr>
              <w:t>127</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Arial" w:cs="Arial" w:eastAsia="Arial" w:hAnsi="Arial"/>
                <w:sz w:val="18"/>
                <w:szCs w:val="18"/>
                <w:color w:val="auto"/>
              </w:rPr>
              <w:t>SECTION 11.03.</w:t>
            </w:r>
          </w:p>
        </w:tc>
        <w:tc>
          <w:tcPr>
            <w:tcW w:w="2080" w:type="dxa"/>
            <w:vAlign w:val="bottom"/>
            <w:gridSpan w:val="3"/>
          </w:tcPr>
          <w:p>
            <w:pPr>
              <w:ind w:left="180"/>
              <w:spacing w:after="0"/>
              <w:rPr>
                <w:sz w:val="20"/>
                <w:szCs w:val="20"/>
                <w:color w:val="auto"/>
              </w:rPr>
            </w:pPr>
            <w:r>
              <w:rPr>
                <w:rFonts w:ascii="Arial" w:cs="Arial" w:eastAsia="Arial" w:hAnsi="Arial"/>
                <w:sz w:val="18"/>
                <w:szCs w:val="18"/>
                <w:color w:val="auto"/>
                <w:w w:val="95"/>
              </w:rPr>
              <w:t>Borrower’s Right to Cure</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0000FF"/>
                <w:w w:val="86"/>
              </w:rPr>
              <w:t>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ind w:right="570"/>
              <w:spacing w:after="0"/>
              <w:rPr>
                <w:sz w:val="20"/>
                <w:szCs w:val="20"/>
                <w:color w:val="auto"/>
              </w:rPr>
            </w:pPr>
            <w:r>
              <w:rPr>
                <w:rFonts w:ascii="Arial" w:cs="Arial" w:eastAsia="Arial" w:hAnsi="Arial"/>
                <w:sz w:val="18"/>
                <w:szCs w:val="18"/>
                <w:color w:val="auto"/>
              </w:rPr>
              <w:t>AGENTS</w:t>
            </w: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0"/>
                <w:szCs w:val="20"/>
                <w:color w:val="auto"/>
              </w:rPr>
            </w:pPr>
            <w:r>
              <w:rPr>
                <w:rFonts w:ascii="Arial" w:cs="Arial" w:eastAsia="Arial" w:hAnsi="Arial"/>
                <w:sz w:val="18"/>
                <w:szCs w:val="18"/>
                <w:color w:val="auto"/>
              </w:rPr>
              <w:t>SECTION 12.01.</w:t>
            </w:r>
          </w:p>
        </w:tc>
        <w:tc>
          <w:tcPr>
            <w:tcW w:w="1320" w:type="dxa"/>
            <w:vAlign w:val="bottom"/>
            <w:gridSpan w:val="4"/>
          </w:tcPr>
          <w:p>
            <w:pPr>
              <w:ind w:left="180"/>
              <w:spacing w:after="0"/>
              <w:rPr>
                <w:sz w:val="20"/>
                <w:szCs w:val="20"/>
                <w:color w:val="auto"/>
              </w:rPr>
            </w:pPr>
            <w:r>
              <w:rPr>
                <w:rFonts w:ascii="Arial" w:cs="Arial" w:eastAsia="Arial" w:hAnsi="Arial"/>
                <w:sz w:val="18"/>
                <w:szCs w:val="18"/>
                <w:color w:val="auto"/>
              </w:rPr>
              <w:t>Appointment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126</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86"/>
              </w:rPr>
              <w:t>129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12.02.</w:t>
            </w:r>
          </w:p>
        </w:tc>
        <w:tc>
          <w:tcPr>
            <w:tcW w:w="840" w:type="dxa"/>
            <w:vAlign w:val="bottom"/>
          </w:tcPr>
          <w:p>
            <w:pPr>
              <w:ind w:left="180"/>
              <w:spacing w:after="0"/>
              <w:rPr>
                <w:sz w:val="20"/>
                <w:szCs w:val="20"/>
                <w:color w:val="auto"/>
              </w:rPr>
            </w:pPr>
            <w:r>
              <w:rPr>
                <w:rFonts w:ascii="Arial" w:cs="Arial" w:eastAsia="Arial" w:hAnsi="Arial"/>
                <w:sz w:val="18"/>
                <w:szCs w:val="18"/>
                <w:color w:val="auto"/>
              </w:rPr>
              <w:t>Rights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127</w:t>
            </w:r>
          </w:p>
        </w:tc>
        <w:tc>
          <w:tcPr>
            <w:tcW w:w="410" w:type="dxa"/>
            <w:vAlign w:val="bottom"/>
            <w:gridSpan w:val="3"/>
          </w:tcPr>
          <w:p>
            <w:pPr>
              <w:jc w:val="right"/>
              <w:ind w:right="40"/>
              <w:spacing w:after="0"/>
              <w:rPr>
                <w:sz w:val="20"/>
                <w:szCs w:val="20"/>
                <w:color w:val="auto"/>
              </w:rPr>
            </w:pPr>
            <w:r>
              <w:rPr>
                <w:rFonts w:ascii="Arial" w:cs="Arial" w:eastAsia="Arial" w:hAnsi="Arial"/>
                <w:sz w:val="18"/>
                <w:szCs w:val="18"/>
                <w:b w:val="1"/>
                <w:bCs w:val="1"/>
                <w:color w:val="0000FF"/>
                <w:w w:val="86"/>
              </w:rPr>
              <w:t>129</w:t>
            </w:r>
          </w:p>
        </w:tc>
        <w:tc>
          <w:tcPr>
            <w:tcW w:w="7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127</w:t>
            </w:r>
          </w:p>
        </w:tc>
        <w:tc>
          <w:tcPr>
            <w:tcW w:w="7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0000FF"/>
                <w:w w:val="86"/>
              </w:rPr>
              <w:t>129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12.03.</w:t>
            </w:r>
          </w:p>
        </w:tc>
        <w:tc>
          <w:tcPr>
            <w:tcW w:w="2060" w:type="dxa"/>
            <w:vAlign w:val="bottom"/>
            <w:gridSpan w:val="13"/>
          </w:tcPr>
          <w:p>
            <w:pPr>
              <w:ind w:left="180"/>
              <w:spacing w:after="0"/>
              <w:rPr>
                <w:sz w:val="20"/>
                <w:szCs w:val="20"/>
                <w:color w:val="auto"/>
              </w:rPr>
            </w:pPr>
            <w:r>
              <w:rPr>
                <w:rFonts w:ascii="Arial" w:cs="Arial" w:eastAsia="Arial" w:hAnsi="Arial"/>
                <w:sz w:val="18"/>
                <w:szCs w:val="18"/>
                <w:color w:val="auto"/>
              </w:rPr>
              <w:t>Exculpatory Provisions</w:t>
            </w: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12.04.</w:t>
            </w:r>
          </w:p>
        </w:tc>
        <w:tc>
          <w:tcPr>
            <w:tcW w:w="1760" w:type="dxa"/>
            <w:vAlign w:val="bottom"/>
            <w:gridSpan w:val="7"/>
          </w:tcPr>
          <w:p>
            <w:pPr>
              <w:ind w:left="180"/>
              <w:spacing w:after="0"/>
              <w:rPr>
                <w:sz w:val="20"/>
                <w:szCs w:val="20"/>
                <w:color w:val="auto"/>
              </w:rPr>
            </w:pPr>
            <w:r>
              <w:rPr>
                <w:rFonts w:ascii="Arial" w:cs="Arial" w:eastAsia="Arial" w:hAnsi="Arial"/>
                <w:sz w:val="18"/>
                <w:szCs w:val="18"/>
                <w:color w:val="auto"/>
              </w:rPr>
              <w:t>Reliance by Agents</w:t>
            </w:r>
          </w:p>
        </w:tc>
        <w:tc>
          <w:tcPr>
            <w:tcW w:w="2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86"/>
              </w:rPr>
              <w:t>128</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130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12.05.</w:t>
            </w:r>
          </w:p>
        </w:tc>
        <w:tc>
          <w:tcPr>
            <w:tcW w:w="1760" w:type="dxa"/>
            <w:vAlign w:val="bottom"/>
            <w:gridSpan w:val="7"/>
          </w:tcPr>
          <w:p>
            <w:pPr>
              <w:ind w:left="180"/>
              <w:spacing w:after="0"/>
              <w:rPr>
                <w:sz w:val="20"/>
                <w:szCs w:val="20"/>
                <w:color w:val="auto"/>
              </w:rPr>
            </w:pPr>
            <w:r>
              <w:rPr>
                <w:rFonts w:ascii="Arial" w:cs="Arial" w:eastAsia="Arial" w:hAnsi="Arial"/>
                <w:sz w:val="18"/>
                <w:szCs w:val="18"/>
                <w:color w:val="auto"/>
                <w:w w:val="96"/>
              </w:rPr>
              <w:t>Delegation of Duties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86"/>
              </w:rPr>
              <w:t>128</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0000FF"/>
                <w:w w:val="79"/>
              </w:rPr>
              <w:t>130</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128</w:t>
            </w:r>
          </w:p>
        </w:tc>
        <w:tc>
          <w:tcPr>
            <w:tcW w:w="3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0000FF"/>
                <w:w w:val="86"/>
              </w:rPr>
              <w:t>130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12.06.</w:t>
            </w:r>
          </w:p>
        </w:tc>
        <w:tc>
          <w:tcPr>
            <w:tcW w:w="3040" w:type="dxa"/>
            <w:vAlign w:val="bottom"/>
            <w:gridSpan w:val="16"/>
          </w:tcPr>
          <w:p>
            <w:pPr>
              <w:ind w:left="180"/>
              <w:spacing w:after="0"/>
              <w:rPr>
                <w:sz w:val="20"/>
                <w:szCs w:val="20"/>
                <w:color w:val="auto"/>
              </w:rPr>
            </w:pPr>
            <w:r>
              <w:rPr>
                <w:rFonts w:ascii="Arial" w:cs="Arial" w:eastAsia="Arial" w:hAnsi="Arial"/>
                <w:sz w:val="18"/>
                <w:szCs w:val="18"/>
                <w:color w:val="auto"/>
                <w:w w:val="99"/>
              </w:rPr>
              <w:t>Resignation of Administrative Agent</w:t>
            </w:r>
          </w:p>
        </w:tc>
        <w:tc>
          <w:tcPr>
            <w:tcW w:w="26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12.07.</w:t>
            </w:r>
          </w:p>
        </w:tc>
        <w:tc>
          <w:tcPr>
            <w:tcW w:w="3420" w:type="dxa"/>
            <w:vAlign w:val="bottom"/>
            <w:gridSpan w:val="18"/>
          </w:tcPr>
          <w:p>
            <w:pPr>
              <w:ind w:left="180"/>
              <w:spacing w:after="0"/>
              <w:rPr>
                <w:sz w:val="20"/>
                <w:szCs w:val="20"/>
                <w:color w:val="auto"/>
              </w:rPr>
            </w:pPr>
            <w:r>
              <w:rPr>
                <w:rFonts w:ascii="Arial" w:cs="Arial" w:eastAsia="Arial" w:hAnsi="Arial"/>
                <w:sz w:val="18"/>
                <w:szCs w:val="18"/>
                <w:color w:val="auto"/>
                <w:w w:val="95"/>
              </w:rPr>
              <w:t>Nonreliance on Agents and Other Lenders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129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0000FF"/>
                <w:w w:val="86"/>
              </w:rPr>
              <w:t>132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12.08.</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Indemnification</w:t>
            </w:r>
          </w:p>
        </w:tc>
        <w:tc>
          <w:tcPr>
            <w:tcW w:w="27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130</w:t>
            </w:r>
          </w:p>
        </w:tc>
        <w:tc>
          <w:tcPr>
            <w:tcW w:w="360" w:type="dxa"/>
            <w:vAlign w:val="bottom"/>
            <w:gridSpan w:val="6"/>
          </w:tcPr>
          <w:p>
            <w:pPr>
              <w:jc w:val="right"/>
              <w:spacing w:after="0"/>
              <w:rPr>
                <w:sz w:val="20"/>
                <w:szCs w:val="20"/>
                <w:color w:val="auto"/>
              </w:rPr>
            </w:pPr>
            <w:r>
              <w:rPr>
                <w:rFonts w:ascii="Arial" w:cs="Arial" w:eastAsia="Arial" w:hAnsi="Arial"/>
                <w:sz w:val="18"/>
                <w:szCs w:val="18"/>
                <w:b w:val="1"/>
                <w:bCs w:val="1"/>
                <w:color w:val="0000FF"/>
                <w:w w:val="86"/>
              </w:rPr>
              <w:t>132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12.09.</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No Other Duties</w:t>
            </w:r>
          </w:p>
        </w:tc>
        <w:tc>
          <w:tcPr>
            <w:tcW w:w="31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3"/>
              </w:rPr>
              <w:t>130</w:t>
            </w:r>
          </w:p>
        </w:tc>
        <w:tc>
          <w:tcPr>
            <w:tcW w:w="320" w:type="dxa"/>
            <w:vAlign w:val="bottom"/>
            <w:gridSpan w:val="5"/>
          </w:tcPr>
          <w:p>
            <w:pPr>
              <w:jc w:val="right"/>
              <w:spacing w:after="0"/>
              <w:rPr>
                <w:sz w:val="20"/>
                <w:szCs w:val="20"/>
                <w:color w:val="auto"/>
              </w:rPr>
            </w:pPr>
            <w:r>
              <w:rPr>
                <w:rFonts w:ascii="Arial" w:cs="Arial" w:eastAsia="Arial" w:hAnsi="Arial"/>
                <w:sz w:val="18"/>
                <w:szCs w:val="18"/>
                <w:b w:val="1"/>
                <w:bCs w:val="1"/>
                <w:color w:val="0000FF"/>
                <w:w w:val="86"/>
              </w:rPr>
              <w:t>132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12.10.</w:t>
            </w:r>
          </w:p>
        </w:tc>
        <w:tc>
          <w:tcPr>
            <w:tcW w:w="840" w:type="dxa"/>
            <w:vAlign w:val="bottom"/>
          </w:tcPr>
          <w:p>
            <w:pPr>
              <w:ind w:left="180"/>
              <w:spacing w:after="0"/>
              <w:rPr>
                <w:sz w:val="20"/>
                <w:szCs w:val="20"/>
                <w:color w:val="auto"/>
              </w:rPr>
            </w:pPr>
            <w:r>
              <w:rPr>
                <w:rFonts w:ascii="Arial" w:cs="Arial" w:eastAsia="Arial" w:hAnsi="Arial"/>
                <w:sz w:val="18"/>
                <w:szCs w:val="18"/>
                <w:color w:val="auto"/>
              </w:rPr>
              <w:t>Holders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130</w:t>
            </w:r>
          </w:p>
        </w:tc>
        <w:tc>
          <w:tcPr>
            <w:tcW w:w="310" w:type="dxa"/>
            <w:vAlign w:val="bottom"/>
            <w:gridSpan w:val="2"/>
          </w:tcPr>
          <w:p>
            <w:pPr>
              <w:jc w:val="right"/>
              <w:spacing w:after="0"/>
              <w:rPr>
                <w:sz w:val="20"/>
                <w:szCs w:val="20"/>
                <w:color w:val="auto"/>
              </w:rPr>
            </w:pPr>
            <w:r>
              <w:rPr>
                <w:rFonts w:ascii="Arial" w:cs="Arial" w:eastAsia="Arial" w:hAnsi="Arial"/>
                <w:sz w:val="18"/>
                <w:szCs w:val="18"/>
                <w:b w:val="1"/>
                <w:bCs w:val="1"/>
                <w:color w:val="0000FF"/>
                <w:w w:val="86"/>
              </w:rPr>
              <w:t>133</w:t>
            </w:r>
          </w:p>
        </w:tc>
        <w:tc>
          <w:tcPr>
            <w:tcW w:w="7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130</w:t>
            </w:r>
          </w:p>
        </w:tc>
        <w:tc>
          <w:tcPr>
            <w:tcW w:w="6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0000FF"/>
                <w:w w:val="79"/>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20"/>
                <w:szCs w:val="20"/>
                <w:color w:val="auto"/>
              </w:rPr>
            </w:pPr>
            <w:r>
              <w:rPr>
                <w:rFonts w:ascii="Arial" w:cs="Arial" w:eastAsia="Arial" w:hAnsi="Arial"/>
                <w:sz w:val="18"/>
                <w:szCs w:val="18"/>
                <w:color w:val="auto"/>
              </w:rPr>
              <w:t>SECTION 12.11.</w:t>
            </w:r>
          </w:p>
        </w:tc>
        <w:tc>
          <w:tcPr>
            <w:tcW w:w="3820" w:type="dxa"/>
            <w:vAlign w:val="bottom"/>
            <w:gridSpan w:val="20"/>
          </w:tcPr>
          <w:p>
            <w:pPr>
              <w:ind w:left="180"/>
              <w:spacing w:after="0"/>
              <w:rPr>
                <w:sz w:val="20"/>
                <w:szCs w:val="20"/>
                <w:color w:val="auto"/>
              </w:rPr>
            </w:pPr>
            <w:r>
              <w:rPr>
                <w:rFonts w:ascii="Arial" w:cs="Arial" w:eastAsia="Arial" w:hAnsi="Arial"/>
                <w:sz w:val="18"/>
                <w:szCs w:val="18"/>
                <w:color w:val="auto"/>
                <w:w w:val="98"/>
              </w:rPr>
              <w:t>Administrative Agent May File Proofs of Claim</w:t>
            </w:r>
          </w:p>
        </w:tc>
        <w:tc>
          <w:tcPr>
            <w:tcW w:w="2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12.12.</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w w:val="93"/>
              </w:rPr>
              <w:t>Collateral Matters</w:t>
            </w:r>
          </w:p>
        </w:tc>
        <w:tc>
          <w:tcPr>
            <w:tcW w:w="70" w:type="dxa"/>
            <w:vAlign w:val="bottom"/>
          </w:tcPr>
          <w:p>
            <w:pPr>
              <w:spacing w:after="0"/>
              <w:rPr>
                <w:sz w:val="18"/>
                <w:szCs w:val="18"/>
                <w:color w:val="auto"/>
              </w:rPr>
            </w:pPr>
          </w:p>
        </w:tc>
        <w:tc>
          <w:tcPr>
            <w:tcW w:w="36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131</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133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20"/>
                <w:szCs w:val="20"/>
                <w:color w:val="auto"/>
              </w:rPr>
            </w:pPr>
            <w:r>
              <w:rPr>
                <w:rFonts w:ascii="Arial" w:cs="Arial" w:eastAsia="Arial" w:hAnsi="Arial"/>
                <w:sz w:val="18"/>
                <w:szCs w:val="18"/>
                <w:color w:val="auto"/>
              </w:rPr>
              <w:t>SECTION 12.13.</w:t>
            </w:r>
          </w:p>
        </w:tc>
        <w:tc>
          <w:tcPr>
            <w:tcW w:w="1510" w:type="dxa"/>
            <w:vAlign w:val="bottom"/>
            <w:gridSpan w:val="5"/>
          </w:tcPr>
          <w:p>
            <w:pPr>
              <w:ind w:left="180"/>
              <w:spacing w:after="0"/>
              <w:rPr>
                <w:sz w:val="20"/>
                <w:szCs w:val="20"/>
                <w:color w:val="auto"/>
              </w:rPr>
            </w:pPr>
            <w:r>
              <w:rPr>
                <w:rFonts w:ascii="Arial" w:cs="Arial" w:eastAsia="Arial" w:hAnsi="Arial"/>
                <w:sz w:val="18"/>
                <w:szCs w:val="18"/>
                <w:color w:val="auto"/>
              </w:rPr>
              <w:t>Withholding Tax</w:t>
            </w:r>
          </w:p>
        </w:tc>
        <w:tc>
          <w:tcPr>
            <w:tcW w:w="35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rPr>
              <w:t>131</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134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132</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134</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12.14.</w:t>
            </w:r>
          </w:p>
        </w:tc>
        <w:tc>
          <w:tcPr>
            <w:tcW w:w="4740" w:type="dxa"/>
            <w:vAlign w:val="bottom"/>
            <w:gridSpan w:val="22"/>
          </w:tcPr>
          <w:p>
            <w:pPr>
              <w:ind w:left="180"/>
              <w:spacing w:after="0"/>
              <w:rPr>
                <w:sz w:val="20"/>
                <w:szCs w:val="20"/>
                <w:color w:val="auto"/>
              </w:rPr>
            </w:pPr>
            <w:r>
              <w:rPr>
                <w:rFonts w:ascii="Arial" w:cs="Arial" w:eastAsia="Arial" w:hAnsi="Arial"/>
                <w:sz w:val="18"/>
                <w:szCs w:val="18"/>
                <w:color w:val="auto"/>
                <w:w w:val="92"/>
              </w:rPr>
              <w:t>Secured Cash Management Agreements and Swap Contracts</w:t>
            </w:r>
          </w:p>
        </w:tc>
        <w:tc>
          <w:tcPr>
            <w:tcW w:w="26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5" w:right="1440" w:bottom="1440" w:gutter="0" w:footer="0" w:header="0"/>
        </w:sectPr>
      </w:pPr>
    </w:p>
    <w:bookmarkStart w:id="350" w:name="page351"/>
    <w:bookmarkEnd w:id="350"/>
    <w:p>
      <w:pPr>
        <w:ind w:left="5140"/>
        <w:spacing w:after="0"/>
        <w:rPr>
          <w:sz w:val="20"/>
          <w:szCs w:val="20"/>
          <w:color w:val="auto"/>
        </w:rPr>
      </w:pPr>
      <w:r>
        <w:rPr>
          <w:rFonts w:ascii="Arial" w:cs="Arial" w:eastAsia="Arial" w:hAnsi="Arial"/>
          <w:sz w:val="18"/>
          <w:szCs w:val="18"/>
          <w:color w:val="auto"/>
        </w:rPr>
        <w:t>ARTICLE 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9"/>
          </w:tcPr>
          <w:p>
            <w:pPr>
              <w:jc w:val="right"/>
              <w:ind w:right="170"/>
              <w:spacing w:after="0"/>
              <w:rPr>
                <w:sz w:val="20"/>
                <w:szCs w:val="20"/>
                <w:color w:val="auto"/>
              </w:rPr>
            </w:pPr>
            <w:r>
              <w:rPr>
                <w:rFonts w:ascii="Arial" w:cs="Arial" w:eastAsia="Arial" w:hAnsi="Arial"/>
                <w:sz w:val="18"/>
                <w:szCs w:val="18"/>
                <w:color w:val="auto"/>
              </w:rPr>
              <w:t>MISCELLANEOUS</w:t>
            </w:r>
          </w:p>
        </w:tc>
        <w:tc>
          <w:tcPr>
            <w:tcW w:w="0" w:type="dxa"/>
            <w:vAlign w:val="bottom"/>
          </w:tcPr>
          <w:p>
            <w:pPr>
              <w:spacing w:after="0"/>
              <w:rPr>
                <w:sz w:val="1"/>
                <w:szCs w:val="1"/>
                <w:color w:val="auto"/>
              </w:rPr>
            </w:pPr>
          </w:p>
        </w:tc>
      </w:tr>
      <w:tr>
        <w:trPr>
          <w:trHeight w:val="414"/>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13.01.</w:t>
            </w:r>
          </w:p>
        </w:tc>
        <w:tc>
          <w:tcPr>
            <w:tcW w:w="740" w:type="dxa"/>
            <w:vAlign w:val="bottom"/>
          </w:tcPr>
          <w:p>
            <w:pPr>
              <w:ind w:left="4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132</w:t>
            </w:r>
          </w:p>
        </w:tc>
        <w:tc>
          <w:tcPr>
            <w:tcW w:w="300" w:type="dxa"/>
            <w:vAlign w:val="bottom"/>
            <w:gridSpan w:val="5"/>
          </w:tcPr>
          <w:p>
            <w:pPr>
              <w:spacing w:after="0"/>
              <w:rPr>
                <w:sz w:val="20"/>
                <w:szCs w:val="20"/>
                <w:color w:val="auto"/>
              </w:rPr>
            </w:pPr>
            <w:r>
              <w:rPr>
                <w:rFonts w:ascii="Arial" w:cs="Arial" w:eastAsia="Arial" w:hAnsi="Arial"/>
                <w:sz w:val="18"/>
                <w:szCs w:val="18"/>
                <w:b w:val="1"/>
                <w:bCs w:val="1"/>
                <w:color w:val="0000FF"/>
                <w:w w:val="93"/>
              </w:rPr>
              <w:t>134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13.02.</w:t>
            </w:r>
          </w:p>
        </w:tc>
        <w:tc>
          <w:tcPr>
            <w:tcW w:w="740" w:type="dxa"/>
            <w:vAlign w:val="bottom"/>
          </w:tcPr>
          <w:p>
            <w:pPr>
              <w:ind w:left="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93"/>
              </w:rPr>
              <w:t>132</w:t>
            </w:r>
          </w:p>
        </w:tc>
        <w:tc>
          <w:tcPr>
            <w:tcW w:w="280" w:type="dxa"/>
            <w:vAlign w:val="bottom"/>
            <w:gridSpan w:val="4"/>
          </w:tcPr>
          <w:p>
            <w:pPr>
              <w:spacing w:after="0"/>
              <w:rPr>
                <w:sz w:val="20"/>
                <w:szCs w:val="20"/>
                <w:color w:val="auto"/>
              </w:rPr>
            </w:pPr>
            <w:r>
              <w:rPr>
                <w:rFonts w:ascii="Arial" w:cs="Arial" w:eastAsia="Arial" w:hAnsi="Arial"/>
                <w:sz w:val="18"/>
                <w:szCs w:val="18"/>
                <w:b w:val="1"/>
                <w:bCs w:val="1"/>
                <w:color w:val="0000FF"/>
                <w:w w:val="86"/>
              </w:rPr>
              <w:t>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133</w:t>
            </w:r>
          </w:p>
        </w:tc>
        <w:tc>
          <w:tcPr>
            <w:tcW w:w="4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0000FF"/>
                <w:w w:val="86"/>
              </w:rPr>
              <w:t>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13.03.</w:t>
            </w:r>
          </w:p>
        </w:tc>
        <w:tc>
          <w:tcPr>
            <w:tcW w:w="2480" w:type="dxa"/>
            <w:vAlign w:val="bottom"/>
            <w:gridSpan w:val="22"/>
          </w:tcPr>
          <w:p>
            <w:pPr>
              <w:ind w:left="40"/>
              <w:spacing w:after="0"/>
              <w:rPr>
                <w:sz w:val="20"/>
                <w:szCs w:val="20"/>
                <w:color w:val="auto"/>
              </w:rPr>
            </w:pPr>
            <w:r>
              <w:rPr>
                <w:rFonts w:ascii="Arial" w:cs="Arial" w:eastAsia="Arial" w:hAnsi="Arial"/>
                <w:sz w:val="18"/>
                <w:szCs w:val="18"/>
                <w:color w:val="auto"/>
                <w:w w:val="98"/>
              </w:rPr>
              <w:t>Expenses, Indemnification, Etc</w:t>
            </w: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13.04.</w:t>
            </w:r>
          </w:p>
        </w:tc>
        <w:tc>
          <w:tcPr>
            <w:tcW w:w="1920" w:type="dxa"/>
            <w:vAlign w:val="bottom"/>
            <w:gridSpan w:val="17"/>
          </w:tcPr>
          <w:p>
            <w:pPr>
              <w:ind w:left="40"/>
              <w:spacing w:after="0"/>
              <w:rPr>
                <w:sz w:val="20"/>
                <w:szCs w:val="20"/>
                <w:color w:val="auto"/>
              </w:rPr>
            </w:pPr>
            <w:r>
              <w:rPr>
                <w:rFonts w:ascii="Arial" w:cs="Arial" w:eastAsia="Arial" w:hAnsi="Arial"/>
                <w:sz w:val="18"/>
                <w:szCs w:val="18"/>
                <w:color w:val="auto"/>
                <w:w w:val="92"/>
              </w:rPr>
              <w:t>Amendments and Waiver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135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0000FF"/>
                <w:w w:val="86"/>
              </w:rPr>
              <w:t>138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141</w:t>
            </w:r>
          </w:p>
        </w:tc>
        <w:tc>
          <w:tcPr>
            <w:tcW w:w="42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0000FF"/>
                <w:w w:val="79"/>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13.05.</w:t>
            </w:r>
          </w:p>
        </w:tc>
        <w:tc>
          <w:tcPr>
            <w:tcW w:w="3900" w:type="dxa"/>
            <w:vAlign w:val="bottom"/>
            <w:gridSpan w:val="28"/>
          </w:tcPr>
          <w:p>
            <w:pPr>
              <w:ind w:left="40"/>
              <w:spacing w:after="0"/>
              <w:rPr>
                <w:sz w:val="20"/>
                <w:szCs w:val="20"/>
                <w:color w:val="auto"/>
              </w:rPr>
            </w:pPr>
            <w:r>
              <w:rPr>
                <w:rFonts w:ascii="Arial" w:cs="Arial" w:eastAsia="Arial" w:hAnsi="Arial"/>
                <w:sz w:val="18"/>
                <w:szCs w:val="18"/>
                <w:color w:val="auto"/>
                <w:w w:val="95"/>
              </w:rPr>
              <w:t>Benefit of Agreement; Assignments; Participations</w:t>
            </w:r>
          </w:p>
        </w:tc>
        <w:tc>
          <w:tcPr>
            <w:tcW w:w="2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13.06.</w:t>
            </w:r>
          </w:p>
        </w:tc>
        <w:tc>
          <w:tcPr>
            <w:tcW w:w="740" w:type="dxa"/>
            <w:vAlign w:val="bottom"/>
          </w:tcPr>
          <w:p>
            <w:pPr>
              <w:ind w:left="40"/>
              <w:spacing w:after="0"/>
              <w:rPr>
                <w:sz w:val="20"/>
                <w:szCs w:val="20"/>
                <w:color w:val="auto"/>
              </w:rPr>
            </w:pPr>
            <w:r>
              <w:rPr>
                <w:rFonts w:ascii="Arial" w:cs="Arial" w:eastAsia="Arial" w:hAnsi="Arial"/>
                <w:sz w:val="18"/>
                <w:szCs w:val="18"/>
                <w:color w:val="auto"/>
              </w:rPr>
              <w:t>Survival</w:t>
            </w:r>
          </w:p>
        </w:tc>
        <w:tc>
          <w:tcPr>
            <w:tcW w:w="360" w:type="dxa"/>
            <w:vAlign w:val="bottom"/>
            <w:gridSpan w:val="3"/>
          </w:tcPr>
          <w:p>
            <w:pPr>
              <w:ind w:left="100"/>
              <w:spacing w:after="0"/>
              <w:rPr>
                <w:sz w:val="20"/>
                <w:szCs w:val="20"/>
                <w:color w:val="auto"/>
              </w:rPr>
            </w:pPr>
            <w:r>
              <w:rPr>
                <w:rFonts w:ascii="Arial" w:cs="Arial" w:eastAsia="Arial" w:hAnsi="Arial"/>
                <w:sz w:val="18"/>
                <w:szCs w:val="18"/>
                <w:b w:val="1"/>
                <w:bCs w:val="1"/>
                <w:color w:val="FF0000"/>
                <w:strike w:val="1"/>
                <w:w w:val="79"/>
              </w:rPr>
              <w:t>144</w:t>
            </w:r>
          </w:p>
        </w:tc>
        <w:tc>
          <w:tcPr>
            <w:tcW w:w="320" w:type="dxa"/>
            <w:vAlign w:val="bottom"/>
            <w:gridSpan w:val="5"/>
          </w:tcPr>
          <w:p>
            <w:pPr>
              <w:jc w:val="right"/>
              <w:spacing w:after="0"/>
              <w:rPr>
                <w:sz w:val="20"/>
                <w:szCs w:val="20"/>
                <w:color w:val="auto"/>
              </w:rPr>
            </w:pPr>
            <w:r>
              <w:rPr>
                <w:rFonts w:ascii="Arial" w:cs="Arial" w:eastAsia="Arial" w:hAnsi="Arial"/>
                <w:sz w:val="18"/>
                <w:szCs w:val="18"/>
                <w:b w:val="1"/>
                <w:bCs w:val="1"/>
                <w:color w:val="0000FF"/>
                <w:w w:val="86"/>
              </w:rPr>
              <w:t>147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13.07.</w:t>
            </w:r>
          </w:p>
        </w:tc>
        <w:tc>
          <w:tcPr>
            <w:tcW w:w="740" w:type="dxa"/>
            <w:vAlign w:val="bottom"/>
          </w:tcPr>
          <w:p>
            <w:pPr>
              <w:ind w:left="40"/>
              <w:spacing w:after="0"/>
              <w:rPr>
                <w:sz w:val="20"/>
                <w:szCs w:val="20"/>
                <w:color w:val="auto"/>
              </w:rPr>
            </w:pPr>
            <w:r>
              <w:rPr>
                <w:rFonts w:ascii="Arial" w:cs="Arial" w:eastAsia="Arial" w:hAnsi="Arial"/>
                <w:sz w:val="18"/>
                <w:szCs w:val="18"/>
                <w:color w:val="auto"/>
                <w:w w:val="95"/>
              </w:rPr>
              <w:t>Captions</w:t>
            </w:r>
          </w:p>
        </w:tc>
        <w:tc>
          <w:tcPr>
            <w:tcW w:w="400" w:type="dxa"/>
            <w:vAlign w:val="bottom"/>
            <w:gridSpan w:val="4"/>
          </w:tcPr>
          <w:p>
            <w:pPr>
              <w:ind w:left="120"/>
              <w:spacing w:after="0"/>
              <w:rPr>
                <w:sz w:val="20"/>
                <w:szCs w:val="20"/>
                <w:color w:val="auto"/>
              </w:rPr>
            </w:pPr>
            <w:r>
              <w:rPr>
                <w:rFonts w:ascii="Arial" w:cs="Arial" w:eastAsia="Arial" w:hAnsi="Arial"/>
                <w:sz w:val="18"/>
                <w:szCs w:val="18"/>
                <w:b w:val="1"/>
                <w:bCs w:val="1"/>
                <w:color w:val="FF0000"/>
                <w:strike w:val="1"/>
                <w:w w:val="86"/>
              </w:rPr>
              <w:t>145</w:t>
            </w:r>
          </w:p>
        </w:tc>
        <w:tc>
          <w:tcPr>
            <w:tcW w:w="280" w:type="dxa"/>
            <w:vAlign w:val="bottom"/>
            <w:gridSpan w:val="4"/>
          </w:tcPr>
          <w:p>
            <w:pPr>
              <w:jc w:val="right"/>
              <w:spacing w:after="0"/>
              <w:rPr>
                <w:sz w:val="20"/>
                <w:szCs w:val="20"/>
                <w:color w:val="auto"/>
              </w:rPr>
            </w:pPr>
            <w:r>
              <w:rPr>
                <w:rFonts w:ascii="Arial" w:cs="Arial" w:eastAsia="Arial" w:hAnsi="Arial"/>
                <w:sz w:val="18"/>
                <w:szCs w:val="18"/>
                <w:b w:val="1"/>
                <w:bCs w:val="1"/>
                <w:color w:val="0000FF"/>
                <w:w w:val="79"/>
              </w:rPr>
              <w:t>147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145</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13.08.</w:t>
            </w:r>
          </w:p>
        </w:tc>
        <w:tc>
          <w:tcPr>
            <w:tcW w:w="3180" w:type="dxa"/>
            <w:vAlign w:val="bottom"/>
            <w:gridSpan w:val="24"/>
          </w:tcPr>
          <w:p>
            <w:pPr>
              <w:ind w:left="40"/>
              <w:spacing w:after="0"/>
              <w:rPr>
                <w:sz w:val="20"/>
                <w:szCs w:val="20"/>
                <w:color w:val="auto"/>
              </w:rPr>
            </w:pPr>
            <w:r>
              <w:rPr>
                <w:rFonts w:ascii="Arial" w:cs="Arial" w:eastAsia="Arial" w:hAnsi="Arial"/>
                <w:sz w:val="18"/>
                <w:szCs w:val="18"/>
                <w:color w:val="auto"/>
                <w:w w:val="92"/>
              </w:rPr>
              <w:t>Counterparts; Interpretation; Effectiveness</w:t>
            </w:r>
          </w:p>
        </w:tc>
        <w:tc>
          <w:tcPr>
            <w:tcW w:w="1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145</w:t>
            </w:r>
          </w:p>
        </w:tc>
        <w:tc>
          <w:tcPr>
            <w:tcW w:w="44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0000FF"/>
                <w:w w:val="79"/>
              </w:rPr>
              <w:t>148</w:t>
            </w: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13.09.</w:t>
            </w:r>
          </w:p>
        </w:tc>
        <w:tc>
          <w:tcPr>
            <w:tcW w:w="4420" w:type="dxa"/>
            <w:vAlign w:val="bottom"/>
            <w:gridSpan w:val="30"/>
          </w:tcPr>
          <w:p>
            <w:pPr>
              <w:ind w:left="40"/>
              <w:spacing w:after="0"/>
              <w:rPr>
                <w:sz w:val="20"/>
                <w:szCs w:val="20"/>
                <w:color w:val="auto"/>
              </w:rPr>
            </w:pPr>
            <w:r>
              <w:rPr>
                <w:rFonts w:ascii="Arial" w:cs="Arial" w:eastAsia="Arial" w:hAnsi="Arial"/>
                <w:sz w:val="18"/>
                <w:szCs w:val="18"/>
                <w:color w:val="auto"/>
                <w:w w:val="95"/>
              </w:rPr>
              <w:t>Governing Law; Submission to Jurisdiction; Waivers; Etc.</w:t>
            </w:r>
          </w:p>
        </w:tc>
        <w:tc>
          <w:tcPr>
            <w:tcW w:w="2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13.10.</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Confidentiality</w:t>
            </w:r>
          </w:p>
        </w:tc>
        <w:tc>
          <w:tcPr>
            <w:tcW w:w="80" w:type="dxa"/>
            <w:vAlign w:val="bottom"/>
          </w:tcPr>
          <w:p>
            <w:pPr>
              <w:spacing w:after="0"/>
              <w:rPr>
                <w:sz w:val="19"/>
                <w:szCs w:val="19"/>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146</w:t>
            </w:r>
          </w:p>
        </w:tc>
        <w:tc>
          <w:tcPr>
            <w:tcW w:w="340" w:type="dxa"/>
            <w:vAlign w:val="bottom"/>
            <w:gridSpan w:val="4"/>
          </w:tcPr>
          <w:p>
            <w:pPr>
              <w:jc w:val="right"/>
              <w:spacing w:after="0"/>
              <w:rPr>
                <w:sz w:val="20"/>
                <w:szCs w:val="20"/>
                <w:color w:val="auto"/>
              </w:rPr>
            </w:pPr>
            <w:r>
              <w:rPr>
                <w:rFonts w:ascii="Arial" w:cs="Arial" w:eastAsia="Arial" w:hAnsi="Arial"/>
                <w:sz w:val="18"/>
                <w:szCs w:val="18"/>
                <w:b w:val="1"/>
                <w:bCs w:val="1"/>
                <w:color w:val="0000FF"/>
                <w:w w:val="86"/>
              </w:rPr>
              <w:t>149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147</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6"/>
              </w:rPr>
              <w:t>149</w:t>
            </w: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13.11.</w:t>
            </w:r>
          </w:p>
        </w:tc>
        <w:tc>
          <w:tcPr>
            <w:tcW w:w="4420" w:type="dxa"/>
            <w:vAlign w:val="bottom"/>
            <w:gridSpan w:val="30"/>
          </w:tcPr>
          <w:p>
            <w:pPr>
              <w:ind w:left="40"/>
              <w:spacing w:after="0"/>
              <w:rPr>
                <w:sz w:val="20"/>
                <w:szCs w:val="20"/>
                <w:color w:val="auto"/>
              </w:rPr>
            </w:pPr>
            <w:r>
              <w:rPr>
                <w:rFonts w:ascii="Arial" w:cs="Arial" w:eastAsia="Arial" w:hAnsi="Arial"/>
                <w:sz w:val="18"/>
                <w:szCs w:val="18"/>
                <w:color w:val="auto"/>
                <w:w w:val="88"/>
              </w:rPr>
              <w:t>Independence of Representations, Warranties and Covenants</w:t>
            </w:r>
          </w:p>
        </w:tc>
        <w:tc>
          <w:tcPr>
            <w:tcW w:w="1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13.12.</w:t>
            </w:r>
          </w:p>
        </w:tc>
        <w:tc>
          <w:tcPr>
            <w:tcW w:w="1100" w:type="dxa"/>
            <w:vAlign w:val="bottom"/>
            <w:gridSpan w:val="4"/>
          </w:tcPr>
          <w:p>
            <w:pPr>
              <w:ind w:left="40"/>
              <w:spacing w:after="0"/>
              <w:rPr>
                <w:sz w:val="20"/>
                <w:szCs w:val="20"/>
                <w:color w:val="auto"/>
              </w:rPr>
            </w:pPr>
            <w:r>
              <w:rPr>
                <w:rFonts w:ascii="Arial" w:cs="Arial" w:eastAsia="Arial" w:hAnsi="Arial"/>
                <w:sz w:val="18"/>
                <w:szCs w:val="18"/>
                <w:color w:val="auto"/>
              </w:rPr>
              <w:t>Severability</w:t>
            </w:r>
          </w:p>
        </w:tc>
        <w:tc>
          <w:tcPr>
            <w:tcW w:w="26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79"/>
              </w:rPr>
              <w:t>147</w:t>
            </w:r>
          </w:p>
        </w:tc>
        <w:tc>
          <w:tcPr>
            <w:tcW w:w="280" w:type="dxa"/>
            <w:vAlign w:val="bottom"/>
            <w:gridSpan w:val="6"/>
          </w:tcPr>
          <w:p>
            <w:pPr>
              <w:jc w:val="right"/>
              <w:spacing w:after="0"/>
              <w:rPr>
                <w:sz w:val="20"/>
                <w:szCs w:val="20"/>
                <w:color w:val="auto"/>
              </w:rPr>
            </w:pPr>
            <w:r>
              <w:rPr>
                <w:rFonts w:ascii="Arial" w:cs="Arial" w:eastAsia="Arial" w:hAnsi="Arial"/>
                <w:sz w:val="18"/>
                <w:szCs w:val="18"/>
                <w:b w:val="1"/>
                <w:bCs w:val="1"/>
                <w:color w:val="0000FF"/>
                <w:w w:val="86"/>
              </w:rPr>
              <w:t>149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13.13.</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Gaming Laws</w:t>
            </w:r>
          </w:p>
        </w:tc>
        <w:tc>
          <w:tcPr>
            <w:tcW w:w="280" w:type="dxa"/>
            <w:vAlign w:val="bottom"/>
            <w:gridSpan w:val="5"/>
          </w:tcPr>
          <w:p>
            <w:pPr>
              <w:spacing w:after="0"/>
              <w:rPr>
                <w:sz w:val="20"/>
                <w:szCs w:val="20"/>
                <w:color w:val="auto"/>
              </w:rPr>
            </w:pPr>
            <w:r>
              <w:rPr>
                <w:rFonts w:ascii="Arial" w:cs="Arial" w:eastAsia="Arial" w:hAnsi="Arial"/>
                <w:sz w:val="18"/>
                <w:szCs w:val="18"/>
                <w:b w:val="1"/>
                <w:bCs w:val="1"/>
                <w:color w:val="FF0000"/>
                <w:strike w:val="1"/>
                <w:w w:val="86"/>
              </w:rPr>
              <w:t>147</w:t>
            </w:r>
          </w:p>
        </w:tc>
        <w:tc>
          <w:tcPr>
            <w:tcW w:w="4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13.14.</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w w:val="94"/>
              </w:rPr>
              <w:t>USA Patriot Act</w:t>
            </w: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3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0000FF"/>
                <w:w w:val="86"/>
              </w:rPr>
              <w:t>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13.15.</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w w:val="91"/>
              </w:rPr>
              <w:t>Judgment Currency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86"/>
              </w:rPr>
              <w:t>148</w:t>
            </w:r>
          </w:p>
        </w:tc>
        <w:tc>
          <w:tcPr>
            <w:tcW w:w="300" w:type="dxa"/>
            <w:vAlign w:val="bottom"/>
            <w:gridSpan w:val="3"/>
          </w:tcPr>
          <w:p>
            <w:pPr>
              <w:spacing w:after="0"/>
              <w:rPr>
                <w:sz w:val="20"/>
                <w:szCs w:val="20"/>
                <w:color w:val="auto"/>
              </w:rPr>
            </w:pPr>
            <w:r>
              <w:rPr>
                <w:rFonts w:ascii="Arial" w:cs="Arial" w:eastAsia="Arial" w:hAnsi="Arial"/>
                <w:sz w:val="18"/>
                <w:szCs w:val="18"/>
                <w:b w:val="1"/>
                <w:bCs w:val="1"/>
                <w:color w:val="0000FF"/>
                <w:w w:val="93"/>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13.16.</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rPr>
              <w:t>Waiver of Claims</w:t>
            </w:r>
          </w:p>
        </w:tc>
        <w:tc>
          <w:tcPr>
            <w:tcW w:w="26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6"/>
              </w:rPr>
              <w:t>151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148</w:t>
            </w:r>
          </w:p>
        </w:tc>
        <w:tc>
          <w:tcPr>
            <w:tcW w:w="46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0000FF"/>
                <w:w w:val="86"/>
              </w:rPr>
              <w:t>151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13.17.</w:t>
            </w:r>
          </w:p>
        </w:tc>
        <w:tc>
          <w:tcPr>
            <w:tcW w:w="3180" w:type="dxa"/>
            <w:vAlign w:val="bottom"/>
            <w:gridSpan w:val="24"/>
          </w:tcPr>
          <w:p>
            <w:pPr>
              <w:ind w:left="40"/>
              <w:spacing w:after="0"/>
              <w:rPr>
                <w:sz w:val="20"/>
                <w:szCs w:val="20"/>
                <w:color w:val="auto"/>
              </w:rPr>
            </w:pPr>
            <w:r>
              <w:rPr>
                <w:rFonts w:ascii="Arial" w:cs="Arial" w:eastAsia="Arial" w:hAnsi="Arial"/>
                <w:sz w:val="18"/>
                <w:szCs w:val="18"/>
                <w:color w:val="auto"/>
                <w:w w:val="99"/>
              </w:rPr>
              <w:t>No Advisory or Fiduciary Responsibility</w:t>
            </w:r>
          </w:p>
        </w:tc>
        <w:tc>
          <w:tcPr>
            <w:tcW w:w="26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13.18.</w:t>
            </w:r>
          </w:p>
        </w:tc>
        <w:tc>
          <w:tcPr>
            <w:tcW w:w="1240" w:type="dxa"/>
            <w:vAlign w:val="bottom"/>
            <w:gridSpan w:val="6"/>
          </w:tcPr>
          <w:p>
            <w:pPr>
              <w:ind w:left="40"/>
              <w:spacing w:after="0"/>
              <w:rPr>
                <w:sz w:val="20"/>
                <w:szCs w:val="20"/>
                <w:color w:val="auto"/>
              </w:rPr>
            </w:pPr>
            <w:r>
              <w:rPr>
                <w:rFonts w:ascii="Arial" w:cs="Arial" w:eastAsia="Arial" w:hAnsi="Arial"/>
                <w:sz w:val="18"/>
                <w:szCs w:val="18"/>
                <w:color w:val="auto"/>
              </w:rPr>
              <w:t>Lender Action</w:t>
            </w:r>
          </w:p>
        </w:tc>
        <w:tc>
          <w:tcPr>
            <w:tcW w:w="300" w:type="dxa"/>
            <w:vAlign w:val="bottom"/>
            <w:gridSpan w:val="6"/>
          </w:tcPr>
          <w:p>
            <w:pPr>
              <w:ind w:left="40"/>
              <w:spacing w:after="0"/>
              <w:rPr>
                <w:sz w:val="20"/>
                <w:szCs w:val="20"/>
                <w:color w:val="auto"/>
              </w:rPr>
            </w:pPr>
            <w:r>
              <w:rPr>
                <w:rFonts w:ascii="Arial" w:cs="Arial" w:eastAsia="Arial" w:hAnsi="Arial"/>
                <w:sz w:val="18"/>
                <w:szCs w:val="18"/>
                <w:b w:val="1"/>
                <w:bCs w:val="1"/>
                <w:color w:val="FF0000"/>
                <w:strike w:val="1"/>
                <w:w w:val="79"/>
              </w:rPr>
              <w:t>149</w:t>
            </w:r>
          </w:p>
        </w:tc>
        <w:tc>
          <w:tcPr>
            <w:tcW w:w="3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0000FF"/>
                <w:w w:val="86"/>
              </w:rPr>
              <w:t>152</w:t>
            </w:r>
          </w:p>
        </w:tc>
        <w:tc>
          <w:tcPr>
            <w:tcW w:w="20" w:type="dxa"/>
            <w:vAlign w:val="bottom"/>
          </w:tcPr>
          <w:p>
            <w:pPr>
              <w:spacing w:after="0"/>
              <w:rPr>
                <w:sz w:val="19"/>
                <w:szCs w:val="19"/>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86"/>
              </w:rPr>
              <w:t>149</w:t>
            </w:r>
          </w:p>
        </w:tc>
        <w:tc>
          <w:tcPr>
            <w:tcW w:w="52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0000FF"/>
                <w:w w:val="79"/>
              </w:rPr>
              <w:t>152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13.19.</w:t>
            </w:r>
          </w:p>
        </w:tc>
        <w:tc>
          <w:tcPr>
            <w:tcW w:w="1920" w:type="dxa"/>
            <w:vAlign w:val="bottom"/>
            <w:gridSpan w:val="17"/>
          </w:tcPr>
          <w:p>
            <w:pPr>
              <w:ind w:left="40"/>
              <w:spacing w:after="0"/>
              <w:rPr>
                <w:sz w:val="20"/>
                <w:szCs w:val="20"/>
                <w:color w:val="auto"/>
              </w:rPr>
            </w:pPr>
            <w:r>
              <w:rPr>
                <w:rFonts w:ascii="Arial" w:cs="Arial" w:eastAsia="Arial" w:hAnsi="Arial"/>
                <w:sz w:val="18"/>
                <w:szCs w:val="18"/>
                <w:color w:val="auto"/>
              </w:rPr>
              <w:t>Interest Rate Limitation</w:t>
            </w: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3"/>
          </w:tcPr>
          <w:p>
            <w:pPr>
              <w:spacing w:after="0"/>
              <w:rPr>
                <w:sz w:val="20"/>
                <w:szCs w:val="20"/>
                <w:color w:val="auto"/>
              </w:rPr>
            </w:pPr>
            <w:r>
              <w:rPr>
                <w:rFonts w:ascii="Arial" w:cs="Arial" w:eastAsia="Arial" w:hAnsi="Arial"/>
                <w:sz w:val="18"/>
                <w:szCs w:val="18"/>
                <w:color w:val="auto"/>
              </w:rPr>
              <w:t>SECTION 13.20.</w:t>
            </w:r>
          </w:p>
        </w:tc>
        <w:tc>
          <w:tcPr>
            <w:tcW w:w="1500" w:type="dxa"/>
            <w:vAlign w:val="bottom"/>
            <w:gridSpan w:val="10"/>
          </w:tcPr>
          <w:p>
            <w:pPr>
              <w:ind w:left="40"/>
              <w:spacing w:after="0"/>
              <w:rPr>
                <w:sz w:val="20"/>
                <w:szCs w:val="20"/>
                <w:color w:val="auto"/>
              </w:rPr>
            </w:pPr>
            <w:r>
              <w:rPr>
                <w:rFonts w:ascii="Arial" w:cs="Arial" w:eastAsia="Arial" w:hAnsi="Arial"/>
                <w:sz w:val="18"/>
                <w:szCs w:val="18"/>
                <w:color w:val="auto"/>
                <w:w w:val="88"/>
              </w:rPr>
              <w:t>Payments Set Aside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93"/>
              </w:rPr>
              <w:t>150</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0000FF"/>
                <w:w w:val="86"/>
              </w:rPr>
              <w:t>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ANNEXES: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580" w:type="dxa"/>
            <w:vAlign w:val="bottom"/>
            <w:gridSpan w:val="3"/>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w w:val="97"/>
              </w:rPr>
              <w:t>Revolving Commitments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24"/>
          </w:tcPr>
          <w:p>
            <w:pPr>
              <w:ind w:left="20"/>
              <w:spacing w:after="0"/>
              <w:rPr>
                <w:sz w:val="20"/>
                <w:szCs w:val="20"/>
                <w:color w:val="auto"/>
              </w:rPr>
            </w:pPr>
            <w:r>
              <w:rPr>
                <w:rFonts w:ascii="Arial" w:cs="Arial" w:eastAsia="Arial" w:hAnsi="Arial"/>
                <w:sz w:val="18"/>
                <w:szCs w:val="18"/>
                <w:color w:val="auto"/>
              </w:rPr>
              <w:t>Term Facility Commitments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ANNEX A-3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L/C Sublimit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ANNEX B</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32"/>
          </w:tcPr>
          <w:p>
            <w:pPr>
              <w:spacing w:after="0"/>
              <w:rPr>
                <w:sz w:val="20"/>
                <w:szCs w:val="20"/>
                <w:color w:val="auto"/>
              </w:rPr>
            </w:pPr>
            <w:r>
              <w:rPr>
                <w:rFonts w:ascii="Arial" w:cs="Arial" w:eastAsia="Arial" w:hAnsi="Arial"/>
                <w:sz w:val="18"/>
                <w:szCs w:val="18"/>
                <w:color w:val="auto"/>
              </w:rPr>
              <w:t>-  Amortization Payments - Term Facility Loans</w:t>
            </w:r>
          </w:p>
        </w:tc>
        <w:tc>
          <w:tcPr>
            <w:tcW w:w="0" w:type="dxa"/>
            <w:vAlign w:val="bottom"/>
          </w:tcPr>
          <w:p>
            <w:pPr>
              <w:spacing w:after="0"/>
              <w:rPr>
                <w:sz w:val="1"/>
                <w:szCs w:val="1"/>
                <w:color w:val="auto"/>
              </w:rPr>
            </w:pPr>
          </w:p>
        </w:tc>
      </w:tr>
      <w:tr>
        <w:trPr>
          <w:trHeight w:val="608"/>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1.01(a)</w:t>
            </w:r>
          </w:p>
        </w:tc>
        <w:tc>
          <w:tcPr>
            <w:tcW w:w="740" w:type="dxa"/>
            <w:vAlign w:val="bottom"/>
          </w:tcPr>
          <w:p>
            <w:pPr>
              <w:spacing w:after="0"/>
              <w:rPr>
                <w:sz w:val="24"/>
                <w:szCs w:val="24"/>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Guarantors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1.01(b)</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Excluded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2.03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22"/>
          </w:tcPr>
          <w:p>
            <w:pPr>
              <w:spacing w:after="0"/>
              <w:rPr>
                <w:sz w:val="20"/>
                <w:szCs w:val="20"/>
                <w:color w:val="auto"/>
              </w:rPr>
            </w:pPr>
            <w:r>
              <w:rPr>
                <w:rFonts w:ascii="Arial" w:cs="Arial" w:eastAsia="Arial" w:hAnsi="Arial"/>
                <w:sz w:val="18"/>
                <w:szCs w:val="18"/>
                <w:color w:val="auto"/>
                <w:w w:val="95"/>
              </w:rPr>
              <w:t>-  Specified Letters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7.01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28"/>
          </w:tcPr>
          <w:p>
            <w:pPr>
              <w:spacing w:after="0"/>
              <w:rPr>
                <w:sz w:val="20"/>
                <w:szCs w:val="20"/>
                <w:color w:val="auto"/>
              </w:rPr>
            </w:pPr>
            <w:r>
              <w:rPr>
                <w:rFonts w:ascii="Arial" w:cs="Arial" w:eastAsia="Arial" w:hAnsi="Arial"/>
                <w:sz w:val="18"/>
                <w:szCs w:val="18"/>
                <w:color w:val="auto"/>
              </w:rPr>
              <w:t>-  Jurisdictions of Local Counsel Opinions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7.01(j)</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Approvals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Litigation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8.07</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11"/>
          </w:tcPr>
          <w:p>
            <w:pPr>
              <w:ind w:left="20"/>
              <w:spacing w:after="0"/>
              <w:rPr>
                <w:sz w:val="20"/>
                <w:szCs w:val="20"/>
                <w:color w:val="auto"/>
              </w:rPr>
            </w:pPr>
            <w:r>
              <w:rPr>
                <w:rFonts w:ascii="Arial" w:cs="Arial" w:eastAsia="Arial" w:hAnsi="Arial"/>
                <w:sz w:val="18"/>
                <w:szCs w:val="18"/>
                <w:color w:val="auto"/>
              </w:rPr>
              <w:t>ERISA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8.08</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11"/>
          </w:tcPr>
          <w:p>
            <w:pPr>
              <w:ind w:left="2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8.10</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Environmental Matters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8.12(a)</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7"/>
              </w:rPr>
              <w:t>SCHEDULE 8.12(b)</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Immaterial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8"/>
              </w:rPr>
              <w:t>SCHEDULE 8.12(c)</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w w:val="94"/>
              </w:rPr>
              <w:t>Unrestricted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8.13</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Ownership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8.15</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Licenses and Permits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8.18</w:t>
            </w:r>
          </w:p>
        </w:tc>
        <w:tc>
          <w:tcPr>
            <w:tcW w:w="74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SCHEDULE 8.19</w:t>
            </w:r>
          </w:p>
        </w:tc>
        <w:tc>
          <w:tcPr>
            <w:tcW w:w="740" w:type="dxa"/>
            <w:vAlign w:val="bottom"/>
          </w:tcPr>
          <w:p>
            <w:pPr>
              <w:spacing w:after="0"/>
              <w:rPr>
                <w:sz w:val="20"/>
                <w:szCs w:val="20"/>
                <w:color w:val="auto"/>
              </w:rPr>
            </w:pPr>
          </w:p>
        </w:tc>
        <w:tc>
          <w:tcPr>
            <w:tcW w:w="36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8"/>
          </w:tcPr>
          <w:p>
            <w:pPr>
              <w:ind w:left="20"/>
              <w:spacing w:after="0"/>
              <w:rPr>
                <w:sz w:val="20"/>
                <w:szCs w:val="20"/>
                <w:color w:val="auto"/>
              </w:rPr>
            </w:pPr>
            <w:r>
              <w:rPr>
                <w:rFonts w:ascii="Arial" w:cs="Arial" w:eastAsia="Arial" w:hAnsi="Arial"/>
                <w:sz w:val="18"/>
                <w:szCs w:val="18"/>
                <w:color w:val="auto"/>
              </w:rPr>
              <w:t>Regulation H</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4" w:right="1440" w:bottom="1440" w:gutter="0" w:footer="0" w:header="0"/>
        </w:sectPr>
      </w:pPr>
    </w:p>
    <w:bookmarkStart w:id="351" w:name="page352"/>
    <w:bookmarkEnd w:id="3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8.21(a)</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Real Property</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8.21(b)</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Real Property Takings, etc.</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9.12</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Designated Unrestricted Subsidiaries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10.01</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10.02</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Certain Existing Liens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10.04</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Investments</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10.07</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r>
      <w:tr>
        <w:trPr>
          <w:trHeight w:val="60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r>
      <w:tr>
        <w:trPr>
          <w:trHeight w:val="438"/>
        </w:trPr>
        <w:tc>
          <w:tcPr>
            <w:tcW w:w="2060" w:type="dxa"/>
            <w:vAlign w:val="bottom"/>
            <w:gridSpan w:val="2"/>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Revolving Note</w:t>
            </w:r>
          </w:p>
        </w:tc>
      </w:tr>
      <w:tr>
        <w:trPr>
          <w:trHeight w:val="216"/>
        </w:trPr>
        <w:tc>
          <w:tcPr>
            <w:tcW w:w="2060" w:type="dxa"/>
            <w:vAlign w:val="bottom"/>
            <w:gridSpan w:val="2"/>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Term Facility Note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Notice of Continuation/Conversion</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Forms of U.S. Tax Compliance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Completion Guaranty</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Solvency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Security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4660" w:type="dxa"/>
            <w:vAlign w:val="bottom"/>
          </w:tcPr>
          <w:p>
            <w:pPr>
              <w:ind w:left="100"/>
              <w:spacing w:after="0"/>
              <w:rPr>
                <w:sz w:val="20"/>
                <w:szCs w:val="20"/>
                <w:color w:val="auto"/>
              </w:rPr>
            </w:pPr>
            <w:r>
              <w:rPr>
                <w:rFonts w:ascii="Arial" w:cs="Arial" w:eastAsia="Arial" w:hAnsi="Arial"/>
                <w:sz w:val="18"/>
                <w:szCs w:val="18"/>
                <w:color w:val="auto"/>
              </w:rPr>
              <w:t>Form of Mortgage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Assignment and Assumption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Letter of Credit Request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Joinder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N</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Auction Procedures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O</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w w:val="93"/>
              </w:rPr>
              <w:t>-  Form of Open Market Assignment and Assumption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P</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Term Loan Extension Amendment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Q</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Revolving Extension Amendment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R</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xml:space="preserv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EXHIBIT S</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Second Lien Intercreditor Agreement</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EXHIBIT T</w:t>
            </w:r>
          </w:p>
        </w:tc>
        <w:tc>
          <w:tcPr>
            <w:tcW w:w="5340" w:type="dxa"/>
            <w:vAlign w:val="bottom"/>
            <w:gridSpan w:val="2"/>
          </w:tcPr>
          <w:p>
            <w:pPr>
              <w:ind w:left="540"/>
              <w:spacing w:after="0"/>
              <w:rPr>
                <w:sz w:val="20"/>
                <w:szCs w:val="20"/>
                <w:color w:val="auto"/>
              </w:rPr>
            </w:pPr>
            <w:r>
              <w:rPr>
                <w:rFonts w:ascii="Arial" w:cs="Arial" w:eastAsia="Arial" w:hAnsi="Arial"/>
                <w:sz w:val="18"/>
                <w:szCs w:val="18"/>
                <w:color w:val="auto"/>
              </w:rPr>
              <w:t>-  Form of Subordination Agreement</w:t>
            </w:r>
          </w:p>
        </w:tc>
      </w:tr>
    </w:tbl>
    <w:p>
      <w:pPr>
        <w:spacing w:after="0" w:line="200" w:lineRule="exact"/>
        <w:rPr>
          <w:sz w:val="20"/>
          <w:szCs w:val="20"/>
          <w:color w:val="auto"/>
        </w:rPr>
      </w:pPr>
    </w:p>
    <w:p>
      <w:pPr>
        <w:spacing w:after="0" w:line="3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November 20, 2014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AMERICA, LLC</w:t>
      </w:r>
      <w:r>
        <w:rPr>
          <w:rFonts w:ascii="Arial" w:cs="Arial" w:eastAsia="Arial" w:hAnsi="Arial"/>
          <w:sz w:val="18"/>
          <w:szCs w:val="18"/>
          <w:color w:val="auto"/>
        </w:rPr>
        <w:t>, a Nevada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xml:space="preserve"> party hereto from time to time;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LENDERS </w:t>
      </w:r>
      <w:r>
        <w:rPr>
          <w:rFonts w:ascii="Arial" w:cs="Arial" w:eastAsia="Arial" w:hAnsi="Arial"/>
          <w:sz w:val="18"/>
          <w:szCs w:val="18"/>
          <w:color w:val="auto"/>
        </w:rPr>
        <w:t>party hereto;</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administrative agent (in such capacity, together with its successors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 (in such capacity, together with its successors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ectPr>
          <w:pgSz w:w="11900" w:h="16838" w:orient="portrait"/>
          <w:cols w:equalWidth="0" w:num="1">
            <w:col w:w="11420"/>
          </w:cols>
          <w:pgMar w:left="240" w:top="368" w:right="239" w:bottom="1440" w:gutter="0" w:footer="0" w:header="0"/>
        </w:sectPr>
      </w:pPr>
    </w:p>
    <w:bookmarkStart w:id="352" w:name="page353"/>
    <w:bookmarkEnd w:id="352"/>
    <w:p>
      <w:pPr>
        <w:spacing w:after="0"/>
        <w:tabs>
          <w:tab w:leader="none" w:pos="13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 xml:space="preserve">Certain Defined Terms. </w:t>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Section 13.14.</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has the meaning set forth in Section 13.04(b)(A).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Auction Manager, Collateral Agent, Documentation Agent, Syndication Agents, Lead Arrangers and/or Arrangers,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ectPr>
          <w:pgSz w:w="11900" w:h="16838" w:orient="portrait"/>
          <w:cols w:equalWidth="0" w:num="1">
            <w:col w:w="11420"/>
          </w:cols>
          <w:pgMar w:left="240" w:top="364" w:right="239" w:bottom="1440" w:gutter="0" w:footer="0" w:header="0"/>
        </w:sectPr>
      </w:pPr>
    </w:p>
    <w:bookmarkStart w:id="353" w:name="page354"/>
    <w:bookmarkEnd w:id="3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original principal amount of $42.0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Allocable Overhead</w:t>
      </w:r>
      <w:r>
        <w:rPr>
          <w:rFonts w:ascii="Arial" w:cs="Arial" w:eastAsia="Arial" w:hAnsi="Arial"/>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Canadian Dollars, Euro, Pound Sterling and any other lawful currency reasonably acceptable to the applicable L/C Lender.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Payment</w:t>
      </w:r>
      <w:r>
        <w:rPr>
          <w:rFonts w:ascii="Arial" w:cs="Arial" w:eastAsia="Arial" w:hAnsi="Arial"/>
          <w:sz w:val="17"/>
          <w:szCs w:val="17"/>
          <w:color w:val="auto"/>
        </w:rPr>
        <w:t>” shall mean each scheduled installment of payments on the Term Loans as set forth in Sections 3.01(b) and 3.01(c).</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Fee Percentage</w:t>
      </w:r>
      <w:r>
        <w:rPr>
          <w:rFonts w:ascii="Arial" w:cs="Arial" w:eastAsia="Arial" w:hAnsi="Arial"/>
          <w:sz w:val="17"/>
          <w:szCs w:val="17"/>
          <w:color w:val="auto"/>
        </w:rPr>
        <w:t>” shall mean, with respect to any Unutilized R/C Commitments or unutilized Term Facility Commitments, 0.30%.</w:t>
      </w:r>
    </w:p>
    <w:p>
      <w:pPr>
        <w:spacing w:after="0" w:line="23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Lending Office</w:t>
      </w:r>
      <w:r>
        <w:rPr>
          <w:rFonts w:ascii="Arial" w:cs="Arial" w:eastAsia="Arial" w:hAnsi="Arial"/>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for each Type and Class of Loan, 1.75%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LIBOR Loans and (ii) 0.75%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w:t>
      </w:r>
    </w:p>
    <w:p>
      <w:pPr>
        <w:sectPr>
          <w:pgSz w:w="11900" w:h="16838" w:orient="portrait"/>
          <w:cols w:equalWidth="0" w:num="1">
            <w:col w:w="11420"/>
          </w:cols>
          <w:pgMar w:left="240" w:top="364" w:right="239" w:bottom="1440" w:gutter="0" w:footer="0" w:header="0"/>
        </w:sectPr>
      </w:pPr>
    </w:p>
    <w:bookmarkStart w:id="354" w:name="page355"/>
    <w:bookmarkEnd w:id="354"/>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Procedures</w:t>
      </w:r>
      <w:r>
        <w:rPr>
          <w:rFonts w:ascii="Arial" w:cs="Arial" w:eastAsia="Arial" w:hAnsi="Arial"/>
          <w:sz w:val="16"/>
          <w:szCs w:val="16"/>
          <w:color w:val="auto"/>
        </w:rPr>
        <w:t xml:space="preserve">” shall mean, collectively, the auction procedures, auction notice, return bid and Borrower Assignment Agreement in substantially the form set forth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or such other form as is reasonably acceptable to Auction Manager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amendments or modifications may be implemented after 24 hours prior to the date and time return bids are due in such auction.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340" w:firstLine="640"/>
        <w:spacing w:after="0" w:line="297" w:lineRule="auto"/>
        <w:tabs>
          <w:tab w:leader="none" w:pos="151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Arial" w:cs="Arial" w:eastAsia="Arial" w:hAnsi="Arial"/>
          <w:sz w:val="18"/>
          <w:szCs w:val="18"/>
          <w:i w:val="1"/>
          <w:iCs w:val="1"/>
          <w:color w:val="auto"/>
        </w:rPr>
        <w:t>plus</w:t>
      </w:r>
    </w:p>
    <w:p>
      <w:pPr>
        <w:jc w:val="both"/>
        <w:ind w:left="340" w:firstLine="640"/>
        <w:spacing w:after="0" w:line="334" w:lineRule="auto"/>
        <w:tabs>
          <w:tab w:leader="none" w:pos="152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clauses (x) and (y) shall not be duplicative of any reductions in the amount of such Investments pursuant to the proviso to the definition of “Investments”; </w:t>
      </w:r>
      <w:r>
        <w:rPr>
          <w:rFonts w:ascii="Arial" w:cs="Arial" w:eastAsia="Arial" w:hAnsi="Arial"/>
          <w:sz w:val="16"/>
          <w:szCs w:val="16"/>
          <w:i w:val="1"/>
          <w:iCs w:val="1"/>
          <w:color w:val="auto"/>
        </w:rPr>
        <w:t>plus</w:t>
      </w:r>
    </w:p>
    <w:p>
      <w:pPr>
        <w:spacing w:after="0" w:line="5" w:lineRule="exact"/>
        <w:rPr>
          <w:rFonts w:ascii="Arial" w:cs="Arial" w:eastAsia="Arial" w:hAnsi="Arial"/>
          <w:sz w:val="16"/>
          <w:szCs w:val="16"/>
          <w:color w:val="auto"/>
        </w:rPr>
      </w:pPr>
    </w:p>
    <w:p>
      <w:pPr>
        <w:ind w:left="340" w:firstLine="640"/>
        <w:spacing w:after="0" w:line="324" w:lineRule="auto"/>
        <w:tabs>
          <w:tab w:leader="none" w:pos="151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aggregate amount of any returns, received since the Closing Date and on or prior to such date (including with respect to contracts related to such Investments and including dividends, interest, distributions,</w:t>
      </w:r>
    </w:p>
    <w:p>
      <w:pPr>
        <w:sectPr>
          <w:pgSz w:w="11900" w:h="16838" w:orient="portrait"/>
          <w:cols w:equalWidth="0" w:num="1">
            <w:col w:w="11420"/>
          </w:cols>
          <w:pgMar w:left="240" w:top="364" w:right="239" w:bottom="1440" w:gutter="0" w:footer="0" w:header="0"/>
        </w:sectPr>
      </w:pPr>
    </w:p>
    <w:bookmarkStart w:id="355" w:name="page356"/>
    <w:bookmarkEnd w:id="355"/>
    <w:p>
      <w:pPr>
        <w:ind w:left="340"/>
        <w:spacing w:after="0" w:line="334" w:lineRule="auto"/>
        <w:rPr>
          <w:sz w:val="20"/>
          <w:szCs w:val="20"/>
          <w:color w:val="auto"/>
        </w:rPr>
      </w:pPr>
      <w:r>
        <w:rPr>
          <w:rFonts w:ascii="Arial" w:cs="Arial" w:eastAsia="Arial" w:hAnsi="Arial"/>
          <w:sz w:val="16"/>
          <w:szCs w:val="16"/>
          <w:color w:val="auto"/>
        </w:rPr>
        <w:t xml:space="preserve">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Arial" w:cs="Arial" w:eastAsia="Arial" w:hAnsi="Arial"/>
          <w:sz w:val="16"/>
          <w:szCs w:val="16"/>
          <w:i w:val="1"/>
          <w:iCs w:val="1"/>
          <w:color w:val="auto"/>
        </w:rPr>
        <w:t>plus</w:t>
      </w:r>
    </w:p>
    <w:p>
      <w:pPr>
        <w:spacing w:after="0" w:line="1" w:lineRule="exact"/>
        <w:rPr>
          <w:sz w:val="20"/>
          <w:szCs w:val="20"/>
          <w:color w:val="auto"/>
        </w:rPr>
      </w:pPr>
    </w:p>
    <w:p>
      <w:pPr>
        <w:ind w:left="340" w:firstLine="640"/>
        <w:spacing w:after="0" w:line="297" w:lineRule="auto"/>
        <w:tabs>
          <w:tab w:leader="none" w:pos="1522"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aggregate fair market value of assets or Property acquired in exchange for Equity Interests (other than Disqualified Capital Stock) of Borrower after the Closing Date and on or prior to such date; plus</w:t>
      </w:r>
    </w:p>
    <w:p>
      <w:pPr>
        <w:jc w:val="both"/>
        <w:ind w:left="340" w:right="20" w:firstLine="640"/>
        <w:spacing w:after="0" w:line="315" w:lineRule="auto"/>
        <w:tabs>
          <w:tab w:leader="none" w:pos="1512"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Arial" w:cs="Arial" w:eastAsia="Arial" w:hAnsi="Arial"/>
          <w:sz w:val="17"/>
          <w:szCs w:val="17"/>
          <w:i w:val="1"/>
          <w:iCs w:val="1"/>
          <w:color w:val="auto"/>
        </w:rPr>
        <w:t>minus</w:t>
      </w:r>
    </w:p>
    <w:p>
      <w:pPr>
        <w:jc w:val="both"/>
        <w:ind w:left="340" w:firstLine="640"/>
        <w:spacing w:after="0" w:line="334" w:lineRule="auto"/>
        <w:tabs>
          <w:tab w:leader="none" w:pos="149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Closing Date and on or prior to such date.</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1" w:lineRule="exact"/>
        <w:rPr>
          <w:sz w:val="20"/>
          <w:szCs w:val="20"/>
          <w:color w:val="auto"/>
        </w:rPr>
      </w:pPr>
    </w:p>
    <w:p>
      <w:pPr>
        <w:ind w:left="1500" w:hanging="520"/>
        <w:spacing w:after="0"/>
        <w:tabs>
          <w:tab w:leader="none" w:pos="15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Pre-Closing Equity Contribution;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340" w:firstLine="640"/>
        <w:spacing w:after="0" w:line="297" w:lineRule="auto"/>
        <w:tabs>
          <w:tab w:leader="none" w:pos="152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2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1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Arial" w:cs="Arial" w:eastAsia="Arial" w:hAnsi="Arial"/>
          <w:sz w:val="18"/>
          <w:szCs w:val="18"/>
          <w:i w:val="1"/>
          <w:iCs w:val="1"/>
          <w:color w:val="auto"/>
        </w:rPr>
        <w:t>minus</w:t>
      </w:r>
    </w:p>
    <w:p>
      <w:pPr>
        <w:spacing w:after="0" w:line="1" w:lineRule="exact"/>
        <w:rPr>
          <w:rFonts w:ascii="Arial" w:cs="Arial" w:eastAsia="Arial" w:hAnsi="Arial"/>
          <w:sz w:val="18"/>
          <w:szCs w:val="18"/>
          <w:color w:val="auto"/>
        </w:rPr>
      </w:pPr>
    </w:p>
    <w:p>
      <w:pPr>
        <w:jc w:val="both"/>
        <w:ind w:left="340" w:firstLine="640"/>
        <w:spacing w:after="0" w:line="287" w:lineRule="auto"/>
        <w:tabs>
          <w:tab w:leader="none" w:pos="149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have a corresponding meaning.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Agreement</w:t>
      </w:r>
      <w:r>
        <w:rPr>
          <w:rFonts w:ascii="Arial" w:cs="Arial" w:eastAsia="Arial" w:hAnsi="Arial"/>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ectPr>
          <w:pgSz w:w="11900" w:h="16838" w:orient="portrait"/>
          <w:cols w:equalWidth="0" w:num="1">
            <w:col w:w="11420"/>
          </w:cols>
          <w:pgMar w:left="240" w:top="395" w:right="239" w:bottom="1440" w:gutter="0" w:footer="0" w:header="0"/>
        </w:sectPr>
      </w:pPr>
    </w:p>
    <w:bookmarkStart w:id="356" w:name="page357"/>
    <w:bookmarkEnd w:id="35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Loan Purchase</w:t>
      </w:r>
      <w:r>
        <w:rPr>
          <w:rFonts w:ascii="Arial" w:cs="Arial" w:eastAsia="Arial" w:hAnsi="Arial"/>
          <w:sz w:val="18"/>
          <w:szCs w:val="18"/>
          <w:color w:val="auto"/>
        </w:rPr>
        <w:t>” shall mean any purchase of Term Loans or Revolving Loans by Borrower or one of its Subsidiaries pursuant to Section 13.05(d).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6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w:t>
      </w:r>
    </w:p>
    <w:p>
      <w:pPr>
        <w:sectPr>
          <w:pgSz w:w="11900" w:h="16838" w:orient="portrait"/>
          <w:cols w:equalWidth="0" w:num="1">
            <w:col w:w="11420"/>
          </w:cols>
          <w:pgMar w:left="240" w:top="364" w:right="2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t>obligations owing to an L/C Lender, such L/C Lender (and “</w:t>
      </w:r>
      <w:r>
        <w:rPr>
          <w:rFonts w:ascii="Arial" w:cs="Arial" w:eastAsia="Arial" w:hAnsi="Arial"/>
          <w:sz w:val="18"/>
          <w:szCs w:val="18"/>
          <w:b w:val="1"/>
          <w:bCs w:val="1"/>
          <w:color w:val="auto"/>
        </w:rPr>
        <w:t>Cash Collateral</w:t>
      </w:r>
      <w:r>
        <w:rPr>
          <w:rFonts w:ascii="Arial" w:cs="Arial" w:eastAsia="Arial" w:hAnsi="Arial"/>
          <w:sz w:val="18"/>
          <w:szCs w:val="18"/>
          <w:color w:val="auto"/>
        </w:rPr>
        <w:t>” and “</w:t>
      </w:r>
      <w:r>
        <w:rPr>
          <w:rFonts w:ascii="Arial" w:cs="Arial" w:eastAsia="Arial" w:hAnsi="Arial"/>
          <w:sz w:val="18"/>
          <w:szCs w:val="18"/>
          <w:b w:val="1"/>
          <w:bCs w:val="1"/>
          <w:color w:val="auto"/>
        </w:rPr>
        <w:t>Cash Collateralization</w:t>
      </w:r>
      <w:r>
        <w:rPr>
          <w:rFonts w:ascii="Arial" w:cs="Arial" w:eastAsia="Arial" w:hAnsi="Arial"/>
          <w:sz w:val="18"/>
          <w:szCs w:val="18"/>
          <w:color w:val="auto"/>
        </w:rPr>
        <w:t>” have corresponding meanings).</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68" w:lineRule="auto"/>
        <w:tabs>
          <w:tab w:leader="none" w:pos="255" w:val="left"/>
        </w:tabs>
        <w:numPr>
          <w:ilvl w:val="0"/>
          <w:numId w:val="448"/>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ectPr>
          <w:pgSz w:w="11900" w:h="16838" w:orient="portrait"/>
          <w:cols w:equalWidth="0" w:num="1">
            <w:col w:w="11420"/>
          </w:cols>
          <w:pgMar w:left="240" w:top="364" w:right="239" w:bottom="1440" w:gutter="0" w:footer="0" w:header="0"/>
        </w:sectPr>
      </w:pPr>
    </w:p>
    <w:bookmarkStart w:id="358" w:name="page359"/>
    <w:bookmarkEnd w:id="35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seq.</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Holdco</w:t>
      </w:r>
      <w:r>
        <w:rPr>
          <w:rFonts w:ascii="Arial" w:cs="Arial" w:eastAsia="Arial" w:hAnsi="Arial"/>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have occurred if:</w:t>
      </w:r>
    </w:p>
    <w:p>
      <w:pPr>
        <w:spacing w:after="0" w:line="256" w:lineRule="exact"/>
        <w:rPr>
          <w:sz w:val="20"/>
          <w:szCs w:val="20"/>
          <w:color w:val="auto"/>
        </w:rPr>
      </w:pPr>
    </w:p>
    <w:p>
      <w:pPr>
        <w:ind w:left="1500" w:hanging="520"/>
        <w:spacing w:after="0"/>
        <w:tabs>
          <w:tab w:leader="none" w:pos="150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Wynn Resorts shall at any time fail to own, directly or indirectly, 60% or more of the voting power of the total outstanding Voting Stock</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of Borrower;</w:t>
      </w:r>
    </w:p>
    <w:p>
      <w:pPr>
        <w:spacing w:after="0" w:line="49" w:lineRule="exact"/>
        <w:rPr>
          <w:rFonts w:ascii="Arial" w:cs="Arial" w:eastAsia="Arial" w:hAnsi="Arial"/>
          <w:sz w:val="16"/>
          <w:szCs w:val="16"/>
          <w:color w:val="auto"/>
        </w:rPr>
      </w:pPr>
    </w:p>
    <w:p>
      <w:pPr>
        <w:ind w:left="340" w:firstLine="640"/>
        <w:spacing w:after="0" w:line="297" w:lineRule="auto"/>
        <w:tabs>
          <w:tab w:leader="none" w:pos="156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Wynn Resorts shall at any time fail to own, directly or indirectly, 50% or more of the voting power of the total outstanding Voting Stock and 50% or more of the total economic interest of Wynn Macau; or</w:t>
      </w:r>
    </w:p>
    <w:p>
      <w:pPr>
        <w:ind w:left="1500" w:hanging="520"/>
        <w:spacing w:after="0"/>
        <w:tabs>
          <w:tab w:leader="none" w:pos="150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Borrower shall at any time fail to own, directly or indirectly, 100% of the voting power of the total outstanding Voting Stock of Wynn</w:t>
      </w:r>
    </w:p>
    <w:p>
      <w:pPr>
        <w:spacing w:after="0" w:line="61" w:lineRule="exact"/>
        <w:rPr>
          <w:rFonts w:ascii="Arial" w:cs="Arial" w:eastAsia="Arial" w:hAnsi="Arial"/>
          <w:sz w:val="17"/>
          <w:szCs w:val="17"/>
          <w:color w:val="auto"/>
        </w:rPr>
      </w:pPr>
    </w:p>
    <w:p>
      <w:pPr>
        <w:ind w:left="660" w:right="4620" w:hanging="324"/>
        <w:spacing w:after="0" w:line="293" w:lineRule="auto"/>
        <w:rPr>
          <w:rFonts w:ascii="Arial" w:cs="Arial" w:eastAsia="Arial" w:hAnsi="Arial"/>
          <w:sz w:val="17"/>
          <w:szCs w:val="17"/>
          <w:color w:val="auto"/>
        </w:rPr>
      </w:pPr>
      <w:r>
        <w:rPr>
          <w:rFonts w:ascii="Arial" w:cs="Arial" w:eastAsia="Arial" w:hAnsi="Arial"/>
          <w:sz w:val="18"/>
          <w:szCs w:val="18"/>
          <w:color w:val="auto"/>
        </w:rPr>
        <w:t>Massachusetts and, from and after the Wynn Las Vegas Reorganization, Wynn Las Vegas. “</w:t>
      </w:r>
      <w:r>
        <w:rPr>
          <w:rFonts w:ascii="Arial" w:cs="Arial" w:eastAsia="Arial" w:hAnsi="Arial"/>
          <w:sz w:val="18"/>
          <w:szCs w:val="18"/>
          <w:b w:val="1"/>
          <w:bCs w:val="1"/>
          <w:color w:val="auto"/>
        </w:rPr>
        <w:t>Charges</w:t>
      </w:r>
      <w:r>
        <w:rPr>
          <w:rFonts w:ascii="Arial" w:cs="Arial" w:eastAsia="Arial" w:hAnsi="Arial"/>
          <w:sz w:val="18"/>
          <w:szCs w:val="18"/>
          <w:color w:val="auto"/>
        </w:rPr>
        <w:t>” has the meaning set forth in Section 13.19.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Commitment</w:t>
      </w:r>
      <w:r>
        <w:rPr>
          <w:rFonts w:ascii="Arial" w:cs="Arial" w:eastAsia="Arial" w:hAnsi="Arial"/>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Facility</w:t>
      </w:r>
      <w:r>
        <w:rPr>
          <w:rFonts w:ascii="Arial" w:cs="Arial" w:eastAsia="Arial" w:hAnsi="Arial"/>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ectPr>
          <w:pgSz w:w="11900" w:h="16838" w:orient="portrait"/>
          <w:cols w:equalWidth="0" w:num="1">
            <w:col w:w="11420"/>
          </w:cols>
          <w:pgMar w:left="240" w:top="364" w:right="239" w:bottom="1440" w:gutter="0" w:footer="0" w:header="0"/>
        </w:sectPr>
      </w:pPr>
    </w:p>
    <w:bookmarkStart w:id="359" w:name="page360"/>
    <w:bookmarkEnd w:id="3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the Revolving Commitments, the Term Facility Commitments and any Other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Guaranty</w:t>
      </w:r>
      <w:r>
        <w:rPr>
          <w:rFonts w:ascii="Arial" w:cs="Arial" w:eastAsia="Arial" w:hAnsi="Arial"/>
          <w:sz w:val="18"/>
          <w:szCs w:val="18"/>
          <w:color w:val="auto"/>
        </w:rPr>
        <w:t xml:space="preserve">” shall mean a completion guaranty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between Wynn Resorts and Administrative Agent, as the same may be amended in accordance with the terms thereof and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500" w:hanging="520"/>
        <w:spacing w:after="0"/>
        <w:tabs>
          <w:tab w:leader="none" w:pos="15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pacing w:after="0" w:line="23" w:lineRule="exact"/>
        <w:rPr>
          <w:rFonts w:ascii="Arial" w:cs="Arial" w:eastAsia="Arial" w:hAnsi="Arial"/>
          <w:sz w:val="18"/>
          <w:szCs w:val="18"/>
          <w:color w:val="auto"/>
        </w:rPr>
      </w:pPr>
    </w:p>
    <w:p>
      <w:pPr>
        <w:ind w:left="660" w:firstLine="645"/>
        <w:spacing w:after="0" w:line="258" w:lineRule="auto"/>
        <w:tabs>
          <w:tab w:leader="none" w:pos="156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Borrower and its Restricted Subsidiaries for such Test Period;</w:t>
      </w:r>
    </w:p>
    <w:p>
      <w:pPr>
        <w:ind w:left="660" w:firstLine="645"/>
        <w:spacing w:after="0" w:line="250" w:lineRule="auto"/>
        <w:tabs>
          <w:tab w:leader="none" w:pos="1577" w:val="left"/>
        </w:tabs>
        <w:numPr>
          <w:ilvl w:val="1"/>
          <w:numId w:val="450"/>
        </w:numPr>
        <w:rPr>
          <w:rFonts w:ascii="Arial" w:cs="Arial" w:eastAsia="Arial" w:hAnsi="Arial"/>
          <w:sz w:val="18"/>
          <w:szCs w:val="18"/>
          <w:color w:val="auto"/>
        </w:rPr>
      </w:pPr>
      <w:r>
        <w:rPr>
          <w:rFonts w:ascii="Arial" w:cs="Arial" w:eastAsia="Arial" w:hAnsi="Arial"/>
          <w:sz w:val="18"/>
          <w:szCs w:val="18"/>
          <w:color w:val="auto"/>
        </w:rPr>
        <w:t>Consolidated Interest Expense of Borrower and its Restricted Subsidiaries for such Test Period, whether paid or accrued and whether or not capitalized;</w:t>
      </w:r>
    </w:p>
    <w:p>
      <w:pPr>
        <w:jc w:val="both"/>
        <w:ind w:left="660" w:firstLine="645"/>
        <w:spacing w:after="0" w:line="281" w:lineRule="auto"/>
        <w:tabs>
          <w:tab w:leader="none" w:pos="1632"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2" w:lineRule="exact"/>
        <w:rPr>
          <w:rFonts w:ascii="Arial" w:cs="Arial" w:eastAsia="Arial" w:hAnsi="Arial"/>
          <w:sz w:val="16"/>
          <w:szCs w:val="16"/>
          <w:color w:val="auto"/>
        </w:rPr>
      </w:pPr>
    </w:p>
    <w:p>
      <w:pPr>
        <w:jc w:val="both"/>
        <w:ind w:left="660" w:firstLine="645"/>
        <w:spacing w:after="0" w:line="290" w:lineRule="auto"/>
        <w:tabs>
          <w:tab w:leader="none" w:pos="164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or expenses represent an accrual of a reserve for potential cash items in any future Test Period, the cash payment in respect thereof</w:t>
      </w:r>
    </w:p>
    <w:p>
      <w:pPr>
        <w:sectPr>
          <w:pgSz w:w="11900" w:h="16838" w:orient="portrait"/>
          <w:cols w:equalWidth="0" w:num="1">
            <w:col w:w="11420"/>
          </w:cols>
          <w:pgMar w:left="240" w:top="364" w:right="239" w:bottom="1440" w:gutter="0" w:footer="0" w:header="0"/>
        </w:sectPr>
      </w:pPr>
    </w:p>
    <w:bookmarkStart w:id="360" w:name="page361"/>
    <w:bookmarkEnd w:id="360"/>
    <w:p>
      <w:pPr>
        <w:ind w:left="328"/>
        <w:spacing w:after="0" w:line="258" w:lineRule="auto"/>
        <w:rPr>
          <w:sz w:val="20"/>
          <w:szCs w:val="20"/>
          <w:color w:val="auto"/>
        </w:rPr>
      </w:pPr>
      <w:r>
        <w:rPr>
          <w:rFonts w:ascii="Arial" w:cs="Arial" w:eastAsia="Arial" w:hAnsi="Arial"/>
          <w:sz w:val="18"/>
          <w:szCs w:val="18"/>
          <w:color w:val="auto"/>
        </w:rPr>
        <w:t>in such future Test Period shall be subtracted from Consolidated EBITDA to the extent Borrower elected to previously add back such amounts to Consolidated EBITDA;</w:t>
      </w:r>
    </w:p>
    <w:p>
      <w:pPr>
        <w:spacing w:after="0" w:line="1" w:lineRule="exact"/>
        <w:rPr>
          <w:sz w:val="20"/>
          <w:szCs w:val="20"/>
          <w:color w:val="auto"/>
        </w:rPr>
      </w:pPr>
    </w:p>
    <w:p>
      <w:pPr>
        <w:ind w:left="1228" w:hanging="255"/>
        <w:spacing w:after="0"/>
        <w:tabs>
          <w:tab w:leader="none" w:pos="1228"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any Pre-Opening Expenses;</w:t>
      </w:r>
    </w:p>
    <w:p>
      <w:pPr>
        <w:spacing w:after="0" w:line="9" w:lineRule="exact"/>
        <w:rPr>
          <w:rFonts w:ascii="Arial" w:cs="Arial" w:eastAsia="Arial" w:hAnsi="Arial"/>
          <w:sz w:val="18"/>
          <w:szCs w:val="18"/>
          <w:color w:val="auto"/>
        </w:rPr>
      </w:pPr>
    </w:p>
    <w:p>
      <w:pPr>
        <w:jc w:val="both"/>
        <w:ind w:left="328" w:firstLine="645"/>
        <w:spacing w:after="0" w:line="281" w:lineRule="auto"/>
        <w:tabs>
          <w:tab w:leader="none" w:pos="1292" w:val="left"/>
        </w:tabs>
        <w:numPr>
          <w:ilvl w:val="2"/>
          <w:numId w:val="451"/>
        </w:numPr>
        <w:rPr>
          <w:rFonts w:ascii="Arial" w:cs="Arial" w:eastAsia="Arial" w:hAnsi="Arial"/>
          <w:sz w:val="16"/>
          <w:szCs w:val="16"/>
          <w:color w:val="auto"/>
        </w:rPr>
      </w:pPr>
      <w:r>
        <w:rPr>
          <w:rFonts w:ascii="Arial" w:cs="Arial" w:eastAsia="Arial" w:hAnsi="Arial"/>
          <w:sz w:val="16"/>
          <w:szCs w:val="16"/>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2" w:lineRule="exact"/>
        <w:rPr>
          <w:rFonts w:ascii="Arial" w:cs="Arial" w:eastAsia="Arial" w:hAnsi="Arial"/>
          <w:sz w:val="16"/>
          <w:szCs w:val="16"/>
          <w:color w:val="auto"/>
        </w:rPr>
      </w:pPr>
    </w:p>
    <w:p>
      <w:pPr>
        <w:jc w:val="both"/>
        <w:ind w:left="328" w:firstLine="645"/>
        <w:spacing w:after="0" w:line="250" w:lineRule="auto"/>
        <w:tabs>
          <w:tab w:leader="none" w:pos="1351"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2" w:lineRule="exact"/>
        <w:rPr>
          <w:rFonts w:ascii="Arial" w:cs="Arial" w:eastAsia="Arial" w:hAnsi="Arial"/>
          <w:sz w:val="18"/>
          <w:szCs w:val="18"/>
          <w:color w:val="auto"/>
        </w:rPr>
      </w:pPr>
    </w:p>
    <w:p>
      <w:pPr>
        <w:ind w:left="1368" w:hanging="395"/>
        <w:spacing w:after="0"/>
        <w:tabs>
          <w:tab w:leader="none" w:pos="1368"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any losses resulting from mark to market accounting of Swap Contracts or other derivative instruments; and</w:t>
      </w:r>
    </w:p>
    <w:p>
      <w:pPr>
        <w:spacing w:after="0" w:line="9" w:lineRule="exact"/>
        <w:rPr>
          <w:rFonts w:ascii="Arial" w:cs="Arial" w:eastAsia="Arial" w:hAnsi="Arial"/>
          <w:sz w:val="18"/>
          <w:szCs w:val="18"/>
          <w:color w:val="auto"/>
        </w:rPr>
      </w:pPr>
    </w:p>
    <w:p>
      <w:pPr>
        <w:jc w:val="both"/>
        <w:ind w:left="328" w:firstLine="645"/>
        <w:spacing w:after="0" w:line="270" w:lineRule="auto"/>
        <w:tabs>
          <w:tab w:leader="none" w:pos="1294" w:val="left"/>
        </w:tabs>
        <w:numPr>
          <w:ilvl w:val="2"/>
          <w:numId w:val="451"/>
        </w:numPr>
        <w:rPr>
          <w:rFonts w:ascii="Arial" w:cs="Arial" w:eastAsia="Arial" w:hAnsi="Arial"/>
          <w:sz w:val="17"/>
          <w:szCs w:val="17"/>
          <w:color w:val="auto"/>
        </w:rPr>
      </w:pPr>
      <w:r>
        <w:rPr>
          <w:rFonts w:ascii="Arial" w:cs="Arial" w:eastAsia="Arial" w:hAnsi="Arial"/>
          <w:sz w:val="17"/>
          <w:szCs w:val="17"/>
          <w:color w:val="auto"/>
        </w:rPr>
        <w:t xml:space="preserve">the aggregate amount of accrued and unpaid Management Fees and IP Licensing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Arial" w:cs="Arial" w:eastAsia="Arial" w:hAnsi="Arial"/>
          <w:sz w:val="17"/>
          <w:szCs w:val="17"/>
          <w:i w:val="1"/>
          <w:iCs w:val="1"/>
          <w:color w:val="auto"/>
        </w:rPr>
        <w:t>minus</w:t>
      </w:r>
    </w:p>
    <w:p>
      <w:pPr>
        <w:spacing w:after="0" w:line="1" w:lineRule="exact"/>
        <w:rPr>
          <w:rFonts w:ascii="Arial" w:cs="Arial" w:eastAsia="Arial" w:hAnsi="Arial"/>
          <w:sz w:val="17"/>
          <w:szCs w:val="17"/>
          <w:color w:val="auto"/>
        </w:rPr>
      </w:pPr>
    </w:p>
    <w:p>
      <w:pPr>
        <w:ind w:left="1188" w:hanging="540"/>
        <w:spacing w:after="0"/>
        <w:tabs>
          <w:tab w:leader="none" w:pos="1188"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49" w:lineRule="exact"/>
        <w:rPr>
          <w:rFonts w:ascii="Arial" w:cs="Arial" w:eastAsia="Arial" w:hAnsi="Arial"/>
          <w:sz w:val="18"/>
          <w:szCs w:val="18"/>
          <w:color w:val="auto"/>
        </w:rPr>
      </w:pPr>
    </w:p>
    <w:p>
      <w:pPr>
        <w:jc w:val="both"/>
        <w:ind w:left="328" w:firstLine="645"/>
        <w:spacing w:after="0" w:line="315" w:lineRule="auto"/>
        <w:tabs>
          <w:tab w:leader="none" w:pos="1794" w:val="left"/>
        </w:tabs>
        <w:numPr>
          <w:ilvl w:val="2"/>
          <w:numId w:val="452"/>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ind w:left="1848" w:hanging="875"/>
        <w:spacing w:after="0"/>
        <w:tabs>
          <w:tab w:leader="none" w:pos="1848" w:val="left"/>
        </w:tabs>
        <w:numPr>
          <w:ilvl w:val="2"/>
          <w:numId w:val="452"/>
        </w:numPr>
        <w:rPr>
          <w:rFonts w:ascii="Arial" w:cs="Arial" w:eastAsia="Arial" w:hAnsi="Arial"/>
          <w:sz w:val="17"/>
          <w:szCs w:val="17"/>
          <w:color w:val="auto"/>
        </w:rPr>
      </w:pPr>
      <w:r>
        <w:rPr>
          <w:rFonts w:ascii="Arial" w:cs="Arial" w:eastAsia="Arial" w:hAnsi="Arial"/>
          <w:sz w:val="17"/>
          <w:szCs w:val="17"/>
          <w:color w:val="auto"/>
        </w:rPr>
        <w:t xml:space="preserve">the amount of any gains resulting from mark to market accounting of Swap Contracts or other derivative instruments; </w:t>
      </w:r>
      <w:r>
        <w:rPr>
          <w:rFonts w:ascii="Arial" w:cs="Arial" w:eastAsia="Arial" w:hAnsi="Arial"/>
          <w:sz w:val="17"/>
          <w:szCs w:val="17"/>
          <w:i w:val="1"/>
          <w:iCs w:val="1"/>
          <w:color w:val="auto"/>
        </w:rPr>
        <w:t>plus</w:t>
      </w:r>
    </w:p>
    <w:p>
      <w:pPr>
        <w:spacing w:after="0" w:line="61" w:lineRule="exact"/>
        <w:rPr>
          <w:rFonts w:ascii="Arial" w:cs="Arial" w:eastAsia="Arial" w:hAnsi="Arial"/>
          <w:sz w:val="17"/>
          <w:szCs w:val="17"/>
          <w:color w:val="auto"/>
        </w:rPr>
      </w:pPr>
    </w:p>
    <w:p>
      <w:pPr>
        <w:jc w:val="both"/>
        <w:ind w:left="8" w:firstLine="640"/>
        <w:spacing w:after="0" w:line="334" w:lineRule="auto"/>
        <w:tabs>
          <w:tab w:leader="none" w:pos="118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8" w:lineRule="exact"/>
        <w:rPr>
          <w:rFonts w:ascii="Arial" w:cs="Arial" w:eastAsia="Arial" w:hAnsi="Arial"/>
          <w:sz w:val="16"/>
          <w:szCs w:val="16"/>
          <w:color w:val="auto"/>
        </w:rPr>
      </w:pPr>
    </w:p>
    <w:p>
      <w:pPr>
        <w:ind w:left="268" w:hanging="268"/>
        <w:spacing w:after="0"/>
        <w:tabs>
          <w:tab w:leader="none" w:pos="2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be duplicative of one another;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8" w:firstLine="640"/>
        <w:spacing w:after="0" w:line="306" w:lineRule="auto"/>
        <w:tabs>
          <w:tab w:leader="none" w:pos="119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of insurance proceeds shall only be included pursuant to this clause</w:t>
      </w:r>
    </w:p>
    <w:p>
      <w:pPr>
        <w:sectPr>
          <w:pgSz w:w="11900" w:h="16838" w:orient="portrait"/>
          <w:cols w:equalWidth="0" w:num="1">
            <w:col w:w="11088"/>
          </w:cols>
          <w:pgMar w:left="572" w:top="368" w:right="239" w:bottom="1440" w:gutter="0" w:footer="0" w:header="0"/>
        </w:sectPr>
      </w:pPr>
    </w:p>
    <w:bookmarkStart w:id="361" w:name="page362"/>
    <w:bookmarkEnd w:id="361"/>
    <w:p>
      <w:pPr>
        <w:jc w:val="both"/>
        <w:ind w:left="340" w:hanging="8"/>
        <w:spacing w:after="0" w:line="334" w:lineRule="auto"/>
        <w:tabs>
          <w:tab w:leader="none" w:pos="59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to the extent of the amount of insurance proceeds </w:t>
      </w:r>
      <w:r>
        <w:rPr>
          <w:rFonts w:ascii="Arial" w:cs="Arial" w:eastAsia="Arial" w:hAnsi="Arial"/>
          <w:sz w:val="16"/>
          <w:szCs w:val="16"/>
          <w:i w:val="1"/>
          <w:iCs w:val="1"/>
          <w:color w:val="auto"/>
        </w:rPr>
        <w:t>plus</w:t>
      </w:r>
      <w:r>
        <w:rPr>
          <w:rFonts w:ascii="Arial" w:cs="Arial" w:eastAsia="Arial" w:hAnsi="Arial"/>
          <w:sz w:val="16"/>
          <w:szCs w:val="16"/>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6"/>
          <w:szCs w:val="16"/>
          <w:i w:val="1"/>
          <w:iCs w:val="1"/>
          <w:color w:val="auto"/>
        </w:rPr>
        <w:t>plus</w:t>
      </w:r>
    </w:p>
    <w:p>
      <w:pPr>
        <w:spacing w:after="0" w:line="2" w:lineRule="exact"/>
        <w:rPr>
          <w:rFonts w:ascii="Arial" w:cs="Arial" w:eastAsia="Arial" w:hAnsi="Arial"/>
          <w:sz w:val="16"/>
          <w:szCs w:val="16"/>
          <w:color w:val="auto"/>
        </w:rPr>
      </w:pPr>
    </w:p>
    <w:p>
      <w:pPr>
        <w:jc w:val="both"/>
        <w:ind w:left="340" w:right="20" w:firstLine="640"/>
        <w:spacing w:after="0" w:line="287" w:lineRule="auto"/>
        <w:tabs>
          <w:tab w:leader="none" w:pos="1512" w:val="left"/>
        </w:tabs>
        <w:numPr>
          <w:ilvl w:val="1"/>
          <w:numId w:val="454"/>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1" w:lineRule="exact"/>
        <w:rPr>
          <w:sz w:val="20"/>
          <w:szCs w:val="20"/>
          <w:color w:val="auto"/>
        </w:rPr>
      </w:pPr>
    </w:p>
    <w:p>
      <w:pPr>
        <w:jc w:val="both"/>
        <w:ind w:left="340" w:firstLine="640"/>
        <w:spacing w:after="0" w:line="297" w:lineRule="auto"/>
        <w:tabs>
          <w:tab w:leader="none" w:pos="156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2" w:lineRule="exact"/>
        <w:rPr>
          <w:rFonts w:ascii="Arial" w:cs="Arial" w:eastAsia="Arial" w:hAnsi="Arial"/>
          <w:sz w:val="18"/>
          <w:szCs w:val="18"/>
          <w:color w:val="auto"/>
        </w:rPr>
      </w:pPr>
    </w:p>
    <w:p>
      <w:pPr>
        <w:jc w:val="both"/>
        <w:ind w:left="340" w:firstLine="640"/>
        <w:spacing w:after="0" w:line="297" w:lineRule="auto"/>
        <w:tabs>
          <w:tab w:leader="none" w:pos="155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2" w:lineRule="exact"/>
        <w:rPr>
          <w:rFonts w:ascii="Arial" w:cs="Arial" w:eastAsia="Arial" w:hAnsi="Arial"/>
          <w:sz w:val="18"/>
          <w:szCs w:val="18"/>
          <w:color w:val="auto"/>
        </w:rPr>
      </w:pPr>
    </w:p>
    <w:p>
      <w:pPr>
        <w:jc w:val="both"/>
        <w:ind w:left="340" w:firstLine="640"/>
        <w:spacing w:after="0" w:line="315" w:lineRule="auto"/>
        <w:tabs>
          <w:tab w:leader="none" w:pos="1552" w:val="left"/>
        </w:tabs>
        <w:numPr>
          <w:ilvl w:val="0"/>
          <w:numId w:val="455"/>
        </w:numPr>
        <w:rPr>
          <w:rFonts w:ascii="Arial" w:cs="Arial" w:eastAsia="Arial" w:hAnsi="Arial"/>
          <w:sz w:val="17"/>
          <w:szCs w:val="17"/>
          <w:color w:val="auto"/>
        </w:rPr>
      </w:pPr>
      <w:r>
        <w:rPr>
          <w:rFonts w:ascii="Arial" w:cs="Arial" w:eastAsia="Arial" w:hAnsi="Arial"/>
          <w:sz w:val="17"/>
          <w:szCs w:val="17"/>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jc w:val="both"/>
        <w:ind w:left="340" w:firstLine="640"/>
        <w:spacing w:after="0" w:line="297" w:lineRule="auto"/>
        <w:tabs>
          <w:tab w:leader="none" w:pos="156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 w:lineRule="exact"/>
        <w:rPr>
          <w:rFonts w:ascii="Arial" w:cs="Arial" w:eastAsia="Arial" w:hAnsi="Arial"/>
          <w:sz w:val="18"/>
          <w:szCs w:val="18"/>
          <w:color w:val="auto"/>
        </w:rPr>
      </w:pPr>
    </w:p>
    <w:p>
      <w:pPr>
        <w:jc w:val="both"/>
        <w:ind w:left="340" w:firstLine="640"/>
        <w:spacing w:after="0" w:line="297" w:lineRule="auto"/>
        <w:tabs>
          <w:tab w:leader="none" w:pos="154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2" w:lineRule="exact"/>
        <w:rPr>
          <w:rFonts w:ascii="Arial" w:cs="Arial" w:eastAsia="Arial" w:hAnsi="Arial"/>
          <w:sz w:val="18"/>
          <w:szCs w:val="18"/>
          <w:color w:val="auto"/>
        </w:rPr>
      </w:pPr>
    </w:p>
    <w:p>
      <w:pPr>
        <w:jc w:val="both"/>
        <w:ind w:left="340" w:firstLine="640"/>
        <w:spacing w:after="0" w:line="302" w:lineRule="auto"/>
        <w:tabs>
          <w:tab w:leader="none" w:pos="153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Restricted Subsidiary that is not required to become a Guarantor pursuant to this Agreement solely as a result of any applicable Gaming Laws or Gaming Approvals, such limitation shall not apply until the date that is ninety (90) days after the date such Restricted Subsidiary would have otherwise been required to become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from and after the Wynn Las Vegas Reorganization, and prior to the Wynn Las Vegas 2020 and 2022 Note Repayment, this clause (F) shall not apply to the Wynn Las Vegas Entities.</w:t>
      </w:r>
    </w:p>
    <w:p>
      <w:pPr>
        <w:sectPr>
          <w:pgSz w:w="11900" w:h="16838" w:orient="portrait"/>
          <w:cols w:equalWidth="0" w:num="1">
            <w:col w:w="11420"/>
          </w:cols>
          <w:pgMar w:left="240" w:top="395" w:right="239" w:bottom="1440" w:gutter="0" w:footer="0" w:header="0"/>
        </w:sectPr>
      </w:pPr>
    </w:p>
    <w:bookmarkStart w:id="362" w:name="page363"/>
    <w:bookmarkEnd w:id="362"/>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(ii)(B), such Indebtedness is not guaranteed by any Credit Party), (iii) Consolidated Indebtedness shall not include Contingent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shall mean, for any Test Period, the aggregate of the net income of Borrower and its Restricted Subsidiaries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238" w:lineRule="exact"/>
        <w:rPr>
          <w:sz w:val="20"/>
          <w:szCs w:val="20"/>
          <w:color w:val="auto"/>
        </w:rPr>
      </w:pPr>
    </w:p>
    <w:p>
      <w:pPr>
        <w:ind w:left="340" w:firstLine="640"/>
        <w:spacing w:after="0" w:line="297" w:lineRule="auto"/>
        <w:tabs>
          <w:tab w:leader="none" w:pos="151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ind w:left="1520" w:hanging="540"/>
        <w:spacing w:after="0"/>
        <w:tabs>
          <w:tab w:leader="none" w:pos="15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thereon) shall be excluded;</w:t>
      </w:r>
    </w:p>
    <w:p>
      <w:pPr>
        <w:spacing w:after="0" w:line="49" w:lineRule="exact"/>
        <w:rPr>
          <w:rFonts w:ascii="Arial" w:cs="Arial" w:eastAsia="Arial" w:hAnsi="Arial"/>
          <w:sz w:val="18"/>
          <w:szCs w:val="18"/>
          <w:color w:val="auto"/>
        </w:rPr>
      </w:pPr>
    </w:p>
    <w:p>
      <w:pPr>
        <w:jc w:val="both"/>
        <w:ind w:left="340" w:firstLine="640"/>
        <w:spacing w:after="0" w:line="329" w:lineRule="auto"/>
        <w:tabs>
          <w:tab w:leader="none" w:pos="1512"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w:t>
      </w:r>
    </w:p>
    <w:p>
      <w:pPr>
        <w:sectPr>
          <w:pgSz w:w="11900" w:h="16838" w:orient="portrait"/>
          <w:cols w:equalWidth="0" w:num="1">
            <w:col w:w="11420"/>
          </w:cols>
          <w:pgMar w:left="240" w:top="364" w:right="239" w:bottom="1440" w:gutter="0" w:footer="0" w:header="0"/>
        </w:sectPr>
      </w:pPr>
    </w:p>
    <w:bookmarkStart w:id="363" w:name="page364"/>
    <w:bookmarkEnd w:id="363"/>
    <w:p>
      <w:pPr>
        <w:ind w:left="340"/>
        <w:spacing w:after="0" w:line="297" w:lineRule="auto"/>
        <w:rPr>
          <w:sz w:val="20"/>
          <w:szCs w:val="20"/>
          <w:color w:val="auto"/>
        </w:rPr>
      </w:pPr>
      <w:r>
        <w:rPr>
          <w:rFonts w:ascii="Arial" w:cs="Arial" w:eastAsia="Arial" w:hAnsi="Arial"/>
          <w:sz w:val="18"/>
          <w:szCs w:val="18"/>
          <w:color w:val="auto"/>
        </w:rPr>
        <w:t>management fees) that are actually paid or are payable in cash to Borrower or a Restricted Subsidiary thereof in respect of such period by such Persons (or to the extent converted into cash);</w:t>
      </w:r>
    </w:p>
    <w:p>
      <w:pPr>
        <w:spacing w:after="0" w:line="1" w:lineRule="exact"/>
        <w:rPr>
          <w:sz w:val="20"/>
          <w:szCs w:val="20"/>
          <w:color w:val="auto"/>
        </w:rPr>
      </w:pPr>
    </w:p>
    <w:p>
      <w:pPr>
        <w:jc w:val="both"/>
        <w:ind w:left="340" w:firstLine="640"/>
        <w:spacing w:after="0" w:line="315" w:lineRule="auto"/>
        <w:tabs>
          <w:tab w:leader="none" w:pos="1522"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Arial" w:cs="Arial" w:eastAsia="Arial" w:hAnsi="Arial"/>
          <w:sz w:val="17"/>
          <w:szCs w:val="17"/>
          <w:i w:val="1"/>
          <w:iCs w:val="1"/>
          <w:color w:val="auto"/>
        </w:rPr>
        <w:t>provided</w:t>
      </w:r>
      <w:r>
        <w:rPr>
          <w:rFonts w:ascii="Arial" w:cs="Arial" w:eastAsia="Arial" w:hAnsi="Arial"/>
          <w:sz w:val="17"/>
          <w:szCs w:val="17"/>
          <w:color w:val="auto"/>
        </w:rPr>
        <w:t>, that from and after the Wynn Las Vegas Reorganization this clause (d) shall not apply to the Wynn Las Vegas Entities;</w:t>
      </w:r>
    </w:p>
    <w:p>
      <w:pPr>
        <w:jc w:val="both"/>
        <w:ind w:left="340" w:firstLine="640"/>
        <w:spacing w:after="0" w:line="297" w:lineRule="auto"/>
        <w:tabs>
          <w:tab w:leader="none" w:pos="151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 w:lineRule="exact"/>
        <w:rPr>
          <w:rFonts w:ascii="Arial" w:cs="Arial" w:eastAsia="Arial" w:hAnsi="Arial"/>
          <w:sz w:val="18"/>
          <w:szCs w:val="18"/>
          <w:color w:val="auto"/>
        </w:rPr>
      </w:pPr>
    </w:p>
    <w:p>
      <w:pPr>
        <w:jc w:val="both"/>
        <w:ind w:left="340" w:firstLine="640"/>
        <w:spacing w:after="0" w:line="334" w:lineRule="auto"/>
        <w:tabs>
          <w:tab w:leader="none" w:pos="149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 w:lineRule="exact"/>
        <w:rPr>
          <w:rFonts w:ascii="Arial" w:cs="Arial" w:eastAsia="Arial" w:hAnsi="Arial"/>
          <w:sz w:val="16"/>
          <w:szCs w:val="16"/>
          <w:color w:val="auto"/>
        </w:rPr>
      </w:pPr>
    </w:p>
    <w:p>
      <w:pPr>
        <w:ind w:left="1520" w:hanging="540"/>
        <w:spacing w:after="0"/>
        <w:tabs>
          <w:tab w:leader="none" w:pos="15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49" w:lineRule="exact"/>
        <w:rPr>
          <w:rFonts w:ascii="Arial" w:cs="Arial" w:eastAsia="Arial" w:hAnsi="Arial"/>
          <w:sz w:val="18"/>
          <w:szCs w:val="18"/>
          <w:color w:val="auto"/>
        </w:rPr>
      </w:pPr>
    </w:p>
    <w:p>
      <w:pPr>
        <w:jc w:val="both"/>
        <w:ind w:left="340" w:firstLine="640"/>
        <w:spacing w:after="0" w:line="315" w:lineRule="auto"/>
        <w:tabs>
          <w:tab w:leader="none" w:pos="1522"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any expenses or reserves for liabilities shall be excluded to the extent that Borrower or any of its Restricted Subsidiaries is entitled to indemnification therefor under binding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jc w:val="both"/>
        <w:ind w:left="340" w:firstLine="640"/>
        <w:spacing w:after="0" w:line="334" w:lineRule="auto"/>
        <w:tabs>
          <w:tab w:leader="none" w:pos="148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2" w:lineRule="exact"/>
        <w:rPr>
          <w:rFonts w:ascii="Arial" w:cs="Arial" w:eastAsia="Arial" w:hAnsi="Arial"/>
          <w:sz w:val="16"/>
          <w:szCs w:val="16"/>
          <w:color w:val="auto"/>
        </w:rPr>
      </w:pPr>
    </w:p>
    <w:p>
      <w:pPr>
        <w:ind w:left="340" w:firstLine="640"/>
        <w:spacing w:after="0" w:line="297" w:lineRule="auto"/>
        <w:tabs>
          <w:tab w:leader="none" w:pos="148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 and</w:t>
      </w:r>
    </w:p>
    <w:p>
      <w:pPr>
        <w:ind w:left="340" w:firstLine="640"/>
        <w:spacing w:after="0" w:line="324" w:lineRule="auto"/>
        <w:tabs>
          <w:tab w:leader="none" w:pos="152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net income (or loss) of a Restricted Subsidiary that is not a Wholly Owned Subsidiary shall be included in an amount proportional to Borrower’s economic ownership interest therein.</w:t>
      </w:r>
    </w:p>
    <w:p>
      <w:pPr>
        <w:spacing w:after="0" w:line="13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Net Leverage Ratio</w:t>
      </w:r>
      <w:r>
        <w:rPr>
          <w:rFonts w:ascii="Arial" w:cs="Arial" w:eastAsia="Arial" w:hAnsi="Arial"/>
          <w:sz w:val="16"/>
          <w:szCs w:val="16"/>
          <w:color w:val="auto"/>
        </w:rPr>
        <w:t>” shall mean, as of any date of determination, the ratio of (a) (i) Consolidated Indebtedness of Borrower and its Restricted Subsidiaries that is secured by Liens on property or assets of Borrower or its Restricted Subsidiaries as of such date (other than</w:t>
      </w:r>
    </w:p>
    <w:p>
      <w:pPr>
        <w:spacing w:after="0" w:line="1" w:lineRule="exact"/>
        <w:rPr>
          <w:sz w:val="20"/>
          <w:szCs w:val="20"/>
          <w:color w:val="auto"/>
        </w:rPr>
      </w:pPr>
    </w:p>
    <w:p>
      <w:pPr>
        <w:jc w:val="both"/>
        <w:ind w:firstLine="8"/>
        <w:spacing w:after="0" w:line="290" w:lineRule="auto"/>
        <w:tabs>
          <w:tab w:leader="none" w:pos="25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any such Consolidated Indebtedness 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Unrestricted Cash to (b) Consolidated EBITDA for the Test Period most recently ended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shall mean, as to any Person, any obligation of such Person guaranteeing or intended to guarantee any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any obligation of such Person, whether or not contingent, (a) to purchase any such primary obligation or any property constituting direct or indirect security therefor; (b) to advance or supply funds</w:t>
      </w:r>
    </w:p>
    <w:p>
      <w:pPr>
        <w:sectPr>
          <w:pgSz w:w="11900" w:h="16838" w:orient="portrait"/>
          <w:cols w:equalWidth="0" w:num="1">
            <w:col w:w="11420"/>
          </w:cols>
          <w:pgMar w:left="240" w:top="395" w:right="239" w:bottom="1440" w:gutter="0" w:footer="0" w:header="0"/>
        </w:sectPr>
      </w:pPr>
    </w:p>
    <w:bookmarkStart w:id="364" w:name="page365"/>
    <w:bookmarkEnd w:id="364"/>
    <w:p>
      <w:pPr>
        <w:jc w:val="both"/>
        <w:ind w:firstLine="8"/>
        <w:spacing w:after="0" w:line="289" w:lineRule="auto"/>
        <w:tabs>
          <w:tab w:leader="none" w:pos="23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 xml:space="preserve">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Suspension Period</w:t>
      </w:r>
      <w:r>
        <w:rPr>
          <w:rFonts w:ascii="Arial" w:cs="Arial" w:eastAsia="Arial" w:hAnsi="Arial"/>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other fees and expenses associated with the refinancing (including any upfront fees and original issue discount), (v) the terms (excluding</w:t>
      </w:r>
    </w:p>
    <w:p>
      <w:pPr>
        <w:sectPr>
          <w:pgSz w:w="11900" w:h="16838" w:orient="portrait"/>
          <w:cols w:equalWidth="0" w:num="1">
            <w:col w:w="11420"/>
          </w:cols>
          <w:pgMar w:left="240" w:top="368" w:right="239" w:bottom="1440" w:gutter="0" w:footer="0" w:header="0"/>
        </w:sectPr>
      </w:pPr>
    </w:p>
    <w:bookmarkStart w:id="365" w:name="page366"/>
    <w:bookmarkEnd w:id="365"/>
    <w:p>
      <w:pPr>
        <w:jc w:val="both"/>
        <w:spacing w:after="0" w:line="259" w:lineRule="auto"/>
        <w:rPr>
          <w:sz w:val="20"/>
          <w:szCs w:val="20"/>
          <w:color w:val="auto"/>
        </w:rPr>
      </w:pPr>
      <w:r>
        <w:rPr>
          <w:rFonts w:ascii="Arial" w:cs="Arial" w:eastAsia="Arial" w:hAnsi="Arial"/>
          <w:sz w:val="18"/>
          <w:szCs w:val="18"/>
          <w:color w:val="auto"/>
        </w:rPr>
        <w:t>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Expiration Date</w:t>
      </w:r>
      <w:r>
        <w:rPr>
          <w:rFonts w:ascii="Arial" w:cs="Arial" w:eastAsia="Arial" w:hAnsi="Arial"/>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shall have the meaning given to such term in Section 2.10(b).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w:t>
      </w:r>
    </w:p>
    <w:p>
      <w:pPr>
        <w:sectPr>
          <w:pgSz w:w="11900" w:h="16838" w:orient="portrait"/>
          <w:cols w:equalWidth="0" w:num="1">
            <w:col w:w="11420"/>
          </w:cols>
          <w:pgMar w:left="240" w:top="368" w:right="239" w:bottom="1440" w:gutter="0" w:footer="0" w:header="0"/>
        </w:sectPr>
      </w:pPr>
    </w:p>
    <w:bookmarkStart w:id="366" w:name="page367"/>
    <w:bookmarkEnd w:id="366"/>
    <w:p>
      <w:pPr>
        <w:jc w:val="both"/>
        <w:spacing w:after="0" w:line="287" w:lineRule="auto"/>
        <w:rPr>
          <w:sz w:val="20"/>
          <w:szCs w:val="20"/>
          <w:color w:val="auto"/>
        </w:rPr>
      </w:pPr>
      <w:r>
        <w:rPr>
          <w:rFonts w:ascii="Arial" w:cs="Arial" w:eastAsia="Arial" w:hAnsi="Arial"/>
          <w:sz w:val="16"/>
          <w:szCs w:val="16"/>
          <w:color w:val="auto"/>
        </w:rPr>
        <w:t>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or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will cease to be a Defaulting Lender pursuant to this clause (iv) upon Administrative Agent’s and Borrower’s receipt of such written confirmation). Any determination of a Defaulting Lender under clauses (i) through (iv) above will be conclusive and binding absent manifest error.</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w:t>
      </w:r>
      <w:r>
        <w:rPr>
          <w:rFonts w:ascii="Arial" w:cs="Arial" w:eastAsia="Arial" w:hAnsi="Arial"/>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Amount</w:t>
      </w:r>
      <w:r>
        <w:rPr>
          <w:rFonts w:ascii="Arial" w:cs="Arial" w:eastAsia="Arial" w:hAnsi="Arial"/>
          <w:sz w:val="18"/>
          <w:szCs w:val="18"/>
          <w:color w:val="auto"/>
        </w:rPr>
        <w:t>” has the meaning set forth in Section 9.12(a)(ii).</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Financing</w:t>
      </w:r>
      <w:r>
        <w:rPr>
          <w:rFonts w:ascii="Arial" w:cs="Arial" w:eastAsia="Arial" w:hAnsi="Arial"/>
          <w:sz w:val="16"/>
          <w:szCs w:val="16"/>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Arial" w:cs="Arial" w:eastAsia="Arial" w:hAnsi="Arial"/>
          <w:sz w:val="16"/>
          <w:szCs w:val="16"/>
          <w:b w:val="1"/>
          <w:bCs w:val="1"/>
          <w:color w:val="auto"/>
        </w:rPr>
        <w:t>Development Financing Initial Fiscal Quarter</w:t>
      </w:r>
      <w:r>
        <w:rPr>
          <w:rFonts w:ascii="Arial" w:cs="Arial" w:eastAsia="Arial" w:hAnsi="Arial"/>
          <w:sz w:val="16"/>
          <w:szCs w:val="16"/>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 Initial Fiscal Quarter</w:t>
      </w:r>
      <w:r>
        <w:rPr>
          <w:rFonts w:ascii="Arial" w:cs="Arial" w:eastAsia="Arial" w:hAnsi="Arial"/>
          <w:sz w:val="17"/>
          <w:szCs w:val="17"/>
          <w:color w:val="auto"/>
        </w:rPr>
        <w:t>” shall have the meaning assigned to such term in the definition of “Development Financing.”</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Project</w:t>
      </w:r>
      <w:r>
        <w:rPr>
          <w:rFonts w:ascii="Arial" w:cs="Arial" w:eastAsia="Arial" w:hAnsi="Arial"/>
          <w:sz w:val="18"/>
          <w:szCs w:val="18"/>
          <w:color w:val="auto"/>
        </w:rPr>
        <w:t>” shall mean any Facility under development (excluding the Wynn Massachusetts Project) directly or indirectly by (a) Borrower or any of its Restricted Subsidiaries, (b) any Joint Ventures in which</w:t>
      </w:r>
    </w:p>
    <w:p>
      <w:pPr>
        <w:sectPr>
          <w:pgSz w:w="11900" w:h="16838" w:orient="portrait"/>
          <w:cols w:equalWidth="0" w:num="1">
            <w:col w:w="11420"/>
          </w:cols>
          <w:pgMar w:left="240" w:top="368" w:right="239" w:bottom="1440" w:gutter="0" w:footer="0" w:header="0"/>
        </w:sectPr>
      </w:pPr>
    </w:p>
    <w:bookmarkStart w:id="367" w:name="page368"/>
    <w:bookmarkEnd w:id="367"/>
    <w:p>
      <w:pPr>
        <w:jc w:val="both"/>
        <w:spacing w:after="0" w:line="259" w:lineRule="auto"/>
        <w:rPr>
          <w:sz w:val="20"/>
          <w:szCs w:val="20"/>
          <w:color w:val="auto"/>
        </w:rPr>
      </w:pPr>
      <w:r>
        <w:rPr>
          <w:rFonts w:ascii="Arial" w:cs="Arial" w:eastAsia="Arial" w:hAnsi="Arial"/>
          <w:sz w:val="18"/>
          <w:szCs w:val="18"/>
          <w:color w:val="auto"/>
        </w:rPr>
        <w:t>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Capital Stock</w:t>
      </w:r>
      <w:r>
        <w:rPr>
          <w:rFonts w:ascii="Arial" w:cs="Arial" w:eastAsia="Arial" w:hAnsi="Arial"/>
          <w:sz w:val="17"/>
          <w:szCs w:val="17"/>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Lenders</w:t>
      </w:r>
      <w:r>
        <w:rPr>
          <w:rFonts w:ascii="Arial" w:cs="Arial" w:eastAsia="Arial" w:hAnsi="Arial"/>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Arial" w:cs="Arial" w:eastAsia="Arial" w:hAnsi="Arial"/>
          <w:sz w:val="18"/>
          <w:szCs w:val="18"/>
          <w:i w:val="1"/>
          <w:iCs w:val="1"/>
          <w:color w:val="auto"/>
        </w:rPr>
        <w:t>provided</w:t>
      </w:r>
      <w:r>
        <w:rPr>
          <w:rFonts w:ascii="Arial" w:cs="Arial" w:eastAsia="Arial" w:hAnsi="Arial"/>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Merrill Lynch, Pierce, Fenner &amp; Smith Incorporated, in its capacity as documentation agent hereunder.</w:t>
      </w:r>
    </w:p>
    <w:p>
      <w:pPr>
        <w:sectPr>
          <w:pgSz w:w="11900" w:h="16838" w:orient="portrait"/>
          <w:cols w:equalWidth="0" w:num="1">
            <w:col w:w="11420"/>
          </w:cols>
          <w:pgMar w:left="240" w:top="368" w:right="239" w:bottom="1440" w:gutter="0" w:footer="0" w:header="0"/>
        </w:sectPr>
      </w:pPr>
    </w:p>
    <w:bookmarkStart w:id="368" w:name="page369"/>
    <w:bookmarkEnd w:id="368"/>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of any Person shall mean any Subsidiary of such Person incorporated, organized or formed in the United States, any state thereof or the District of Columbia.</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(x) other than as set forth in clause (ii) of this definition, neither Borrower nor any of Borrower’s Affiliates or Subsidiaries shall be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6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w:t>
      </w:r>
      <w:r>
        <w:rPr>
          <w:rFonts w:ascii="Arial" w:cs="Arial" w:eastAsia="Arial" w:hAnsi="Arial"/>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 Threshold</w:t>
      </w:r>
      <w:r>
        <w:rPr>
          <w:rFonts w:ascii="Arial" w:cs="Arial" w:eastAsia="Arial" w:hAnsi="Arial"/>
          <w:sz w:val="18"/>
          <w:szCs w:val="18"/>
          <w:color w:val="auto"/>
        </w:rPr>
        <w:t>” means $300.0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shall mean, with respect to any Person, any and all shares, interests, participations or other equivalents, including membership or member’s interests (however designated, whether voting or non-voting), of equity</w:t>
      </w:r>
    </w:p>
    <w:p>
      <w:pPr>
        <w:sectPr>
          <w:pgSz w:w="11900" w:h="16838" w:orient="portrait"/>
          <w:cols w:equalWidth="0" w:num="1">
            <w:col w:w="11420"/>
          </w:cols>
          <w:pgMar w:left="240" w:top="364" w:right="239" w:bottom="1440" w:gutter="0" w:footer="0" w:header="0"/>
        </w:sectPr>
      </w:pPr>
    </w:p>
    <w:bookmarkStart w:id="369" w:name="page370"/>
    <w:bookmarkEnd w:id="369"/>
    <w:p>
      <w:pPr>
        <w:jc w:val="both"/>
        <w:spacing w:after="0" w:line="279" w:lineRule="auto"/>
        <w:rPr>
          <w:sz w:val="20"/>
          <w:szCs w:val="20"/>
          <w:color w:val="auto"/>
        </w:rPr>
      </w:pPr>
      <w:r>
        <w:rPr>
          <w:rFonts w:ascii="Arial" w:cs="Arial" w:eastAsia="Arial" w:hAnsi="Arial"/>
          <w:sz w:val="17"/>
          <w:szCs w:val="17"/>
          <w:color w:val="auto"/>
        </w:rPr>
        <w:t xml:space="preserve">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ectPr>
          <w:pgSz w:w="11900" w:h="16838" w:orient="portrait"/>
          <w:cols w:equalWidth="0" w:num="1">
            <w:col w:w="11420"/>
          </w:cols>
          <w:pgMar w:left="240" w:top="368" w:right="239" w:bottom="1440" w:gutter="0" w:footer="0" w:header="0"/>
        </w:sectPr>
      </w:pPr>
    </w:p>
    <w:bookmarkStart w:id="370" w:name="page371"/>
    <w:bookmarkEnd w:id="37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56" w:lineRule="exact"/>
        <w:rPr>
          <w:sz w:val="20"/>
          <w:szCs w:val="20"/>
          <w:color w:val="auto"/>
        </w:rPr>
      </w:pPr>
    </w:p>
    <w:p>
      <w:pPr>
        <w:ind w:left="1500" w:hanging="520"/>
        <w:spacing w:after="0"/>
        <w:tabs>
          <w:tab w:leader="none" w:pos="1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jc w:val="both"/>
        <w:ind w:left="340" w:firstLine="640"/>
        <w:spacing w:after="0" w:line="315" w:lineRule="auto"/>
        <w:tabs>
          <w:tab w:leader="none" w:pos="1522" w:val="left"/>
        </w:tabs>
        <w:numPr>
          <w:ilvl w:val="0"/>
          <w:numId w:val="460"/>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ind w:left="340" w:firstLine="640"/>
        <w:spacing w:after="0" w:line="297" w:lineRule="auto"/>
        <w:tabs>
          <w:tab w:leader="none" w:pos="151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ind w:left="1520" w:hanging="540"/>
        <w:spacing w:after="0"/>
        <w:tabs>
          <w:tab w:leader="none" w:pos="152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 xml:space="preserve">any amounts received from the early extinguishment of Swap Contracts that are not included in Consolidated Net Income; </w:t>
      </w:r>
      <w:r>
        <w:rPr>
          <w:rFonts w:ascii="Arial" w:cs="Arial" w:eastAsia="Arial" w:hAnsi="Arial"/>
          <w:sz w:val="17"/>
          <w:szCs w:val="17"/>
          <w:i w:val="1"/>
          <w:iCs w:val="1"/>
          <w:color w:val="auto"/>
        </w:rPr>
        <w:t>minus</w:t>
      </w:r>
    </w:p>
    <w:p>
      <w:pPr>
        <w:spacing w:after="0" w:line="61" w:lineRule="exact"/>
        <w:rPr>
          <w:rFonts w:ascii="Arial" w:cs="Arial" w:eastAsia="Arial" w:hAnsi="Arial"/>
          <w:sz w:val="17"/>
          <w:szCs w:val="17"/>
          <w:color w:val="auto"/>
        </w:rPr>
      </w:pPr>
    </w:p>
    <w:p>
      <w:pPr>
        <w:ind w:left="1500" w:hanging="520"/>
        <w:spacing w:after="0"/>
        <w:tabs>
          <w:tab w:leader="none" w:pos="1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49" w:lineRule="exact"/>
        <w:rPr>
          <w:rFonts w:ascii="Arial" w:cs="Arial" w:eastAsia="Arial" w:hAnsi="Arial"/>
          <w:sz w:val="18"/>
          <w:szCs w:val="18"/>
          <w:color w:val="auto"/>
        </w:rPr>
      </w:pPr>
    </w:p>
    <w:p>
      <w:pPr>
        <w:ind w:left="1480" w:hanging="500"/>
        <w:spacing w:after="0"/>
        <w:tabs>
          <w:tab w:leader="none" w:pos="148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any amounts paid in connection with the early extinguishment of Swap Contracts that are not included in Consolidated Net Income;</w:t>
      </w:r>
    </w:p>
    <w:p>
      <w:pPr>
        <w:spacing w:after="0" w:line="6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i w:val="1"/>
          <w:iCs w:val="1"/>
          <w:color w:val="auto"/>
        </w:rPr>
        <w:t>minus</w:t>
      </w:r>
    </w:p>
    <w:p>
      <w:pPr>
        <w:spacing w:after="0" w:line="49" w:lineRule="exact"/>
        <w:rPr>
          <w:rFonts w:ascii="Arial" w:cs="Arial" w:eastAsia="Arial" w:hAnsi="Arial"/>
          <w:sz w:val="17"/>
          <w:szCs w:val="17"/>
          <w:color w:val="auto"/>
        </w:rPr>
      </w:pPr>
    </w:p>
    <w:p>
      <w:pPr>
        <w:ind w:left="340" w:right="20" w:firstLine="640"/>
        <w:spacing w:after="0" w:line="334" w:lineRule="auto"/>
        <w:tabs>
          <w:tab w:leader="none" w:pos="152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 w:lineRule="exact"/>
        <w:rPr>
          <w:rFonts w:ascii="Arial" w:cs="Arial" w:eastAsia="Arial" w:hAnsi="Arial"/>
          <w:sz w:val="16"/>
          <w:szCs w:val="16"/>
          <w:color w:val="auto"/>
        </w:rPr>
      </w:pPr>
    </w:p>
    <w:p>
      <w:pPr>
        <w:jc w:val="both"/>
        <w:ind w:left="340" w:firstLine="640"/>
        <w:spacing w:after="0" w:line="297" w:lineRule="auto"/>
        <w:tabs>
          <w:tab w:leader="none" w:pos="152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2" w:lineRule="exact"/>
        <w:rPr>
          <w:rFonts w:ascii="Arial" w:cs="Arial" w:eastAsia="Arial" w:hAnsi="Arial"/>
          <w:sz w:val="18"/>
          <w:szCs w:val="18"/>
          <w:color w:val="auto"/>
        </w:rPr>
      </w:pPr>
    </w:p>
    <w:p>
      <w:pPr>
        <w:jc w:val="both"/>
        <w:ind w:left="340" w:firstLine="640"/>
        <w:spacing w:after="0" w:line="334" w:lineRule="auto"/>
        <w:tabs>
          <w:tab w:leader="none" w:pos="148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2" w:lineRule="exact"/>
        <w:rPr>
          <w:rFonts w:ascii="Arial" w:cs="Arial" w:eastAsia="Arial" w:hAnsi="Arial"/>
          <w:sz w:val="16"/>
          <w:szCs w:val="16"/>
          <w:color w:val="auto"/>
        </w:rPr>
      </w:pPr>
    </w:p>
    <w:p>
      <w:pPr>
        <w:ind w:left="340" w:right="20" w:firstLine="640"/>
        <w:spacing w:after="0" w:line="297" w:lineRule="auto"/>
        <w:tabs>
          <w:tab w:leader="none" w:pos="148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jc w:val="both"/>
        <w:ind w:left="340" w:firstLine="640"/>
        <w:spacing w:after="0" w:line="334" w:lineRule="auto"/>
        <w:tabs>
          <w:tab w:leader="none" w:pos="152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payment, in each case, to the extent not taken into account in arriving at Consolidated Net Income.</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shall have the meaning provided in Section 12.07(b).</w:t>
      </w:r>
    </w:p>
    <w:p>
      <w:pPr>
        <w:sectPr>
          <w:pgSz w:w="11900" w:h="16838" w:orient="portrait"/>
          <w:cols w:equalWidth="0" w:num="1">
            <w:col w:w="11420"/>
          </w:cols>
          <w:pgMar w:left="240" w:top="364" w:right="239" w:bottom="1440" w:gutter="0" w:footer="0" w:header="0"/>
        </w:sectPr>
      </w:pPr>
    </w:p>
    <w:bookmarkStart w:id="371" w:name="page372"/>
    <w:bookmarkEnd w:id="371"/>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agreement, instrument or other undertaking (i) is in existence on the Closing Date and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spacing w:after="0" w:line="3" w:lineRule="exact"/>
        <w:rPr>
          <w:sz w:val="20"/>
          <w:szCs w:val="20"/>
          <w:color w:val="auto"/>
        </w:rPr>
      </w:pPr>
    </w:p>
    <w:p>
      <w:pPr>
        <w:jc w:val="both"/>
        <w:ind w:firstLine="8"/>
        <w:spacing w:after="0" w:line="281" w:lineRule="auto"/>
        <w:tabs>
          <w:tab w:leader="none" w:pos="28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Taxes attributable to such Lender’s failure to comply with Sections 5.06(b) or (d) and (d) any Taxes imposed under FATCA.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“Existing Credit Agreement” shall have the meaning provided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shall have the meaning provided in Section 2.13(b).</w:t>
      </w:r>
    </w:p>
    <w:p>
      <w:pPr>
        <w:sectPr>
          <w:pgSz w:w="11900" w:h="16838" w:orient="portrait"/>
          <w:cols w:equalWidth="0" w:num="1">
            <w:col w:w="11420"/>
          </w:cols>
          <w:pgMar w:left="240" w:top="364" w:right="239" w:bottom="1440" w:gutter="0" w:footer="0" w:header="0"/>
        </w:sectPr>
      </w:pPr>
    </w:p>
    <w:bookmarkStart w:id="372" w:name="page373"/>
    <w:bookmarkEnd w:id="372"/>
    <w:p>
      <w:pPr>
        <w:ind w:left="660"/>
        <w:spacing w:after="0"/>
        <w:rPr>
          <w:sz w:val="20"/>
          <w:szCs w:val="20"/>
          <w:color w:val="auto"/>
        </w:rPr>
      </w:pPr>
      <w:r>
        <w:rPr>
          <w:rFonts w:ascii="Arial" w:cs="Arial" w:eastAsia="Arial" w:hAnsi="Arial"/>
          <w:sz w:val="18"/>
          <w:szCs w:val="18"/>
          <w:b w:val="1"/>
          <w:bCs w:val="1"/>
          <w:color w:val="0000FF"/>
        </w:rPr>
        <w:t>“Existing Term Facility Loans” shall have the meaning provided in Section 2.03(c)(ii).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Tranche</w:t>
      </w:r>
      <w:r>
        <w:rPr>
          <w:rFonts w:ascii="Arial" w:cs="Arial" w:eastAsia="Arial" w:hAnsi="Arial"/>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Capital Expenditures</w:t>
      </w:r>
      <w:r>
        <w:rPr>
          <w:rFonts w:ascii="Arial" w:cs="Arial" w:eastAsia="Arial" w:hAnsi="Arial"/>
          <w:sz w:val="18"/>
          <w:szCs w:val="18"/>
          <w:color w:val="auto"/>
        </w:rPr>
        <w:t>” shall mean any capital expenditure by Borrower or any of its Restricted Subsidiaries in respect of the purchase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shall have the meaning provided in Section 2.13(d).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w:t>
      </w:r>
    </w:p>
    <w:p>
      <w:pPr>
        <w:sectPr>
          <w:pgSz w:w="11900" w:h="16838" w:orient="portrait"/>
          <w:cols w:equalWidth="0" w:num="1">
            <w:col w:w="11420"/>
          </w:cols>
          <w:pgMar w:left="240" w:top="364" w:right="239" w:bottom="1440" w:gutter="0" w:footer="0" w:header="0"/>
        </w:sectPr>
      </w:pPr>
    </w:p>
    <w:bookmarkStart w:id="373" w:name="page374"/>
    <w:bookmarkEnd w:id="373"/>
    <w:p>
      <w:pPr>
        <w:jc w:val="both"/>
        <w:spacing w:after="0" w:line="277" w:lineRule="auto"/>
        <w:rPr>
          <w:sz w:val="20"/>
          <w:szCs w:val="20"/>
          <w:color w:val="auto"/>
        </w:rPr>
      </w:pPr>
      <w:r>
        <w:rPr>
          <w:rFonts w:ascii="Arial" w:cs="Arial" w:eastAsia="Arial" w:hAnsi="Arial"/>
          <w:sz w:val="18"/>
          <w:szCs w:val="18"/>
          <w:color w:val="auto"/>
        </w:rPr>
        <w:t>Section 1471(b) of the Code (or any amended or successor version described above), any intergovernmental agreements (and any related laws, regulations or official guidance) implementing the foregoing.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Maintenance Covenant</w:t>
      </w:r>
      <w:r>
        <w:rPr>
          <w:rFonts w:ascii="Arial" w:cs="Arial" w:eastAsia="Arial" w:hAnsi="Arial"/>
          <w:sz w:val="18"/>
          <w:szCs w:val="18"/>
          <w:color w:val="auto"/>
        </w:rPr>
        <w:t>” shall mean the covenant set forth in Section 10.08(a).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0000FF"/>
        </w:rPr>
        <w:t>“First Amendment” shall mean that certain First Amendment to Credit Agreement, dated as of November 5, 2015, by and among Borrower, the Guarantors party thereto, Administrative Agent, Collateral Agent and the other parties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“First Amendment Effective Date” shall mean the “Agreement Effective Date” as defined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extension of credit (whether the making of a Loan or the issuance of a Letter of Credit) hereunder (including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ectPr>
          <w:pgSz w:w="11900" w:h="16838" w:orient="portrait"/>
          <w:cols w:equalWidth="0" w:num="1">
            <w:col w:w="11420"/>
          </w:cols>
          <w:pgMar w:left="240" w:top="368" w:right="239" w:bottom="1440" w:gutter="0" w:footer="0" w:header="0"/>
        </w:sectPr>
      </w:pPr>
    </w:p>
    <w:bookmarkStart w:id="374" w:name="page375"/>
    <w:bookmarkEnd w:id="374"/>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Adjusted Revenues</w:t>
      </w:r>
      <w:r>
        <w:rPr>
          <w:rFonts w:ascii="Arial" w:cs="Arial" w:eastAsia="Arial" w:hAnsi="Arial"/>
          <w:sz w:val="18"/>
          <w:szCs w:val="18"/>
          <w:color w:val="auto"/>
        </w:rPr>
        <w:t xml:space="preserve">” shall mean, for any period, the Net Revenues for the relevant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promotions and discounts provided by Borrower and its Restricted Subsidiaries during such period calculated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shall mean each of the Persons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attached hereto and each Wholly Owned Restricted Subsidiary that may hereafter execute a Joinder Agreement pursuant to Section 9.11, together with their successors and permitted assigns, and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shall mean any one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ectPr>
          <w:pgSz w:w="11900" w:h="16838" w:orient="portrait"/>
          <w:cols w:equalWidth="0" w:num="1">
            <w:col w:w="11420"/>
          </w:cols>
          <w:pgMar w:left="240" w:top="364" w:right="239" w:bottom="1440" w:gutter="0" w:footer="0" w:header="0"/>
        </w:sectPr>
      </w:pPr>
    </w:p>
    <w:bookmarkStart w:id="375" w:name="page376"/>
    <w:bookmarkEnd w:id="375"/>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2" w:lineRule="auto"/>
        <w:tabs>
          <w:tab w:leader="none" w:pos="26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ectPr>
          <w:pgSz w:w="11900" w:h="16838" w:orient="portrait"/>
          <w:cols w:equalWidth="0" w:num="1">
            <w:col w:w="11420"/>
          </w:cols>
          <w:pgMar w:left="240" w:top="364" w:right="239" w:bottom="1440" w:gutter="0" w:footer="0" w:header="0"/>
        </w:sectPr>
      </w:pPr>
    </w:p>
    <w:bookmarkStart w:id="376" w:name="page377"/>
    <w:bookmarkEnd w:id="3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 Date</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8.18.</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Contribution Indebtedness</w:t>
      </w:r>
      <w:r>
        <w:rPr>
          <w:rFonts w:ascii="Arial" w:cs="Arial" w:eastAsia="Arial" w:hAnsi="Arial"/>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shall mean, as to each LIBOR Loan, the period commencing on the date such LIBOR Loan is disbursed or converted to or continued as a LIBOR Loan and</w:t>
      </w:r>
      <w:r>
        <w:rPr>
          <w:rFonts w:ascii="Arial" w:cs="Arial" w:eastAsia="Arial" w:hAnsi="Arial"/>
          <w:sz w:val="18"/>
          <w:szCs w:val="18"/>
          <w:b w:val="1"/>
          <w:bCs w:val="1"/>
          <w:color w:val="0000FF"/>
        </w:rPr>
        <w:t>, subject to Section 2.01(c)(ii),</w:t>
      </w:r>
      <w:r>
        <w:rPr>
          <w:rFonts w:ascii="Arial" w:cs="Arial" w:eastAsia="Arial" w:hAnsi="Arial"/>
          <w:sz w:val="18"/>
          <w:szCs w:val="18"/>
          <w:color w:val="auto"/>
        </w:rPr>
        <w:t xml:space="preserve">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w:t>
      </w:r>
      <w:r>
        <w:rPr>
          <w:rFonts w:ascii="Arial" w:cs="Arial" w:eastAsia="Arial" w:hAnsi="Arial"/>
          <w:sz w:val="16"/>
          <w:szCs w:val="16"/>
          <w:b w:val="1"/>
          <w:bCs w:val="1"/>
          <w:color w:val="0000FF"/>
        </w:rPr>
        <w:t>applicable</w:t>
      </w:r>
      <w:r>
        <w:rPr>
          <w:rFonts w:ascii="Arial" w:cs="Arial" w:eastAsia="Arial" w:hAnsi="Arial"/>
          <w:sz w:val="16"/>
          <w:szCs w:val="16"/>
          <w:color w:val="auto"/>
        </w:rPr>
        <w:t xml:space="preserve"> Term Facility Availability Period, Borrower may select an Interest Period that expires on the last Business Day of </w:t>
      </w:r>
      <w:r>
        <w:rPr>
          <w:rFonts w:ascii="Arial" w:cs="Arial" w:eastAsia="Arial" w:hAnsi="Arial"/>
          <w:sz w:val="16"/>
          <w:szCs w:val="16"/>
          <w:b w:val="1"/>
          <w:bCs w:val="1"/>
          <w:color w:val="FF0000"/>
          <w:strike w:val="1"/>
        </w:rPr>
        <w:t>the</w:t>
      </w:r>
      <w:r>
        <w:rPr>
          <w:rFonts w:ascii="Arial" w:cs="Arial" w:eastAsia="Arial" w:hAnsi="Arial"/>
          <w:sz w:val="16"/>
          <w:szCs w:val="16"/>
          <w:b w:val="1"/>
          <w:bCs w:val="1"/>
          <w:color w:val="0000FF"/>
        </w:rPr>
        <w:t>such</w:t>
      </w:r>
      <w:r>
        <w:rPr>
          <w:rFonts w:ascii="Arial" w:cs="Arial" w:eastAsia="Arial" w:hAnsi="Arial"/>
          <w:sz w:val="16"/>
          <w:szCs w:val="16"/>
          <w:b w:val="1"/>
          <w:bCs w:val="1"/>
          <w:color w:val="FF0000"/>
        </w:rPr>
        <w:t xml:space="preserve"> </w:t>
      </w:r>
      <w:r>
        <w:rPr>
          <w:rFonts w:ascii="Arial" w:cs="Arial" w:eastAsia="Arial" w:hAnsi="Arial"/>
          <w:sz w:val="16"/>
          <w:szCs w:val="16"/>
          <w:color w:val="000000"/>
        </w:rPr>
        <w:t>Term Facility Availability Period and thereafter revert to the Interest Period selected in compliance with the foregoing.</w:t>
      </w:r>
    </w:p>
    <w:p>
      <w:pPr>
        <w:spacing w:after="0" w:line="1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 of Designation of such Subsidiary as an Unrestricted Subsidiary pursuant to Section 9.12 (excluding any Subsidiaries</w:t>
      </w:r>
    </w:p>
    <w:p>
      <w:pPr>
        <w:sectPr>
          <w:pgSz w:w="11900" w:h="16838" w:orient="portrait"/>
          <w:cols w:equalWidth="0" w:num="1">
            <w:col w:w="11420"/>
          </w:cols>
          <w:pgMar w:left="240" w:top="365" w:right="239" w:bottom="1440" w:gutter="0" w:footer="0" w:header="0"/>
        </w:sectPr>
      </w:pPr>
    </w:p>
    <w:bookmarkStart w:id="377" w:name="page378"/>
    <w:bookmarkEnd w:id="377"/>
    <w:p>
      <w:pPr>
        <w:jc w:val="both"/>
        <w:spacing w:after="0" w:line="297" w:lineRule="auto"/>
        <w:rPr>
          <w:sz w:val="20"/>
          <w:szCs w:val="20"/>
          <w:color w:val="auto"/>
        </w:rPr>
      </w:pPr>
      <w:r>
        <w:rPr>
          <w:rFonts w:ascii="Arial" w:cs="Arial" w:eastAsia="Arial" w:hAnsi="Arial"/>
          <w:sz w:val="16"/>
          <w:szCs w:val="16"/>
          <w:color w:val="auto"/>
        </w:rPr>
        <w:t xml:space="preserve">designated as Unrestricted Subsidiaries on the Closing Date and set forth on </w:t>
      </w:r>
      <w:r>
        <w:rPr>
          <w:rFonts w:ascii="Arial" w:cs="Arial" w:eastAsia="Arial" w:hAnsi="Arial"/>
          <w:sz w:val="16"/>
          <w:szCs w:val="16"/>
          <w:u w:val="single" w:color="auto"/>
          <w:color w:val="auto"/>
        </w:rPr>
        <w:t>Schedule 9.12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Licensing Fees</w:t>
      </w:r>
      <w:r>
        <w:rPr>
          <w:rFonts w:ascii="Arial" w:cs="Arial" w:eastAsia="Arial" w:hAnsi="Arial"/>
          <w:sz w:val="17"/>
          <w:szCs w:val="17"/>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Security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Financing</w:t>
      </w:r>
      <w:r>
        <w:rPr>
          <w:rFonts w:ascii="Arial" w:cs="Arial" w:eastAsia="Arial" w:hAnsi="Arial"/>
          <w:sz w:val="16"/>
          <w:szCs w:val="16"/>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shall have the meaning provided in Section 10.09.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Commitments</w:t>
      </w:r>
      <w:r>
        <w:rPr>
          <w:rFonts w:ascii="Arial" w:cs="Arial" w:eastAsia="Arial" w:hAnsi="Arial"/>
          <w:sz w:val="18"/>
          <w:szCs w:val="18"/>
          <w:color w:val="auto"/>
        </w:rPr>
        <w:t>” shall mean the commitments of the L/C Lender to issue Letters of Credit pursuant to Section 2.03. The L/C Commitments are part of, and not in addition to, the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Disbursements</w:t>
      </w:r>
      <w:r>
        <w:rPr>
          <w:rFonts w:ascii="Arial" w:cs="Arial" w:eastAsia="Arial" w:hAnsi="Arial"/>
          <w:sz w:val="18"/>
          <w:szCs w:val="18"/>
          <w:color w:val="auto"/>
        </w:rPr>
        <w:t>” shall mean a payment or disbursement made by any L/C Lender pursuant to a Letter of Credit.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Documents</w:t>
      </w:r>
      <w:r>
        <w:rPr>
          <w:rFonts w:ascii="Arial" w:cs="Arial" w:eastAsia="Arial" w:hAnsi="Arial"/>
          <w:sz w:val="18"/>
          <w:szCs w:val="18"/>
          <w:color w:val="auto"/>
        </w:rPr>
        <w:t>” shall mean, with respect to any Letter of Credit, collectively, any other agreements, instruments, guarantees or other documents (whether general in application or applicable only to such Letter of Credit)</w:t>
      </w:r>
    </w:p>
    <w:p>
      <w:pPr>
        <w:sectPr>
          <w:pgSz w:w="11900" w:h="16838" w:orient="portrait"/>
          <w:cols w:equalWidth="0" w:num="1">
            <w:col w:w="11420"/>
          </w:cols>
          <w:pgMar w:left="240" w:top="368" w:right="239" w:bottom="1440" w:gutter="0" w:footer="0" w:header="0"/>
        </w:sectPr>
      </w:pPr>
    </w:p>
    <w:bookmarkStart w:id="378" w:name="page379"/>
    <w:bookmarkEnd w:id="378"/>
    <w:p>
      <w:pPr>
        <w:jc w:val="both"/>
        <w:spacing w:after="0" w:line="277" w:lineRule="auto"/>
        <w:rPr>
          <w:sz w:val="20"/>
          <w:szCs w:val="20"/>
          <w:color w:val="auto"/>
        </w:rPr>
      </w:pPr>
      <w:r>
        <w:rPr>
          <w:rFonts w:ascii="Arial" w:cs="Arial" w:eastAsia="Arial" w:hAnsi="Arial"/>
          <w:sz w:val="18"/>
          <w:szCs w:val="18"/>
          <w:color w:val="auto"/>
        </w:rPr>
        <w:t>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Interest</w:t>
      </w:r>
      <w:r>
        <w:rPr>
          <w:rFonts w:ascii="Arial" w:cs="Arial" w:eastAsia="Arial" w:hAnsi="Arial"/>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Lender</w:t>
      </w:r>
      <w:r>
        <w:rPr>
          <w:rFonts w:ascii="Arial" w:cs="Arial" w:eastAsia="Arial" w:hAnsi="Arial"/>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Liability</w:t>
      </w:r>
      <w:r>
        <w:rPr>
          <w:rFonts w:ascii="Arial" w:cs="Arial" w:eastAsia="Arial" w:hAnsi="Arial"/>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Payment Notice</w:t>
      </w:r>
      <w:r>
        <w:rPr>
          <w:rFonts w:ascii="Arial" w:cs="Arial" w:eastAsia="Arial" w:hAnsi="Arial"/>
          <w:sz w:val="18"/>
          <w:szCs w:val="18"/>
          <w:color w:val="auto"/>
        </w:rPr>
        <w:t>” has the meaning provided in Section 2.03(d).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Arrangers</w:t>
      </w:r>
      <w:r>
        <w:rPr>
          <w:rFonts w:ascii="Arial" w:cs="Arial" w:eastAsia="Arial" w:hAnsi="Arial"/>
          <w:sz w:val="17"/>
          <w:szCs w:val="17"/>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Insolvency Event</w:t>
      </w:r>
      <w:r>
        <w:rPr>
          <w:rFonts w:ascii="Arial" w:cs="Arial" w:eastAsia="Arial" w:hAnsi="Arial"/>
          <w:sz w:val="17"/>
          <w:szCs w:val="17"/>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w:t>
      </w:r>
    </w:p>
    <w:p>
      <w:pPr>
        <w:sectPr>
          <w:pgSz w:w="11900" w:h="16838" w:orient="portrait"/>
          <w:cols w:equalWidth="0" w:num="1">
            <w:col w:w="11420"/>
          </w:cols>
          <w:pgMar w:left="240" w:top="368" w:right="2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t>such Governmental Authority) to reject, repudiate, disavow or disaffirm any contracts or agreements made with such Lender.</w:t>
      </w:r>
    </w:p>
    <w:p>
      <w:pPr>
        <w:spacing w:after="0" w:line="22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w:t>
      </w:r>
      <w:r>
        <w:rPr>
          <w:rFonts w:ascii="Arial" w:cs="Arial" w:eastAsia="Arial" w:hAnsi="Arial"/>
          <w:sz w:val="18"/>
          <w:szCs w:val="18"/>
          <w:color w:val="auto"/>
        </w:rPr>
        <w:t>” shall have the meaning set forth in Section 2.03(a).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4"/>
          <w:szCs w:val="14"/>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Revocation</w:t>
      </w:r>
      <w:r>
        <w:rPr>
          <w:rFonts w:ascii="Arial" w:cs="Arial" w:eastAsia="Arial" w:hAnsi="Arial"/>
          <w:sz w:val="16"/>
          <w:szCs w:val="16"/>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Revolving Loans and the Term Loans.</w:t>
      </w:r>
    </w:p>
    <w:p>
      <w:pPr>
        <w:sectPr>
          <w:pgSz w:w="11900" w:h="16838" w:orient="portrait"/>
          <w:cols w:equalWidth="0" w:num="1">
            <w:col w:w="11420"/>
          </w:cols>
          <w:pgMar w:left="240" w:top="368" w:right="239" w:bottom="1440" w:gutter="0" w:footer="0" w:header="0"/>
        </w:sectPr>
      </w:pPr>
    </w:p>
    <w:bookmarkStart w:id="380" w:name="page381"/>
    <w:bookmarkEnd w:id="380"/>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Project</w:t>
      </w:r>
      <w:r>
        <w:rPr>
          <w:rFonts w:ascii="Arial" w:cs="Arial" w:eastAsia="Arial" w:hAnsi="Arial"/>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Fees</w:t>
      </w:r>
      <w:r>
        <w:rPr>
          <w:rFonts w:ascii="Arial" w:cs="Arial" w:eastAsia="Arial" w:hAnsi="Arial"/>
          <w:sz w:val="17"/>
          <w:szCs w:val="17"/>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Collateral Amount</w:t>
      </w:r>
      <w:r>
        <w:rPr>
          <w:rFonts w:ascii="Arial" w:cs="Arial" w:eastAsia="Arial" w:hAnsi="Arial"/>
          <w:sz w:val="17"/>
          <w:szCs w:val="17"/>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shall mean an agreement, including, but not limited to, a mortgage, deed of trust or any other document, creating and evidencing a first Lien (subject only to the Liens permitted thereunder) in favor of Collateral</w:t>
      </w:r>
    </w:p>
    <w:p>
      <w:pPr>
        <w:sectPr>
          <w:pgSz w:w="11900" w:h="16838" w:orient="portrait"/>
          <w:cols w:equalWidth="0" w:num="1">
            <w:col w:w="11420"/>
          </w:cols>
          <w:pgMar w:left="240" w:top="364" w:right="239" w:bottom="1440" w:gutter="0" w:footer="0" w:header="0"/>
        </w:sectPr>
      </w:pPr>
    </w:p>
    <w:bookmarkStart w:id="381" w:name="page382"/>
    <w:bookmarkEnd w:id="381"/>
    <w:p>
      <w:pPr>
        <w:jc w:val="both"/>
        <w:spacing w:after="0" w:line="259" w:lineRule="auto"/>
        <w:rPr>
          <w:sz w:val="20"/>
          <w:szCs w:val="20"/>
          <w:color w:val="auto"/>
        </w:rPr>
      </w:pPr>
      <w:r>
        <w:rPr>
          <w:rFonts w:ascii="Arial" w:cs="Arial" w:eastAsia="Arial" w:hAnsi="Arial"/>
          <w:sz w:val="18"/>
          <w:szCs w:val="18"/>
          <w:color w:val="auto"/>
        </w:rPr>
        <w:t xml:space="preserve">Agent on behalf of the Secured Parties on each Mortgaged Real Property, which shall be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Real Property</w:t>
      </w:r>
      <w:r>
        <w:rPr>
          <w:rFonts w:ascii="Arial" w:cs="Arial" w:eastAsia="Arial" w:hAnsi="Arial"/>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5" w:lineRule="auto"/>
        <w:tabs>
          <w:tab w:leader="none" w:pos="1701" w:val="left"/>
        </w:tabs>
        <w:numPr>
          <w:ilvl w:val="1"/>
          <w:numId w:val="466"/>
        </w:numPr>
        <w:rPr>
          <w:rFonts w:ascii="Arial" w:cs="Arial" w:eastAsia="Arial" w:hAnsi="Arial"/>
          <w:sz w:val="16"/>
          <w:szCs w:val="16"/>
          <w:color w:val="auto"/>
        </w:rPr>
      </w:pPr>
      <w:r>
        <w:rPr>
          <w:rFonts w:ascii="Arial" w:cs="Arial" w:eastAsia="Arial" w:hAnsi="Arial"/>
          <w:sz w:val="16"/>
          <w:szCs w:val="16"/>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Section 2.10 only, Net Available Proceeds shall exclude any payments related to Asset Sales by any Wynn Las Vegas Entities so long as such Wynn Las Vegas Entity is an Excluded Subsidiary;</w:t>
      </w:r>
    </w:p>
    <w:p>
      <w:pPr>
        <w:spacing w:after="0" w:line="172" w:lineRule="exact"/>
        <w:rPr>
          <w:rFonts w:ascii="Arial" w:cs="Arial" w:eastAsia="Arial" w:hAnsi="Arial"/>
          <w:sz w:val="16"/>
          <w:szCs w:val="16"/>
          <w:color w:val="auto"/>
        </w:rPr>
      </w:pPr>
    </w:p>
    <w:p>
      <w:pPr>
        <w:jc w:val="both"/>
        <w:ind w:left="660" w:firstLine="645"/>
        <w:spacing w:after="0" w:line="286" w:lineRule="auto"/>
        <w:tabs>
          <w:tab w:leader="none" w:pos="172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5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w:t>
      </w:r>
    </w:p>
    <w:p>
      <w:pPr>
        <w:sectPr>
          <w:pgSz w:w="11900" w:h="16838" w:orient="portrait"/>
          <w:cols w:equalWidth="0" w:num="1">
            <w:col w:w="11420"/>
          </w:cols>
          <w:pgMar w:left="240" w:top="368" w:right="239" w:bottom="1440" w:gutter="0" w:footer="0" w:header="0"/>
        </w:sectPr>
      </w:pPr>
    </w:p>
    <w:bookmarkStart w:id="382" w:name="page383"/>
    <w:bookmarkEnd w:id="382"/>
    <w:p>
      <w:pPr>
        <w:jc w:val="both"/>
        <w:ind w:left="660"/>
        <w:spacing w:after="0" w:line="270" w:lineRule="auto"/>
        <w:rPr>
          <w:sz w:val="20"/>
          <w:szCs w:val="20"/>
          <w:color w:val="auto"/>
        </w:rPr>
      </w:pPr>
      <w:r>
        <w:rPr>
          <w:rFonts w:ascii="Arial" w:cs="Arial" w:eastAsia="Arial" w:hAnsi="Arial"/>
          <w:sz w:val="17"/>
          <w:szCs w:val="17"/>
          <w:color w:val="auto"/>
        </w:rPr>
        <w:t xml:space="preserve">application of all credits and other offsets arising from such Casualty Event) and amounts required to be paid to any Person (other than any Company) owning a beneficial interest in the subject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82" w:lineRule="exact"/>
        <w:rPr>
          <w:sz w:val="20"/>
          <w:szCs w:val="20"/>
          <w:color w:val="auto"/>
        </w:rPr>
      </w:pPr>
    </w:p>
    <w:p>
      <w:pPr>
        <w:jc w:val="both"/>
        <w:ind w:left="660" w:firstLine="645"/>
        <w:spacing w:after="0" w:line="286" w:lineRule="auto"/>
        <w:tabs>
          <w:tab w:leader="none" w:pos="1769"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Revenues</w:t>
      </w:r>
      <w:r>
        <w:rPr>
          <w:rFonts w:ascii="Arial" w:cs="Arial" w:eastAsia="Arial" w:hAnsi="Arial"/>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FF"/>
        </w:rPr>
        <w:t>“New Term Facility Loans” shall have the meaning provided in Section 2.03(c)(ii).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mean the Revolving Notes and the Term Facility Notes.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Intent to Cure</w:t>
      </w:r>
      <w:r>
        <w:rPr>
          <w:rFonts w:ascii="Arial" w:cs="Arial" w:eastAsia="Arial" w:hAnsi="Arial"/>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set forth in Section 8.22(b)(v).</w:t>
      </w:r>
    </w:p>
    <w:p>
      <w:pPr>
        <w:sectPr>
          <w:pgSz w:w="11900" w:h="16838" w:orient="portrait"/>
          <w:cols w:equalWidth="0" w:num="1">
            <w:col w:w="11420"/>
          </w:cols>
          <w:pgMar w:left="240" w:top="368" w:right="239" w:bottom="1440" w:gutter="0" w:footer="0" w:header="0"/>
        </w:sectPr>
      </w:pPr>
    </w:p>
    <w:bookmarkStart w:id="383" w:name="page384"/>
    <w:bookmarkEnd w:id="383"/>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Commitments</w:t>
      </w:r>
      <w:r>
        <w:rPr>
          <w:rFonts w:ascii="Arial" w:cs="Arial" w:eastAsia="Arial" w:hAnsi="Arial"/>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 Indebtedness</w:t>
      </w:r>
      <w:r>
        <w:rPr>
          <w:rFonts w:ascii="Arial" w:cs="Arial" w:eastAsia="Arial" w:hAnsi="Arial"/>
          <w:sz w:val="17"/>
          <w:szCs w:val="17"/>
          <w:color w:val="auto"/>
        </w:rPr>
        <w:t xml:space="preserve">” shall mean outstanding Indebtedness that is not incurred under this Agreement and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(b) is Permitted First Priority Refinancing Debt or Permitted First Lien Indebtedness.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Commitments</w:t>
      </w:r>
      <w:r>
        <w:rPr>
          <w:rFonts w:ascii="Arial" w:cs="Arial" w:eastAsia="Arial" w:hAnsi="Arial"/>
          <w:sz w:val="18"/>
          <w:szCs w:val="18"/>
          <w:color w:val="auto"/>
        </w:rPr>
        <w:t>” shall mean one or more Tranches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5.06(e).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w:t>
      </w:r>
    </w:p>
    <w:p>
      <w:pPr>
        <w:sectPr>
          <w:pgSz w:w="11900" w:h="16838" w:orient="portrait"/>
          <w:cols w:equalWidth="0" w:num="1">
            <w:col w:w="11420"/>
          </w:cols>
          <w:pgMar w:left="240" w:top="364" w:right="239" w:bottom="1440" w:gutter="0" w:footer="0" w:header="0"/>
        </w:sectPr>
      </w:pPr>
    </w:p>
    <w:bookmarkStart w:id="384" w:name="page385"/>
    <w:bookmarkEnd w:id="384"/>
    <w:p>
      <w:pPr>
        <w:jc w:val="both"/>
        <w:spacing w:after="0" w:line="297" w:lineRule="auto"/>
        <w:rPr>
          <w:sz w:val="20"/>
          <w:szCs w:val="20"/>
          <w:color w:val="auto"/>
        </w:rPr>
      </w:pPr>
      <w:r>
        <w:rPr>
          <w:rFonts w:ascii="Arial" w:cs="Arial" w:eastAsia="Arial" w:hAnsi="Arial"/>
          <w:sz w:val="16"/>
          <w:szCs w:val="16"/>
          <w:color w:val="auto"/>
        </w:rPr>
        <w:t>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Arial" w:cs="Arial" w:eastAsia="Arial" w:hAnsi="Arial"/>
          <w:sz w:val="16"/>
          <w:szCs w:val="16"/>
          <w:b w:val="1"/>
          <w:bCs w:val="1"/>
          <w:color w:val="auto"/>
        </w:rPr>
        <w:t>Unasserted Obligations</w:t>
      </w:r>
      <w:r>
        <w:rPr>
          <w:rFonts w:ascii="Arial" w:cs="Arial" w:eastAsia="Arial" w:hAnsi="Arial"/>
          <w:sz w:val="16"/>
          <w:szCs w:val="16"/>
          <w:color w:val="auto"/>
        </w:rPr>
        <w:t>” shall mean, at any time, contingent indemnity obligations in respect of which no claim or demand for payment has been made at such time.</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13.05(a).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 Through Entity</w:t>
      </w:r>
      <w:r>
        <w:rPr>
          <w:rFonts w:ascii="Arial" w:cs="Arial" w:eastAsia="Arial" w:hAnsi="Arial"/>
          <w:sz w:val="18"/>
          <w:szCs w:val="18"/>
          <w:color w:val="auto"/>
        </w:rPr>
        <w:t>” means an entity treated as a partnership or a disregarded entity for U.S. federal, state and/or local income tax purposes,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has the meaning set forth in Section 8.15.</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1" w:lineRule="exact"/>
        <w:rPr>
          <w:sz w:val="20"/>
          <w:szCs w:val="20"/>
          <w:color w:val="auto"/>
        </w:rPr>
      </w:pPr>
    </w:p>
    <w:p>
      <w:pPr>
        <w:jc w:val="both"/>
        <w:ind w:firstLine="8"/>
        <w:spacing w:after="0" w:line="322" w:lineRule="auto"/>
        <w:tabs>
          <w:tab w:leader="none" w:pos="249"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w:t>
      </w:r>
    </w:p>
    <w:p>
      <w:pPr>
        <w:sectPr>
          <w:pgSz w:w="11900" w:h="16838" w:orient="portrait"/>
          <w:cols w:equalWidth="0" w:num="1">
            <w:col w:w="11420"/>
          </w:cols>
          <w:pgMar w:left="240" w:top="368" w:right="2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t>to the effect set forth in clauses (a) through (c) above, together with all relevant financial information for the Person or assets to be acquired.</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Business</w:t>
      </w:r>
      <w:r>
        <w:rPr>
          <w:rFonts w:ascii="Arial" w:cs="Arial" w:eastAsia="Arial" w:hAnsi="Arial"/>
          <w:sz w:val="17"/>
          <w:szCs w:val="17"/>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Lien Indebtedness</w:t>
      </w:r>
      <w:r>
        <w:rPr>
          <w:rFonts w:ascii="Arial" w:cs="Arial" w:eastAsia="Arial" w:hAnsi="Arial"/>
          <w:sz w:val="17"/>
          <w:szCs w:val="17"/>
          <w:color w:val="auto"/>
        </w:rPr>
        <w:t xml:space="preserve">” shall mean any Indebtedness of Borrower (and Contingent Obligations of the Guarantors in respect thereof)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Debt</w:t>
      </w:r>
      <w:r>
        <w:rPr>
          <w:rFonts w:ascii="Arial" w:cs="Arial" w:eastAsia="Arial" w:hAnsi="Arial"/>
          <w:sz w:val="17"/>
          <w:szCs w:val="17"/>
          <w:color w:val="auto"/>
        </w:rPr>
        <w:t xml:space="preserve">” shall mean any secured Indebtedness incurred by Borrower (and Contingent Obligations of the Guarantors in respect thereof) in the form of one or more series of senior 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Debt Conditions</w:t>
      </w:r>
      <w:r>
        <w:rPr>
          <w:rFonts w:ascii="Arial" w:cs="Arial" w:eastAsia="Arial" w:hAnsi="Arial"/>
          <w:sz w:val="16"/>
          <w:szCs w:val="16"/>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 (91) days after the Final Maturity Date then in effect</w:t>
      </w:r>
    </w:p>
    <w:p>
      <w:pPr>
        <w:sectPr>
          <w:pgSz w:w="11900" w:h="16838" w:orient="portrait"/>
          <w:cols w:equalWidth="0" w:num="1">
            <w:col w:w="11420"/>
          </w:cols>
          <w:pgMar w:left="240" w:top="368" w:right="239" w:bottom="1440" w:gutter="0" w:footer="0" w:header="0"/>
        </w:sectPr>
      </w:pPr>
    </w:p>
    <w:bookmarkStart w:id="386" w:name="page387"/>
    <w:bookmarkEnd w:id="386"/>
    <w:p>
      <w:pPr>
        <w:jc w:val="both"/>
        <w:spacing w:after="0" w:line="277" w:lineRule="auto"/>
        <w:rPr>
          <w:sz w:val="20"/>
          <w:szCs w:val="20"/>
          <w:color w:val="auto"/>
        </w:rPr>
      </w:pPr>
      <w:r>
        <w:rPr>
          <w:rFonts w:ascii="Arial" w:cs="Arial" w:eastAsia="Arial" w:hAnsi="Arial"/>
          <w:sz w:val="18"/>
          <w:szCs w:val="18"/>
          <w:color w:val="auto"/>
        </w:rPr>
        <w:t>at the time of issuance (excluding bridge facilities allowing extensions on customary terms to at least ninety-one (91) days after such Final Maturity Date) and (iv) is not at any time guaranteed by any Subsidiaries other than Subsidiaries that are Guarantors.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set forth in Section 10.02.</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of its Restricted Subsidiaries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Lien Indebtedness</w:t>
      </w:r>
      <w:r>
        <w:rPr>
          <w:rFonts w:ascii="Arial" w:cs="Arial" w:eastAsia="Arial" w:hAnsi="Arial"/>
          <w:sz w:val="16"/>
          <w:szCs w:val="16"/>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Priority Refinancing Debt</w:t>
      </w:r>
      <w:r>
        <w:rPr>
          <w:rFonts w:ascii="Arial" w:cs="Arial" w:eastAsia="Arial" w:hAnsi="Arial"/>
          <w:sz w:val="16"/>
          <w:szCs w:val="16"/>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Indebtedness</w:t>
      </w:r>
      <w:r>
        <w:rPr>
          <w:rFonts w:ascii="Arial" w:cs="Arial" w:eastAsia="Arial" w:hAnsi="Arial"/>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Borrower or its Restricted Subsidiaries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ectPr>
          <w:pgSz w:w="11900" w:h="16838" w:orient="portrait"/>
          <w:cols w:equalWidth="0" w:num="1">
            <w:col w:w="11420"/>
          </w:cols>
          <w:pgMar w:left="240" w:top="368" w:right="239" w:bottom="1440" w:gutter="0" w:footer="0" w:header="0"/>
        </w:sectPr>
      </w:pPr>
    </w:p>
    <w:bookmarkStart w:id="387" w:name="page388"/>
    <w:bookmarkEnd w:id="38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Equity Contribution</w:t>
      </w:r>
      <w:r>
        <w:rPr>
          <w:rFonts w:ascii="Arial" w:cs="Arial" w:eastAsia="Arial" w:hAnsi="Arial"/>
          <w:sz w:val="17"/>
          <w:szCs w:val="17"/>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Equity Contributions</w:t>
      </w:r>
      <w:r>
        <w:rPr>
          <w:rFonts w:ascii="Arial" w:cs="Arial" w:eastAsia="Arial" w:hAnsi="Arial"/>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Pre-Opening Expenses</w:t>
      </w:r>
      <w:r>
        <w:rPr>
          <w:rFonts w:ascii="Arial" w:cs="Arial" w:eastAsia="Arial" w:hAnsi="Arial"/>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Asset</w:t>
      </w:r>
      <w:r>
        <w:rPr>
          <w:rFonts w:ascii="Arial" w:cs="Arial" w:eastAsia="Arial" w:hAnsi="Arial"/>
          <w:sz w:val="18"/>
          <w:szCs w:val="18"/>
          <w:color w:val="auto"/>
        </w:rPr>
        <w:t>” shall mean each of the Wynn Massachusetts Project and, from and after the Wynn Las Vegas Reorganization, the Wynn Las Vegas Resort and the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Mortgage Liens</w:t>
      </w:r>
      <w:r>
        <w:rPr>
          <w:rFonts w:ascii="Arial" w:cs="Arial" w:eastAsia="Arial" w:hAnsi="Arial"/>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w:t>
      </w:r>
    </w:p>
    <w:p>
      <w:pPr>
        <w:sectPr>
          <w:pgSz w:w="11900" w:h="16838" w:orient="portrait"/>
          <w:cols w:equalWidth="0" w:num="1">
            <w:col w:w="11420"/>
          </w:cols>
          <w:pgMar w:left="240" w:top="364" w:right="239" w:bottom="1440" w:gutter="0" w:footer="0" w:header="0"/>
        </w:sectPr>
      </w:pPr>
    </w:p>
    <w:bookmarkStart w:id="388" w:name="page389"/>
    <w:bookmarkEnd w:id="388"/>
    <w:p>
      <w:pPr>
        <w:jc w:val="both"/>
        <w:spacing w:after="0" w:line="277" w:lineRule="auto"/>
        <w:rPr>
          <w:sz w:val="20"/>
          <w:szCs w:val="20"/>
          <w:color w:val="auto"/>
        </w:rPr>
      </w:pPr>
      <w:r>
        <w:rPr>
          <w:rFonts w:ascii="Arial" w:cs="Arial" w:eastAsia="Arial" w:hAnsi="Arial"/>
          <w:sz w:val="18"/>
          <w:szCs w:val="18"/>
          <w:color w:val="auto"/>
        </w:rPr>
        <w:t xml:space="preserve">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Contingent Obligation</w:t>
      </w:r>
      <w:r>
        <w:rPr>
          <w:rFonts w:ascii="Arial" w:cs="Arial" w:eastAsia="Arial" w:hAnsi="Arial"/>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Project</w:t>
      </w:r>
      <w:r>
        <w:rPr>
          <w:rFonts w:ascii="Arial" w:cs="Arial" w:eastAsia="Arial" w:hAnsi="Arial"/>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Maturity Date</w:t>
      </w:r>
      <w:r>
        <w:rPr>
          <w:rFonts w:ascii="Arial" w:cs="Arial" w:eastAsia="Arial" w:hAnsi="Arial"/>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Percentage</w:t>
      </w:r>
      <w:r>
        <w:rPr>
          <w:rFonts w:ascii="Arial" w:cs="Arial" w:eastAsia="Arial" w:hAnsi="Arial"/>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has the meaning set forth in Section 9.13(a).</w:t>
      </w:r>
    </w:p>
    <w:p>
      <w:pPr>
        <w:sectPr>
          <w:pgSz w:w="11900" w:h="16838" w:orient="portrait"/>
          <w:cols w:equalWidth="0" w:num="1">
            <w:col w:w="11420"/>
          </w:cols>
          <w:pgMar w:left="240" w:top="368" w:right="239" w:bottom="1440" w:gutter="0" w:footer="0" w:header="0"/>
        </w:sectPr>
      </w:pPr>
    </w:p>
    <w:bookmarkStart w:id="389" w:name="page390"/>
    <w:bookmarkEnd w:id="389"/>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shall mean the obligations of Borrower to reimburse L/C Disbursements in respect of any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Four Fiscal Quarter Period</w:t>
      </w:r>
      <w:r>
        <w:rPr>
          <w:rFonts w:ascii="Arial" w:cs="Arial" w:eastAsia="Arial" w:hAnsi="Arial"/>
          <w:sz w:val="17"/>
          <w:szCs w:val="17"/>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has the meaning set forth in Section 12.06(b).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w:t>
      </w:r>
    </w:p>
    <w:p>
      <w:pPr>
        <w:sectPr>
          <w:pgSz w:w="11900" w:h="16838" w:orient="portrait"/>
          <w:cols w:equalWidth="0" w:num="1">
            <w:col w:w="11420"/>
          </w:cols>
          <w:pgMar w:left="240" w:top="364" w:right="239" w:bottom="1440" w:gutter="0" w:footer="0" w:header="0"/>
        </w:sectPr>
      </w:pPr>
    </w:p>
    <w:bookmarkStart w:id="390" w:name="page391"/>
    <w:bookmarkEnd w:id="390"/>
    <w:p>
      <w:pPr>
        <w:jc w:val="both"/>
        <w:spacing w:after="0" w:line="264" w:lineRule="auto"/>
        <w:rPr>
          <w:sz w:val="20"/>
          <w:szCs w:val="20"/>
          <w:color w:val="auto"/>
        </w:rPr>
      </w:pPr>
      <w:r>
        <w:rPr>
          <w:rFonts w:ascii="Arial" w:cs="Arial" w:eastAsia="Arial" w:hAnsi="Arial"/>
          <w:sz w:val="18"/>
          <w:szCs w:val="18"/>
          <w:color w:val="auto"/>
        </w:rPr>
        <w:t>of (i) 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Tranche Lenders</w:t>
      </w:r>
      <w:r>
        <w:rPr>
          <w:rFonts w:ascii="Arial" w:cs="Arial" w:eastAsia="Arial" w:hAnsi="Arial"/>
          <w:sz w:val="17"/>
          <w:szCs w:val="17"/>
          <w:color w:val="auto"/>
        </w:rPr>
        <w:t xml:space="preserve">” shall mean: (a) with respect to </w:t>
      </w:r>
      <w:r>
        <w:rPr>
          <w:rFonts w:ascii="Arial" w:cs="Arial" w:eastAsia="Arial" w:hAnsi="Arial"/>
          <w:sz w:val="17"/>
          <w:szCs w:val="17"/>
          <w:b w:val="1"/>
          <w:bCs w:val="1"/>
          <w:color w:val="FF0000"/>
          <w:strike w:val="1"/>
        </w:rPr>
        <w:t>Lenders having</w:t>
      </w:r>
      <w:r>
        <w:rPr>
          <w:rFonts w:ascii="Arial" w:cs="Arial" w:eastAsia="Arial" w:hAnsi="Arial"/>
          <w:sz w:val="17"/>
          <w:szCs w:val="17"/>
          <w:color w:val="auto"/>
        </w:rPr>
        <w:t xml:space="preserve">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w:t>
      </w:r>
      <w:r>
        <w:rPr>
          <w:rFonts w:ascii="Arial" w:cs="Arial" w:eastAsia="Arial" w:hAnsi="Arial"/>
          <w:sz w:val="17"/>
          <w:szCs w:val="17"/>
          <w:b w:val="1"/>
          <w:bCs w:val="1"/>
          <w:color w:val="FF0000"/>
          <w:strike w:val="1"/>
        </w:rPr>
        <w:t>Lenders having</w:t>
      </w:r>
      <w:r>
        <w:rPr>
          <w:rFonts w:ascii="Arial" w:cs="Arial" w:eastAsia="Arial" w:hAnsi="Arial"/>
          <w:sz w:val="17"/>
          <w:szCs w:val="17"/>
          <w:color w:val="auto"/>
        </w:rPr>
        <w:t xml:space="preserve"> Term Facility Loans </w:t>
      </w:r>
      <w:r>
        <w:rPr>
          <w:rFonts w:ascii="Arial" w:cs="Arial" w:eastAsia="Arial" w:hAnsi="Arial"/>
          <w:sz w:val="17"/>
          <w:szCs w:val="17"/>
          <w:b w:val="1"/>
          <w:bCs w:val="1"/>
          <w:color w:val="FF0000"/>
          <w:strike w:val="1"/>
        </w:rPr>
        <w:t>or Term</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Facility Commitments</w:t>
      </w:r>
      <w:r>
        <w:rPr>
          <w:rFonts w:ascii="Arial" w:cs="Arial" w:eastAsia="Arial" w:hAnsi="Arial"/>
          <w:sz w:val="17"/>
          <w:szCs w:val="17"/>
          <w:color w:val="000000"/>
        </w:rPr>
        <w:t>, Non-Defaulting Lenders having more than 50% of the aggregate sum of the Term Facility Loans and unutilized Term Facility</w:t>
      </w:r>
      <w:r>
        <w:rPr>
          <w:rFonts w:ascii="Arial" w:cs="Arial" w:eastAsia="Arial" w:hAnsi="Arial"/>
          <w:sz w:val="17"/>
          <w:szCs w:val="17"/>
          <w:b w:val="1"/>
          <w:bCs w:val="1"/>
          <w:color w:val="FF0000"/>
        </w:rPr>
        <w:t xml:space="preserve"> </w:t>
      </w:r>
      <w:r>
        <w:rPr>
          <w:rFonts w:ascii="Arial" w:cs="Arial" w:eastAsia="Arial" w:hAnsi="Arial"/>
          <w:sz w:val="17"/>
          <w:szCs w:val="17"/>
          <w:color w:val="000000"/>
        </w:rPr>
        <w:t>Commitments of all Non-Defaulting Lenders then outstanding; (c</w:t>
      </w:r>
      <w:r>
        <w:rPr>
          <w:rFonts w:ascii="Arial" w:cs="Arial" w:eastAsia="Arial" w:hAnsi="Arial"/>
          <w:sz w:val="17"/>
          <w:szCs w:val="17"/>
          <w:b w:val="1"/>
          <w:bCs w:val="1"/>
          <w:color w:val="0000FF"/>
        </w:rPr>
        <w:t>) with respect to Tranche A Term Facility Commitments, Non-Defaulting Lenders</w:t>
      </w:r>
      <w:r>
        <w:rPr>
          <w:rFonts w:ascii="Arial" w:cs="Arial" w:eastAsia="Arial" w:hAnsi="Arial"/>
          <w:sz w:val="17"/>
          <w:szCs w:val="17"/>
          <w:color w:val="000000"/>
        </w:rPr>
        <w:t xml:space="preserve"> </w:t>
      </w:r>
      <w:r>
        <w:rPr>
          <w:rFonts w:ascii="Arial" w:cs="Arial" w:eastAsia="Arial" w:hAnsi="Arial"/>
          <w:sz w:val="17"/>
          <w:szCs w:val="17"/>
          <w:b w:val="1"/>
          <w:bCs w:val="1"/>
          <w:color w:val="0000FF"/>
        </w:rPr>
        <w:t>having more than 50% of the aggregate sum of 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w:t>
      </w:r>
      <w:r>
        <w:rPr>
          <w:rFonts w:ascii="Arial" w:cs="Arial" w:eastAsia="Arial" w:hAnsi="Arial"/>
          <w:sz w:val="17"/>
          <w:szCs w:val="17"/>
          <w:color w:val="000000"/>
        </w:rPr>
        <w:t>) for each Extension Tranche, if applicable, with respect to Lenders having Extended Revolving Loans or</w:t>
      </w:r>
      <w:r>
        <w:rPr>
          <w:rFonts w:ascii="Arial" w:cs="Arial" w:eastAsia="Arial" w:hAnsi="Arial"/>
          <w:sz w:val="17"/>
          <w:szCs w:val="17"/>
          <w:b w:val="1"/>
          <w:bCs w:val="1"/>
          <w:color w:val="0000FF"/>
        </w:rPr>
        <w:t xml:space="preserve"> </w:t>
      </w:r>
      <w:r>
        <w:rPr>
          <w:rFonts w:ascii="Arial" w:cs="Arial" w:eastAsia="Arial" w:hAnsi="Arial"/>
          <w:sz w:val="17"/>
          <w:szCs w:val="17"/>
          <w:color w:val="000000"/>
        </w:rPr>
        <w:t>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w:t>
      </w:r>
      <w:r>
        <w:rPr>
          <w:rFonts w:ascii="Arial" w:cs="Arial" w:eastAsia="Arial" w:hAnsi="Arial"/>
          <w:sz w:val="17"/>
          <w:szCs w:val="17"/>
          <w:b w:val="1"/>
          <w:bCs w:val="1"/>
          <w:color w:val="FF0000"/>
          <w:strike w:val="1"/>
        </w:rPr>
        <w:t>d</w:t>
      </w:r>
      <w:r>
        <w:rPr>
          <w:rFonts w:ascii="Arial" w:cs="Arial" w:eastAsia="Arial" w:hAnsi="Arial"/>
          <w:sz w:val="17"/>
          <w:szCs w:val="17"/>
          <w:b w:val="1"/>
          <w:bCs w:val="1"/>
          <w:color w:val="0000FF"/>
        </w:rPr>
        <w:t>g</w:t>
      </w:r>
      <w:r>
        <w:rPr>
          <w:rFonts w:ascii="Arial" w:cs="Arial" w:eastAsia="Arial" w:hAnsi="Arial"/>
          <w:sz w:val="17"/>
          <w:szCs w:val="17"/>
          <w:color w:val="000000"/>
        </w:rPr>
        <w:t>) for each Tranche of Other Term Loans, Non-Defaulting Lenders having more than 50% of the aggregate sum of such Other Term Loans and unutilized Other Term Loan Commitments of all Non-Defaulting Lenders then outstanding.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has the meaning set forth in Section 12.06(a).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w:t>
      </w:r>
    </w:p>
    <w:p>
      <w:pPr>
        <w:sectPr>
          <w:pgSz w:w="11900" w:h="16838" w:orient="portrait"/>
          <w:cols w:equalWidth="0" w:num="1">
            <w:col w:w="11420"/>
          </w:cols>
          <w:pgMar w:left="240" w:top="368" w:right="239" w:bottom="1440" w:gutter="0" w:footer="0" w:header="0"/>
        </w:sectPr>
      </w:pPr>
    </w:p>
    <w:bookmarkStart w:id="391" w:name="page392"/>
    <w:bookmarkEnd w:id="391"/>
    <w:p>
      <w:pPr>
        <w:jc w:val="both"/>
        <w:spacing w:after="0" w:line="277" w:lineRule="auto"/>
        <w:rPr>
          <w:sz w:val="20"/>
          <w:szCs w:val="20"/>
          <w:color w:val="auto"/>
        </w:rPr>
      </w:pPr>
      <w:r>
        <w:rPr>
          <w:rFonts w:ascii="Arial" w:cs="Arial" w:eastAsia="Arial" w:hAnsi="Arial"/>
          <w:sz w:val="18"/>
          <w:szCs w:val="18"/>
          <w:color w:val="auto"/>
        </w:rPr>
        <w:t>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Trigger Event</w:t>
      </w:r>
      <w:r>
        <w:rPr>
          <w:rFonts w:ascii="Arial" w:cs="Arial" w:eastAsia="Arial" w:hAnsi="Arial"/>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Revocation</w:t>
      </w:r>
      <w:r>
        <w:rPr>
          <w:rFonts w:ascii="Arial" w:cs="Arial" w:eastAsia="Arial" w:hAnsi="Arial"/>
          <w:sz w:val="18"/>
          <w:szCs w:val="18"/>
          <w:color w:val="auto"/>
        </w:rPr>
        <w:t>” has the meaning set forth in Section 9.12(b).</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Borrowing</w:t>
      </w:r>
      <w:r>
        <w:rPr>
          <w:rFonts w:ascii="Arial" w:cs="Arial" w:eastAsia="Arial" w:hAnsi="Arial"/>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w:t>
      </w:r>
      <w:r>
        <w:rPr>
          <w:rFonts w:ascii="Arial" w:cs="Arial" w:eastAsia="Arial" w:hAnsi="Arial"/>
          <w:sz w:val="16"/>
          <w:szCs w:val="16"/>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Arial" w:cs="Arial" w:eastAsia="Arial" w:hAnsi="Arial"/>
          <w:sz w:val="16"/>
          <w:szCs w:val="16"/>
          <w:u w:val="single" w:color="auto"/>
          <w:color w:val="auto"/>
        </w:rPr>
        <w:t>Annex 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1</w:t>
      </w:r>
      <w:r>
        <w:rPr>
          <w:rFonts w:ascii="Arial" w:cs="Arial" w:eastAsia="Arial" w:hAnsi="Arial"/>
          <w:sz w:val="16"/>
          <w:szCs w:val="16"/>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2.12 and Section 2.15; it being understood that a Revolving Lender’s Revolving Commitment shall include any Extended Revolving Commitments and Other Revolving Commitments of such Revolving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xml:space="preserve">” shall mean (a) on the Closing Date, the Lenders having a Revolving Commitment on </w:t>
      </w:r>
      <w:r>
        <w:rPr>
          <w:rFonts w:ascii="Arial" w:cs="Arial" w:eastAsia="Arial" w:hAnsi="Arial"/>
          <w:sz w:val="18"/>
          <w:szCs w:val="18"/>
          <w:u w:val="single" w:color="auto"/>
          <w:color w:val="auto"/>
        </w:rPr>
        <w:t>Annex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hereof and (b) thereafter, the Lenders from time to time holding Revolving Loans and/or a Revolving Commitment as in effect from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has the meaning set forth in Section 2.01(a).</w:t>
      </w:r>
    </w:p>
    <w:p>
      <w:pPr>
        <w:sectPr>
          <w:pgSz w:w="11900" w:h="16838" w:orient="portrait"/>
          <w:cols w:equalWidth="0" w:num="1">
            <w:col w:w="11420"/>
          </w:cols>
          <w:pgMar w:left="240" w:top="368" w:right="239" w:bottom="1440" w:gutter="0" w:footer="0" w:header="0"/>
        </w:sectPr>
      </w:pPr>
    </w:p>
    <w:bookmarkStart w:id="392" w:name="page393"/>
    <w:bookmarkEnd w:id="392"/>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Tranche Exposure</w:t>
      </w:r>
      <w:r>
        <w:rPr>
          <w:rFonts w:ascii="Arial" w:cs="Arial" w:eastAsia="Arial" w:hAnsi="Arial"/>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 under its Revolving Commitment of such Tranche.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Borrower and/or any or all of its Restricted Subsidiaries and any Cash Management 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any Swap Provider that is party to a Credit Swap Contract and any Cash Management Bank that is a party to a Secured Cash Management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92" w:lineRule="auto"/>
        <w:tabs>
          <w:tab w:leader="none" w:pos="24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ectPr>
          <w:pgSz w:w="11900" w:h="16838" w:orient="portrait"/>
          <w:cols w:equalWidth="0" w:num="1">
            <w:col w:w="11420"/>
          </w:cols>
          <w:pgMar w:left="240" w:top="364" w:right="239" w:bottom="1440" w:gutter="0" w:footer="0" w:header="0"/>
        </w:sectPr>
      </w:pPr>
    </w:p>
    <w:bookmarkStart w:id="393" w:name="page394"/>
    <w:bookmarkEnd w:id="3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has the meaning specified in Section 11.03.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Equity Issuance Proceeds</w:t>
      </w:r>
      <w:r>
        <w:rPr>
          <w:rFonts w:ascii="Arial" w:cs="Arial" w:eastAsia="Arial" w:hAnsi="Arial"/>
          <w:sz w:val="17"/>
          <w:szCs w:val="17"/>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Equity Insurance Proceeds shall be classified as Specified Equity Issuance Proceeds unless certified by a Responsible Officer of Borrower to Agent acting in good faith.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Letters of Credit</w:t>
      </w:r>
      <w:r>
        <w:rPr>
          <w:rFonts w:ascii="Arial" w:cs="Arial" w:eastAsia="Arial" w:hAnsi="Arial"/>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 among the Administrative Agent, the applicable Credit Parties and the providers of any Intercompany Contribution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Substituted Consolidated EBITDA</w:t>
      </w:r>
      <w:r>
        <w:rPr>
          <w:rFonts w:ascii="Arial" w:cs="Arial" w:eastAsia="Arial" w:hAnsi="Arial"/>
          <w:sz w:val="16"/>
          <w:szCs w:val="16"/>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w:t>
      </w:r>
    </w:p>
    <w:p>
      <w:pPr>
        <w:sectPr>
          <w:pgSz w:w="11900" w:h="16838" w:orient="portrait"/>
          <w:cols w:equalWidth="0" w:num="1">
            <w:col w:w="11420"/>
          </w:cols>
          <w:pgMar w:left="240" w:top="364" w:right="239" w:bottom="1440" w:gutter="0" w:footer="0" w:header="0"/>
        </w:sectPr>
      </w:pPr>
    </w:p>
    <w:bookmarkStart w:id="394" w:name="page395"/>
    <w:bookmarkEnd w:id="394"/>
    <w:p>
      <w:pPr>
        <w:jc w:val="both"/>
        <w:spacing w:after="0" w:line="257" w:lineRule="auto"/>
        <w:rPr>
          <w:sz w:val="20"/>
          <w:szCs w:val="20"/>
          <w:color w:val="auto"/>
        </w:rPr>
      </w:pPr>
      <w:r>
        <w:rPr>
          <w:rFonts w:ascii="Arial" w:cs="Arial" w:eastAsia="Arial" w:hAnsi="Arial"/>
          <w:sz w:val="18"/>
          <w:szCs w:val="18"/>
          <w:color w:val="auto"/>
        </w:rPr>
        <w:t>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 Percentage</w:t>
      </w:r>
      <w:r>
        <w:rPr>
          <w:rFonts w:ascii="Arial" w:cs="Arial" w:eastAsia="Arial" w:hAnsi="Arial"/>
          <w:sz w:val="18"/>
          <w:szCs w:val="18"/>
          <w:color w:val="auto"/>
        </w:rPr>
        <w:t xml:space="preserve">” of any Term Facility Lender </w:t>
      </w:r>
      <w:r>
        <w:rPr>
          <w:rFonts w:ascii="Arial" w:cs="Arial" w:eastAsia="Arial" w:hAnsi="Arial"/>
          <w:sz w:val="18"/>
          <w:szCs w:val="18"/>
          <w:b w:val="1"/>
          <w:bCs w:val="1"/>
          <w:color w:val="0000FF"/>
        </w:rPr>
        <w:t>with respect to a Tranche of Term Facility Commitments</w:t>
      </w:r>
      <w:r>
        <w:rPr>
          <w:rFonts w:ascii="Arial" w:cs="Arial" w:eastAsia="Arial" w:hAnsi="Arial"/>
          <w:sz w:val="18"/>
          <w:szCs w:val="18"/>
          <w:color w:val="auto"/>
        </w:rPr>
        <w:t xml:space="preserve"> at any time shall mean a fraction (expressed as a percentage) the numerator of which is the Term Facility Commitment </w:t>
      </w:r>
      <w:r>
        <w:rPr>
          <w:rFonts w:ascii="Arial" w:cs="Arial" w:eastAsia="Arial" w:hAnsi="Arial"/>
          <w:sz w:val="18"/>
          <w:szCs w:val="18"/>
          <w:b w:val="1"/>
          <w:bCs w:val="1"/>
          <w:color w:val="0000FF"/>
        </w:rPr>
        <w:t>under such Tranche</w:t>
      </w:r>
      <w:r>
        <w:rPr>
          <w:rFonts w:ascii="Arial" w:cs="Arial" w:eastAsia="Arial" w:hAnsi="Arial"/>
          <w:sz w:val="18"/>
          <w:szCs w:val="18"/>
          <w:color w:val="auto"/>
        </w:rPr>
        <w:t xml:space="preserve"> of such Term Facility Lender at such time and the denominator of which is the total Term Facility Commitments </w:t>
      </w:r>
      <w:r>
        <w:rPr>
          <w:rFonts w:ascii="Arial" w:cs="Arial" w:eastAsia="Arial" w:hAnsi="Arial"/>
          <w:sz w:val="18"/>
          <w:szCs w:val="18"/>
          <w:b w:val="1"/>
          <w:bCs w:val="1"/>
          <w:color w:val="0000FF"/>
        </w:rPr>
        <w:t>under such Tranche</w:t>
      </w:r>
      <w:r>
        <w:rPr>
          <w:rFonts w:ascii="Arial" w:cs="Arial" w:eastAsia="Arial" w:hAnsi="Arial"/>
          <w:sz w:val="18"/>
          <w:szCs w:val="18"/>
          <w:color w:val="auto"/>
        </w:rPr>
        <w:t xml:space="preserve">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T/C Percentage of any Term Facility Lender </w:t>
      </w:r>
      <w:r>
        <w:rPr>
          <w:rFonts w:ascii="Arial" w:cs="Arial" w:eastAsia="Arial" w:hAnsi="Arial"/>
          <w:sz w:val="18"/>
          <w:szCs w:val="18"/>
          <w:b w:val="1"/>
          <w:bCs w:val="1"/>
          <w:color w:val="0000FF"/>
        </w:rPr>
        <w:t>with respect to a Tranche of Term Facility Commitments</w:t>
      </w:r>
      <w:r>
        <w:rPr>
          <w:rFonts w:ascii="Arial" w:cs="Arial" w:eastAsia="Arial" w:hAnsi="Arial"/>
          <w:sz w:val="18"/>
          <w:szCs w:val="18"/>
          <w:color w:val="auto"/>
        </w:rPr>
        <w:t xml:space="preserve"> is to be determined after the total Term Facility Commitments </w:t>
      </w:r>
      <w:r>
        <w:rPr>
          <w:rFonts w:ascii="Arial" w:cs="Arial" w:eastAsia="Arial" w:hAnsi="Arial"/>
          <w:sz w:val="18"/>
          <w:szCs w:val="18"/>
          <w:b w:val="1"/>
          <w:bCs w:val="1"/>
          <w:color w:val="0000FF"/>
        </w:rPr>
        <w:t>under such</w:t>
      </w:r>
      <w:r>
        <w:rPr>
          <w:rFonts w:ascii="Arial" w:cs="Arial" w:eastAsia="Arial" w:hAnsi="Arial"/>
          <w:sz w:val="18"/>
          <w:szCs w:val="18"/>
          <w:color w:val="auto"/>
        </w:rPr>
        <w:t xml:space="preserve"> </w:t>
      </w:r>
      <w:r>
        <w:rPr>
          <w:rFonts w:ascii="Arial" w:cs="Arial" w:eastAsia="Arial" w:hAnsi="Arial"/>
          <w:sz w:val="18"/>
          <w:szCs w:val="18"/>
          <w:b w:val="1"/>
          <w:bCs w:val="1"/>
          <w:color w:val="0000FF"/>
        </w:rPr>
        <w:t xml:space="preserve">Tranche </w:t>
      </w:r>
      <w:r>
        <w:rPr>
          <w:rFonts w:ascii="Arial" w:cs="Arial" w:eastAsia="Arial" w:hAnsi="Arial"/>
          <w:sz w:val="18"/>
          <w:szCs w:val="18"/>
          <w:color w:val="000000"/>
        </w:rPr>
        <w:t>have been terminated, then the T/C Percentage of such Term Facility Lender</w:t>
      </w:r>
      <w:r>
        <w:rPr>
          <w:rFonts w:ascii="Arial" w:cs="Arial" w:eastAsia="Arial" w:hAnsi="Arial"/>
          <w:sz w:val="18"/>
          <w:szCs w:val="18"/>
          <w:b w:val="1"/>
          <w:bCs w:val="1"/>
          <w:color w:val="0000FF"/>
        </w:rPr>
        <w:t xml:space="preserve"> under such Tranche of Term Facility Commitments </w:t>
      </w:r>
      <w:r>
        <w:rPr>
          <w:rFonts w:ascii="Arial" w:cs="Arial" w:eastAsia="Arial" w:hAnsi="Arial"/>
          <w:sz w:val="18"/>
          <w:szCs w:val="18"/>
          <w:color w:val="000000"/>
        </w:rPr>
        <w:t>shall be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determined immediately prior (and without giving effect) to such termination but after giving effect to any assignments after termination of the Term Facility Commitments </w:t>
      </w:r>
      <w:r>
        <w:rPr>
          <w:rFonts w:ascii="Arial" w:cs="Arial" w:eastAsia="Arial" w:hAnsi="Arial"/>
          <w:sz w:val="18"/>
          <w:szCs w:val="18"/>
          <w:b w:val="1"/>
          <w:bCs w:val="1"/>
          <w:color w:val="0000FF"/>
        </w:rPr>
        <w:t>under such Tranche</w:t>
      </w:r>
      <w:r>
        <w:rPr>
          <w:rFonts w:ascii="Arial" w:cs="Arial" w:eastAsia="Arial" w:hAnsi="Arial"/>
          <w:sz w:val="18"/>
          <w:szCs w:val="18"/>
          <w:color w:val="000000"/>
        </w:rPr>
        <w:t>.</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Taking</w:t>
      </w:r>
      <w:r>
        <w:rPr>
          <w:rFonts w:ascii="Arial" w:cs="Arial" w:eastAsia="Arial" w:hAnsi="Arial"/>
          <w:sz w:val="16"/>
          <w:szCs w:val="16"/>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0000FF"/>
        </w:rPr>
        <w:t>“</w:t>
      </w:r>
      <w:r>
        <w:rPr>
          <w:rFonts w:ascii="Arial" w:cs="Arial" w:eastAsia="Arial" w:hAnsi="Arial"/>
          <w:sz w:val="16"/>
          <w:szCs w:val="16"/>
          <w:b w:val="1"/>
          <w:bCs w:val="1"/>
          <w:color w:val="000000"/>
        </w:rPr>
        <w:t>Tax Payments</w:t>
      </w:r>
      <w:r>
        <w:rPr>
          <w:rFonts w:ascii="Arial" w:cs="Arial" w:eastAsia="Arial" w:hAnsi="Arial"/>
          <w:sz w:val="16"/>
          <w:szCs w:val="16"/>
          <w:color w:val="000000"/>
        </w:rPr>
        <w:t>” shall mean, with respect to any taxable period (i) for which Borrower and/or any of its Subsidiaries are members of a consolidated,</w:t>
      </w:r>
      <w:r>
        <w:rPr>
          <w:rFonts w:ascii="Arial" w:cs="Arial" w:eastAsia="Arial" w:hAnsi="Arial"/>
          <w:sz w:val="16"/>
          <w:szCs w:val="16"/>
          <w:b w:val="1"/>
          <w:bCs w:val="1"/>
          <w:color w:val="0000FF"/>
        </w:rPr>
        <w:t xml:space="preserve"> </w:t>
      </w:r>
      <w:r>
        <w:rPr>
          <w:rFonts w:ascii="Arial" w:cs="Arial" w:eastAsia="Arial" w:hAnsi="Arial"/>
          <w:sz w:val="16"/>
          <w:szCs w:val="16"/>
          <w:color w:val="000000"/>
        </w:rPr>
        <w:t>combined or similar income tax group for applicable federal, state and/or local income tax purposes of which a direct or indirect parent of Borrower is the common parent (a “</w:t>
      </w:r>
      <w:r>
        <w:rPr>
          <w:rFonts w:ascii="Arial" w:cs="Arial" w:eastAsia="Arial" w:hAnsi="Arial"/>
          <w:sz w:val="16"/>
          <w:szCs w:val="16"/>
          <w:b w:val="1"/>
          <w:bCs w:val="1"/>
          <w:color w:val="000000"/>
        </w:rPr>
        <w:t>Tax Group</w:t>
      </w:r>
      <w:r>
        <w:rPr>
          <w:rFonts w:ascii="Arial" w:cs="Arial" w:eastAsia="Arial" w:hAnsi="Arial"/>
          <w:sz w:val="16"/>
          <w:szCs w:val="16"/>
          <w:color w:val="000000"/>
        </w:rPr>
        <w:t>”) or (ii) for which Borrower is a disregarded entity or a partnership with a direct or indirect corporate parent (a “</w:t>
      </w:r>
      <w:r>
        <w:rPr>
          <w:rFonts w:ascii="Arial" w:cs="Arial" w:eastAsia="Arial" w:hAnsi="Arial"/>
          <w:sz w:val="16"/>
          <w:szCs w:val="16"/>
          <w:b w:val="1"/>
          <w:bCs w:val="1"/>
          <w:color w:val="000000"/>
        </w:rPr>
        <w:t>Corporate</w:t>
      </w:r>
      <w:r>
        <w:rPr>
          <w:rFonts w:ascii="Arial" w:cs="Arial" w:eastAsia="Arial" w:hAnsi="Arial"/>
          <w:sz w:val="16"/>
          <w:szCs w:val="16"/>
          <w:color w:val="000000"/>
        </w:rPr>
        <w:t xml:space="preserve"> </w:t>
      </w:r>
      <w:r>
        <w:rPr>
          <w:rFonts w:ascii="Arial" w:cs="Arial" w:eastAsia="Arial" w:hAnsi="Arial"/>
          <w:sz w:val="16"/>
          <w:szCs w:val="16"/>
          <w:b w:val="1"/>
          <w:bCs w:val="1"/>
          <w:color w:val="000000"/>
        </w:rPr>
        <w:t>Parent</w:t>
      </w:r>
      <w:r>
        <w:rPr>
          <w:rFonts w:ascii="Arial" w:cs="Arial" w:eastAsia="Arial" w:hAnsi="Arial"/>
          <w:sz w:val="16"/>
          <w:szCs w:val="16"/>
          <w:color w:val="000000"/>
        </w:rPr>
        <w:t>”), (a) payments equal to the portion of any consolidated, combined or similar federal, state and/or local income taxes (as applicable) of such Tax</w:t>
      </w:r>
      <w:r>
        <w:rPr>
          <w:rFonts w:ascii="Arial" w:cs="Arial" w:eastAsia="Arial" w:hAnsi="Arial"/>
          <w:sz w:val="16"/>
          <w:szCs w:val="16"/>
          <w:b w:val="1"/>
          <w:bCs w:val="1"/>
          <w:color w:val="000000"/>
        </w:rPr>
        <w:t xml:space="preserve"> </w:t>
      </w:r>
      <w:r>
        <w:rPr>
          <w:rFonts w:ascii="Arial" w:cs="Arial" w:eastAsia="Arial" w:hAnsi="Arial"/>
          <w:sz w:val="16"/>
          <w:szCs w:val="16"/>
          <w:color w:val="000000"/>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Arial" w:cs="Arial" w:eastAsia="Arial" w:hAnsi="Arial"/>
          <w:sz w:val="16"/>
          <w:szCs w:val="16"/>
          <w:b w:val="1"/>
          <w:bCs w:val="1"/>
          <w:color w:val="000000"/>
        </w:rPr>
        <w:t>Corporate Parent Subsidiaries</w:t>
      </w:r>
      <w:r>
        <w:rPr>
          <w:rFonts w:ascii="Arial" w:cs="Arial" w:eastAsia="Arial" w:hAnsi="Arial"/>
          <w:sz w:val="16"/>
          <w:szCs w:val="16"/>
          <w:color w:val="000000"/>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w:t>
      </w:r>
    </w:p>
    <w:p>
      <w:pPr>
        <w:sectPr>
          <w:pgSz w:w="11900" w:h="16838" w:orient="portrait"/>
          <w:cols w:equalWidth="0" w:num="1">
            <w:col w:w="11420"/>
          </w:cols>
          <w:pgMar w:left="240" w:top="368" w:right="239" w:bottom="1440" w:gutter="0" w:footer="0" w:header="0"/>
        </w:sectPr>
      </w:pPr>
    </w:p>
    <w:bookmarkStart w:id="395" w:name="page396"/>
    <w:bookmarkEnd w:id="395"/>
    <w:p>
      <w:pPr>
        <w:jc w:val="both"/>
        <w:spacing w:after="0" w:line="297" w:lineRule="auto"/>
        <w:rPr>
          <w:sz w:val="20"/>
          <w:szCs w:val="20"/>
          <w:color w:val="auto"/>
        </w:rPr>
      </w:pPr>
      <w:r>
        <w:rPr>
          <w:rFonts w:ascii="Arial" w:cs="Arial" w:eastAsia="Arial" w:hAnsi="Arial"/>
          <w:sz w:val="16"/>
          <w:szCs w:val="16"/>
          <w:color w:val="auto"/>
        </w:rPr>
        <w:t>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Facilities</w:t>
      </w:r>
      <w:r>
        <w:rPr>
          <w:rFonts w:ascii="Arial" w:cs="Arial" w:eastAsia="Arial" w:hAnsi="Arial"/>
          <w:sz w:val="18"/>
          <w:szCs w:val="18"/>
          <w:color w:val="auto"/>
        </w:rPr>
        <w:t>” shall mean, collectively, the credit facilities comprising the Term Facility Commitments, the Term Facility Loans, any Extended Term Loans and any Other Term Loans.</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Facility Availability Period</w:t>
      </w:r>
      <w:r>
        <w:rPr>
          <w:rFonts w:ascii="Arial" w:cs="Arial" w:eastAsia="Arial" w:hAnsi="Arial"/>
          <w:sz w:val="16"/>
          <w:szCs w:val="16"/>
          <w:color w:val="auto"/>
        </w:rPr>
        <w:t xml:space="preserve">” shall mean </w:t>
      </w:r>
      <w:r>
        <w:rPr>
          <w:rFonts w:ascii="Arial" w:cs="Arial" w:eastAsia="Arial" w:hAnsi="Arial"/>
          <w:sz w:val="16"/>
          <w:szCs w:val="16"/>
          <w:b w:val="1"/>
          <w:bCs w:val="1"/>
          <w:color w:val="0000FF"/>
        </w:rPr>
        <w:t>(a) with respect to the Tranche A Term Facility Commitments,</w:t>
      </w:r>
      <w:r>
        <w:rPr>
          <w:rFonts w:ascii="Arial" w:cs="Arial" w:eastAsia="Arial" w:hAnsi="Arial"/>
          <w:sz w:val="16"/>
          <w:szCs w:val="16"/>
          <w:color w:val="auto"/>
        </w:rPr>
        <w:t xml:space="preserve"> the period from and including the Closing Date through but excluding the earlier of the date that is the one (1) year anniversary of the Closing Date and the date of termination of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0000FF"/>
        </w:rPr>
        <w:t xml:space="preserve">Tranche A Term Facility Commitments, (b) with respect to the Tranche B Term Facility Commitments, the period from and including the Closing Date through but excluding the earlier of March 30, 2016 and the date of termination of the Tranche B Term Facility Commitments and (c) with respect to the Tranche C Term Facility Commitments, the period from and including the Closing Date through but excluding the earlier of June 30, 2016 and the date of termination of the Tranche C </w:t>
      </w:r>
      <w:r>
        <w:rPr>
          <w:rFonts w:ascii="Arial" w:cs="Arial" w:eastAsia="Arial" w:hAnsi="Arial"/>
          <w:sz w:val="18"/>
          <w:szCs w:val="18"/>
          <w:color w:val="000000"/>
        </w:rPr>
        <w:t>Term Facility Commitments.</w:t>
      </w:r>
    </w:p>
    <w:p>
      <w:pPr>
        <w:spacing w:after="0" w:line="186"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 Commitment</w:t>
      </w:r>
      <w:r>
        <w:rPr>
          <w:rFonts w:ascii="Arial" w:cs="Arial" w:eastAsia="Arial" w:hAnsi="Arial"/>
          <w:sz w:val="17"/>
          <w:szCs w:val="17"/>
          <w:color w:val="auto"/>
        </w:rPr>
        <w:t xml:space="preserve">” shall mean, for each Term Facility Lender, </w:t>
      </w:r>
      <w:r>
        <w:rPr>
          <w:rFonts w:ascii="Arial" w:cs="Arial" w:eastAsia="Arial" w:hAnsi="Arial"/>
          <w:sz w:val="17"/>
          <w:szCs w:val="17"/>
          <w:b w:val="1"/>
          <w:bCs w:val="1"/>
          <w:color w:val="FF0000"/>
          <w:strike w:val="1"/>
        </w:rPr>
        <w:t>the obligation of such Lender to make Term Facility Loans during</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the Term Facility Availability Period in a principal amount not to exceed the amount set forth opposite the name of such Lender on </w:t>
      </w:r>
      <w:r>
        <w:rPr>
          <w:rFonts w:ascii="Arial" w:cs="Arial" w:eastAsia="Arial" w:hAnsi="Arial"/>
          <w:sz w:val="17"/>
          <w:szCs w:val="17"/>
          <w:b w:val="1"/>
          <w:bCs w:val="1"/>
          <w:u w:val="single" w:color="auto"/>
          <w:color w:val="FF0000"/>
          <w:strike w:val="1"/>
        </w:rPr>
        <w:t>Annex A</w:t>
      </w:r>
      <w:r>
        <w:rPr>
          <w:rFonts w:ascii="MS PGothic" w:cs="MS PGothic" w:eastAsia="MS PGothic" w:hAnsi="MS PGothic"/>
          <w:sz w:val="17"/>
          <w:szCs w:val="17"/>
          <w:b w:val="1"/>
          <w:bCs w:val="1"/>
          <w:u w:val="single" w:color="auto"/>
          <w:color w:val="FF0000"/>
          <w:strike w:val="1"/>
        </w:rPr>
        <w:t>‑</w:t>
      </w:r>
      <w:r>
        <w:rPr>
          <w:rFonts w:ascii="Arial" w:cs="Arial" w:eastAsia="Arial" w:hAnsi="Arial"/>
          <w:sz w:val="17"/>
          <w:szCs w:val="17"/>
          <w:b w:val="1"/>
          <w:bCs w:val="1"/>
          <w:u w:val="single" w:color="auto"/>
          <w:color w:val="FF0000"/>
          <w:strike w:val="1"/>
        </w:rPr>
        <w:t>2</w:t>
      </w:r>
      <w:r>
        <w:rPr>
          <w:rFonts w:ascii="Arial" w:cs="Arial" w:eastAsia="Arial" w:hAnsi="Arial"/>
          <w:sz w:val="17"/>
          <w:szCs w:val="17"/>
          <w:b w:val="1"/>
          <w:bCs w:val="1"/>
          <w:color w:val="FF0000"/>
          <w:strike w:val="1"/>
        </w:rPr>
        <w:t xml:space="preserve"> under the caption “</w:t>
      </w:r>
      <w:r>
        <w:rPr>
          <w:rFonts w:ascii="Arial" w:cs="Arial" w:eastAsia="Arial" w:hAnsi="Arial"/>
          <w:sz w:val="17"/>
          <w:szCs w:val="17"/>
          <w:b w:val="1"/>
          <w:bCs w:val="1"/>
          <w:color w:val="0000FF"/>
          <w:strike w:val="1"/>
        </w:rPr>
        <w:t>its Tranche A</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Term Facility Commitment,</w:t>
      </w:r>
      <w:r>
        <w:rPr>
          <w:rFonts w:ascii="Arial" w:cs="Arial" w:eastAsia="Arial" w:hAnsi="Arial"/>
          <w:sz w:val="17"/>
          <w:szCs w:val="17"/>
          <w:b w:val="1"/>
          <w:bCs w:val="1"/>
          <w:color w:val="FF0000"/>
          <w:strike w:val="1"/>
        </w:rPr>
        <w:t xml:space="preserve">” or in the Assignment Agreement pursuant to which such Lender assumed its </w:t>
      </w:r>
      <w:r>
        <w:rPr>
          <w:rFonts w:ascii="Arial" w:cs="Arial" w:eastAsia="Arial" w:hAnsi="Arial"/>
          <w:sz w:val="17"/>
          <w:szCs w:val="17"/>
          <w:b w:val="1"/>
          <w:bCs w:val="1"/>
          <w:color w:val="0000FF"/>
          <w:strike w:val="1"/>
        </w:rPr>
        <w:t>Tranche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 xml:space="preserve">B </w:t>
      </w:r>
      <w:r>
        <w:rPr>
          <w:rFonts w:ascii="Arial" w:cs="Arial" w:eastAsia="Arial" w:hAnsi="Arial"/>
          <w:sz w:val="17"/>
          <w:szCs w:val="17"/>
          <w:color w:val="000000"/>
          <w:strike w:val="1"/>
        </w:rPr>
        <w:t>Term Facility Commitment</w:t>
      </w:r>
      <w:r>
        <w:rPr>
          <w:rFonts w:ascii="Arial" w:cs="Arial" w:eastAsia="Arial" w:hAnsi="Arial"/>
          <w:sz w:val="17"/>
          <w:szCs w:val="17"/>
          <w:b w:val="1"/>
          <w:bCs w:val="1"/>
          <w:color w:val="0000FF"/>
          <w:strike w:val="1"/>
        </w:rPr>
        <w:t xml:space="preserve"> and/or Tranche C Term Facility Commitment</w:t>
      </w:r>
      <w:r>
        <w:rPr>
          <w:rFonts w:ascii="Arial" w:cs="Arial" w:eastAsia="Arial" w:hAnsi="Arial"/>
          <w:sz w:val="17"/>
          <w:szCs w:val="17"/>
          <w:color w:val="000000"/>
          <w:strike w:val="1"/>
        </w:rPr>
        <w:t>, as applicable</w:t>
      </w:r>
      <w:r>
        <w:rPr>
          <w:rFonts w:ascii="Arial" w:cs="Arial" w:eastAsia="Arial" w:hAnsi="Arial"/>
          <w:sz w:val="17"/>
          <w:szCs w:val="17"/>
          <w:b w:val="1"/>
          <w:bCs w:val="1"/>
          <w:color w:val="FF0000"/>
          <w:strike w:val="1"/>
        </w:rPr>
        <w:t>, as the same may be (a) changed pursuant to Section</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13.05(b) or (b) reduced or terminated from time to time pursuant to Section 2.04 or Section 11.01</w:t>
      </w:r>
      <w:r>
        <w:rPr>
          <w:rFonts w:ascii="Arial" w:cs="Arial" w:eastAsia="Arial" w:hAnsi="Arial"/>
          <w:sz w:val="17"/>
          <w:szCs w:val="17"/>
          <w:color w:val="000000"/>
          <w:strike w:val="1"/>
        </w:rPr>
        <w:t>. The aggregate principal amount of the Term Facility</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Commitments of all Term Facility Lenders on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color w:val="0000FF"/>
          <w:strike w:val="1"/>
        </w:rPr>
        <w:t>First Amendment Effective</w:t>
      </w:r>
      <w:r>
        <w:rPr>
          <w:rFonts w:ascii="Arial" w:cs="Arial" w:eastAsia="Arial" w:hAnsi="Arial"/>
          <w:sz w:val="17"/>
          <w:szCs w:val="17"/>
          <w:color w:val="000000"/>
          <w:strike w:val="1"/>
        </w:rPr>
        <w:t xml:space="preserve"> Date is $875.0 million.</w:t>
      </w:r>
    </w:p>
    <w:p>
      <w:pPr>
        <w:spacing w:after="0" w:line="198"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 Lenders</w:t>
      </w:r>
      <w:r>
        <w:rPr>
          <w:rFonts w:ascii="Arial" w:cs="Arial" w:eastAsia="Arial" w:hAnsi="Arial"/>
          <w:sz w:val="17"/>
          <w:szCs w:val="17"/>
          <w:color w:val="auto"/>
        </w:rPr>
        <w:t xml:space="preserve">” shall mean (a) </w:t>
      </w:r>
      <w:r>
        <w:rPr>
          <w:rFonts w:ascii="Arial" w:cs="Arial" w:eastAsia="Arial" w:hAnsi="Arial"/>
          <w:sz w:val="17"/>
          <w:szCs w:val="17"/>
          <w:b w:val="1"/>
          <w:bCs w:val="1"/>
          <w:color w:val="FF0000"/>
          <w:strike w:val="1"/>
        </w:rPr>
        <w:t>on the Closing Date, the Lenders having</w:t>
      </w:r>
      <w:r>
        <w:rPr>
          <w:rFonts w:ascii="Arial" w:cs="Arial" w:eastAsia="Arial" w:hAnsi="Arial"/>
          <w:sz w:val="17"/>
          <w:szCs w:val="17"/>
          <w:b w:val="1"/>
          <w:bCs w:val="1"/>
          <w:color w:val="0000FF"/>
        </w:rPr>
        <w:t>in respect of any unutilized</w:t>
      </w:r>
      <w:r>
        <w:rPr>
          <w:rFonts w:ascii="Arial" w:cs="Arial" w:eastAsia="Arial" w:hAnsi="Arial"/>
          <w:sz w:val="17"/>
          <w:szCs w:val="17"/>
          <w:color w:val="auto"/>
        </w:rPr>
        <w:t xml:space="preserve"> Term Facility Commitments </w:t>
      </w:r>
      <w:r>
        <w:rPr>
          <w:rFonts w:ascii="Arial" w:cs="Arial" w:eastAsia="Arial" w:hAnsi="Arial"/>
          <w:sz w:val="17"/>
          <w:szCs w:val="17"/>
          <w:b w:val="1"/>
          <w:bCs w:val="1"/>
          <w:color w:val="FF0000"/>
          <w:strike w:val="1"/>
        </w:rPr>
        <w:t>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Annex A</w:t>
      </w:r>
      <w:r>
        <w:rPr>
          <w:rFonts w:ascii="MS PGothic" w:cs="MS PGothic" w:eastAsia="MS PGothic" w:hAnsi="MS PGothic"/>
          <w:sz w:val="17"/>
          <w:szCs w:val="17"/>
          <w:b w:val="1"/>
          <w:bCs w:val="1"/>
          <w:u w:val="single" w:color="auto"/>
          <w:color w:val="FF0000"/>
          <w:strike w:val="1"/>
        </w:rPr>
        <w:t>‑</w:t>
      </w:r>
      <w:r>
        <w:rPr>
          <w:rFonts w:ascii="Arial" w:cs="Arial" w:eastAsia="Arial" w:hAnsi="Arial"/>
          <w:sz w:val="17"/>
          <w:szCs w:val="17"/>
          <w:b w:val="1"/>
          <w:bCs w:val="1"/>
          <w:u w:val="single" w:color="auto"/>
          <w:color w:val="FF0000"/>
          <w:strike w:val="1"/>
        </w:rPr>
        <w:t>2</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hereof and (b) thereafter, the</w:t>
      </w:r>
      <w:r>
        <w:rPr>
          <w:rFonts w:ascii="Arial" w:cs="Arial" w:eastAsia="Arial" w:hAnsi="Arial"/>
          <w:sz w:val="17"/>
          <w:szCs w:val="17"/>
          <w:b w:val="1"/>
          <w:bCs w:val="1"/>
          <w:color w:val="0000FF"/>
        </w:rPr>
        <w:t>, the Tranche A Term Facility Lenders, the Tranche B Term Facility Lenders and/or the Tranche C Term</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FF"/>
        </w:rPr>
        <w:t xml:space="preserve">Facility Lenders, as applicable, and (b) in respect of any Term Facility Loans, the </w:t>
      </w:r>
      <w:r>
        <w:rPr>
          <w:rFonts w:ascii="Arial" w:cs="Arial" w:eastAsia="Arial" w:hAnsi="Arial"/>
          <w:sz w:val="17"/>
          <w:szCs w:val="17"/>
          <w:color w:val="000000"/>
        </w:rPr>
        <w:t>Lenders from time to time holding any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unutilized 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Commitments and/or</w:t>
      </w:r>
      <w:r>
        <w:rPr>
          <w:rFonts w:ascii="Arial" w:cs="Arial" w:eastAsia="Arial" w:hAnsi="Arial"/>
          <w:sz w:val="17"/>
          <w:szCs w:val="17"/>
          <w:b w:val="1"/>
          <w:bCs w:val="1"/>
          <w:color w:val="FF0000"/>
        </w:rPr>
        <w:t xml:space="preserve"> </w:t>
      </w:r>
      <w:r>
        <w:rPr>
          <w:rFonts w:ascii="Arial" w:cs="Arial" w:eastAsia="Arial" w:hAnsi="Arial"/>
          <w:sz w:val="17"/>
          <w:szCs w:val="17"/>
          <w:color w:val="000000"/>
        </w:rPr>
        <w:t>Term Facility Loans</w:t>
      </w:r>
      <w:r>
        <w:rPr>
          <w:rFonts w:ascii="Arial" w:cs="Arial" w:eastAsia="Arial" w:hAnsi="Arial"/>
          <w:sz w:val="17"/>
          <w:szCs w:val="17"/>
          <w:b w:val="1"/>
          <w:bCs w:val="1"/>
          <w:color w:val="FF0000"/>
          <w:strike w:val="1"/>
        </w:rPr>
        <w:t>, as the case may be,</w:t>
      </w:r>
      <w:r>
        <w:rPr>
          <w:rFonts w:ascii="Arial" w:cs="Arial" w:eastAsia="Arial" w:hAnsi="Arial"/>
          <w:sz w:val="17"/>
          <w:szCs w:val="17"/>
          <w:b w:val="1"/>
          <w:bCs w:val="1"/>
          <w:color w:val="FF0000"/>
        </w:rPr>
        <w:t xml:space="preserve"> </w:t>
      </w:r>
      <w:r>
        <w:rPr>
          <w:rFonts w:ascii="Arial" w:cs="Arial" w:eastAsia="Arial" w:hAnsi="Arial"/>
          <w:sz w:val="17"/>
          <w:szCs w:val="17"/>
          <w:color w:val="000000"/>
        </w:rPr>
        <w:t>after giving effect to any assignments thereof permitted by Section 13.05(b).</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Loans</w:t>
      </w:r>
      <w:r>
        <w:rPr>
          <w:rFonts w:ascii="Arial" w:cs="Arial" w:eastAsia="Arial" w:hAnsi="Arial"/>
          <w:sz w:val="18"/>
          <w:szCs w:val="18"/>
          <w:color w:val="auto"/>
        </w:rPr>
        <w:t>” shall mean collectively, delayed draw term loans made pursuant to Section 2.01(b).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Maturity Date</w:t>
      </w:r>
      <w:r>
        <w:rPr>
          <w:rFonts w:ascii="Arial" w:cs="Arial" w:eastAsia="Arial" w:hAnsi="Arial"/>
          <w:sz w:val="18"/>
          <w:szCs w:val="18"/>
          <w:color w:val="auto"/>
        </w:rPr>
        <w:t>” shall mean the date that is the sixth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collectively, (a) the Term Facility Commitments and (b) any Other Term Loan Commitments.</w:t>
      </w:r>
    </w:p>
    <w:p>
      <w:pPr>
        <w:sectPr>
          <w:pgSz w:w="11900" w:h="16838" w:orient="portrait"/>
          <w:cols w:equalWidth="0" w:num="1">
            <w:col w:w="11420"/>
          </w:cols>
          <w:pgMar w:left="240" w:top="368" w:right="239" w:bottom="1440" w:gutter="0" w:footer="0" w:header="0"/>
        </w:sectPr>
      </w:pPr>
    </w:p>
    <w:bookmarkStart w:id="396" w:name="page397"/>
    <w:bookmarkEnd w:id="3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collectively, the Term Facility Loans, any Extended Term Loans and any Other Term Loans.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Commitments</w:t>
      </w:r>
      <w:r>
        <w:rPr>
          <w:rFonts w:ascii="Arial" w:cs="Arial" w:eastAsia="Arial" w:hAnsi="Arial"/>
          <w:sz w:val="18"/>
          <w:szCs w:val="18"/>
          <w:color w:val="auto"/>
        </w:rPr>
        <w:t>” shall mean, at any time, the Revolving Commitments of all the Revolving Lenders at such time. The Total Revolving Commitments on the Closing Date are $375.0 million.</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w:t>
      </w:r>
      <w:r>
        <w:rPr>
          <w:rFonts w:ascii="Arial" w:cs="Arial" w:eastAsia="Arial" w:hAnsi="Arial"/>
          <w:sz w:val="17"/>
          <w:szCs w:val="17"/>
          <w:color w:val="auto"/>
        </w:rPr>
        <w:t xml:space="preserve">”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w:t>
      </w:r>
      <w:r>
        <w:rPr>
          <w:rFonts w:ascii="Arial" w:cs="Arial" w:eastAsia="Arial" w:hAnsi="Arial"/>
          <w:sz w:val="17"/>
          <w:szCs w:val="17"/>
          <w:b w:val="1"/>
          <w:bCs w:val="1"/>
          <w:color w:val="FF0000"/>
          <w:strike w:val="1"/>
        </w:rPr>
        <w:t>or</w:t>
      </w:r>
      <w:r>
        <w:rPr>
          <w:rFonts w:ascii="Arial" w:cs="Arial" w:eastAsia="Arial" w:hAnsi="Arial"/>
          <w:sz w:val="17"/>
          <w:szCs w:val="17"/>
          <w:b w:val="1"/>
          <w:bCs w:val="1"/>
          <w:color w:val="0000FF"/>
        </w:rPr>
        <w:t>, (d) Lenders having Tranche A</w:t>
      </w:r>
      <w:r>
        <w:rPr>
          <w:rFonts w:ascii="Arial" w:cs="Arial" w:eastAsia="Arial" w:hAnsi="Arial"/>
          <w:sz w:val="17"/>
          <w:szCs w:val="17"/>
          <w:color w:val="auto"/>
        </w:rPr>
        <w:t xml:space="preserve"> </w:t>
      </w:r>
      <w:r>
        <w:rPr>
          <w:rFonts w:ascii="Arial" w:cs="Arial" w:eastAsia="Arial" w:hAnsi="Arial"/>
          <w:sz w:val="17"/>
          <w:szCs w:val="17"/>
          <w:b w:val="1"/>
          <w:bCs w:val="1"/>
          <w:color w:val="0000FF"/>
        </w:rPr>
        <w:t xml:space="preserve">Term Facility Commitments, (e) Lenders having Tranche B Term Facility Commitments, (f) Lenders having Tranche C </w:t>
      </w:r>
      <w:r>
        <w:rPr>
          <w:rFonts w:ascii="Arial" w:cs="Arial" w:eastAsia="Arial" w:hAnsi="Arial"/>
          <w:sz w:val="17"/>
          <w:szCs w:val="17"/>
          <w:color w:val="000000"/>
        </w:rPr>
        <w:t>Term Facility Commitments</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w:t>
      </w:r>
      <w:r>
        <w:rPr>
          <w:rFonts w:ascii="Arial" w:cs="Arial" w:eastAsia="Arial" w:hAnsi="Arial"/>
          <w:sz w:val="17"/>
          <w:szCs w:val="17"/>
          <w:b w:val="1"/>
          <w:bCs w:val="1"/>
          <w:color w:val="FF0000"/>
          <w:strike w:val="1"/>
        </w:rPr>
        <w:t>e</w:t>
      </w:r>
      <w:r>
        <w:rPr>
          <w:rFonts w:ascii="Arial" w:cs="Arial" w:eastAsia="Arial" w:hAnsi="Arial"/>
          <w:sz w:val="17"/>
          <w:szCs w:val="17"/>
          <w:b w:val="1"/>
          <w:bCs w:val="1"/>
          <w:color w:val="0000FF"/>
        </w:rPr>
        <w:t>g</w:t>
      </w:r>
      <w:r>
        <w:rPr>
          <w:rFonts w:ascii="Arial" w:cs="Arial" w:eastAsia="Arial" w:hAnsi="Arial"/>
          <w:sz w:val="17"/>
          <w:szCs w:val="17"/>
          <w:color w:val="000000"/>
        </w:rPr>
        <w:t xml:space="preserve">) 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w:t>
      </w:r>
      <w:r>
        <w:rPr>
          <w:rFonts w:ascii="Arial" w:cs="Arial" w:eastAsia="Arial" w:hAnsi="Arial"/>
          <w:sz w:val="17"/>
          <w:szCs w:val="17"/>
          <w:b w:val="1"/>
          <w:bCs w:val="1"/>
          <w:color w:val="FF0000"/>
          <w:strike w:val="1"/>
        </w:rPr>
        <w:t>or</w:t>
      </w:r>
      <w:r>
        <w:rPr>
          <w:rFonts w:ascii="Arial" w:cs="Arial" w:eastAsia="Arial" w:hAnsi="Arial"/>
          <w:sz w:val="17"/>
          <w:szCs w:val="17"/>
          <w:b w:val="1"/>
          <w:bCs w:val="1"/>
          <w:color w:val="0000FF"/>
        </w:rPr>
        <w:t>, (d) Tranche A Term Facility Commitments, (e)</w:t>
      </w:r>
      <w:r>
        <w:rPr>
          <w:rFonts w:ascii="Arial" w:cs="Arial" w:eastAsia="Arial" w:hAnsi="Arial"/>
          <w:sz w:val="17"/>
          <w:szCs w:val="17"/>
          <w:color w:val="000000"/>
        </w:rPr>
        <w:t xml:space="preserve"> </w:t>
      </w:r>
      <w:r>
        <w:rPr>
          <w:rFonts w:ascii="Arial" w:cs="Arial" w:eastAsia="Arial" w:hAnsi="Arial"/>
          <w:sz w:val="17"/>
          <w:szCs w:val="17"/>
          <w:b w:val="1"/>
          <w:bCs w:val="1"/>
          <w:color w:val="0000FF"/>
        </w:rPr>
        <w:t xml:space="preserve">Tranche B Term Facility Commitments, (f) Tranche C </w:t>
      </w:r>
      <w:r>
        <w:rPr>
          <w:rFonts w:ascii="Arial" w:cs="Arial" w:eastAsia="Arial" w:hAnsi="Arial"/>
          <w:sz w:val="17"/>
          <w:szCs w:val="17"/>
          <w:color w:val="000000"/>
        </w:rPr>
        <w:t>Term Facility Commitments and (</w:t>
      </w:r>
      <w:r>
        <w:rPr>
          <w:rFonts w:ascii="Arial" w:cs="Arial" w:eastAsia="Arial" w:hAnsi="Arial"/>
          <w:sz w:val="17"/>
          <w:szCs w:val="17"/>
          <w:b w:val="1"/>
          <w:bCs w:val="1"/>
          <w:color w:val="FF0000"/>
          <w:strike w:val="1"/>
        </w:rPr>
        <w:t>d</w:t>
      </w:r>
      <w:r>
        <w:rPr>
          <w:rFonts w:ascii="Arial" w:cs="Arial" w:eastAsia="Arial" w:hAnsi="Arial"/>
          <w:sz w:val="17"/>
          <w:szCs w:val="17"/>
          <w:b w:val="1"/>
          <w:bCs w:val="1"/>
          <w:color w:val="0000FF"/>
        </w:rPr>
        <w:t>g</w:t>
      </w:r>
      <w:r>
        <w:rPr>
          <w:rFonts w:ascii="Arial" w:cs="Arial" w:eastAsia="Arial" w:hAnsi="Arial"/>
          <w:sz w:val="17"/>
          <w:szCs w:val="17"/>
          <w:color w:val="000000"/>
        </w:rPr>
        <w:t>) such other Tranche of Term Loans or Term Loan</w:t>
      </w:r>
      <w:r>
        <w:rPr>
          <w:rFonts w:ascii="Arial" w:cs="Arial" w:eastAsia="Arial" w:hAnsi="Arial"/>
          <w:sz w:val="17"/>
          <w:szCs w:val="17"/>
          <w:b w:val="1"/>
          <w:bCs w:val="1"/>
          <w:color w:val="0000FF"/>
        </w:rPr>
        <w:t xml:space="preserve"> </w:t>
      </w:r>
      <w:r>
        <w:rPr>
          <w:rFonts w:ascii="Arial" w:cs="Arial" w:eastAsia="Arial" w:hAnsi="Arial"/>
          <w:sz w:val="17"/>
          <w:szCs w:val="17"/>
          <w:color w:val="000000"/>
        </w:rPr>
        <w:t>Commitments created pursuant to an Extension Amendment or Refinancing Amendment.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A Term Facility Commitment” shall mean, for each Tranche A Term Facility Lender, the obligation of such Lender to make Term Facility Loans pursuant to Section 2.01(b)(i) hereof during the applicable Term Facility Availability Period in a principal amount not to exceed the amount of such Tranche A Term Facility Lender’s Term Facility Commitments (as defined in the Existing Credit Agreement) immediately prior to the First Amendment Effective Date or as set forth in the Assignment Agreement pursuant to which such Lender assumed its Tranche A Term Facility Commitment, as applicable, as the same may be (a) changed pursuant to Section 13.05(b) or (b) reduced or terminated from time to time pursuant to Section 2.04 or Section 11.01. The aggregate principal amount of the Tranche A Term Facility Commitments of all Tranche A Term Facility Lenders on the First Amendment Effective Date is $70,000,000.00.</w:t>
      </w:r>
    </w:p>
    <w:p>
      <w:pPr>
        <w:spacing w:after="0" w:line="17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0000FF"/>
        </w:rPr>
        <w:t>“Tranche A Term Facility Lenders” shall mean (a) as of the First Amendment Effective Date, the Lenders having Term Facility Commitments other than the Tranche B Term Facility Lenders and the Tranche C Term Facility Lenders and (b) thereafter, the Lenders from time to time holding any unutilized Tranche A Term Facility Commitments after giving effect to any assignments thereof permitted by Section 13.05(b).</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B Term Facility Commitment” shall mean, for each Tranche B Term Facility Lender, the obligation of such Lender to make Term Facility Loans pursuant to Section 2.01(b)(ii) hereof during the applicable Term Facility Availability Period in a principal amount not to exceed the amount of such Tranche B Term Facility Lender’s Term Facility Commitments (as defined in the Existing Credit Agreement) immediately prior to the First Amendment Effective Date or as set forth in the Assignment Agreement pursuant to which such Lender assumed its Tranche B Term Facility Commitment, as applicable, as the same may be (a) changed pursuant to Section 13.05(b) or (b) reduced or terminated from time to time pursuant to Section 2.04 or Section 11.01. The aggregate principal amount of the Tranche B Term Facility Commitments of all Tranche B Term Facility Lenders on the First Amendment Effective Date is $100,333,333.34.</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0000FF"/>
        </w:rPr>
        <w:t>“Tranche B Term Facility Lenders” shall mean (a) as of the First Amendment Effective Date, the Consenting Lenders (as defined in the First Amendment) electing “Extension Option 1” in their respective Consenting Lender Agreements (as defined in the First Amendment) and (b) thereafter, the Lenders from time</w:t>
      </w:r>
    </w:p>
    <w:p>
      <w:pPr>
        <w:sectPr>
          <w:pgSz w:w="11900" w:h="16838" w:orient="portrait"/>
          <w:cols w:equalWidth="0" w:num="1">
            <w:col w:w="11420"/>
          </w:cols>
          <w:pgMar w:left="240" w:top="364" w:right="239" w:bottom="1440" w:gutter="0" w:footer="0" w:header="0"/>
        </w:sectPr>
      </w:pPr>
    </w:p>
    <w:bookmarkStart w:id="397" w:name="page398"/>
    <w:bookmarkEnd w:id="397"/>
    <w:p>
      <w:pPr>
        <w:spacing w:after="0"/>
        <w:rPr>
          <w:sz w:val="20"/>
          <w:szCs w:val="20"/>
          <w:color w:val="auto"/>
        </w:rPr>
      </w:pPr>
      <w:r>
        <w:rPr>
          <w:rFonts w:ascii="Arial" w:cs="Arial" w:eastAsia="Arial" w:hAnsi="Arial"/>
          <w:sz w:val="16"/>
          <w:szCs w:val="16"/>
          <w:b w:val="1"/>
          <w:bCs w:val="1"/>
          <w:color w:val="0000FF"/>
        </w:rPr>
        <w:t>to time holding any unutilized Tranche B Term Facility Commitments after giving effect to any assignments thereof permitted by Section 13.05(b).</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0000FF"/>
        </w:rPr>
        <w:t>“Tranche C Term Facility Commitment”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Term Facility Commitments (as defined in the Existing Credit Agreement) immediately prior to the First Amendment Effective Date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on the First Amendment Effective Date is $704,666,666.66.</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0000FF"/>
        </w:rPr>
        <w:t>“Tranche C Term Facility Lenders” shall mean (a) as of the First Amendment Effective Date, the Consenting Lenders (as defined in the First Amendment) electing “Extension Option 2” in their respective Consenting Lender Agreements (as defined in the First Amendment) and (b) thereafter, the Lenders from time to time holding any unutilized Tranche C Term Facility Commitments after giving effect to any assignments thereof permitted by Section 13.05(b).</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un-reallocated portion</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 meaning set forth in Section 2.03(e).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shall mean cash and Cash Equivalents of Borrower and its Restricted Subsidiaries that would not appear as “restricted” on a combined or consolidated balance sheet of the Consolidated Companies.</w:t>
      </w:r>
    </w:p>
    <w:p>
      <w:pPr>
        <w:sectPr>
          <w:pgSz w:w="11900" w:h="16838" w:orient="portrait"/>
          <w:cols w:equalWidth="0" w:num="1">
            <w:col w:w="11420"/>
          </w:cols>
          <w:pgMar w:left="240" w:top="364" w:right="239" w:bottom="1440" w:gutter="0" w:footer="0" w:header="0"/>
        </w:sectPr>
      </w:pPr>
    </w:p>
    <w:bookmarkStart w:id="398" w:name="page399"/>
    <w:bookmarkEnd w:id="398"/>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Subsidiaries</w:t>
      </w:r>
      <w:r>
        <w:rPr>
          <w:rFonts w:ascii="Arial" w:cs="Arial" w:eastAsia="Arial" w:hAnsi="Arial"/>
          <w:sz w:val="16"/>
          <w:szCs w:val="16"/>
          <w:color w:val="auto"/>
        </w:rPr>
        <w:t xml:space="preserve">” shall mean (a) as of the Closing Date, the Subsidiaries listed on </w:t>
      </w:r>
      <w:r>
        <w:rPr>
          <w:rFonts w:ascii="Arial" w:cs="Arial" w:eastAsia="Arial" w:hAnsi="Arial"/>
          <w:sz w:val="16"/>
          <w:szCs w:val="16"/>
          <w:u w:val="single" w:color="auto"/>
          <w:color w:val="auto"/>
        </w:rPr>
        <w:t>Schedule 8.12(c)</w:t>
      </w:r>
      <w:r>
        <w:rPr>
          <w:rFonts w:ascii="Arial" w:cs="Arial" w:eastAsia="Arial" w:hAnsi="Arial"/>
          <w:sz w:val="16"/>
          <w:szCs w:val="16"/>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Unutilized R/C Commitment</w:t>
      </w:r>
      <w:r>
        <w:rPr>
          <w:rFonts w:ascii="Arial" w:cs="Arial" w:eastAsia="Arial" w:hAnsi="Arial"/>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5.06(b)(ii).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w:t>
      </w:r>
    </w:p>
    <w:p>
      <w:pPr>
        <w:sectPr>
          <w:pgSz w:w="11900" w:h="16838" w:orient="portrait"/>
          <w:cols w:equalWidth="0" w:num="1">
            <w:col w:w="11420"/>
          </w:cols>
          <w:pgMar w:left="240" w:top="364" w:right="239" w:bottom="1440" w:gutter="0" w:footer="0" w:header="0"/>
        </w:sectPr>
      </w:pPr>
    </w:p>
    <w:bookmarkStart w:id="399" w:name="page400"/>
    <w:bookmarkEnd w:id="399"/>
    <w:p>
      <w:pPr>
        <w:jc w:val="both"/>
        <w:spacing w:after="0" w:line="277" w:lineRule="auto"/>
        <w:rPr>
          <w:sz w:val="20"/>
          <w:szCs w:val="20"/>
          <w:color w:val="auto"/>
        </w:rPr>
      </w:pPr>
      <w:r>
        <w:rPr>
          <w:rFonts w:ascii="Arial" w:cs="Arial" w:eastAsia="Arial" w:hAnsi="Arial"/>
          <w:sz w:val="18"/>
          <w:szCs w:val="18"/>
          <w:color w:val="auto"/>
        </w:rPr>
        <w:t>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2020 Notes</w:t>
      </w:r>
      <w:r>
        <w:rPr>
          <w:rFonts w:ascii="Arial" w:cs="Arial" w:eastAsia="Arial" w:hAnsi="Arial"/>
          <w:sz w:val="18"/>
          <w:szCs w:val="18"/>
          <w:color w:val="auto"/>
        </w:rPr>
        <w:t>” shall mean each of (a) the 7.875% First Mortgage Notes of Wynn Las Vegas due 2020 and (b) the 7.750% First Mortgage Notes of Wynn Las Vegas due 2020.</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Las Vegas 2020 and 2022 Note Repayment</w:t>
      </w:r>
      <w:r>
        <w:rPr>
          <w:rFonts w:ascii="Arial" w:cs="Arial" w:eastAsia="Arial" w:hAnsi="Arial"/>
          <w:sz w:val="16"/>
          <w:szCs w:val="16"/>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2022 Notes</w:t>
      </w:r>
      <w:r>
        <w:rPr>
          <w:rFonts w:ascii="Arial" w:cs="Arial" w:eastAsia="Arial" w:hAnsi="Arial"/>
          <w:sz w:val="18"/>
          <w:szCs w:val="18"/>
          <w:color w:val="auto"/>
        </w:rPr>
        <w:t>” shall mean the 5.375% First Mortgage Notes of Wynn Las Vegas due 2022 in the in the original aggregate principal amount of $900.0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2023 Notes</w:t>
      </w:r>
      <w:r>
        <w:rPr>
          <w:rFonts w:ascii="Arial" w:cs="Arial" w:eastAsia="Arial" w:hAnsi="Arial"/>
          <w:sz w:val="18"/>
          <w:szCs w:val="18"/>
          <w:color w:val="auto"/>
        </w:rPr>
        <w:t>” shall mean the 4.250% Senior Notes of Wynn Las Vegas due 2023 in the in the original aggregate principal amount of $500.0 million.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Entities</w:t>
      </w:r>
      <w:r>
        <w:rPr>
          <w:rFonts w:ascii="Arial" w:cs="Arial" w:eastAsia="Arial" w:hAnsi="Arial"/>
          <w:sz w:val="18"/>
          <w:szCs w:val="18"/>
          <w:color w:val="auto"/>
        </w:rPr>
        <w:t>” shall mean Wynn Las Vegas and each of its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Notes</w:t>
      </w:r>
      <w:r>
        <w:rPr>
          <w:rFonts w:ascii="Arial" w:cs="Arial" w:eastAsia="Arial" w:hAnsi="Arial"/>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Pledge</w:t>
      </w:r>
      <w:r>
        <w:rPr>
          <w:rFonts w:ascii="Arial" w:cs="Arial" w:eastAsia="Arial" w:hAnsi="Arial"/>
          <w:sz w:val="18"/>
          <w:szCs w:val="18"/>
          <w:color w:val="auto"/>
        </w:rPr>
        <w:t>” shall mean the direct pledge of the Equity Interests in Wynn Las Vegas and related ancillary rights as collateral security in favor of the holders of the Wynn Las Vegas Notes.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Reorganization</w:t>
      </w:r>
      <w:r>
        <w:rPr>
          <w:rFonts w:ascii="Arial" w:cs="Arial" w:eastAsia="Arial" w:hAnsi="Arial"/>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Resort</w:t>
      </w:r>
      <w:r>
        <w:rPr>
          <w:rFonts w:ascii="Arial" w:cs="Arial" w:eastAsia="Arial" w:hAnsi="Arial"/>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w:t>
      </w:r>
      <w:r>
        <w:rPr>
          <w:rFonts w:ascii="Arial" w:cs="Arial" w:eastAsia="Arial" w:hAnsi="Arial"/>
          <w:sz w:val="18"/>
          <w:szCs w:val="18"/>
          <w:color w:val="auto"/>
        </w:rPr>
        <w:t>” shall mean the casino resort and related amenities to be developed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 Opening Date</w:t>
      </w:r>
      <w:r>
        <w:rPr>
          <w:rFonts w:ascii="Arial" w:cs="Arial" w:eastAsia="Arial" w:hAnsi="Arial"/>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shall mean Wynn Resorts, Limited, a Nevada 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1.02 Accounting Terms and Determinations</w:t>
      </w:r>
      <w:r>
        <w:rPr>
          <w:rFonts w:ascii="Arial" w:cs="Arial" w:eastAsia="Arial" w:hAnsi="Arial"/>
          <w:sz w:val="18"/>
          <w:szCs w:val="18"/>
          <w:color w:val="auto"/>
        </w:rPr>
        <w:t>. Except as otherwise provided in this Agreement, all computations and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w:t>
      </w:r>
    </w:p>
    <w:p>
      <w:pPr>
        <w:sectPr>
          <w:pgSz w:w="11900" w:h="16838" w:orient="portrait"/>
          <w:cols w:equalWidth="0" w:num="1">
            <w:col w:w="11420"/>
          </w:cols>
          <w:pgMar w:left="240" w:top="368" w:right="239" w:bottom="1440" w:gutter="0" w:footer="0" w:header="0"/>
        </w:sectPr>
      </w:pPr>
    </w:p>
    <w:bookmarkStart w:id="400" w:name="page401"/>
    <w:bookmarkEnd w:id="400"/>
    <w:p>
      <w:pPr>
        <w:jc w:val="both"/>
        <w:spacing w:after="0" w:line="254" w:lineRule="auto"/>
        <w:rPr>
          <w:sz w:val="20"/>
          <w:szCs w:val="20"/>
          <w:color w:val="auto"/>
        </w:rPr>
      </w:pPr>
      <w:r>
        <w:rPr>
          <w:rFonts w:ascii="Arial" w:cs="Arial" w:eastAsia="Arial" w:hAnsi="Arial"/>
          <w:sz w:val="18"/>
          <w:szCs w:val="18"/>
          <w:color w:val="auto"/>
        </w:rPr>
        <w:t>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1.03. Classes and Types of Loans. </w:t>
      </w:r>
      <w:r>
        <w:rPr>
          <w:rFonts w:ascii="Arial" w:cs="Arial" w:eastAsia="Arial" w:hAnsi="Arial"/>
          <w:sz w:val="18"/>
          <w:szCs w:val="18"/>
          <w:color w:val="auto"/>
        </w:rPr>
        <w:t>Loans hereunder are distinguished by “Class” and by “Type.” The “Class” of a Loan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to make a Loan) refers to whether such Loan is a Revolving Loan of any particular Tranche, a Term Facility Loan </w:t>
      </w:r>
      <w:r>
        <w:rPr>
          <w:rFonts w:ascii="Arial" w:cs="Arial" w:eastAsia="Arial" w:hAnsi="Arial"/>
          <w:sz w:val="18"/>
          <w:szCs w:val="18"/>
          <w:b w:val="1"/>
          <w:bCs w:val="1"/>
          <w:color w:val="0000FF"/>
        </w:rPr>
        <w:t>(or, in the case of a</w:t>
      </w:r>
      <w:r>
        <w:rPr>
          <w:rFonts w:ascii="Arial" w:cs="Arial" w:eastAsia="Arial" w:hAnsi="Arial"/>
          <w:sz w:val="18"/>
          <w:szCs w:val="18"/>
          <w:color w:val="auto"/>
        </w:rPr>
        <w:t xml:space="preserve"> </w:t>
      </w:r>
      <w:r>
        <w:rPr>
          <w:rFonts w:ascii="Arial" w:cs="Arial" w:eastAsia="Arial" w:hAnsi="Arial"/>
          <w:sz w:val="18"/>
          <w:szCs w:val="18"/>
          <w:b w:val="1"/>
          <w:bCs w:val="1"/>
          <w:color w:val="0000FF"/>
        </w:rPr>
        <w:t>commitment to make a Term Facility Loan, a Tranche A Term Facility Commitment, a Tranche B Term Facility Commitment or a Tranche C Term Facility Commitment, as applicable)</w:t>
      </w:r>
      <w:r>
        <w:rPr>
          <w:rFonts w:ascii="Arial" w:cs="Arial" w:eastAsia="Arial" w:hAnsi="Arial"/>
          <w:sz w:val="18"/>
          <w:szCs w:val="18"/>
          <w:color w:val="000000"/>
        </w:rPr>
        <w:t>, or a Term Loan of any particular Tranche of Term Loans created pursuant to an Extension Amendment or a</w:t>
      </w:r>
      <w:r>
        <w:rPr>
          <w:rFonts w:ascii="Arial" w:cs="Arial" w:eastAsia="Arial" w:hAnsi="Arial"/>
          <w:sz w:val="18"/>
          <w:szCs w:val="18"/>
          <w:b w:val="1"/>
          <w:bCs w:val="1"/>
          <w:color w:val="0000FF"/>
        </w:rPr>
        <w:t xml:space="preserve"> </w:t>
      </w:r>
      <w:r>
        <w:rPr>
          <w:rFonts w:ascii="Arial" w:cs="Arial" w:eastAsia="Arial" w:hAnsi="Arial"/>
          <w:sz w:val="18"/>
          <w:szCs w:val="18"/>
          <w:color w:val="000000"/>
        </w:rPr>
        <w:t>Refinancing Amendment, each of which constitutes a Class. The “Type” of a Loan refers to whether such Loan is an ABR Loan or a LIBOR Loan, each of which constitutes a Type. Loans may be identified by both Class and Type.</w:t>
      </w:r>
    </w:p>
    <w:p>
      <w:pPr>
        <w:spacing w:after="0" w:line="18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left="900" w:hanging="244"/>
        <w:spacing w:after="0"/>
        <w:tabs>
          <w:tab w:leader="none" w:pos="90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In each Credit Document, unless the context clearly requires otherwise (or such other Credit Document clearly provides otherwise), references to</w:t>
      </w:r>
    </w:p>
    <w:p>
      <w:pPr>
        <w:spacing w:after="0" w:line="46" w:lineRule="exact"/>
        <w:rPr>
          <w:rFonts w:ascii="Arial" w:cs="Arial" w:eastAsia="Arial" w:hAnsi="Arial"/>
          <w:sz w:val="16"/>
          <w:szCs w:val="16"/>
          <w:color w:val="auto"/>
        </w:rPr>
      </w:pPr>
    </w:p>
    <w:p>
      <w:pPr>
        <w:jc w:val="both"/>
        <w:ind w:firstLine="8"/>
        <w:spacing w:after="0" w:line="269" w:lineRule="auto"/>
        <w:tabs>
          <w:tab w:leader="none" w:pos="219"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6" w:lineRule="exact"/>
        <w:rPr>
          <w:rFonts w:ascii="Arial" w:cs="Arial" w:eastAsia="Arial" w:hAnsi="Arial"/>
          <w:sz w:val="17"/>
          <w:szCs w:val="17"/>
          <w:color w:val="auto"/>
        </w:rPr>
      </w:pPr>
    </w:p>
    <w:p>
      <w:pPr>
        <w:jc w:val="both"/>
        <w:ind w:firstLine="656"/>
        <w:spacing w:after="0" w:line="271" w:lineRule="auto"/>
        <w:tabs>
          <w:tab w:leader="none" w:pos="907" w:val="left"/>
        </w:tabs>
        <w:numPr>
          <w:ilvl w:val="1"/>
          <w:numId w:val="473"/>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(i) “</w:t>
      </w:r>
      <w:r>
        <w:rPr>
          <w:rFonts w:ascii="Arial" w:cs="Arial" w:eastAsia="Arial" w:hAnsi="Arial"/>
          <w:sz w:val="17"/>
          <w:szCs w:val="17"/>
          <w:b w:val="1"/>
          <w:bCs w:val="1"/>
          <w:color w:val="auto"/>
        </w:rPr>
        <w:t>amend</w:t>
      </w:r>
      <w:r>
        <w:rPr>
          <w:rFonts w:ascii="Arial" w:cs="Arial" w:eastAsia="Arial" w:hAnsi="Arial"/>
          <w:sz w:val="17"/>
          <w:szCs w:val="17"/>
          <w:color w:val="auto"/>
        </w:rPr>
        <w:t>” shall mean “amend, restate, amend and restate, supplement or modify”; and “</w:t>
      </w:r>
      <w:r>
        <w:rPr>
          <w:rFonts w:ascii="Arial" w:cs="Arial" w:eastAsia="Arial" w:hAnsi="Arial"/>
          <w:sz w:val="17"/>
          <w:szCs w:val="17"/>
          <w:b w:val="1"/>
          <w:bCs w:val="1"/>
          <w:color w:val="auto"/>
        </w:rPr>
        <w:t>amended</w:t>
      </w:r>
      <w:r>
        <w:rPr>
          <w:rFonts w:ascii="Arial" w:cs="Arial" w:eastAsia="Arial" w:hAnsi="Arial"/>
          <w:sz w:val="17"/>
          <w:szCs w:val="17"/>
          <w:color w:val="auto"/>
        </w:rPr>
        <w:t>,” “</w:t>
      </w:r>
      <w:r>
        <w:rPr>
          <w:rFonts w:ascii="Arial" w:cs="Arial" w:eastAsia="Arial" w:hAnsi="Arial"/>
          <w:sz w:val="17"/>
          <w:szCs w:val="17"/>
          <w:b w:val="1"/>
          <w:bCs w:val="1"/>
          <w:color w:val="auto"/>
        </w:rPr>
        <w:t>amending</w:t>
      </w:r>
      <w:r>
        <w:rPr>
          <w:rFonts w:ascii="Arial" w:cs="Arial" w:eastAsia="Arial" w:hAnsi="Arial"/>
          <w:sz w:val="17"/>
          <w:szCs w:val="17"/>
          <w:color w:val="auto"/>
        </w:rPr>
        <w:t>” and “</w:t>
      </w:r>
      <w:r>
        <w:rPr>
          <w:rFonts w:ascii="Arial" w:cs="Arial" w:eastAsia="Arial" w:hAnsi="Arial"/>
          <w:sz w:val="17"/>
          <w:szCs w:val="17"/>
          <w:b w:val="1"/>
          <w:bCs w:val="1"/>
          <w:color w:val="auto"/>
        </w:rPr>
        <w:t>amendment</w:t>
      </w:r>
      <w:r>
        <w:rPr>
          <w:rFonts w:ascii="Arial" w:cs="Arial" w:eastAsia="Arial" w:hAnsi="Arial"/>
          <w:sz w:val="17"/>
          <w:szCs w:val="17"/>
          <w:color w:val="auto"/>
        </w:rPr>
        <w:t>” shall have meanings correlative to the foregoing; (ii) in the computation of periods of time from a specified date to a later specified date, “</w:t>
      </w:r>
      <w:r>
        <w:rPr>
          <w:rFonts w:ascii="Arial" w:cs="Arial" w:eastAsia="Arial" w:hAnsi="Arial"/>
          <w:sz w:val="17"/>
          <w:szCs w:val="17"/>
          <w:b w:val="1"/>
          <w:bCs w:val="1"/>
          <w:color w:val="auto"/>
        </w:rPr>
        <w:t>from</w:t>
      </w:r>
      <w:r>
        <w:rPr>
          <w:rFonts w:ascii="Arial" w:cs="Arial" w:eastAsia="Arial" w:hAnsi="Arial"/>
          <w:sz w:val="17"/>
          <w:szCs w:val="17"/>
          <w:color w:val="auto"/>
        </w:rPr>
        <w:t>” shall mean “from and including”; “</w:t>
      </w:r>
      <w:r>
        <w:rPr>
          <w:rFonts w:ascii="Arial" w:cs="Arial" w:eastAsia="Arial" w:hAnsi="Arial"/>
          <w:sz w:val="17"/>
          <w:szCs w:val="17"/>
          <w:b w:val="1"/>
          <w:bCs w:val="1"/>
          <w:color w:val="auto"/>
        </w:rPr>
        <w:t>to</w:t>
      </w:r>
      <w:r>
        <w:rPr>
          <w:rFonts w:ascii="Arial" w:cs="Arial" w:eastAsia="Arial" w:hAnsi="Arial"/>
          <w:sz w:val="17"/>
          <w:szCs w:val="17"/>
          <w:color w:val="auto"/>
        </w:rPr>
        <w:t>” and “</w:t>
      </w:r>
      <w:r>
        <w:rPr>
          <w:rFonts w:ascii="Arial" w:cs="Arial" w:eastAsia="Arial" w:hAnsi="Arial"/>
          <w:sz w:val="17"/>
          <w:szCs w:val="17"/>
          <w:b w:val="1"/>
          <w:bCs w:val="1"/>
          <w:color w:val="auto"/>
        </w:rPr>
        <w:t>until</w:t>
      </w:r>
      <w:r>
        <w:rPr>
          <w:rFonts w:ascii="Arial" w:cs="Arial" w:eastAsia="Arial" w:hAnsi="Arial"/>
          <w:sz w:val="17"/>
          <w:szCs w:val="17"/>
          <w:color w:val="auto"/>
        </w:rPr>
        <w:t>” shall mean “to but excluding”; and “</w:t>
      </w:r>
      <w:r>
        <w:rPr>
          <w:rFonts w:ascii="Arial" w:cs="Arial" w:eastAsia="Arial" w:hAnsi="Arial"/>
          <w:sz w:val="17"/>
          <w:szCs w:val="17"/>
          <w:b w:val="1"/>
          <w:bCs w:val="1"/>
          <w:color w:val="auto"/>
        </w:rPr>
        <w:t>through</w:t>
      </w:r>
      <w:r>
        <w:rPr>
          <w:rFonts w:ascii="Arial" w:cs="Arial" w:eastAsia="Arial" w:hAnsi="Arial"/>
          <w:sz w:val="17"/>
          <w:szCs w:val="17"/>
          <w:color w:val="auto"/>
        </w:rPr>
        <w:t>” shall mean “to and including”; (iii)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and “</w:t>
      </w:r>
      <w:r>
        <w:rPr>
          <w:rFonts w:ascii="Arial" w:cs="Arial" w:eastAsia="Arial" w:hAnsi="Arial"/>
          <w:sz w:val="17"/>
          <w:szCs w:val="17"/>
          <w:b w:val="1"/>
          <w:bCs w:val="1"/>
          <w:color w:val="auto"/>
        </w:rPr>
        <w:t>hereunder</w:t>
      </w:r>
      <w:r>
        <w:rPr>
          <w:rFonts w:ascii="Arial" w:cs="Arial" w:eastAsia="Arial" w:hAnsi="Arial"/>
          <w:sz w:val="17"/>
          <w:szCs w:val="17"/>
          <w:color w:val="auto"/>
        </w:rPr>
        <w:t>” (and similar terms) in any Credit Document refer to such Credit Document as a whole and not to any particular provision of such Credit Document; (iv) “</w:t>
      </w:r>
      <w:r>
        <w:rPr>
          <w:rFonts w:ascii="Arial" w:cs="Arial" w:eastAsia="Arial" w:hAnsi="Arial"/>
          <w:sz w:val="17"/>
          <w:szCs w:val="17"/>
          <w:b w:val="1"/>
          <w:bCs w:val="1"/>
          <w:color w:val="auto"/>
        </w:rPr>
        <w:t>including</w:t>
      </w:r>
      <w:r>
        <w:rPr>
          <w:rFonts w:ascii="Arial" w:cs="Arial" w:eastAsia="Arial" w:hAnsi="Arial"/>
          <w:sz w:val="17"/>
          <w:szCs w:val="17"/>
          <w:color w:val="auto"/>
        </w:rPr>
        <w:t>” (and similar terms) shall mean “including without limitation” (and similarly for similar terms); (v) “</w:t>
      </w:r>
      <w:r>
        <w:rPr>
          <w:rFonts w:ascii="Arial" w:cs="Arial" w:eastAsia="Arial" w:hAnsi="Arial"/>
          <w:sz w:val="17"/>
          <w:szCs w:val="17"/>
          <w:b w:val="1"/>
          <w:bCs w:val="1"/>
          <w:color w:val="auto"/>
        </w:rPr>
        <w:t>or</w:t>
      </w:r>
      <w:r>
        <w:rPr>
          <w:rFonts w:ascii="Arial" w:cs="Arial" w:eastAsia="Arial" w:hAnsi="Arial"/>
          <w:sz w:val="17"/>
          <w:szCs w:val="17"/>
          <w:color w:val="auto"/>
        </w:rPr>
        <w:t>” has the inclusive meaning represented by the phrase “and/or”; (vi) references to “</w:t>
      </w:r>
      <w:r>
        <w:rPr>
          <w:rFonts w:ascii="Arial" w:cs="Arial" w:eastAsia="Arial" w:hAnsi="Arial"/>
          <w:sz w:val="17"/>
          <w:szCs w:val="17"/>
          <w:b w:val="1"/>
          <w:bCs w:val="1"/>
          <w:color w:val="auto"/>
        </w:rPr>
        <w:t>the date hereof</w:t>
      </w:r>
      <w:r>
        <w:rPr>
          <w:rFonts w:ascii="Arial" w:cs="Arial" w:eastAsia="Arial" w:hAnsi="Arial"/>
          <w:sz w:val="17"/>
          <w:szCs w:val="17"/>
          <w:color w:val="auto"/>
        </w:rPr>
        <w:t>” shall mean the date first set forth above; (vii) “</w:t>
      </w:r>
      <w:r>
        <w:rPr>
          <w:rFonts w:ascii="Arial" w:cs="Arial" w:eastAsia="Arial" w:hAnsi="Arial"/>
          <w:sz w:val="17"/>
          <w:szCs w:val="17"/>
          <w:b w:val="1"/>
          <w:bCs w:val="1"/>
          <w:color w:val="auto"/>
        </w:rPr>
        <w:t>asset</w:t>
      </w:r>
      <w:r>
        <w:rPr>
          <w:rFonts w:ascii="Arial" w:cs="Arial" w:eastAsia="Arial" w:hAnsi="Arial"/>
          <w:sz w:val="17"/>
          <w:szCs w:val="17"/>
          <w:color w:val="auto"/>
        </w:rPr>
        <w:t>” and “</w:t>
      </w:r>
      <w:r>
        <w:rPr>
          <w:rFonts w:ascii="Arial" w:cs="Arial" w:eastAsia="Arial" w:hAnsi="Arial"/>
          <w:sz w:val="17"/>
          <w:szCs w:val="17"/>
          <w:b w:val="1"/>
          <w:bCs w:val="1"/>
          <w:color w:val="auto"/>
        </w:rPr>
        <w:t>property</w:t>
      </w:r>
      <w:r>
        <w:rPr>
          <w:rFonts w:ascii="Arial" w:cs="Arial" w:eastAsia="Arial" w:hAnsi="Arial"/>
          <w:sz w:val="17"/>
          <w:szCs w:val="17"/>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7"/>
          <w:szCs w:val="17"/>
          <w:b w:val="1"/>
          <w:bCs w:val="1"/>
          <w:color w:val="auto"/>
        </w:rPr>
        <w:t>fiscal year</w:t>
      </w:r>
      <w:r>
        <w:rPr>
          <w:rFonts w:ascii="Arial" w:cs="Arial" w:eastAsia="Arial" w:hAnsi="Arial"/>
          <w:sz w:val="17"/>
          <w:szCs w:val="17"/>
          <w:color w:val="auto"/>
        </w:rPr>
        <w:t>” or a “</w:t>
      </w:r>
      <w:r>
        <w:rPr>
          <w:rFonts w:ascii="Arial" w:cs="Arial" w:eastAsia="Arial" w:hAnsi="Arial"/>
          <w:sz w:val="17"/>
          <w:szCs w:val="17"/>
          <w:b w:val="1"/>
          <w:bCs w:val="1"/>
          <w:color w:val="auto"/>
        </w:rPr>
        <w:t>fiscal</w:t>
      </w:r>
      <w:r>
        <w:rPr>
          <w:rFonts w:ascii="Arial" w:cs="Arial" w:eastAsia="Arial" w:hAnsi="Arial"/>
          <w:sz w:val="17"/>
          <w:szCs w:val="17"/>
          <w:color w:val="auto"/>
        </w:rPr>
        <w:t xml:space="preserve"> </w:t>
      </w:r>
      <w:r>
        <w:rPr>
          <w:rFonts w:ascii="Arial" w:cs="Arial" w:eastAsia="Arial" w:hAnsi="Arial"/>
          <w:sz w:val="17"/>
          <w:szCs w:val="17"/>
          <w:b w:val="1"/>
          <w:bCs w:val="1"/>
          <w:color w:val="auto"/>
        </w:rPr>
        <w:t>quarter</w:t>
      </w:r>
      <w:r>
        <w:rPr>
          <w:rFonts w:ascii="Arial" w:cs="Arial" w:eastAsia="Arial" w:hAnsi="Arial"/>
          <w:sz w:val="17"/>
          <w:szCs w:val="17"/>
          <w:color w:val="auto"/>
        </w:rPr>
        <w:t>” is a reference to a fiscal year or fiscal quarter of Borrower.</w:t>
      </w:r>
    </w:p>
    <w:p>
      <w:pPr>
        <w:spacing w:after="0" w:line="178" w:lineRule="exact"/>
        <w:rPr>
          <w:rFonts w:ascii="Arial" w:cs="Arial" w:eastAsia="Arial" w:hAnsi="Arial"/>
          <w:sz w:val="17"/>
          <w:szCs w:val="17"/>
          <w:color w:val="auto"/>
        </w:rPr>
      </w:pPr>
    </w:p>
    <w:p>
      <w:pPr>
        <w:jc w:val="both"/>
        <w:ind w:firstLine="656"/>
        <w:spacing w:after="0" w:line="264" w:lineRule="auto"/>
        <w:tabs>
          <w:tab w:leader="none" w:pos="908"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0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Unless otherwise expressly provided herein, (i) references to Organizational Documents, agreements (including the Credit Documents) and other contractual instruments shall be deemed to include all subsequent</w:t>
      </w:r>
    </w:p>
    <w:p>
      <w:pPr>
        <w:sectPr>
          <w:pgSz w:w="11900" w:h="16838" w:orient="portrait"/>
          <w:cols w:equalWidth="0" w:num="1">
            <w:col w:w="11420"/>
          </w:cols>
          <w:pgMar w:left="240" w:top="368" w:right="239" w:bottom="1440" w:gutter="0" w:footer="0" w:header="0"/>
        </w:sectPr>
      </w:pPr>
    </w:p>
    <w:bookmarkStart w:id="401" w:name="page402"/>
    <w:bookmarkEnd w:id="401"/>
    <w:p>
      <w:pPr>
        <w:jc w:val="both"/>
        <w:spacing w:after="0" w:line="259" w:lineRule="auto"/>
        <w:rPr>
          <w:sz w:val="20"/>
          <w:szCs w:val="20"/>
          <w:color w:val="auto"/>
        </w:rPr>
      </w:pPr>
      <w:r>
        <w:rPr>
          <w:rFonts w:ascii="Arial" w:cs="Arial" w:eastAsia="Arial" w:hAnsi="Arial"/>
          <w:sz w:val="18"/>
          <w:szCs w:val="18"/>
          <w:color w:val="auto"/>
        </w:rPr>
        <w:t>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87" w:lineRule="exact"/>
        <w:rPr>
          <w:sz w:val="20"/>
          <w:szCs w:val="20"/>
          <w:color w:val="auto"/>
        </w:rPr>
      </w:pPr>
    </w:p>
    <w:p>
      <w:pPr>
        <w:jc w:val="both"/>
        <w:ind w:firstLine="656"/>
        <w:spacing w:after="0" w:line="264" w:lineRule="auto"/>
        <w:tabs>
          <w:tab w:leader="none" w:pos="90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Exchange Rates; Currency Equivalents.</w:t>
      </w:r>
    </w:p>
    <w:p>
      <w:pPr>
        <w:spacing w:after="0" w:line="229" w:lineRule="exact"/>
        <w:rPr>
          <w:sz w:val="20"/>
          <w:szCs w:val="20"/>
          <w:color w:val="auto"/>
        </w:rPr>
      </w:pPr>
    </w:p>
    <w:p>
      <w:pPr>
        <w:jc w:val="both"/>
        <w:ind w:firstLine="8"/>
        <w:spacing w:after="0" w:line="272" w:lineRule="auto"/>
        <w:tabs>
          <w:tab w:leader="none" w:pos="469"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the Administrative Agent or the applicable L/C Lender, as applicable.</w:t>
      </w:r>
    </w:p>
    <w:p>
      <w:pPr>
        <w:spacing w:after="0" w:line="177" w:lineRule="exact"/>
        <w:rPr>
          <w:rFonts w:ascii="Arial" w:cs="Arial" w:eastAsia="Arial" w:hAnsi="Arial"/>
          <w:sz w:val="17"/>
          <w:szCs w:val="17"/>
          <w:color w:val="auto"/>
        </w:rPr>
      </w:pPr>
    </w:p>
    <w:p>
      <w:pPr>
        <w:jc w:val="both"/>
        <w:ind w:firstLine="8"/>
        <w:spacing w:after="0" w:line="279" w:lineRule="auto"/>
        <w:tabs>
          <w:tab w:leader="none" w:pos="447"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71" w:lineRule="exact"/>
        <w:rPr>
          <w:rFonts w:ascii="Arial" w:cs="Arial" w:eastAsia="Arial" w:hAnsi="Arial"/>
          <w:sz w:val="17"/>
          <w:szCs w:val="17"/>
          <w:color w:val="auto"/>
        </w:rPr>
      </w:pPr>
    </w:p>
    <w:p>
      <w:pPr>
        <w:jc w:val="both"/>
        <w:ind w:firstLine="8"/>
        <w:spacing w:after="0" w:line="264" w:lineRule="auto"/>
        <w:tabs>
          <w:tab w:leader="none" w:pos="57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57" w:lineRule="auto"/>
        <w:tabs>
          <w:tab w:leader="none" w:pos="43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w:t>
      </w:r>
    </w:p>
    <w:p>
      <w:pPr>
        <w:spacing w:after="0" w:line="188" w:lineRule="exact"/>
        <w:rPr>
          <w:rFonts w:ascii="Arial" w:cs="Arial" w:eastAsia="Arial" w:hAnsi="Arial"/>
          <w:sz w:val="18"/>
          <w:szCs w:val="18"/>
          <w:color w:val="auto"/>
        </w:rPr>
      </w:pPr>
    </w:p>
    <w:p>
      <w:pPr>
        <w:jc w:val="both"/>
        <w:ind w:firstLine="8"/>
        <w:spacing w:after="0" w:line="253" w:lineRule="auto"/>
        <w:tabs>
          <w:tab w:leader="none" w:pos="61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Section 1.06.</w:t>
      </w:r>
    </w:p>
    <w:p>
      <w:pPr>
        <w:sectPr>
          <w:pgSz w:w="11900" w:h="16838" w:orient="portrait"/>
          <w:cols w:equalWidth="0" w:num="1">
            <w:col w:w="11420"/>
          </w:cols>
          <w:pgMar w:left="240" w:top="368" w:right="239" w:bottom="1440" w:gutter="0" w:footer="0" w:header="0"/>
        </w:sectPr>
      </w:pPr>
    </w:p>
    <w:bookmarkStart w:id="402" w:name="page403"/>
    <w:bookmarkEnd w:id="402"/>
    <w:p>
      <w:pPr>
        <w:jc w:val="both"/>
        <w:ind w:firstLine="8"/>
        <w:spacing w:after="0" w:line="269" w:lineRule="auto"/>
        <w:tabs>
          <w:tab w:leader="none" w:pos="433"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 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82" w:lineRule="exact"/>
        <w:rPr>
          <w:rFonts w:ascii="Arial" w:cs="Arial" w:eastAsia="Arial" w:hAnsi="Arial"/>
          <w:sz w:val="17"/>
          <w:szCs w:val="17"/>
          <w:color w:val="auto"/>
        </w:rPr>
      </w:pPr>
    </w:p>
    <w:p>
      <w:pPr>
        <w:jc w:val="both"/>
        <w:ind w:firstLine="8"/>
        <w:spacing w:after="0" w:line="272" w:lineRule="auto"/>
        <w:tabs>
          <w:tab w:leader="none" w:pos="448"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1.07 Letter of Credit Amounts</w:t>
      </w:r>
      <w:r>
        <w:rPr>
          <w:rFonts w:ascii="Arial" w:cs="Arial" w:eastAsia="Arial" w:hAnsi="Arial"/>
          <w:sz w:val="18"/>
          <w:szCs w:val="18"/>
          <w:color w:val="auto"/>
        </w:rPr>
        <w:t>. Unless otherwise specified herein, the amount of a Letter of Credit at any time shall be deemed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Dollar Equivalent of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Loans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69" w:lineRule="auto"/>
        <w:tabs>
          <w:tab w:leader="none" w:pos="380" w:val="left"/>
        </w:tabs>
        <w:numPr>
          <w:ilvl w:val="0"/>
          <w:numId w:val="478"/>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Each Revolving Lender agrees, severally and not jointly, on the terms and conditions of this Agreement, to make revolving loans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Revolving Loans</w:t>
      </w:r>
      <w:r>
        <w:rPr>
          <w:rFonts w:ascii="Arial" w:cs="Arial" w:eastAsia="Arial" w:hAnsi="Arial"/>
          <w:sz w:val="17"/>
          <w:szCs w:val="17"/>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ectPr>
          <w:pgSz w:w="11900" w:h="16838" w:orient="portrait"/>
          <w:cols w:equalWidth="0" w:num="1">
            <w:col w:w="11420"/>
          </w:cols>
          <w:pgMar w:left="240" w:top="368" w:right="239" w:bottom="1440" w:gutter="0" w:footer="0" w:header="0"/>
        </w:sectPr>
      </w:pPr>
    </w:p>
    <w:bookmarkStart w:id="403" w:name="page404"/>
    <w:bookmarkEnd w:id="403"/>
    <w:p>
      <w:pPr>
        <w:ind w:left="440" w:hanging="432"/>
        <w:spacing w:after="0"/>
        <w:tabs>
          <w:tab w:leader="none" w:pos="440"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61" w:lineRule="auto"/>
        <w:tabs>
          <w:tab w:leader="none" w:pos="88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Each Lender with a </w:t>
      </w:r>
      <w:r>
        <w:rPr>
          <w:rFonts w:ascii="Arial" w:cs="Arial" w:eastAsia="Arial" w:hAnsi="Arial"/>
          <w:sz w:val="18"/>
          <w:szCs w:val="18"/>
          <w:b w:val="1"/>
          <w:bCs w:val="1"/>
          <w:color w:val="0000FF"/>
        </w:rPr>
        <w:t>Tranche A</w:t>
      </w:r>
      <w:r>
        <w:rPr>
          <w:rFonts w:ascii="Arial" w:cs="Arial" w:eastAsia="Arial" w:hAnsi="Arial"/>
          <w:sz w:val="18"/>
          <w:szCs w:val="18"/>
          <w:color w:val="auto"/>
        </w:rPr>
        <w:t xml:space="preserve"> Term Facility Commitment agrees, severally and not jointly, on the terms and conditions of this Agreement, to make Term Facility Loans to Borrower in Dollars from time to time, on any Business Day during the </w:t>
      </w:r>
      <w:r>
        <w:rPr>
          <w:rFonts w:ascii="Arial" w:cs="Arial" w:eastAsia="Arial" w:hAnsi="Arial"/>
          <w:sz w:val="18"/>
          <w:szCs w:val="18"/>
          <w:b w:val="1"/>
          <w:bCs w:val="1"/>
          <w:color w:val="0000FF"/>
        </w:rPr>
        <w:t>applicable</w:t>
      </w:r>
      <w:r>
        <w:rPr>
          <w:rFonts w:ascii="Arial" w:cs="Arial" w:eastAsia="Arial" w:hAnsi="Arial"/>
          <w:sz w:val="18"/>
          <w:szCs w:val="18"/>
          <w:color w:val="auto"/>
        </w:rPr>
        <w:t xml:space="preserve"> Term Facility Availability Period, in an aggregate principal amount at any one time outstanding not exceeding the amount of the </w:t>
      </w:r>
      <w:r>
        <w:rPr>
          <w:rFonts w:ascii="Arial" w:cs="Arial" w:eastAsia="Arial" w:hAnsi="Arial"/>
          <w:sz w:val="18"/>
          <w:szCs w:val="18"/>
          <w:b w:val="1"/>
          <w:bCs w:val="1"/>
          <w:color w:val="0000FF"/>
        </w:rPr>
        <w:t>Tranche A</w:t>
      </w:r>
      <w:r>
        <w:rPr>
          <w:rFonts w:ascii="Arial" w:cs="Arial" w:eastAsia="Arial" w:hAnsi="Arial"/>
          <w:sz w:val="18"/>
          <w:szCs w:val="18"/>
          <w:color w:val="auto"/>
        </w:rPr>
        <w:t xml:space="preserve"> Term Facility Commitment of such Term Facility Lender as in effect from time to time.</w:t>
      </w:r>
    </w:p>
    <w:p>
      <w:pPr>
        <w:spacing w:after="0" w:line="180" w:lineRule="exact"/>
        <w:rPr>
          <w:rFonts w:ascii="Arial" w:cs="Arial" w:eastAsia="Arial" w:hAnsi="Arial"/>
          <w:sz w:val="18"/>
          <w:szCs w:val="18"/>
          <w:color w:val="auto"/>
        </w:rPr>
      </w:pPr>
    </w:p>
    <w:p>
      <w:pPr>
        <w:jc w:val="both"/>
        <w:ind w:left="660" w:hanging="4"/>
        <w:spacing w:after="0" w:line="261" w:lineRule="auto"/>
        <w:tabs>
          <w:tab w:leader="none" w:pos="962" w:val="left"/>
        </w:tabs>
        <w:numPr>
          <w:ilvl w:val="1"/>
          <w:numId w:val="479"/>
        </w:numPr>
        <w:rPr>
          <w:rFonts w:ascii="Arial" w:cs="Arial" w:eastAsia="Arial" w:hAnsi="Arial"/>
          <w:sz w:val="18"/>
          <w:szCs w:val="18"/>
          <w:b w:val="1"/>
          <w:bCs w:val="1"/>
          <w:color w:val="0000FF"/>
        </w:rPr>
      </w:pPr>
      <w:r>
        <w:rPr>
          <w:rFonts w:ascii="Arial" w:cs="Arial" w:eastAsia="Arial" w:hAnsi="Arial"/>
          <w:sz w:val="18"/>
          <w:szCs w:val="18"/>
          <w:b w:val="1"/>
          <w:bCs w:val="1"/>
          <w:color w:val="0000FF"/>
        </w:rPr>
        <w:t>Each Lender with a Tranche B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B Term Facility Commitment of such Term Facility Lender as in effect from time to time.</w:t>
      </w:r>
    </w:p>
    <w:p>
      <w:pPr>
        <w:spacing w:after="0" w:line="180" w:lineRule="exact"/>
        <w:rPr>
          <w:rFonts w:ascii="Arial" w:cs="Arial" w:eastAsia="Arial" w:hAnsi="Arial"/>
          <w:sz w:val="18"/>
          <w:szCs w:val="18"/>
          <w:b w:val="1"/>
          <w:bCs w:val="1"/>
          <w:color w:val="0000FF"/>
        </w:rPr>
      </w:pPr>
    </w:p>
    <w:p>
      <w:pPr>
        <w:jc w:val="both"/>
        <w:ind w:left="660" w:hanging="4"/>
        <w:spacing w:after="0" w:line="261" w:lineRule="auto"/>
        <w:tabs>
          <w:tab w:leader="none" w:pos="1009" w:val="left"/>
        </w:tabs>
        <w:numPr>
          <w:ilvl w:val="1"/>
          <w:numId w:val="479"/>
        </w:numPr>
        <w:rPr>
          <w:rFonts w:ascii="Arial" w:cs="Arial" w:eastAsia="Arial" w:hAnsi="Arial"/>
          <w:sz w:val="18"/>
          <w:szCs w:val="18"/>
          <w:b w:val="1"/>
          <w:bCs w:val="1"/>
          <w:color w:val="0000FF"/>
        </w:rPr>
      </w:pPr>
      <w:r>
        <w:rPr>
          <w:rFonts w:ascii="Arial" w:cs="Arial" w:eastAsia="Arial" w:hAnsi="Arial"/>
          <w:sz w:val="18"/>
          <w:szCs w:val="18"/>
          <w:b w:val="1"/>
          <w:bCs w:val="1"/>
          <w:color w:val="0000FF"/>
        </w:rPr>
        <w:t>Each Lender with a Tranche C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C Term Facility Commitment of such Term Facility Lender as in effect from time to time.</w:t>
      </w:r>
    </w:p>
    <w:p>
      <w:pPr>
        <w:spacing w:after="0" w:line="18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0000FF"/>
        </w:rPr>
        <w:t>It is the understanding, agreement and intention that once made pursuant to this Section 2.01(b), any Term Facility Loans shall be part of the same Tranche, indistinguishable from one another.</w:t>
      </w:r>
    </w:p>
    <w:p>
      <w:pPr>
        <w:spacing w:after="0" w:line="162" w:lineRule="exact"/>
        <w:rPr>
          <w:sz w:val="20"/>
          <w:szCs w:val="20"/>
          <w:color w:val="auto"/>
        </w:rPr>
      </w:pPr>
    </w:p>
    <w:p>
      <w:pPr>
        <w:ind w:left="260" w:hanging="252"/>
        <w:spacing w:after="0"/>
        <w:tabs>
          <w:tab w:leader="none" w:pos="260" w:val="left"/>
        </w:tabs>
        <w:numPr>
          <w:ilvl w:val="0"/>
          <w:numId w:val="480"/>
        </w:numPr>
        <w:rPr>
          <w:rFonts w:ascii="Arial" w:cs="Arial" w:eastAsia="Arial" w:hAnsi="Arial"/>
          <w:sz w:val="18"/>
          <w:szCs w:val="18"/>
          <w:b w:val="1"/>
          <w:bCs w:val="1"/>
          <w:color w:val="0000FF"/>
        </w:rPr>
      </w:pPr>
      <w:r>
        <w:rPr>
          <w:rFonts w:ascii="Arial" w:cs="Arial" w:eastAsia="Arial" w:hAnsi="Arial"/>
          <w:sz w:val="18"/>
          <w:szCs w:val="18"/>
          <w:b w:val="1"/>
          <w:bCs w:val="1"/>
          <w:color w:val="0000FF"/>
        </w:rPr>
        <w:t>LIBOR Loans.</w:t>
      </w:r>
    </w:p>
    <w:p>
      <w:pPr>
        <w:spacing w:after="0" w:line="225" w:lineRule="exact"/>
        <w:rPr>
          <w:rFonts w:ascii="Arial" w:cs="Arial" w:eastAsia="Arial" w:hAnsi="Arial"/>
          <w:sz w:val="18"/>
          <w:szCs w:val="18"/>
          <w:b w:val="1"/>
          <w:bCs w:val="1"/>
          <w:color w:val="0000FF"/>
        </w:rPr>
      </w:pPr>
    </w:p>
    <w:p>
      <w:pPr>
        <w:ind w:left="660" w:right="20" w:hanging="4"/>
        <w:spacing w:after="0" w:line="282" w:lineRule="auto"/>
        <w:tabs>
          <w:tab w:leader="none" w:pos="875" w:val="left"/>
        </w:tabs>
        <w:numPr>
          <w:ilvl w:val="1"/>
          <w:numId w:val="480"/>
        </w:numPr>
        <w:rPr>
          <w:rFonts w:ascii="Arial" w:cs="Arial" w:eastAsia="Arial" w:hAnsi="Arial"/>
          <w:sz w:val="18"/>
          <w:szCs w:val="18"/>
          <w:color w:val="auto"/>
        </w:rPr>
      </w:pPr>
      <w:r>
        <w:rPr>
          <w:rFonts w:ascii="Arial" w:cs="Arial" w:eastAsia="Arial" w:hAnsi="Arial"/>
          <w:sz w:val="18"/>
          <w:szCs w:val="18"/>
          <w:b w:val="1"/>
          <w:bCs w:val="1"/>
          <w:color w:val="FF0000"/>
          <w:strike w:val="1"/>
        </w:rPr>
        <w:t>Limit on LIBOR Loans.</w:t>
      </w:r>
      <w:r>
        <w:rPr>
          <w:rFonts w:ascii="Arial" w:cs="Arial" w:eastAsia="Arial" w:hAnsi="Arial"/>
          <w:sz w:val="18"/>
          <w:szCs w:val="18"/>
          <w:b w:val="1"/>
          <w:bCs w:val="1"/>
          <w:color w:val="FF0000"/>
        </w:rPr>
        <w:t xml:space="preserve"> </w:t>
      </w:r>
      <w:r>
        <w:rPr>
          <w:rFonts w:ascii="Arial" w:cs="Arial" w:eastAsia="Arial" w:hAnsi="Arial"/>
          <w:sz w:val="18"/>
          <w:szCs w:val="18"/>
          <w:color w:val="000000"/>
        </w:rPr>
        <w:t>No more than twenty (20) separate Interest Periods in respect of LIBOR Loans may be outstanding at any one time in</w:t>
      </w:r>
      <w:r>
        <w:rPr>
          <w:rFonts w:ascii="Arial" w:cs="Arial" w:eastAsia="Arial" w:hAnsi="Arial"/>
          <w:sz w:val="18"/>
          <w:szCs w:val="18"/>
          <w:b w:val="1"/>
          <w:bCs w:val="1"/>
          <w:color w:val="FF0000"/>
        </w:rPr>
        <w:t xml:space="preserve"> </w:t>
      </w:r>
      <w:r>
        <w:rPr>
          <w:rFonts w:ascii="Arial" w:cs="Arial" w:eastAsia="Arial" w:hAnsi="Arial"/>
          <w:sz w:val="18"/>
          <w:szCs w:val="18"/>
          <w:color w:val="000000"/>
        </w:rPr>
        <w:t>the aggregate under all of the facilities.</w:t>
      </w:r>
    </w:p>
    <w:p>
      <w:pPr>
        <w:spacing w:after="0" w:line="161" w:lineRule="exact"/>
        <w:rPr>
          <w:rFonts w:ascii="Arial" w:cs="Arial" w:eastAsia="Arial" w:hAnsi="Arial"/>
          <w:sz w:val="18"/>
          <w:szCs w:val="18"/>
          <w:color w:val="auto"/>
        </w:rPr>
      </w:pPr>
    </w:p>
    <w:p>
      <w:pPr>
        <w:jc w:val="both"/>
        <w:ind w:left="660" w:hanging="4"/>
        <w:spacing w:after="0" w:line="290" w:lineRule="auto"/>
        <w:tabs>
          <w:tab w:leader="none" w:pos="936" w:val="left"/>
        </w:tabs>
        <w:numPr>
          <w:ilvl w:val="1"/>
          <w:numId w:val="480"/>
        </w:numPr>
        <w:rPr>
          <w:rFonts w:ascii="Arial" w:cs="Arial" w:eastAsia="Arial" w:hAnsi="Arial"/>
          <w:sz w:val="16"/>
          <w:szCs w:val="16"/>
          <w:b w:val="1"/>
          <w:bCs w:val="1"/>
          <w:color w:val="0000FF"/>
        </w:rPr>
      </w:pPr>
      <w:r>
        <w:rPr>
          <w:rFonts w:ascii="Arial" w:cs="Arial" w:eastAsia="Arial" w:hAnsi="Arial"/>
          <w:sz w:val="16"/>
          <w:szCs w:val="16"/>
          <w:b w:val="1"/>
          <w:bCs w:val="1"/>
          <w:color w:val="0000FF"/>
        </w:rPr>
        <w:t>With respect to Term Facility Loans made under a Tranche of Term Facility Commitments as LIBOR Loans, if at the time such Term Facility Loans (the “New Term Facility Loans”) are made, there are outstanding Term Facility Loans which were made under any other Tranche of Term Facility Commitments (the “Existing Term Facility Loans”), then (i) the initial Interest Period(s) for all such New Term Facility Loans hereunder shall commence upon the making of such New Term Facility Loan and end on the last day of the Interest Period(s) applicable to the Existing Term Facility Loans (as of the date of the making of the New Term Facility Loans) and (ii) such New Term Facility Loans shall have the same LIBO Rate as the corresponding Existing Term Facility Loans (and, if there are multiple Interest Periods and/or multiple LIBO Rates applicable to the Existing Term Facility Loans as of such date of the making of the New Term Facility Loans, then the New Term Facility Loans shall have multiple Interest Periods ending on the same days (and having the same LIBO Rates) as such Interest Periods, and with respect to amounts proportionate to the amount of Existing Term Facility Loans applicable to such Interest Periods).</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 Section 4.05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R/C Percentage. Each borrowing of Term Facility Loans shall be made by each Term Facility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w:t>
      </w:r>
      <w:r>
        <w:rPr>
          <w:rFonts w:ascii="Arial" w:cs="Arial" w:eastAsia="Arial" w:hAnsi="Arial"/>
          <w:sz w:val="16"/>
          <w:szCs w:val="16"/>
          <w:b w:val="1"/>
          <w:bCs w:val="1"/>
          <w:color w:val="0000FF"/>
        </w:rPr>
        <w:t>applicable</w:t>
      </w:r>
      <w:r>
        <w:rPr>
          <w:rFonts w:ascii="Arial" w:cs="Arial" w:eastAsia="Arial" w:hAnsi="Arial"/>
          <w:sz w:val="16"/>
          <w:szCs w:val="16"/>
          <w:color w:val="auto"/>
        </w:rPr>
        <w:t xml:space="preserve"> T/C Percentage. The amounts so received by Administrative Agent shall, subject to the terms and conditions of this Agreement, be made available to Borrower not later than 4:00</w:t>
      </w:r>
    </w:p>
    <w:p>
      <w:pPr>
        <w:sectPr>
          <w:pgSz w:w="11900" w:h="16838" w:orient="portrait"/>
          <w:cols w:equalWidth="0" w:num="1">
            <w:col w:w="11420"/>
          </w:cols>
          <w:pgMar w:left="240" w:top="364" w:right="239" w:bottom="1440" w:gutter="0" w:footer="0" w:header="0"/>
        </w:sectPr>
      </w:pPr>
    </w:p>
    <w:bookmarkStart w:id="404" w:name="page405"/>
    <w:bookmarkEnd w:id="404"/>
    <w:p>
      <w:pPr>
        <w:jc w:val="both"/>
        <w:spacing w:after="0" w:line="264" w:lineRule="auto"/>
        <w:rPr>
          <w:sz w:val="20"/>
          <w:szCs w:val="20"/>
          <w:color w:val="auto"/>
        </w:rPr>
      </w:pPr>
      <w:r>
        <w:rPr>
          <w:rFonts w:ascii="Arial" w:cs="Arial" w:eastAsia="Arial" w:hAnsi="Arial"/>
          <w:sz w:val="18"/>
          <w:szCs w:val="18"/>
          <w:color w:val="auto"/>
        </w:rPr>
        <w:t>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Letters of Credit.</w:t>
      </w:r>
    </w:p>
    <w:p>
      <w:pPr>
        <w:spacing w:after="0" w:line="229" w:lineRule="exact"/>
        <w:rPr>
          <w:sz w:val="20"/>
          <w:szCs w:val="20"/>
          <w:color w:val="auto"/>
        </w:rPr>
      </w:pPr>
    </w:p>
    <w:p>
      <w:pPr>
        <w:jc w:val="both"/>
        <w:ind w:firstLine="8"/>
        <w:spacing w:after="0" w:line="257" w:lineRule="auto"/>
        <w:tabs>
          <w:tab w:leader="none" w:pos="48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Arial" w:cs="Arial" w:eastAsia="Arial" w:hAnsi="Arial"/>
          <w:sz w:val="18"/>
          <w:szCs w:val="18"/>
          <w:b w:val="1"/>
          <w:bCs w:val="1"/>
          <w:color w:val="auto"/>
        </w:rPr>
        <w:t>Letters of Credit</w:t>
      </w:r>
      <w:r>
        <w:rPr>
          <w:rFonts w:ascii="Arial" w:cs="Arial" w:eastAsia="Arial" w:hAnsi="Arial"/>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no event shall</w:t>
      </w:r>
    </w:p>
    <w:p>
      <w:pPr>
        <w:spacing w:after="0" w:line="188" w:lineRule="exact"/>
        <w:rPr>
          <w:rFonts w:ascii="Arial" w:cs="Arial" w:eastAsia="Arial" w:hAnsi="Arial"/>
          <w:sz w:val="18"/>
          <w:szCs w:val="18"/>
          <w:color w:val="auto"/>
        </w:rPr>
      </w:pPr>
    </w:p>
    <w:p>
      <w:pPr>
        <w:ind w:left="660" w:hanging="4"/>
        <w:spacing w:after="0" w:line="277" w:lineRule="auto"/>
        <w:tabs>
          <w:tab w:leader="none" w:pos="881"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the aggregate amount of all L/C Liabilities,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amount of all the Revolving Loans then outstanding, exceed at any time the Total Revolving Commitments as in effect at such time,</w:t>
      </w:r>
    </w:p>
    <w:p>
      <w:pPr>
        <w:spacing w:after="0" w:line="170" w:lineRule="exact"/>
        <w:rPr>
          <w:rFonts w:ascii="Arial" w:cs="Arial" w:eastAsia="Arial" w:hAnsi="Arial"/>
          <w:sz w:val="18"/>
          <w:szCs w:val="18"/>
          <w:color w:val="auto"/>
        </w:rPr>
      </w:pPr>
    </w:p>
    <w:p>
      <w:pPr>
        <w:ind w:left="660" w:hanging="4"/>
        <w:spacing w:after="0" w:line="277" w:lineRule="auto"/>
        <w:tabs>
          <w:tab w:leader="none" w:pos="929"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the sum of the aggregate principal amount of all Revolving Loans of any Revolving Lender then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L/C Liability exceed at any time such Revolving Lender’s Revolving Commitment as in effect at such time,</w:t>
      </w:r>
    </w:p>
    <w:p>
      <w:pPr>
        <w:spacing w:after="0" w:line="170" w:lineRule="exact"/>
        <w:rPr>
          <w:rFonts w:ascii="Arial" w:cs="Arial" w:eastAsia="Arial" w:hAnsi="Arial"/>
          <w:sz w:val="18"/>
          <w:szCs w:val="18"/>
          <w:color w:val="auto"/>
        </w:rPr>
      </w:pPr>
    </w:p>
    <w:p>
      <w:pPr>
        <w:ind w:left="660" w:hanging="4"/>
        <w:spacing w:after="0" w:line="277" w:lineRule="auto"/>
        <w:tabs>
          <w:tab w:leader="none" w:pos="985"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70" w:lineRule="exact"/>
        <w:rPr>
          <w:rFonts w:ascii="Arial" w:cs="Arial" w:eastAsia="Arial" w:hAnsi="Arial"/>
          <w:sz w:val="18"/>
          <w:szCs w:val="18"/>
          <w:color w:val="auto"/>
        </w:rPr>
      </w:pPr>
    </w:p>
    <w:p>
      <w:pPr>
        <w:ind w:left="660" w:hanging="4"/>
        <w:spacing w:after="0" w:line="277" w:lineRule="auto"/>
        <w:tabs>
          <w:tab w:leader="none" w:pos="98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Dollar Equivalent of the Stated Amount of any Letter of Credit be less than $100,000 or such lesser amount as is acceptable to the L/C Lender,</w:t>
      </w:r>
    </w:p>
    <w:p>
      <w:pPr>
        <w:spacing w:after="0" w:line="170" w:lineRule="exact"/>
        <w:rPr>
          <w:rFonts w:ascii="Arial" w:cs="Arial" w:eastAsia="Arial" w:hAnsi="Arial"/>
          <w:sz w:val="18"/>
          <w:szCs w:val="18"/>
          <w:color w:val="auto"/>
        </w:rPr>
      </w:pPr>
    </w:p>
    <w:p>
      <w:pPr>
        <w:jc w:val="both"/>
        <w:ind w:left="660" w:hanging="4"/>
        <w:spacing w:after="0" w:line="255" w:lineRule="auto"/>
        <w:tabs>
          <w:tab w:leader="none" w:pos="9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 Business Day preceding the latest R/C Maturity Date then in effect, subject to the ability of Borrower to request Auto-Extension Letters of Credit in accordance with Section 2.03(b),</w:t>
      </w:r>
    </w:p>
    <w:p>
      <w:pPr>
        <w:spacing w:after="0" w:line="189" w:lineRule="exact"/>
        <w:rPr>
          <w:rFonts w:ascii="Arial" w:cs="Arial" w:eastAsia="Arial" w:hAnsi="Arial"/>
          <w:sz w:val="18"/>
          <w:szCs w:val="18"/>
          <w:color w:val="auto"/>
        </w:rPr>
      </w:pPr>
    </w:p>
    <w:p>
      <w:pPr>
        <w:jc w:val="both"/>
        <w:ind w:left="660" w:hanging="4"/>
        <w:spacing w:after="0" w:line="291" w:lineRule="auto"/>
        <w:tabs>
          <w:tab w:leader="none" w:pos="975"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(y) waiver or cure of such Default in accordance with this Agreement or (z) Administrative Agent’s good faith determination that such Default has ceased to exist,</w:t>
      </w:r>
    </w:p>
    <w:p>
      <w:pPr>
        <w:spacing w:after="0" w:line="183" w:lineRule="exact"/>
        <w:rPr>
          <w:rFonts w:ascii="Arial" w:cs="Arial" w:eastAsia="Arial" w:hAnsi="Arial"/>
          <w:sz w:val="16"/>
          <w:szCs w:val="16"/>
          <w:color w:val="auto"/>
        </w:rPr>
      </w:pPr>
    </w:p>
    <w:p>
      <w:pPr>
        <w:ind w:left="1020" w:hanging="364"/>
        <w:spacing w:after="0"/>
        <w:tabs>
          <w:tab w:leader="none" w:pos="10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any Letter of Credit be issued in a currency other than Dollars or an Alternate Currency nor at a tenor other than sight, or</w:t>
      </w:r>
    </w:p>
    <w:p>
      <w:pPr>
        <w:spacing w:after="0" w:line="225" w:lineRule="exact"/>
        <w:rPr>
          <w:rFonts w:ascii="Arial" w:cs="Arial" w:eastAsia="Arial" w:hAnsi="Arial"/>
          <w:sz w:val="18"/>
          <w:szCs w:val="18"/>
          <w:color w:val="auto"/>
        </w:rPr>
      </w:pPr>
    </w:p>
    <w:p>
      <w:pPr>
        <w:jc w:val="both"/>
        <w:ind w:left="660" w:hanging="4"/>
        <w:spacing w:after="0" w:line="257" w:lineRule="auto"/>
        <w:tabs>
          <w:tab w:leader="none" w:pos="107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w:t>
      </w:r>
    </w:p>
    <w:p>
      <w:pPr>
        <w:sectPr>
          <w:pgSz w:w="11900" w:h="16838" w:orient="portrait"/>
          <w:cols w:equalWidth="0" w:num="1">
            <w:col w:w="11420"/>
          </w:cols>
          <w:pgMar w:left="240" w:top="369" w:right="239" w:bottom="1440" w:gutter="0" w:footer="0" w:header="0"/>
        </w:sectPr>
      </w:pPr>
    </w:p>
    <w:bookmarkStart w:id="405" w:name="page406"/>
    <w:bookmarkEnd w:id="405"/>
    <w:p>
      <w:pPr>
        <w:ind w:left="660" w:right="20"/>
        <w:spacing w:after="0" w:line="277" w:lineRule="auto"/>
        <w:rPr>
          <w:sz w:val="20"/>
          <w:szCs w:val="20"/>
          <w:color w:val="auto"/>
        </w:rPr>
      </w:pPr>
      <w:r>
        <w:rPr>
          <w:rFonts w:ascii="Arial" w:cs="Arial" w:eastAsia="Arial" w:hAnsi="Arial"/>
          <w:sz w:val="18"/>
          <w:szCs w:val="18"/>
          <w:color w:val="auto"/>
        </w:rPr>
        <w:t>or obtaining a backstop letter of credit from an issuer reasonably satisfactory to the L/C Lender to support, each such Defaulting Lender’s L/C Liability.</w:t>
      </w:r>
    </w:p>
    <w:p>
      <w:pPr>
        <w:spacing w:after="0" w:line="170" w:lineRule="exact"/>
        <w:rPr>
          <w:sz w:val="20"/>
          <w:szCs w:val="20"/>
          <w:color w:val="auto"/>
        </w:rPr>
      </w:pPr>
    </w:p>
    <w:p>
      <w:pPr>
        <w:jc w:val="both"/>
        <w:ind w:firstLine="8"/>
        <w:spacing w:after="0" w:line="282" w:lineRule="auto"/>
        <w:tabs>
          <w:tab w:leader="none" w:pos="526"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as is reasonably acceptable to the applicable L/C Lender appropriately completed (each a “</w:t>
      </w:r>
      <w:r>
        <w:rPr>
          <w:rFonts w:ascii="Arial" w:cs="Arial" w:eastAsia="Arial" w:hAnsi="Arial"/>
          <w:sz w:val="16"/>
          <w:szCs w:val="16"/>
          <w:b w:val="1"/>
          <w:bCs w:val="1"/>
          <w:color w:val="auto"/>
        </w:rPr>
        <w:t>Letter of Credit Request</w:t>
      </w:r>
      <w:r>
        <w:rPr>
          <w:rFonts w:ascii="Arial" w:cs="Arial" w:eastAsia="Arial" w:hAnsi="Arial"/>
          <w:sz w:val="16"/>
          <w:szCs w:val="16"/>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Lender shall not permit any such extension if</w:t>
      </w:r>
    </w:p>
    <w:p>
      <w:pPr>
        <w:spacing w:after="0" w:line="1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79" w:lineRule="exact"/>
        <w:rPr>
          <w:rFonts w:ascii="Arial" w:cs="Arial" w:eastAsia="Arial" w:hAnsi="Arial"/>
          <w:sz w:val="16"/>
          <w:szCs w:val="16"/>
          <w:color w:val="auto"/>
        </w:rPr>
      </w:pPr>
    </w:p>
    <w:p>
      <w:pPr>
        <w:jc w:val="both"/>
        <w:ind w:firstLine="8"/>
        <w:spacing w:after="0" w:line="289" w:lineRule="auto"/>
        <w:tabs>
          <w:tab w:leader="none" w:pos="442" w:val="left"/>
        </w:tabs>
        <w:numPr>
          <w:ilvl w:val="0"/>
          <w:numId w:val="482"/>
        </w:numPr>
        <w:rPr>
          <w:rFonts w:ascii="Arial" w:cs="Arial" w:eastAsia="Arial" w:hAnsi="Arial"/>
          <w:sz w:val="16"/>
          <w:szCs w:val="16"/>
          <w:color w:val="auto"/>
        </w:rPr>
      </w:pPr>
      <w:r>
        <w:rPr>
          <w:rFonts w:ascii="Arial" w:cs="Arial" w:eastAsia="Arial" w:hAnsi="Arial"/>
          <w:sz w:val="16"/>
          <w:szCs w:val="16"/>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w:t>
      </w:r>
    </w:p>
    <w:p>
      <w:pPr>
        <w:sectPr>
          <w:pgSz w:w="11900" w:h="16838" w:orient="portrait"/>
          <w:cols w:equalWidth="0" w:num="1">
            <w:col w:w="11420"/>
          </w:cols>
          <w:pgMar w:left="240" w:top="368" w:right="239" w:bottom="1440" w:gutter="0" w:footer="0" w:header="0"/>
        </w:sectPr>
      </w:pPr>
    </w:p>
    <w:bookmarkStart w:id="406" w:name="page407"/>
    <w:bookmarkEnd w:id="406"/>
    <w:p>
      <w:pPr>
        <w:jc w:val="both"/>
        <w:spacing w:after="0" w:line="257" w:lineRule="auto"/>
        <w:rPr>
          <w:sz w:val="20"/>
          <w:szCs w:val="20"/>
          <w:color w:val="auto"/>
        </w:rPr>
      </w:pPr>
      <w:r>
        <w:rPr>
          <w:rFonts w:ascii="Arial" w:cs="Arial" w:eastAsia="Arial" w:hAnsi="Arial"/>
          <w:sz w:val="18"/>
          <w:szCs w:val="18"/>
          <w:color w:val="auto"/>
        </w:rPr>
        <w:t>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4" w:lineRule="exact"/>
        <w:rPr>
          <w:sz w:val="20"/>
          <w:szCs w:val="20"/>
          <w:color w:val="auto"/>
        </w:rPr>
      </w:pPr>
    </w:p>
    <w:p>
      <w:pPr>
        <w:jc w:val="both"/>
        <w:ind w:firstLine="8"/>
        <w:spacing w:after="0" w:line="268" w:lineRule="auto"/>
        <w:tabs>
          <w:tab w:leader="none" w:pos="554" w:val="left"/>
        </w:tabs>
        <w:numPr>
          <w:ilvl w:val="0"/>
          <w:numId w:val="483"/>
        </w:numPr>
        <w:rPr>
          <w:rFonts w:ascii="Arial" w:cs="Arial" w:eastAsia="Arial" w:hAnsi="Arial"/>
          <w:sz w:val="17"/>
          <w:szCs w:val="17"/>
          <w:color w:val="auto"/>
        </w:rPr>
      </w:pPr>
      <w:r>
        <w:rPr>
          <w:rFonts w:ascii="Arial" w:cs="Arial" w:eastAsia="Arial" w:hAnsi="Arial"/>
          <w:sz w:val="17"/>
          <w:szCs w:val="17"/>
          <w:color w:val="auto"/>
        </w:rPr>
        <w:t>In the event that any L/C Lender has determined to honor a drawing under a Letter of Credit, such L/C Lender shall promptly notify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Notice</w:t>
      </w:r>
      <w:r>
        <w:rPr>
          <w:rFonts w:ascii="Arial" w:cs="Arial" w:eastAsia="Arial" w:hAnsi="Arial"/>
          <w:sz w:val="17"/>
          <w:szCs w:val="17"/>
          <w:color w:val="auto"/>
        </w:rPr>
        <w:t>”) Administrative Agent and Borrower of the amount paid by such L/C Lender and the date on which payment is to be made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7" w:lineRule="exact"/>
        <w:rPr>
          <w:rFonts w:ascii="Arial" w:cs="Arial" w:eastAsia="Arial" w:hAnsi="Arial"/>
          <w:sz w:val="17"/>
          <w:szCs w:val="17"/>
          <w:color w:val="auto"/>
        </w:rPr>
      </w:pPr>
    </w:p>
    <w:p>
      <w:pPr>
        <w:jc w:val="both"/>
        <w:ind w:firstLine="8"/>
        <w:spacing w:after="0" w:line="268" w:lineRule="auto"/>
        <w:tabs>
          <w:tab w:leader="none" w:pos="409" w:val="left"/>
        </w:tabs>
        <w:numPr>
          <w:ilvl w:val="0"/>
          <w:numId w:val="483"/>
        </w:numPr>
        <w:rPr>
          <w:rFonts w:ascii="Arial" w:cs="Arial" w:eastAsia="Arial" w:hAnsi="Arial"/>
          <w:sz w:val="17"/>
          <w:szCs w:val="17"/>
          <w:color w:val="auto"/>
        </w:rPr>
      </w:pPr>
      <w:r>
        <w:rPr>
          <w:rFonts w:ascii="Arial" w:cs="Arial" w:eastAsia="Arial" w:hAnsi="Arial"/>
          <w:sz w:val="17"/>
          <w:szCs w:val="17"/>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Arial" w:cs="Arial" w:eastAsia="Arial" w:hAnsi="Arial"/>
          <w:sz w:val="17"/>
          <w:szCs w:val="17"/>
          <w:b w:val="1"/>
          <w:bCs w:val="1"/>
          <w:color w:val="auto"/>
        </w:rPr>
        <w:t>Unreimbursed Amount</w:t>
      </w:r>
      <w:r>
        <w:rPr>
          <w:rFonts w:ascii="Arial" w:cs="Arial" w:eastAsia="Arial" w:hAnsi="Arial"/>
          <w:sz w:val="17"/>
          <w:szCs w:val="17"/>
          <w:color w:val="auto"/>
        </w:rPr>
        <w:t>”), specifying such Lender’s R/C Percentage thereof and requesting payment of such amount.</w:t>
      </w:r>
    </w:p>
    <w:p>
      <w:pPr>
        <w:spacing w:after="0" w:line="185" w:lineRule="exact"/>
        <w:rPr>
          <w:rFonts w:ascii="Arial" w:cs="Arial" w:eastAsia="Arial" w:hAnsi="Arial"/>
          <w:sz w:val="17"/>
          <w:szCs w:val="17"/>
          <w:color w:val="auto"/>
        </w:rPr>
      </w:pPr>
    </w:p>
    <w:p>
      <w:pPr>
        <w:jc w:val="both"/>
        <w:ind w:firstLine="8"/>
        <w:spacing w:after="0" w:line="255" w:lineRule="auto"/>
        <w:tabs>
          <w:tab w:leader="none" w:pos="453"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w:t>
      </w:r>
    </w:p>
    <w:p>
      <w:pPr>
        <w:sectPr>
          <w:pgSz w:w="11900" w:h="16838" w:orient="portrait"/>
          <w:cols w:equalWidth="0" w:num="1">
            <w:col w:w="11420"/>
          </w:cols>
          <w:pgMar w:left="240" w:top="368" w:right="239" w:bottom="1440" w:gutter="0" w:footer="0" w:header="0"/>
        </w:sectPr>
      </w:pPr>
    </w:p>
    <w:bookmarkStart w:id="407" w:name="page408"/>
    <w:bookmarkEnd w:id="407"/>
    <w:p>
      <w:pPr>
        <w:spacing w:after="0" w:line="342" w:lineRule="auto"/>
        <w:rPr>
          <w:sz w:val="20"/>
          <w:szCs w:val="20"/>
          <w:color w:val="auto"/>
        </w:rPr>
      </w:pPr>
      <w:r>
        <w:rPr>
          <w:rFonts w:ascii="Arial" w:cs="Arial" w:eastAsia="Arial" w:hAnsi="Arial"/>
          <w:sz w:val="16"/>
          <w:szCs w:val="16"/>
          <w:color w:val="auto"/>
        </w:rPr>
        <w:t>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24" w:lineRule="exact"/>
        <w:rPr>
          <w:sz w:val="20"/>
          <w:szCs w:val="20"/>
          <w:color w:val="auto"/>
        </w:rPr>
      </w:pPr>
    </w:p>
    <w:p>
      <w:pPr>
        <w:jc w:val="both"/>
        <w:ind w:firstLine="8"/>
        <w:spacing w:after="0" w:line="268" w:lineRule="auto"/>
        <w:tabs>
          <w:tab w:leader="none" w:pos="442" w:val="left"/>
        </w:tabs>
        <w:numPr>
          <w:ilvl w:val="0"/>
          <w:numId w:val="484"/>
        </w:numPr>
        <w:rPr>
          <w:rFonts w:ascii="Arial" w:cs="Arial" w:eastAsia="Arial" w:hAnsi="Arial"/>
          <w:sz w:val="17"/>
          <w:szCs w:val="17"/>
          <w:color w:val="auto"/>
        </w:rPr>
      </w:pPr>
      <w:r>
        <w:rPr>
          <w:rFonts w:ascii="Arial" w:cs="Arial" w:eastAsia="Arial" w:hAnsi="Arial"/>
          <w:sz w:val="17"/>
          <w:szCs w:val="17"/>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87" w:lineRule="exact"/>
        <w:rPr>
          <w:rFonts w:ascii="Arial" w:cs="Arial" w:eastAsia="Arial" w:hAnsi="Arial"/>
          <w:sz w:val="17"/>
          <w:szCs w:val="17"/>
          <w:color w:val="auto"/>
        </w:rPr>
      </w:pPr>
    </w:p>
    <w:p>
      <w:pPr>
        <w:jc w:val="both"/>
        <w:ind w:firstLine="8"/>
        <w:spacing w:after="0" w:line="267" w:lineRule="auto"/>
        <w:tabs>
          <w:tab w:leader="none" w:pos="466" w:val="left"/>
        </w:tabs>
        <w:numPr>
          <w:ilvl w:val="0"/>
          <w:numId w:val="484"/>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92" w:lineRule="exact"/>
        <w:rPr>
          <w:rFonts w:ascii="Arial" w:cs="Arial" w:eastAsia="Arial" w:hAnsi="Arial"/>
          <w:sz w:val="17"/>
          <w:szCs w:val="17"/>
          <w:color w:val="auto"/>
        </w:rPr>
      </w:pPr>
    </w:p>
    <w:p>
      <w:pPr>
        <w:jc w:val="both"/>
        <w:ind w:firstLine="8"/>
        <w:spacing w:after="0" w:line="276" w:lineRule="auto"/>
        <w:tabs>
          <w:tab w:leader="none" w:pos="407" w:val="left"/>
        </w:tabs>
        <w:numPr>
          <w:ilvl w:val="0"/>
          <w:numId w:val="484"/>
        </w:numPr>
        <w:rPr>
          <w:rFonts w:ascii="Arial" w:cs="Arial" w:eastAsia="Arial" w:hAnsi="Arial"/>
          <w:sz w:val="17"/>
          <w:szCs w:val="17"/>
          <w:color w:val="auto"/>
        </w:rPr>
      </w:pPr>
      <w:r>
        <w:rPr>
          <w:rFonts w:ascii="Arial" w:cs="Arial" w:eastAsia="Arial" w:hAnsi="Arial"/>
          <w:sz w:val="17"/>
          <w:szCs w:val="17"/>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ectPr>
          <w:pgSz w:w="11900" w:h="16838" w:orient="portrait"/>
          <w:cols w:equalWidth="0" w:num="1">
            <w:col w:w="11420"/>
          </w:cols>
          <w:pgMar w:left="240" w:top="368" w:right="239" w:bottom="1440" w:gutter="0" w:footer="0" w:header="0"/>
        </w:sectPr>
      </w:pPr>
    </w:p>
    <w:bookmarkStart w:id="408" w:name="page409"/>
    <w:bookmarkEnd w:id="408"/>
    <w:p>
      <w:pPr>
        <w:jc w:val="both"/>
        <w:ind w:left="-8" w:firstLine="8"/>
        <w:spacing w:after="0" w:line="254" w:lineRule="auto"/>
        <w:tabs>
          <w:tab w:leader="none" w:pos="361"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92" w:lineRule="exact"/>
        <w:rPr>
          <w:rFonts w:ascii="Arial" w:cs="Arial" w:eastAsia="Arial" w:hAnsi="Arial"/>
          <w:sz w:val="18"/>
          <w:szCs w:val="18"/>
          <w:color w:val="auto"/>
        </w:rPr>
      </w:pPr>
    </w:p>
    <w:p>
      <w:pPr>
        <w:jc w:val="both"/>
        <w:ind w:left="-8" w:firstLine="8"/>
        <w:spacing w:after="0" w:line="255" w:lineRule="auto"/>
        <w:tabs>
          <w:tab w:leader="none" w:pos="44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93" w:lineRule="exact"/>
        <w:rPr>
          <w:rFonts w:ascii="Arial" w:cs="Arial" w:eastAsia="Arial" w:hAnsi="Arial"/>
          <w:sz w:val="18"/>
          <w:szCs w:val="18"/>
          <w:color w:val="auto"/>
        </w:rPr>
      </w:pPr>
    </w:p>
    <w:p>
      <w:pPr>
        <w:jc w:val="both"/>
        <w:ind w:left="-8" w:firstLine="8"/>
        <w:spacing w:after="0" w:line="271" w:lineRule="auto"/>
        <w:tabs>
          <w:tab w:leader="none" w:pos="426" w:val="left"/>
        </w:tabs>
        <w:numPr>
          <w:ilvl w:val="0"/>
          <w:numId w:val="485"/>
        </w:numPr>
        <w:rPr>
          <w:rFonts w:ascii="Arial" w:cs="Arial" w:eastAsia="Arial" w:hAnsi="Arial"/>
          <w:sz w:val="17"/>
          <w:szCs w:val="17"/>
          <w:color w:val="auto"/>
        </w:rPr>
      </w:pPr>
      <w:r>
        <w:rPr>
          <w:rFonts w:ascii="Arial" w:cs="Arial" w:eastAsia="Arial" w:hAnsi="Arial"/>
          <w:sz w:val="17"/>
          <w:szCs w:val="17"/>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78" w:lineRule="exact"/>
        <w:rPr>
          <w:rFonts w:ascii="Arial" w:cs="Arial" w:eastAsia="Arial" w:hAnsi="Arial"/>
          <w:sz w:val="17"/>
          <w:szCs w:val="17"/>
          <w:color w:val="auto"/>
        </w:rPr>
      </w:pPr>
    </w:p>
    <w:p>
      <w:pPr>
        <w:jc w:val="both"/>
        <w:ind w:left="-8" w:firstLine="8"/>
        <w:spacing w:after="0" w:line="286" w:lineRule="auto"/>
        <w:tabs>
          <w:tab w:leader="none" w:pos="492"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65" w:lineRule="exact"/>
        <w:rPr>
          <w:rFonts w:ascii="Arial" w:cs="Arial" w:eastAsia="Arial" w:hAnsi="Arial"/>
          <w:sz w:val="17"/>
          <w:szCs w:val="17"/>
          <w:color w:val="auto"/>
        </w:rPr>
      </w:pPr>
    </w:p>
    <w:p>
      <w:pPr>
        <w:ind w:left="872" w:hanging="224"/>
        <w:spacing w:after="0"/>
        <w:tabs>
          <w:tab w:leader="none" w:pos="872"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Credit Document or any L/C Document;</w:t>
      </w:r>
    </w:p>
    <w:p>
      <w:pPr>
        <w:spacing w:after="0" w:line="225" w:lineRule="exact"/>
        <w:rPr>
          <w:rFonts w:ascii="Arial" w:cs="Arial" w:eastAsia="Arial" w:hAnsi="Arial"/>
          <w:sz w:val="18"/>
          <w:szCs w:val="18"/>
          <w:color w:val="auto"/>
        </w:rPr>
      </w:pPr>
    </w:p>
    <w:p>
      <w:pPr>
        <w:jc w:val="both"/>
        <w:ind w:left="652" w:hanging="4"/>
        <w:spacing w:after="0" w:line="286" w:lineRule="auto"/>
        <w:tabs>
          <w:tab w:leader="none" w:pos="932" w:val="left"/>
        </w:tabs>
        <w:numPr>
          <w:ilvl w:val="1"/>
          <w:numId w:val="485"/>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65" w:lineRule="exact"/>
        <w:rPr>
          <w:rFonts w:ascii="Arial" w:cs="Arial" w:eastAsia="Arial" w:hAnsi="Arial"/>
          <w:sz w:val="17"/>
          <w:szCs w:val="17"/>
          <w:color w:val="auto"/>
        </w:rPr>
      </w:pPr>
    </w:p>
    <w:p>
      <w:pPr>
        <w:jc w:val="both"/>
        <w:ind w:left="652" w:right="20" w:hanging="4"/>
        <w:spacing w:after="0" w:line="302" w:lineRule="auto"/>
        <w:tabs>
          <w:tab w:leader="none" w:pos="973" w:val="left"/>
        </w:tabs>
        <w:numPr>
          <w:ilvl w:val="1"/>
          <w:numId w:val="485"/>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54" w:lineRule="exact"/>
        <w:rPr>
          <w:rFonts w:ascii="Arial" w:cs="Arial" w:eastAsia="Arial" w:hAnsi="Arial"/>
          <w:sz w:val="16"/>
          <w:szCs w:val="16"/>
          <w:color w:val="auto"/>
        </w:rPr>
      </w:pPr>
    </w:p>
    <w:p>
      <w:pPr>
        <w:ind w:left="652" w:hanging="4"/>
        <w:spacing w:after="0" w:line="277" w:lineRule="auto"/>
        <w:tabs>
          <w:tab w:leader="none" w:pos="96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waiver by a L/C Lender of any requirement that exists for the L/C Lender’s protection and not the protection of Borrower or any waiver by the L/C Lender which does not in fact materially prejudice Borrower;</w:t>
      </w:r>
    </w:p>
    <w:p>
      <w:pPr>
        <w:sectPr>
          <w:pgSz w:w="11900" w:h="16838" w:orient="portrait"/>
          <w:cols w:equalWidth="0" w:num="1">
            <w:col w:w="11412"/>
          </w:cols>
          <w:pgMar w:left="248" w:top="368" w:right="239" w:bottom="1440" w:gutter="0" w:footer="0" w:header="0"/>
        </w:sectPr>
      </w:pPr>
    </w:p>
    <w:bookmarkStart w:id="409" w:name="page410"/>
    <w:bookmarkEnd w:id="409"/>
    <w:p>
      <w:pPr>
        <w:ind w:left="912" w:hanging="264"/>
        <w:spacing w:after="0"/>
        <w:tabs>
          <w:tab w:leader="none" w:pos="91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 form of a draft;</w:t>
      </w:r>
    </w:p>
    <w:p>
      <w:pPr>
        <w:spacing w:after="0" w:line="225" w:lineRule="exact"/>
        <w:rPr>
          <w:rFonts w:ascii="Arial" w:cs="Arial" w:eastAsia="Arial" w:hAnsi="Arial"/>
          <w:sz w:val="18"/>
          <w:szCs w:val="18"/>
          <w:color w:val="auto"/>
        </w:rPr>
      </w:pPr>
    </w:p>
    <w:p>
      <w:pPr>
        <w:jc w:val="both"/>
        <w:ind w:left="652" w:hanging="4"/>
        <w:spacing w:after="0" w:line="264" w:lineRule="auto"/>
        <w:tabs>
          <w:tab w:leader="none" w:pos="961"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jc w:val="both"/>
        <w:ind w:left="652" w:hanging="4"/>
        <w:spacing w:after="0" w:line="279" w:lineRule="auto"/>
        <w:tabs>
          <w:tab w:leader="none" w:pos="1008" w:val="left"/>
        </w:tabs>
        <w:numPr>
          <w:ilvl w:val="0"/>
          <w:numId w:val="486"/>
        </w:numPr>
        <w:rPr>
          <w:rFonts w:ascii="Arial" w:cs="Arial" w:eastAsia="Arial" w:hAnsi="Arial"/>
          <w:sz w:val="17"/>
          <w:szCs w:val="17"/>
          <w:color w:val="auto"/>
        </w:rPr>
      </w:pPr>
      <w:r>
        <w:rPr>
          <w:rFonts w:ascii="Arial" w:cs="Arial" w:eastAsia="Arial" w:hAnsi="Arial"/>
          <w:sz w:val="17"/>
          <w:szCs w:val="17"/>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1" w:lineRule="exact"/>
        <w:rPr>
          <w:rFonts w:ascii="Arial" w:cs="Arial" w:eastAsia="Arial" w:hAnsi="Arial"/>
          <w:sz w:val="17"/>
          <w:szCs w:val="17"/>
          <w:color w:val="auto"/>
        </w:rPr>
      </w:pPr>
    </w:p>
    <w:p>
      <w:pPr>
        <w:ind w:left="652" w:hanging="4"/>
        <w:spacing w:after="0" w:line="277" w:lineRule="auto"/>
        <w:tabs>
          <w:tab w:leader="none" w:pos="106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70"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To the extent that any provision of any L/C Document is inconsistent with the provisions of this Section 2.03, the provisions of this Section 2.03 shall control.</w:t>
      </w:r>
    </w:p>
    <w:p>
      <w:pPr>
        <w:spacing w:after="0" w:line="170" w:lineRule="exact"/>
        <w:rPr>
          <w:sz w:val="20"/>
          <w:szCs w:val="20"/>
          <w:color w:val="auto"/>
        </w:rPr>
      </w:pPr>
    </w:p>
    <w:p>
      <w:pPr>
        <w:jc w:val="both"/>
        <w:ind w:left="-8" w:firstLine="8"/>
        <w:spacing w:after="0" w:line="287" w:lineRule="auto"/>
        <w:tabs>
          <w:tab w:leader="none" w:pos="501" w:val="left"/>
        </w:tabs>
        <w:numPr>
          <w:ilvl w:val="0"/>
          <w:numId w:val="487"/>
        </w:numPr>
        <w:rPr>
          <w:rFonts w:ascii="Arial" w:cs="Arial" w:eastAsia="Arial" w:hAnsi="Arial"/>
          <w:sz w:val="16"/>
          <w:szCs w:val="16"/>
          <w:color w:val="auto"/>
        </w:rPr>
      </w:pPr>
      <w:r>
        <w:rPr>
          <w:rFonts w:ascii="Arial" w:cs="Arial" w:eastAsia="Arial" w:hAnsi="Arial"/>
          <w:sz w:val="16"/>
          <w:szCs w:val="16"/>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172" w:lineRule="exact"/>
        <w:rPr>
          <w:rFonts w:ascii="Arial" w:cs="Arial" w:eastAsia="Arial" w:hAnsi="Arial"/>
          <w:sz w:val="16"/>
          <w:szCs w:val="16"/>
          <w:color w:val="auto"/>
        </w:rPr>
      </w:pPr>
    </w:p>
    <w:p>
      <w:pPr>
        <w:jc w:val="both"/>
        <w:ind w:left="-8" w:firstLine="8"/>
        <w:spacing w:after="0" w:line="286" w:lineRule="auto"/>
        <w:tabs>
          <w:tab w:leader="none" w:pos="47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 correspondent, participant or assignee of the L/C Lenders shall be liable or responsible for any of the matters described in clauses (i) through (viii) of Section 2.03(m);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anything in such clauses to the contrary notwithstanding, Borrower may have a claim against a L/C Lender, and a L/C Lender may be</w:t>
      </w:r>
      <w:r>
        <w:rPr>
          <w:rFonts w:ascii="Arial" w:cs="Arial" w:eastAsia="Arial" w:hAnsi="Arial"/>
          <w:sz w:val="16"/>
          <w:szCs w:val="16"/>
          <w:i w:val="1"/>
          <w:iCs w:val="1"/>
          <w:color w:val="auto"/>
        </w:rPr>
        <w:t xml:space="preserve"> </w:t>
      </w:r>
      <w:r>
        <w:rPr>
          <w:rFonts w:ascii="Arial" w:cs="Arial" w:eastAsia="Arial" w:hAnsi="Arial"/>
          <w:sz w:val="16"/>
          <w:szCs w:val="16"/>
          <w:color w:val="auto"/>
        </w:rPr>
        <w:t>liable to Borrower, to the extent, but only to the extent, of any direct, as opposed to consequential or exemplary, damages suffered by Borrower</w:t>
      </w:r>
    </w:p>
    <w:p>
      <w:pPr>
        <w:sectPr>
          <w:pgSz w:w="11900" w:h="16838" w:orient="portrait"/>
          <w:cols w:equalWidth="0" w:num="1">
            <w:col w:w="11412"/>
          </w:cols>
          <w:pgMar w:left="248" w:top="369" w:right="239" w:bottom="1440" w:gutter="0" w:footer="0" w:header="0"/>
        </w:sectPr>
      </w:pPr>
    </w:p>
    <w:bookmarkStart w:id="410" w:name="page411"/>
    <w:bookmarkEnd w:id="410"/>
    <w:p>
      <w:pPr>
        <w:jc w:val="both"/>
        <w:spacing w:after="0" w:line="271" w:lineRule="auto"/>
        <w:rPr>
          <w:sz w:val="20"/>
          <w:szCs w:val="20"/>
          <w:color w:val="auto"/>
        </w:rPr>
      </w:pPr>
      <w:r>
        <w:rPr>
          <w:rFonts w:ascii="Arial" w:cs="Arial" w:eastAsia="Arial" w:hAnsi="Arial"/>
          <w:sz w:val="17"/>
          <w:szCs w:val="17"/>
          <w:color w:val="auto"/>
        </w:rPr>
        <w:t>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Arial" w:cs="Arial" w:eastAsia="Arial" w:hAnsi="Arial"/>
          <w:sz w:val="17"/>
          <w:szCs w:val="17"/>
          <w:b w:val="1"/>
          <w:bCs w:val="1"/>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179" w:lineRule="exact"/>
        <w:rPr>
          <w:sz w:val="20"/>
          <w:szCs w:val="20"/>
          <w:color w:val="auto"/>
        </w:rPr>
      </w:pPr>
    </w:p>
    <w:p>
      <w:pPr>
        <w:jc w:val="both"/>
        <w:ind w:firstLine="8"/>
        <w:spacing w:after="0" w:line="271" w:lineRule="auto"/>
        <w:tabs>
          <w:tab w:leader="none" w:pos="56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rFonts w:ascii="Arial" w:cs="Arial" w:eastAsia="Arial" w:hAnsi="Arial"/>
          <w:sz w:val="17"/>
          <w:szCs w:val="17"/>
          <w:color w:val="auto"/>
        </w:rPr>
      </w:pPr>
    </w:p>
    <w:p>
      <w:pPr>
        <w:jc w:val="both"/>
        <w:ind w:right="20" w:firstLine="8"/>
        <w:spacing w:after="0" w:line="259" w:lineRule="auto"/>
        <w:tabs>
          <w:tab w:leader="none" w:pos="483" w:val="left"/>
        </w:tabs>
        <w:numPr>
          <w:ilvl w:val="0"/>
          <w:numId w:val="488"/>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6" w:lineRule="exact"/>
        <w:rPr>
          <w:rFonts w:ascii="Arial" w:cs="Arial" w:eastAsia="Arial" w:hAnsi="Arial"/>
          <w:sz w:val="18"/>
          <w:szCs w:val="18"/>
          <w:color w:val="auto"/>
        </w:rPr>
      </w:pPr>
    </w:p>
    <w:p>
      <w:pPr>
        <w:jc w:val="both"/>
        <w:ind w:firstLine="8"/>
        <w:spacing w:after="0" w:line="259" w:lineRule="auto"/>
        <w:tabs>
          <w:tab w:leader="none" w:pos="54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 and such Revolving Lender. The Administrative Agent shall notify the Revolving Lenders of any such additional L/C Lender.</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5" w:lineRule="exact"/>
        <w:rPr>
          <w:sz w:val="20"/>
          <w:szCs w:val="20"/>
          <w:color w:val="auto"/>
        </w:rPr>
      </w:pPr>
    </w:p>
    <w:p>
      <w:pPr>
        <w:ind w:left="520" w:hanging="512"/>
        <w:spacing w:after="0"/>
        <w:tabs>
          <w:tab w:leader="none" w:pos="5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(i)   In addition to any other mandatory commitment reductions pursuant to this Section 2.04, </w:t>
      </w:r>
      <w:r>
        <w:rPr>
          <w:rFonts w:ascii="Arial" w:cs="Arial" w:eastAsia="Arial" w:hAnsi="Arial"/>
          <w:sz w:val="17"/>
          <w:szCs w:val="17"/>
          <w:b w:val="1"/>
          <w:bCs w:val="1"/>
          <w:color w:val="0000FF"/>
        </w:rPr>
        <w:t>(A)</w:t>
      </w:r>
      <w:r>
        <w:rPr>
          <w:rFonts w:ascii="Arial" w:cs="Arial" w:eastAsia="Arial" w:hAnsi="Arial"/>
          <w:sz w:val="17"/>
          <w:szCs w:val="17"/>
          <w:color w:val="auto"/>
        </w:rPr>
        <w:t xml:space="preserve"> the aggregate amount of the </w:t>
      </w:r>
      <w:r>
        <w:rPr>
          <w:rFonts w:ascii="Arial" w:cs="Arial" w:eastAsia="Arial" w:hAnsi="Arial"/>
          <w:sz w:val="17"/>
          <w:szCs w:val="17"/>
          <w:b w:val="1"/>
          <w:bCs w:val="1"/>
          <w:color w:val="0000FF"/>
        </w:rPr>
        <w:t>Tranche A Term</w:t>
      </w:r>
    </w:p>
    <w:p>
      <w:pPr>
        <w:spacing w:after="0" w:line="38" w:lineRule="exact"/>
        <w:rPr>
          <w:rFonts w:ascii="Arial" w:cs="Arial" w:eastAsia="Arial" w:hAnsi="Arial"/>
          <w:sz w:val="17"/>
          <w:szCs w:val="17"/>
          <w:color w:val="auto"/>
        </w:rPr>
      </w:pPr>
    </w:p>
    <w:p>
      <w:pPr>
        <w:jc w:val="both"/>
        <w:spacing w:after="0" w:line="250" w:lineRule="auto"/>
        <w:rPr>
          <w:rFonts w:ascii="Arial" w:cs="Arial" w:eastAsia="Arial" w:hAnsi="Arial"/>
          <w:sz w:val="17"/>
          <w:szCs w:val="17"/>
          <w:color w:val="auto"/>
        </w:rPr>
      </w:pPr>
      <w:r>
        <w:rPr>
          <w:rFonts w:ascii="Arial" w:cs="Arial" w:eastAsia="Arial" w:hAnsi="Arial"/>
          <w:sz w:val="18"/>
          <w:szCs w:val="18"/>
          <w:b w:val="1"/>
          <w:bCs w:val="1"/>
          <w:color w:val="0000FF"/>
        </w:rPr>
        <w:t xml:space="preserve">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and (C) the aggregate amount of the Tranche C </w:t>
      </w:r>
      <w:r>
        <w:rPr>
          <w:rFonts w:ascii="Arial" w:cs="Arial" w:eastAsia="Arial" w:hAnsi="Arial"/>
          <w:sz w:val="18"/>
          <w:szCs w:val="18"/>
          <w:color w:val="000000"/>
        </w:rPr>
        <w:t>Term Facility Commitments shall be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automatically and permanently reduced by the amount of Term Facility Loans made in respect thereof from time to time. Notwithstanding any other provision of this Agreement, any outstanding Term Facility Commitments shall automatically terminate upon the earlier of (x) </w:t>
      </w:r>
      <w:r>
        <w:rPr>
          <w:rFonts w:ascii="Arial" w:cs="Arial" w:eastAsia="Arial" w:hAnsi="Arial"/>
          <w:sz w:val="18"/>
          <w:szCs w:val="18"/>
          <w:b w:val="1"/>
          <w:bCs w:val="1"/>
          <w:color w:val="FF0000"/>
          <w:strike w:val="1"/>
        </w:rPr>
        <w:t>the</w:t>
      </w:r>
      <w:r>
        <w:rPr>
          <w:rFonts w:ascii="Arial" w:cs="Arial" w:eastAsia="Arial" w:hAnsi="Arial"/>
          <w:sz w:val="18"/>
          <w:szCs w:val="18"/>
          <w:b w:val="1"/>
          <w:bCs w:val="1"/>
          <w:color w:val="0000FF"/>
        </w:rPr>
        <w:t>such</w:t>
      </w:r>
      <w:r>
        <w:rPr>
          <w:rFonts w:ascii="Arial" w:cs="Arial" w:eastAsia="Arial" w:hAnsi="Arial"/>
          <w:sz w:val="18"/>
          <w:szCs w:val="18"/>
          <w:color w:val="000000"/>
        </w:rPr>
        <w:t xml:space="preserve"> Term Facility Commitments being fully funded pursuant to Section 2.01(b) and (y) at 5:00 p.m., New York City time, on the last Business Day of the </w:t>
      </w:r>
      <w:r>
        <w:rPr>
          <w:rFonts w:ascii="Arial" w:cs="Arial" w:eastAsia="Arial" w:hAnsi="Arial"/>
          <w:sz w:val="18"/>
          <w:szCs w:val="18"/>
          <w:b w:val="1"/>
          <w:bCs w:val="1"/>
          <w:color w:val="0000FF"/>
        </w:rPr>
        <w:t>applicable</w:t>
      </w:r>
      <w:r>
        <w:rPr>
          <w:rFonts w:ascii="Arial" w:cs="Arial" w:eastAsia="Arial" w:hAnsi="Arial"/>
          <w:sz w:val="18"/>
          <w:szCs w:val="18"/>
          <w:color w:val="000000"/>
        </w:rPr>
        <w:t xml:space="preserve"> Term Facility Availability Period.</w:t>
      </w:r>
    </w:p>
    <w:p>
      <w:pPr>
        <w:spacing w:after="0" w:line="3" w:lineRule="exact"/>
        <w:rPr>
          <w:rFonts w:ascii="Arial" w:cs="Arial" w:eastAsia="Arial" w:hAnsi="Arial"/>
          <w:sz w:val="17"/>
          <w:szCs w:val="17"/>
          <w:color w:val="auto"/>
        </w:rPr>
      </w:pPr>
    </w:p>
    <w:p>
      <w:pPr>
        <w:jc w:val="both"/>
        <w:ind w:left="660" w:hanging="4"/>
        <w:spacing w:after="0" w:line="255" w:lineRule="auto"/>
        <w:tabs>
          <w:tab w:leader="none" w:pos="1131"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90" w:lineRule="exact"/>
        <w:rPr>
          <w:rFonts w:ascii="Arial" w:cs="Arial" w:eastAsia="Arial" w:hAnsi="Arial"/>
          <w:sz w:val="18"/>
          <w:szCs w:val="18"/>
          <w:color w:val="auto"/>
        </w:rPr>
      </w:pPr>
    </w:p>
    <w:p>
      <w:pPr>
        <w:jc w:val="both"/>
        <w:ind w:firstLine="8"/>
        <w:spacing w:after="0" w:line="264" w:lineRule="auto"/>
        <w:tabs>
          <w:tab w:leader="none" w:pos="457" w:val="left"/>
        </w:tabs>
        <w:numPr>
          <w:ilvl w:val="0"/>
          <w:numId w:val="489"/>
        </w:numPr>
        <w:rPr>
          <w:rFonts w:ascii="Arial" w:cs="Arial" w:eastAsia="Arial" w:hAnsi="Arial"/>
          <w:sz w:val="18"/>
          <w:szCs w:val="18"/>
          <w:color w:val="auto"/>
        </w:rPr>
      </w:pPr>
      <w:r>
        <w:rPr>
          <w:rFonts w:ascii="Arial" w:cs="Arial" w:eastAsia="Arial" w:hAnsi="Arial"/>
          <w:sz w:val="18"/>
          <w:szCs w:val="18"/>
          <w:color w:val="auto"/>
        </w:rPr>
        <w:t>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w:t>
      </w:r>
    </w:p>
    <w:p>
      <w:pPr>
        <w:sectPr>
          <w:pgSz w:w="11900" w:h="16838" w:orient="portrait"/>
          <w:cols w:equalWidth="0" w:num="1">
            <w:col w:w="11420"/>
          </w:cols>
          <w:pgMar w:left="240" w:top="368" w:right="239" w:bottom="1440" w:gutter="0" w:footer="0" w:header="0"/>
        </w:sectPr>
      </w:pPr>
    </w:p>
    <w:bookmarkStart w:id="411" w:name="page412"/>
    <w:bookmarkEnd w:id="411"/>
    <w:p>
      <w:pPr>
        <w:jc w:val="both"/>
        <w:spacing w:after="0" w:line="289" w:lineRule="auto"/>
        <w:rPr>
          <w:sz w:val="20"/>
          <w:szCs w:val="20"/>
          <w:color w:val="auto"/>
        </w:rPr>
      </w:pPr>
      <w:r>
        <w:rPr>
          <w:rFonts w:ascii="Arial" w:cs="Arial" w:eastAsia="Arial" w:hAnsi="Arial"/>
          <w:sz w:val="16"/>
          <w:szCs w:val="16"/>
          <w:color w:val="auto"/>
        </w:rPr>
        <w:t xml:space="preserve">Revolving Commitments in their entirety, (ii) to reduce the aggregate amount of the Unutilized R/C Commitments (which shall 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Revolving Lenders), (iii) to reduce </w:t>
      </w:r>
      <w:r>
        <w:rPr>
          <w:rFonts w:ascii="Arial" w:cs="Arial" w:eastAsia="Arial" w:hAnsi="Arial"/>
          <w:sz w:val="16"/>
          <w:szCs w:val="16"/>
          <w:b w:val="1"/>
          <w:bCs w:val="1"/>
          <w:color w:val="0000FF"/>
        </w:rPr>
        <w:t>(x)</w:t>
      </w:r>
      <w:r>
        <w:rPr>
          <w:rFonts w:ascii="Arial" w:cs="Arial" w:eastAsia="Arial" w:hAnsi="Arial"/>
          <w:sz w:val="16"/>
          <w:szCs w:val="16"/>
          <w:color w:val="auto"/>
        </w:rPr>
        <w:t xml:space="preserve"> the aggregate amount of the unutilized </w:t>
      </w:r>
      <w:r>
        <w:rPr>
          <w:rFonts w:ascii="Arial" w:cs="Arial" w:eastAsia="Arial" w:hAnsi="Arial"/>
          <w:sz w:val="16"/>
          <w:szCs w:val="16"/>
          <w:b w:val="1"/>
          <w:bCs w:val="1"/>
          <w:color w:val="0000FF"/>
        </w:rPr>
        <w:t>Tranche A</w:t>
      </w:r>
      <w:r>
        <w:rPr>
          <w:rFonts w:ascii="Arial" w:cs="Arial" w:eastAsia="Arial" w:hAnsi="Arial"/>
          <w:sz w:val="16"/>
          <w:szCs w:val="16"/>
          <w:color w:val="auto"/>
        </w:rPr>
        <w:t xml:space="preserve"> Term Facility Commitments (which shall 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w:t>
      </w:r>
      <w:r>
        <w:rPr>
          <w:rFonts w:ascii="Arial" w:cs="Arial" w:eastAsia="Arial" w:hAnsi="Arial"/>
          <w:sz w:val="16"/>
          <w:szCs w:val="16"/>
          <w:b w:val="1"/>
          <w:bCs w:val="1"/>
          <w:color w:val="0000FF"/>
        </w:rPr>
        <w:t xml:space="preserve">Tranche A </w:t>
      </w:r>
      <w:r>
        <w:rPr>
          <w:rFonts w:ascii="Arial" w:cs="Arial" w:eastAsia="Arial" w:hAnsi="Arial"/>
          <w:sz w:val="16"/>
          <w:szCs w:val="16"/>
          <w:color w:val="000000"/>
        </w:rPr>
        <w:t>Term Facility Lenders)</w:t>
      </w:r>
      <w:r>
        <w:rPr>
          <w:rFonts w:ascii="Arial" w:cs="Arial" w:eastAsia="Arial" w:hAnsi="Arial"/>
          <w:sz w:val="16"/>
          <w:szCs w:val="16"/>
          <w:b w:val="1"/>
          <w:bCs w:val="1"/>
          <w:color w:val="0000FF"/>
        </w:rPr>
        <w:t xml:space="preserve">, (y) to reduce the aggregate amount of the unutilized Tranche B Term Facility Commitments (which shall be </w:t>
      </w:r>
      <w:r>
        <w:rPr>
          <w:rFonts w:ascii="Arial" w:cs="Arial" w:eastAsia="Arial" w:hAnsi="Arial"/>
          <w:sz w:val="16"/>
          <w:szCs w:val="16"/>
          <w:b w:val="1"/>
          <w:bCs w:val="1"/>
          <w:i w:val="1"/>
          <w:iCs w:val="1"/>
          <w:color w:val="0000FF"/>
        </w:rPr>
        <w:t>pro</w:t>
      </w:r>
      <w:r>
        <w:rPr>
          <w:rFonts w:ascii="Arial" w:cs="Arial" w:eastAsia="Arial" w:hAnsi="Arial"/>
          <w:sz w:val="16"/>
          <w:szCs w:val="16"/>
          <w:b w:val="1"/>
          <w:bCs w:val="1"/>
          <w:color w:val="0000FF"/>
        </w:rPr>
        <w:t xml:space="preserve"> </w:t>
      </w:r>
      <w:r>
        <w:rPr>
          <w:rFonts w:ascii="Arial" w:cs="Arial" w:eastAsia="Arial" w:hAnsi="Arial"/>
          <w:sz w:val="16"/>
          <w:szCs w:val="16"/>
          <w:b w:val="1"/>
          <w:bCs w:val="1"/>
          <w:i w:val="1"/>
          <w:iCs w:val="1"/>
          <w:color w:val="0000FF"/>
        </w:rPr>
        <w:t xml:space="preserve">rata </w:t>
      </w:r>
      <w:r>
        <w:rPr>
          <w:rFonts w:ascii="Arial" w:cs="Arial" w:eastAsia="Arial" w:hAnsi="Arial"/>
          <w:sz w:val="16"/>
          <w:szCs w:val="16"/>
          <w:b w:val="1"/>
          <w:bCs w:val="1"/>
          <w:color w:val="0000FF"/>
        </w:rPr>
        <w:t>among the Tranche B Term Facility Lenders) and (z) to reduce the aggregate amount of the unutilized Tranche C Term Facility Commitments</w:t>
      </w:r>
      <w:r>
        <w:rPr>
          <w:rFonts w:ascii="Arial" w:cs="Arial" w:eastAsia="Arial" w:hAnsi="Arial"/>
          <w:sz w:val="16"/>
          <w:szCs w:val="16"/>
          <w:b w:val="1"/>
          <w:bCs w:val="1"/>
          <w:i w:val="1"/>
          <w:iCs w:val="1"/>
          <w:color w:val="0000FF"/>
        </w:rPr>
        <w:t xml:space="preserve"> </w:t>
      </w:r>
      <w:r>
        <w:rPr>
          <w:rFonts w:ascii="Arial" w:cs="Arial" w:eastAsia="Arial" w:hAnsi="Arial"/>
          <w:sz w:val="16"/>
          <w:szCs w:val="16"/>
          <w:b w:val="1"/>
          <w:bCs w:val="1"/>
          <w:color w:val="0000FF"/>
        </w:rPr>
        <w:t xml:space="preserve">(which shall be </w:t>
      </w:r>
      <w:r>
        <w:rPr>
          <w:rFonts w:ascii="Arial" w:cs="Arial" w:eastAsia="Arial" w:hAnsi="Arial"/>
          <w:sz w:val="16"/>
          <w:szCs w:val="16"/>
          <w:b w:val="1"/>
          <w:bCs w:val="1"/>
          <w:i w:val="1"/>
          <w:iCs w:val="1"/>
          <w:color w:val="0000FF"/>
        </w:rPr>
        <w:t>pro rata</w:t>
      </w:r>
      <w:r>
        <w:rPr>
          <w:rFonts w:ascii="Arial" w:cs="Arial" w:eastAsia="Arial" w:hAnsi="Arial"/>
          <w:sz w:val="16"/>
          <w:szCs w:val="16"/>
          <w:b w:val="1"/>
          <w:bCs w:val="1"/>
          <w:color w:val="0000FF"/>
        </w:rPr>
        <w:t xml:space="preserve"> among the Tranche C Term Facility Lenders), </w:t>
      </w:r>
      <w:r>
        <w:rPr>
          <w:rFonts w:ascii="Arial" w:cs="Arial" w:eastAsia="Arial" w:hAnsi="Arial"/>
          <w:sz w:val="16"/>
          <w:szCs w:val="16"/>
          <w:color w:val="000000"/>
        </w:rPr>
        <w:t>and (iv) so long as the remaining Total Revolving Commitments will equal 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exceed the aggregate amount of outstanding Revolving Loans and L/C Liabilities, to reduce the aggregate amount of the Revolving Commitments (which shall be </w:t>
      </w:r>
      <w:r>
        <w:rPr>
          <w:rFonts w:ascii="Arial" w:cs="Arial" w:eastAsia="Arial" w:hAnsi="Arial"/>
          <w:sz w:val="16"/>
          <w:szCs w:val="16"/>
          <w:i w:val="1"/>
          <w:iCs w:val="1"/>
          <w:color w:val="000000"/>
        </w:rPr>
        <w:t>pro rata</w:t>
      </w:r>
      <w:r>
        <w:rPr>
          <w:rFonts w:ascii="Arial" w:cs="Arial" w:eastAsia="Arial" w:hAnsi="Arial"/>
          <w:sz w:val="16"/>
          <w:szCs w:val="16"/>
          <w:color w:val="000000"/>
        </w:rPr>
        <w:t xml:space="preserve"> among the Revolving Lenders);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however</w:t>
      </w:r>
      <w:r>
        <w:rPr>
          <w:rFonts w:ascii="Arial" w:cs="Arial" w:eastAsia="Arial" w:hAnsi="Arial"/>
          <w:sz w:val="16"/>
          <w:szCs w:val="16"/>
          <w:color w:val="000000"/>
        </w:rPr>
        <w:t xml:space="preserve">,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w:t>
      </w:r>
      <w:r>
        <w:rPr>
          <w:rFonts w:ascii="Arial" w:cs="Arial" w:eastAsia="Arial" w:hAnsi="Arial"/>
          <w:sz w:val="16"/>
          <w:szCs w:val="16"/>
          <w:b w:val="1"/>
          <w:bCs w:val="1"/>
          <w:color w:val="0000FF"/>
        </w:rPr>
        <w:t>of the applicable Tranche</w:t>
      </w:r>
      <w:r>
        <w:rPr>
          <w:rFonts w:ascii="Arial" w:cs="Arial" w:eastAsia="Arial" w:hAnsi="Arial"/>
          <w:sz w:val="16"/>
          <w:szCs w:val="16"/>
          <w:color w:val="000000"/>
        </w:rPr>
        <w:t>, as applicable.</w:t>
      </w:r>
    </w:p>
    <w:p>
      <w:pPr>
        <w:spacing w:after="0" w:line="167" w:lineRule="exact"/>
        <w:rPr>
          <w:sz w:val="20"/>
          <w:szCs w:val="20"/>
          <w:color w:val="auto"/>
        </w:rPr>
      </w:pPr>
    </w:p>
    <w:p>
      <w:pPr>
        <w:ind w:left="420" w:hanging="412"/>
        <w:spacing w:after="0"/>
        <w:tabs>
          <w:tab w:leader="none" w:pos="4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8"/>
        <w:spacing w:after="0" w:line="277" w:lineRule="auto"/>
        <w:tabs>
          <w:tab w:leader="none" w:pos="48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jc w:val="both"/>
        <w:ind w:firstLine="8"/>
        <w:spacing w:after="0" w:line="268" w:lineRule="auto"/>
        <w:tabs>
          <w:tab w:leader="none" w:pos="435"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(other than a Defaulting Lender), with respect to such Revolving Lender’s Revolving Commitments of each Tranche and for the account of each Term Facility Lender (other than a Defaulting Lender), with respect to such Term Facility Lender’s Term Facility Commitments </w:t>
      </w:r>
      <w:r>
        <w:rPr>
          <w:rFonts w:ascii="Arial" w:cs="Arial" w:eastAsia="Arial" w:hAnsi="Arial"/>
          <w:sz w:val="17"/>
          <w:szCs w:val="17"/>
          <w:b w:val="1"/>
          <w:bCs w:val="1"/>
          <w:color w:val="0000FF"/>
        </w:rPr>
        <w:t>of each Tranche</w:t>
      </w:r>
      <w:r>
        <w:rPr>
          <w:rFonts w:ascii="Arial" w:cs="Arial" w:eastAsia="Arial" w:hAnsi="Arial"/>
          <w:sz w:val="17"/>
          <w:szCs w:val="17"/>
          <w:color w:val="auto"/>
        </w:rPr>
        <w:t xml:space="preserve">, a commitment fee for the period from and including the Closing Date (or, following the conversion of any such Revolving Commitment into another Tranche, the applicable Extension Date) to but not including (x) for Revolving Commitments the earlier of (i) the date such Revolving Commitment is terminated or expires (or is modified to constitute another Tranche) and (ii) the R/C Maturity Date applicable to such Revolving Commitment, and (y) for Term Facility Commitments the date such Term Facility Commitment is terminated or expires, in each case, computed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Fee Percentage in respect of such Tranche in effect from time to time during such period on the actual daily amount of such Revolving Lender’s Unutilized R/C Commitment in respect of such Tranche or such Term Facility Lender’s unutilized Term Facility Commitment </w:t>
      </w:r>
      <w:r>
        <w:rPr>
          <w:rFonts w:ascii="Arial" w:cs="Arial" w:eastAsia="Arial" w:hAnsi="Arial"/>
          <w:sz w:val="17"/>
          <w:szCs w:val="17"/>
          <w:b w:val="1"/>
          <w:bCs w:val="1"/>
          <w:color w:val="0000FF"/>
        </w:rPr>
        <w:t>in respect of such Tranche</w:t>
      </w:r>
      <w:r>
        <w:rPr>
          <w:rFonts w:ascii="Arial" w:cs="Arial" w:eastAsia="Arial" w:hAnsi="Arial"/>
          <w:sz w:val="17"/>
          <w:szCs w:val="17"/>
          <w:color w:val="auto"/>
        </w:rPr>
        <w:t xml:space="preserve">, as applicable.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or Term Facility Commitment shall be payable in arrears on each Quarterly Date and on the earlier of (i) the date the applicable Revolving Commitment is modified to constitute another Tranche or </w:t>
      </w:r>
      <w:r>
        <w:rPr>
          <w:rFonts w:ascii="Arial" w:cs="Arial" w:eastAsia="Arial" w:hAnsi="Arial"/>
          <w:sz w:val="17"/>
          <w:szCs w:val="17"/>
          <w:b w:val="1"/>
          <w:bCs w:val="1"/>
          <w:color w:val="0000FF"/>
        </w:rPr>
        <w:t>such</w:t>
      </w:r>
      <w:r>
        <w:rPr>
          <w:rFonts w:ascii="Arial" w:cs="Arial" w:eastAsia="Arial" w:hAnsi="Arial"/>
          <w:sz w:val="17"/>
          <w:szCs w:val="17"/>
          <w:color w:val="auto"/>
        </w:rPr>
        <w:t xml:space="preserve"> Term Facility Commitment is terminated or expires, as applicable, and (ii) for any Revolving Commitment, the R/C Maturity Date applicable to such Revolving Commitment and, for any Term Facility Commitment, the termination of the </w:t>
      </w:r>
      <w:r>
        <w:rPr>
          <w:rFonts w:ascii="Arial" w:cs="Arial" w:eastAsia="Arial" w:hAnsi="Arial"/>
          <w:sz w:val="17"/>
          <w:szCs w:val="17"/>
          <w:b w:val="1"/>
          <w:bCs w:val="1"/>
          <w:color w:val="0000FF"/>
        </w:rPr>
        <w:t>applicable</w:t>
      </w:r>
      <w:r>
        <w:rPr>
          <w:rFonts w:ascii="Arial" w:cs="Arial" w:eastAsia="Arial" w:hAnsi="Arial"/>
          <w:sz w:val="17"/>
          <w:szCs w:val="17"/>
          <w:color w:val="auto"/>
        </w:rPr>
        <w:t xml:space="preserve"> Term Facility Availability Period.</w:t>
      </w:r>
    </w:p>
    <w:p>
      <w:pPr>
        <w:spacing w:after="0" w:line="180" w:lineRule="exact"/>
        <w:rPr>
          <w:rFonts w:ascii="Arial" w:cs="Arial" w:eastAsia="Arial" w:hAnsi="Arial"/>
          <w:sz w:val="17"/>
          <w:szCs w:val="17"/>
          <w:color w:val="auto"/>
        </w:rPr>
      </w:pPr>
    </w:p>
    <w:p>
      <w:pPr>
        <w:ind w:left="440" w:hanging="432"/>
        <w:spacing w:after="0"/>
        <w:tabs>
          <w:tab w:leader="none" w:pos="44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Borrower shall pay to Administrative Agent for its own account the administrative fee separately agreed to in the Fee Letter.</w:t>
      </w:r>
    </w:p>
    <w:p>
      <w:pPr>
        <w:spacing w:after="0" w:line="225" w:lineRule="exact"/>
        <w:rPr>
          <w:rFonts w:ascii="Arial" w:cs="Arial" w:eastAsia="Arial" w:hAnsi="Arial"/>
          <w:sz w:val="18"/>
          <w:szCs w:val="18"/>
          <w:color w:val="auto"/>
        </w:rPr>
      </w:pPr>
    </w:p>
    <w:p>
      <w:pPr>
        <w:ind w:right="20" w:firstLine="8"/>
        <w:spacing w:after="0" w:line="277" w:lineRule="auto"/>
        <w:tabs>
          <w:tab w:leader="none" w:pos="497" w:val="left"/>
        </w:tabs>
        <w:numPr>
          <w:ilvl w:val="0"/>
          <w:numId w:val="491"/>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w:t>
      </w:r>
    </w:p>
    <w:p>
      <w:pPr>
        <w:sectPr>
          <w:pgSz w:w="11900" w:h="16838" w:orient="portrait"/>
          <w:cols w:equalWidth="0" w:num="1">
            <w:col w:w="11420"/>
          </w:cols>
          <w:pgMar w:left="240" w:top="368" w:right="2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t>shall not affect in any manner the obligation of Borrower to repay such Loan in accordance with the terms of this Agreement.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p>
    <w:p>
      <w:pPr>
        <w:spacing w:after="0" w:line="229" w:lineRule="exact"/>
        <w:rPr>
          <w:sz w:val="20"/>
          <w:szCs w:val="20"/>
          <w:color w:val="auto"/>
        </w:rPr>
      </w:pPr>
    </w:p>
    <w:p>
      <w:pPr>
        <w:jc w:val="both"/>
        <w:ind w:firstLine="8"/>
        <w:spacing w:after="0" w:line="220" w:lineRule="exact"/>
        <w:tabs>
          <w:tab w:leader="none" w:pos="45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such Lender’s Revolving Loans and Term Facility Loans, respectively;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promissory notes issued in respect of Other Term Loans, Extended Term Loans or Extended Revolving Loans shall be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mutually agreed by Borrower and Administrative Agent.</w:t>
      </w:r>
    </w:p>
    <w:p>
      <w:pPr>
        <w:spacing w:after="0" w:line="204" w:lineRule="exact"/>
        <w:rPr>
          <w:rFonts w:ascii="Arial" w:cs="Arial" w:eastAsia="Arial" w:hAnsi="Arial"/>
          <w:sz w:val="18"/>
          <w:szCs w:val="18"/>
          <w:color w:val="auto"/>
        </w:rPr>
      </w:pPr>
    </w:p>
    <w:p>
      <w:pPr>
        <w:jc w:val="both"/>
        <w:ind w:firstLine="8"/>
        <w:spacing w:after="0" w:line="297" w:lineRule="auto"/>
        <w:tabs>
          <w:tab w:leader="none" w:pos="477" w:val="left"/>
        </w:tabs>
        <w:numPr>
          <w:ilvl w:val="0"/>
          <w:numId w:val="492"/>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8"/>
        <w:spacing w:after="0" w:line="270" w:lineRule="auto"/>
        <w:tabs>
          <w:tab w:leader="none" w:pos="442" w:val="left"/>
        </w:tabs>
        <w:numPr>
          <w:ilvl w:val="0"/>
          <w:numId w:val="492"/>
        </w:numPr>
        <w:rPr>
          <w:rFonts w:ascii="Arial" w:cs="Arial" w:eastAsia="Arial" w:hAnsi="Arial"/>
          <w:sz w:val="17"/>
          <w:szCs w:val="17"/>
          <w:color w:val="auto"/>
        </w:rPr>
      </w:pPr>
      <w:r>
        <w:rPr>
          <w:rFonts w:ascii="Arial" w:cs="Arial" w:eastAsia="Arial" w:hAnsi="Arial"/>
          <w:sz w:val="17"/>
          <w:szCs w:val="17"/>
          <w:color w:val="auto"/>
        </w:rPr>
        <w:t>Borrower hereby designates Administrative Agent to serve as its nonfiduciary agent, solely for purposes of this Section 2.08, to maintain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Administrative Agent agrees to record in the Register any assignment entered into pursuant to the term hereof promptly after the effectiveness of such assignment.</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0" w:lineRule="auto"/>
        <w:tabs>
          <w:tab w:leader="none" w:pos="479" w:val="left"/>
        </w:tabs>
        <w:numPr>
          <w:ilvl w:val="0"/>
          <w:numId w:val="493"/>
        </w:numPr>
        <w:rPr>
          <w:rFonts w:ascii="Arial" w:cs="Arial" w:eastAsia="Arial" w:hAnsi="Arial"/>
          <w:sz w:val="17"/>
          <w:szCs w:val="17"/>
          <w:color w:val="auto"/>
        </w:rPr>
      </w:pPr>
      <w:r>
        <w:rPr>
          <w:rFonts w:ascii="Arial" w:cs="Arial" w:eastAsia="Arial" w:hAnsi="Arial"/>
          <w:sz w:val="17"/>
          <w:szCs w:val="17"/>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w:t>
      </w:r>
    </w:p>
    <w:p>
      <w:pPr>
        <w:sectPr>
          <w:pgSz w:w="11900" w:h="16838" w:orient="portrait"/>
          <w:cols w:equalWidth="0" w:num="1">
            <w:col w:w="11420"/>
          </w:cols>
          <w:pgMar w:left="240" w:top="368" w:right="239" w:bottom="1440" w:gutter="0" w:footer="0" w:header="0"/>
        </w:sectPr>
      </w:pPr>
    </w:p>
    <w:bookmarkStart w:id="413" w:name="page414"/>
    <w:bookmarkEnd w:id="413"/>
    <w:p>
      <w:pPr>
        <w:spacing w:after="0"/>
        <w:rPr>
          <w:sz w:val="20"/>
          <w:szCs w:val="20"/>
          <w:color w:val="auto"/>
        </w:rPr>
      </w:pPr>
      <w:r>
        <w:rPr>
          <w:rFonts w:ascii="Arial" w:cs="Arial" w:eastAsia="Arial" w:hAnsi="Arial"/>
          <w:sz w:val="16"/>
          <w:szCs w:val="16"/>
          <w:color w:val="auto"/>
        </w:rPr>
        <w:t>which event all Loans shall be converted (on the last day(s) of the respective Interest Periods therefor) or continued, as the case may be, as ABR Loans.</w:t>
      </w:r>
    </w:p>
    <w:p>
      <w:pPr>
        <w:spacing w:after="0" w:line="244" w:lineRule="exact"/>
        <w:rPr>
          <w:sz w:val="20"/>
          <w:szCs w:val="20"/>
          <w:color w:val="auto"/>
        </w:rPr>
      </w:pPr>
    </w:p>
    <w:p>
      <w:pPr>
        <w:ind w:left="440" w:hanging="432"/>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4"/>
        <w:spacing w:after="0" w:line="277" w:lineRule="auto"/>
        <w:tabs>
          <w:tab w:leader="none" w:pos="887"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amount of any optional prepayments described in Section 2.09(a) shall be applied to prepay Loans outstanding in order of amortization, in amounts and to Tranches, all as determined by Borrower.</w:t>
      </w:r>
    </w:p>
    <w:p>
      <w:pPr>
        <w:spacing w:after="0" w:line="170" w:lineRule="exact"/>
        <w:rPr>
          <w:rFonts w:ascii="Arial" w:cs="Arial" w:eastAsia="Arial" w:hAnsi="Arial"/>
          <w:sz w:val="18"/>
          <w:szCs w:val="18"/>
          <w:color w:val="auto"/>
        </w:rPr>
      </w:pPr>
    </w:p>
    <w:p>
      <w:pPr>
        <w:jc w:val="both"/>
        <w:ind w:left="660" w:hanging="4"/>
        <w:spacing w:after="0" w:line="283" w:lineRule="auto"/>
        <w:tabs>
          <w:tab w:leader="none" w:pos="927" w:val="left"/>
        </w:tabs>
        <w:numPr>
          <w:ilvl w:val="1"/>
          <w:numId w:val="494"/>
        </w:numPr>
        <w:rPr>
          <w:rFonts w:ascii="Arial" w:cs="Arial" w:eastAsia="Arial" w:hAnsi="Arial"/>
          <w:sz w:val="16"/>
          <w:szCs w:val="16"/>
          <w:color w:val="auto"/>
        </w:rPr>
      </w:pPr>
      <w:r>
        <w:rPr>
          <w:rFonts w:ascii="Arial" w:cs="Arial" w:eastAsia="Arial" w:hAnsi="Arial"/>
          <w:sz w:val="16"/>
          <w:szCs w:val="16"/>
          <w:color w:val="auto"/>
        </w:rPr>
        <w:t xml:space="preserve">In addition to the foregoing, following the earlier of the Wynn Las Vegas Reorganization and the Wynn Massachusetts Project Opening Date and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prior to the Initial Test Date, the Consolidated Senior Secured Net Leverage Ratio is less than 2.50 to 1.00 on a Pro Forma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Facility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an Other Term Loan or an Extended Term Loan may elect, in its sole discretion, to reject such prepayment offer with respect to an amount equal to or less than</w:t>
      </w:r>
    </w:p>
    <w:p>
      <w:pPr>
        <w:spacing w:after="0" w:line="3" w:lineRule="exact"/>
        <w:rPr>
          <w:rFonts w:ascii="Arial" w:cs="Arial" w:eastAsia="Arial" w:hAnsi="Arial"/>
          <w:sz w:val="16"/>
          <w:szCs w:val="16"/>
          <w:color w:val="auto"/>
        </w:rPr>
      </w:pPr>
    </w:p>
    <w:p>
      <w:pPr>
        <w:jc w:val="both"/>
        <w:ind w:left="660"/>
        <w:spacing w:after="0" w:line="267" w:lineRule="auto"/>
        <w:rPr>
          <w:rFonts w:ascii="Arial" w:cs="Arial" w:eastAsia="Arial" w:hAnsi="Arial"/>
          <w:sz w:val="16"/>
          <w:szCs w:val="16"/>
          <w:color w:val="auto"/>
        </w:rPr>
      </w:pPr>
      <w:r>
        <w:rPr>
          <w:rFonts w:ascii="Arial" w:cs="Arial" w:eastAsia="Arial" w:hAnsi="Arial"/>
          <w:sz w:val="17"/>
          <w:szCs w:val="17"/>
          <w:color w:val="auto"/>
        </w:rPr>
        <w:t>(w)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(y)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Section 10.09 or 10.06, respectively.</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left="440" w:hanging="432"/>
        <w:spacing w:after="0"/>
        <w:tabs>
          <w:tab w:leader="none" w:pos="44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Borrower shall prepay the Loans as follows (each such prepayment to be effected in each case in the manner, order and to the extent specified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2.10(b) below):</w:t>
      </w:r>
    </w:p>
    <w:p>
      <w:pPr>
        <w:spacing w:after="0" w:line="206" w:lineRule="exact"/>
        <w:rPr>
          <w:rFonts w:ascii="Arial" w:cs="Arial" w:eastAsia="Arial" w:hAnsi="Arial"/>
          <w:sz w:val="16"/>
          <w:szCs w:val="16"/>
          <w:color w:val="auto"/>
        </w:rPr>
      </w:pPr>
    </w:p>
    <w:p>
      <w:pPr>
        <w:jc w:val="both"/>
        <w:ind w:left="660" w:hanging="4"/>
        <w:spacing w:after="0" w:line="261" w:lineRule="auto"/>
        <w:tabs>
          <w:tab w:leader="none" w:pos="1111" w:val="left"/>
        </w:tabs>
        <w:numPr>
          <w:ilvl w:val="1"/>
          <w:numId w:val="495"/>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Borrower or any Restricted Subsidiary receives any Net Available Proceeds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ectPr>
          <w:pgSz w:w="11900" w:h="16838" w:orient="portrait"/>
          <w:cols w:equalWidth="0" w:num="1">
            <w:col w:w="11420"/>
          </w:cols>
          <w:pgMar w:left="240" w:top="368" w:right="239" w:bottom="1440" w:gutter="0" w:footer="0" w:header="0"/>
        </w:sectPr>
      </w:pPr>
    </w:p>
    <w:bookmarkStart w:id="414" w:name="page415"/>
    <w:bookmarkEnd w:id="414"/>
    <w:p>
      <w:pPr>
        <w:jc w:val="both"/>
        <w:ind w:left="644" w:firstLine="653"/>
        <w:spacing w:after="0" w:line="284" w:lineRule="auto"/>
        <w:tabs>
          <w:tab w:leader="none" w:pos="1703" w:val="left"/>
        </w:tabs>
        <w:numPr>
          <w:ilvl w:val="1"/>
          <w:numId w:val="496"/>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2" w:lineRule="exact"/>
        <w:rPr>
          <w:rFonts w:ascii="Arial" w:cs="Arial" w:eastAsia="Arial" w:hAnsi="Arial"/>
          <w:sz w:val="16"/>
          <w:szCs w:val="16"/>
          <w:color w:val="auto"/>
        </w:rPr>
      </w:pPr>
    </w:p>
    <w:p>
      <w:pPr>
        <w:ind w:left="644" w:firstLine="5"/>
        <w:spacing w:after="0" w:line="261" w:lineRule="auto"/>
        <w:tabs>
          <w:tab w:leader="none" w:pos="901" w:val="left"/>
        </w:tabs>
        <w:numPr>
          <w:ilvl w:val="0"/>
          <w:numId w:val="497"/>
        </w:numPr>
        <w:rPr>
          <w:rFonts w:ascii="Arial" w:cs="Arial" w:eastAsia="Arial" w:hAnsi="Arial"/>
          <w:sz w:val="18"/>
          <w:szCs w:val="18"/>
          <w:color w:val="auto"/>
        </w:rPr>
      </w:pPr>
      <w:r>
        <w:rPr>
          <w:rFonts w:ascii="Arial" w:cs="Arial" w:eastAsia="Arial" w:hAnsi="Arial"/>
          <w:sz w:val="18"/>
          <w:szCs w:val="18"/>
          <w:color w:val="auto"/>
        </w:rPr>
        <w:t>one hundred and eighty (180) days following the date of such legally binding commitment and (2) twelve (12) months following receipt of such Net Available Proceeds, and</w:t>
      </w:r>
    </w:p>
    <w:p>
      <w:pPr>
        <w:spacing w:after="0" w:line="183" w:lineRule="exact"/>
        <w:rPr>
          <w:rFonts w:ascii="Arial" w:cs="Arial" w:eastAsia="Arial" w:hAnsi="Arial"/>
          <w:sz w:val="18"/>
          <w:szCs w:val="18"/>
          <w:color w:val="auto"/>
        </w:rPr>
      </w:pPr>
    </w:p>
    <w:p>
      <w:pPr>
        <w:jc w:val="both"/>
        <w:ind w:left="644" w:firstLine="653"/>
        <w:spacing w:after="0" w:line="264" w:lineRule="auto"/>
        <w:tabs>
          <w:tab w:leader="none" w:pos="1728"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67" w:lineRule="exact"/>
        <w:rPr>
          <w:sz w:val="20"/>
          <w:szCs w:val="20"/>
          <w:color w:val="auto"/>
        </w:rPr>
      </w:pPr>
    </w:p>
    <w:p>
      <w:pPr>
        <w:ind w:left="464" w:hanging="464"/>
        <w:spacing w:after="0"/>
        <w:tabs>
          <w:tab w:leader="none" w:pos="464" w:val="left"/>
        </w:tabs>
        <w:numPr>
          <w:ilvl w:val="0"/>
          <w:numId w:val="498"/>
        </w:numPr>
        <w:rPr>
          <w:rFonts w:ascii="Arial" w:cs="Arial" w:eastAsia="Arial" w:hAnsi="Arial"/>
          <w:sz w:val="16"/>
          <w:szCs w:val="16"/>
          <w:color w:val="auto"/>
        </w:rPr>
      </w:pPr>
      <w:r>
        <w:rPr>
          <w:rFonts w:ascii="Arial" w:cs="Arial" w:eastAsia="Arial" w:hAnsi="Arial"/>
          <w:sz w:val="16"/>
          <w:szCs w:val="16"/>
          <w:b w:val="1"/>
          <w:bCs w:val="1"/>
          <w:color w:val="auto"/>
        </w:rPr>
        <w:t>Debt Issuance</w:t>
      </w:r>
      <w:r>
        <w:rPr>
          <w:rFonts w:ascii="Arial" w:cs="Arial" w:eastAsia="Arial" w:hAnsi="Arial"/>
          <w:sz w:val="16"/>
          <w:szCs w:val="16"/>
          <w:color w:val="auto"/>
        </w:rPr>
        <w:t>. Within five (5) Business Days after any Debt Issuance on or after the Closing Date, in an aggregate principal amount equal to</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100% of the Net Available Proceeds of such Debt Issuance.</w:t>
      </w:r>
    </w:p>
    <w:p>
      <w:pPr>
        <w:spacing w:after="0" w:line="206" w:lineRule="exact"/>
        <w:rPr>
          <w:rFonts w:ascii="Arial" w:cs="Arial" w:eastAsia="Arial" w:hAnsi="Arial"/>
          <w:sz w:val="16"/>
          <w:szCs w:val="16"/>
          <w:color w:val="auto"/>
        </w:rPr>
      </w:pPr>
    </w:p>
    <w:p>
      <w:pPr>
        <w:jc w:val="both"/>
        <w:ind w:left="4" w:hanging="4"/>
        <w:spacing w:after="0" w:line="289" w:lineRule="auto"/>
        <w:tabs>
          <w:tab w:leader="none" w:pos="489" w:val="left"/>
        </w:tabs>
        <w:numPr>
          <w:ilvl w:val="0"/>
          <w:numId w:val="498"/>
        </w:numPr>
        <w:rPr>
          <w:rFonts w:ascii="Arial" w:cs="Arial" w:eastAsia="Arial" w:hAnsi="Arial"/>
          <w:sz w:val="16"/>
          <w:szCs w:val="16"/>
          <w:color w:val="auto"/>
        </w:rPr>
      </w:pPr>
      <w:r>
        <w:rPr>
          <w:rFonts w:ascii="Arial" w:cs="Arial" w:eastAsia="Arial" w:hAnsi="Arial"/>
          <w:sz w:val="16"/>
          <w:szCs w:val="16"/>
          <w:b w:val="1"/>
          <w:bCs w:val="1"/>
          <w:color w:val="auto"/>
        </w:rPr>
        <w:t>Asset Sales</w:t>
      </w:r>
      <w:r>
        <w:rPr>
          <w:rFonts w:ascii="Arial" w:cs="Arial" w:eastAsia="Arial" w:hAnsi="Arial"/>
          <w:sz w:val="16"/>
          <w:szCs w:val="16"/>
          <w:color w:val="auto"/>
        </w:rPr>
        <w:t>. Within five (5) Business Days after receipt by Borrower or any of its Restricted Subsidiaries of any Net Available Proceeds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jc w:val="both"/>
        <w:ind w:left="644" w:firstLine="653"/>
        <w:spacing w:after="0" w:line="268" w:lineRule="auto"/>
        <w:tabs>
          <w:tab w:leader="none" w:pos="1714" w:val="left"/>
        </w:tabs>
        <w:numPr>
          <w:ilvl w:val="1"/>
          <w:numId w:val="498"/>
        </w:numPr>
        <w:rPr>
          <w:rFonts w:ascii="Arial" w:cs="Arial" w:eastAsia="Arial" w:hAnsi="Arial"/>
          <w:sz w:val="17"/>
          <w:szCs w:val="17"/>
          <w:color w:val="auto"/>
        </w:rPr>
      </w:pPr>
      <w:r>
        <w:rPr>
          <w:rFonts w:ascii="Arial" w:cs="Arial" w:eastAsia="Arial" w:hAnsi="Arial"/>
          <w:sz w:val="17"/>
          <w:szCs w:val="17"/>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79" w:lineRule="exact"/>
        <w:rPr>
          <w:rFonts w:ascii="Arial" w:cs="Arial" w:eastAsia="Arial" w:hAnsi="Arial"/>
          <w:sz w:val="17"/>
          <w:szCs w:val="17"/>
          <w:color w:val="auto"/>
        </w:rPr>
      </w:pPr>
    </w:p>
    <w:p>
      <w:pPr>
        <w:jc w:val="both"/>
        <w:ind w:left="644" w:firstLine="653"/>
        <w:spacing w:after="0" w:line="264" w:lineRule="auto"/>
        <w:tabs>
          <w:tab w:leader="none" w:pos="1738"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81"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Notwithstanding the foregoing provisions of this Section 2.10(a)(iii) or otherwise, no mandatory prepayment shall be required pursuant to this Section 2.10(a)(iii) in any fiscal year until the date on which the</w:t>
      </w:r>
    </w:p>
    <w:p>
      <w:pPr>
        <w:sectPr>
          <w:pgSz w:w="11900" w:h="16838" w:orient="portrait"/>
          <w:cols w:equalWidth="0" w:num="1">
            <w:col w:w="10764"/>
          </w:cols>
          <w:pgMar w:left="896" w:top="369" w:right="239" w:bottom="1440" w:gutter="0" w:footer="0" w:header="0"/>
        </w:sectPr>
      </w:pPr>
    </w:p>
    <w:bookmarkStart w:id="415" w:name="page416"/>
    <w:bookmarkEnd w:id="415"/>
    <w:p>
      <w:pPr>
        <w:jc w:val="both"/>
        <w:ind w:left="652"/>
        <w:spacing w:after="0" w:line="264" w:lineRule="auto"/>
        <w:rPr>
          <w:sz w:val="20"/>
          <w:szCs w:val="20"/>
          <w:color w:val="auto"/>
        </w:rPr>
      </w:pPr>
      <w:r>
        <w:rPr>
          <w:rFonts w:ascii="Arial" w:cs="Arial" w:eastAsia="Arial" w:hAnsi="Arial"/>
          <w:sz w:val="18"/>
          <w:szCs w:val="18"/>
          <w:color w:val="auto"/>
        </w:rPr>
        <w:t>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77" w:lineRule="exact"/>
        <w:rPr>
          <w:sz w:val="20"/>
          <w:szCs w:val="20"/>
          <w:color w:val="auto"/>
        </w:rPr>
      </w:pPr>
    </w:p>
    <w:p>
      <w:pPr>
        <w:jc w:val="both"/>
        <w:ind w:left="652" w:hanging="4"/>
        <w:spacing w:after="0" w:line="285" w:lineRule="auto"/>
        <w:tabs>
          <w:tab w:leader="none" w:pos="1175" w:val="left"/>
        </w:tabs>
        <w:numPr>
          <w:ilvl w:val="1"/>
          <w:numId w:val="499"/>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 Section 2.10(a), to the extent that any of or all the Net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w:t>
      </w:r>
    </w:p>
    <w:p>
      <w:pPr>
        <w:spacing w:after="0" w:line="1" w:lineRule="exact"/>
        <w:rPr>
          <w:rFonts w:ascii="Arial" w:cs="Arial" w:eastAsia="Arial" w:hAnsi="Arial"/>
          <w:sz w:val="16"/>
          <w:szCs w:val="16"/>
          <w:color w:val="auto"/>
        </w:rPr>
      </w:pPr>
    </w:p>
    <w:p>
      <w:pPr>
        <w:jc w:val="both"/>
        <w:ind w:left="652" w:hanging="4"/>
        <w:spacing w:after="0" w:line="286" w:lineRule="auto"/>
        <w:tabs>
          <w:tab w:leader="none" w:pos="867" w:val="left"/>
        </w:tabs>
        <w:numPr>
          <w:ilvl w:val="1"/>
          <w:numId w:val="500"/>
        </w:numPr>
        <w:rPr>
          <w:rFonts w:ascii="Arial" w:cs="Arial" w:eastAsia="Arial" w:hAnsi="Arial"/>
          <w:sz w:val="16"/>
          <w:szCs w:val="16"/>
          <w:color w:val="auto"/>
        </w:rPr>
      </w:pPr>
      <w:r>
        <w:rPr>
          <w:rFonts w:ascii="Arial" w:cs="Arial" w:eastAsia="Arial" w:hAnsi="Arial"/>
          <w:sz w:val="16"/>
          <w:szCs w:val="16"/>
          <w:color w:val="auto"/>
        </w:rPr>
        <w:t xml:space="preserve">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 Available Proceeds that would be calculated if received by such Foreign Subsidiary) pursuant to Section 2.10(b) or (B) such Net Available Proceeds shall be applied to the repayment of Indebtedness of a Foreign Subsidiary.</w:t>
      </w:r>
    </w:p>
    <w:p>
      <w:pPr>
        <w:spacing w:after="0" w:line="162" w:lineRule="exact"/>
        <w:rPr>
          <w:rFonts w:ascii="Arial" w:cs="Arial" w:eastAsia="Arial" w:hAnsi="Arial"/>
          <w:sz w:val="16"/>
          <w:szCs w:val="16"/>
          <w:color w:val="auto"/>
        </w:rPr>
      </w:pPr>
    </w:p>
    <w:p>
      <w:pPr>
        <w:jc w:val="both"/>
        <w:ind w:left="652" w:hanging="4"/>
        <w:spacing w:after="0" w:line="287" w:lineRule="auto"/>
        <w:tabs>
          <w:tab w:leader="none" w:pos="1119" w:val="left"/>
        </w:tabs>
        <w:numPr>
          <w:ilvl w:val="1"/>
          <w:numId w:val="501"/>
        </w:numPr>
        <w:rPr>
          <w:rFonts w:ascii="Arial" w:cs="Arial" w:eastAsia="Arial" w:hAnsi="Arial"/>
          <w:sz w:val="16"/>
          <w:szCs w:val="16"/>
          <w:color w:val="auto"/>
        </w:rPr>
      </w:pPr>
      <w:r>
        <w:rPr>
          <w:rFonts w:ascii="Arial" w:cs="Arial" w:eastAsia="Arial" w:hAnsi="Arial"/>
          <w:sz w:val="16"/>
          <w:szCs w:val="16"/>
          <w:b w:val="1"/>
          <w:bCs w:val="1"/>
          <w:color w:val="auto"/>
        </w:rPr>
        <w:t xml:space="preserve">Prepayments of Other First Lien Indebtedness. </w:t>
      </w:r>
      <w:r>
        <w:rPr>
          <w:rFonts w:ascii="Arial" w:cs="Arial" w:eastAsia="Arial" w:hAnsi="Arial"/>
          <w:sz w:val="16"/>
          <w:szCs w:val="16"/>
          <w:color w:val="auto"/>
        </w:rPr>
        <w:t>Notwithstanding the foregoing provisions of Section 2.10(a)(i), (ii), (iii) or otherwise,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with outstanding Term Loans. To the extent the holders of Other First Lien Indebtedness decline to have such indebtedness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64" w:lineRule="exact"/>
        <w:rPr>
          <w:rFonts w:ascii="Arial" w:cs="Arial" w:eastAsia="Arial" w:hAnsi="Arial"/>
          <w:sz w:val="16"/>
          <w:szCs w:val="16"/>
          <w:color w:val="auto"/>
        </w:rPr>
      </w:pPr>
    </w:p>
    <w:p>
      <w:pPr>
        <w:ind w:left="432" w:hanging="432"/>
        <w:spacing w:after="0"/>
        <w:tabs>
          <w:tab w:leader="none" w:pos="432"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 Section 2.10(a) shall be applied to prepay Loans as follows:</w:t>
      </w:r>
    </w:p>
    <w:p>
      <w:pPr>
        <w:spacing w:after="0" w:line="229" w:lineRule="exact"/>
        <w:rPr>
          <w:rFonts w:ascii="Arial" w:cs="Arial" w:eastAsia="Arial" w:hAnsi="Arial"/>
          <w:sz w:val="18"/>
          <w:szCs w:val="18"/>
          <w:color w:val="auto"/>
        </w:rPr>
      </w:pPr>
    </w:p>
    <w:p>
      <w:pPr>
        <w:jc w:val="both"/>
        <w:ind w:left="652" w:hanging="4"/>
        <w:spacing w:after="0" w:line="264" w:lineRule="auto"/>
        <w:tabs>
          <w:tab w:leader="none" w:pos="1128" w:val="left"/>
        </w:tabs>
        <w:numPr>
          <w:ilvl w:val="1"/>
          <w:numId w:val="502"/>
        </w:numPr>
        <w:rPr>
          <w:rFonts w:ascii="Arial" w:cs="Arial" w:eastAsia="Arial" w:hAnsi="Arial"/>
          <w:sz w:val="18"/>
          <w:szCs w:val="18"/>
          <w:i w:val="1"/>
          <w:iCs w:val="1"/>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reduction of Amortization Payments on the Term Loans required by Sections 3.01(b) and 3.01(c) and, in the case of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to the remaining principal installments with respect thereto in direct order of maturity over the next succeeding four (4) quarterly installments and, thereafter, on a pro</w:t>
      </w:r>
    </w:p>
    <w:p>
      <w:pPr>
        <w:sectPr>
          <w:pgSz w:w="11900" w:h="16838" w:orient="portrait"/>
          <w:cols w:equalWidth="0" w:num="1">
            <w:col w:w="11412"/>
          </w:cols>
          <w:pgMar w:left="248" w:top="368" w:right="239" w:bottom="1440" w:gutter="0" w:footer="0" w:header="0"/>
        </w:sectPr>
      </w:pPr>
    </w:p>
    <w:bookmarkStart w:id="416" w:name="page417"/>
    <w:bookmarkEnd w:id="416"/>
    <w:p>
      <w:pPr>
        <w:jc w:val="both"/>
        <w:ind w:left="660"/>
        <w:spacing w:after="0" w:line="286" w:lineRule="auto"/>
        <w:rPr>
          <w:sz w:val="20"/>
          <w:szCs w:val="20"/>
          <w:color w:val="auto"/>
        </w:rPr>
      </w:pPr>
      <w:r>
        <w:rPr>
          <w:rFonts w:ascii="Arial" w:cs="Arial" w:eastAsia="Arial" w:hAnsi="Arial"/>
          <w:sz w:val="17"/>
          <w:szCs w:val="17"/>
          <w:color w:val="auto"/>
        </w:rPr>
        <w:t xml:space="preserve">rata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prepayment shall, subject to the last paragraph of this Section 2.10(b), be applied to such Term Loans that are ABR Loans to the fullest extent thereof before application to Loans that are LIBOR Loans, and such prepayments of LIBOR Loans shall be applied in a manner that minimizes the amount of any payments required to be made by Borrower pursuant to Section 5.05;</w:t>
      </w:r>
    </w:p>
    <w:p>
      <w:pPr>
        <w:spacing w:after="0" w:line="166" w:lineRule="exact"/>
        <w:rPr>
          <w:sz w:val="20"/>
          <w:szCs w:val="20"/>
          <w:color w:val="auto"/>
        </w:rPr>
      </w:pPr>
    </w:p>
    <w:p>
      <w:pPr>
        <w:ind w:left="660" w:hanging="4"/>
        <w:spacing w:after="0" w:line="277" w:lineRule="auto"/>
        <w:tabs>
          <w:tab w:leader="none" w:pos="1267" w:val="left"/>
        </w:tabs>
        <w:numPr>
          <w:ilvl w:val="0"/>
          <w:numId w:val="503"/>
        </w:numPr>
        <w:rPr>
          <w:rFonts w:ascii="Arial" w:cs="Arial" w:eastAsia="Arial" w:hAnsi="Arial"/>
          <w:sz w:val="18"/>
          <w:szCs w:val="18"/>
          <w:i w:val="1"/>
          <w:iCs w:val="1"/>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such time as no Term Loans or Permitted First Priority Refinancing Debt remain outstanding, to prepay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Loans (in each case, without any reduction in Revolving Commitments); and</w:t>
      </w:r>
    </w:p>
    <w:p>
      <w:pPr>
        <w:spacing w:after="0" w:line="170" w:lineRule="exact"/>
        <w:rPr>
          <w:rFonts w:ascii="Arial" w:cs="Arial" w:eastAsia="Arial" w:hAnsi="Arial"/>
          <w:sz w:val="18"/>
          <w:szCs w:val="18"/>
          <w:i w:val="1"/>
          <w:iCs w:val="1"/>
          <w:color w:val="auto"/>
        </w:rPr>
      </w:pPr>
    </w:p>
    <w:p>
      <w:pPr>
        <w:ind w:left="660" w:hanging="4"/>
        <w:spacing w:after="0" w:line="277" w:lineRule="auto"/>
        <w:tabs>
          <w:tab w:leader="none" w:pos="1155" w:val="left"/>
        </w:tabs>
        <w:numPr>
          <w:ilvl w:val="0"/>
          <w:numId w:val="503"/>
        </w:numPr>
        <w:rPr>
          <w:rFonts w:ascii="Arial" w:cs="Arial" w:eastAsia="Arial" w:hAnsi="Arial"/>
          <w:sz w:val="18"/>
          <w:szCs w:val="18"/>
          <w:i w:val="1"/>
          <w:iCs w:val="1"/>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after application of prepayments in accordance with clauses (i) and (ii) above, Borrower shall be permitted to retain any such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excess.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any Term Facility Lender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that initially accepted such prepayment. Any such re-offered amounts rejected by such Lenders shall be retained by Borrower (any such retained amounts, “</w:t>
      </w:r>
      <w:r>
        <w:rPr>
          <w:rFonts w:ascii="Arial" w:cs="Arial" w:eastAsia="Arial" w:hAnsi="Arial"/>
          <w:sz w:val="18"/>
          <w:szCs w:val="18"/>
          <w:b w:val="1"/>
          <w:bCs w:val="1"/>
          <w:color w:val="auto"/>
        </w:rPr>
        <w:t>Declined Amounts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74" w:lineRule="exact"/>
        <w:rPr>
          <w:sz w:val="20"/>
          <w:szCs w:val="20"/>
          <w:color w:val="auto"/>
        </w:rPr>
      </w:pPr>
    </w:p>
    <w:p>
      <w:pPr>
        <w:jc w:val="both"/>
        <w:ind w:firstLine="8"/>
        <w:spacing w:after="0" w:line="289" w:lineRule="auto"/>
        <w:tabs>
          <w:tab w:leader="none" w:pos="519" w:val="left"/>
        </w:tabs>
        <w:numPr>
          <w:ilvl w:val="0"/>
          <w:numId w:val="504"/>
        </w:numPr>
        <w:rPr>
          <w:rFonts w:ascii="Arial" w:cs="Arial" w:eastAsia="Arial" w:hAnsi="Arial"/>
          <w:sz w:val="16"/>
          <w:szCs w:val="16"/>
          <w:color w:val="auto"/>
        </w:rPr>
      </w:pPr>
      <w:r>
        <w:rPr>
          <w:rFonts w:ascii="Arial" w:cs="Arial" w:eastAsia="Arial" w:hAnsi="Arial"/>
          <w:sz w:val="16"/>
          <w:szCs w:val="16"/>
          <w:b w:val="1"/>
          <w:bCs w:val="1"/>
          <w:color w:val="auto"/>
        </w:rPr>
        <w:t>Revolving Credit Extension Reductions</w:t>
      </w:r>
      <w:r>
        <w:rPr>
          <w:rFonts w:ascii="Arial" w:cs="Arial" w:eastAsia="Arial" w:hAnsi="Arial"/>
          <w:sz w:val="16"/>
          <w:szCs w:val="16"/>
          <w:color w:val="auto"/>
        </w:rPr>
        <w:t>. Until the final R/C Maturity Date, Borrower shall from time to time immediately prepay the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(I) so that at all times (a) the aggregate outstanding amount of </w:t>
      </w:r>
      <w:r>
        <w:rPr>
          <w:rFonts w:ascii="Arial" w:cs="Arial" w:eastAsia="Arial" w:hAnsi="Arial"/>
          <w:sz w:val="18"/>
          <w:szCs w:val="18"/>
          <w:b w:val="1"/>
          <w:bCs w:val="1"/>
          <w:color w:val="FF0000"/>
          <w:strike w:val="1"/>
        </w:rPr>
        <w:t>thFe</w:t>
      </w:r>
      <w:r>
        <w:rPr>
          <w:rFonts w:ascii="Arial" w:cs="Arial" w:eastAsia="Arial" w:hAnsi="Arial"/>
          <w:sz w:val="18"/>
          <w:szCs w:val="18"/>
          <w:b w:val="1"/>
          <w:bCs w:val="1"/>
          <w:color w:val="0000FF"/>
        </w:rPr>
        <w:t>the</w:t>
      </w:r>
      <w:r>
        <w:rPr>
          <w:rFonts w:ascii="Arial" w:cs="Arial" w:eastAsia="Arial" w:hAnsi="Arial"/>
          <w:sz w:val="18"/>
          <w:szCs w:val="18"/>
          <w:color w:val="auto"/>
        </w:rPr>
        <w:t xml:space="preserve">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under such Tranche shall not exceed the aggregate Revolving Commitments of such Tranche as in effect at such time and (II) to comply with Section 7.02(a)(iii).</w:t>
      </w:r>
    </w:p>
    <w:p>
      <w:pPr>
        <w:spacing w:after="0" w:line="185" w:lineRule="exact"/>
        <w:rPr>
          <w:rFonts w:ascii="Arial" w:cs="Arial" w:eastAsia="Arial" w:hAnsi="Arial"/>
          <w:sz w:val="16"/>
          <w:szCs w:val="16"/>
          <w:color w:val="auto"/>
        </w:rPr>
      </w:pPr>
    </w:p>
    <w:p>
      <w:pPr>
        <w:jc w:val="both"/>
        <w:ind w:firstLine="8"/>
        <w:spacing w:after="0" w:line="284" w:lineRule="auto"/>
        <w:tabs>
          <w:tab w:leader="none" w:pos="481" w:val="left"/>
        </w:tabs>
        <w:numPr>
          <w:ilvl w:val="0"/>
          <w:numId w:val="504"/>
        </w:numPr>
        <w:rPr>
          <w:rFonts w:ascii="Arial" w:cs="Arial" w:eastAsia="Arial" w:hAnsi="Arial"/>
          <w:sz w:val="16"/>
          <w:szCs w:val="16"/>
          <w:color w:val="auto"/>
        </w:rPr>
      </w:pPr>
      <w:r>
        <w:rPr>
          <w:rFonts w:ascii="Arial" w:cs="Arial" w:eastAsia="Arial" w:hAnsi="Arial"/>
          <w:sz w:val="16"/>
          <w:szCs w:val="16"/>
          <w:b w:val="1"/>
          <w:bCs w:val="1"/>
          <w:color w:val="auto"/>
        </w:rPr>
        <w:t>Outstanding Letters of Credit</w:t>
      </w:r>
      <w:r>
        <w:rPr>
          <w:rFonts w:ascii="Arial" w:cs="Arial" w:eastAsia="Arial" w:hAnsi="Arial"/>
          <w:sz w:val="16"/>
          <w:szCs w:val="16"/>
          <w:color w:val="auto"/>
        </w:rPr>
        <w:t>. If any Letter of Credit is outstanding on the 30th day prior to the next succeeding R/C Maturity Date which has an</w:t>
      </w:r>
      <w:r>
        <w:rPr>
          <w:rFonts w:ascii="Arial" w:cs="Arial" w:eastAsia="Arial" w:hAnsi="Arial"/>
          <w:sz w:val="16"/>
          <w:szCs w:val="16"/>
          <w:b w:val="1"/>
          <w:bCs w:val="1"/>
          <w:color w:val="auto"/>
        </w:rPr>
        <w:t xml:space="preserve"> </w:t>
      </w:r>
      <w:r>
        <w:rPr>
          <w:rFonts w:ascii="Arial" w:cs="Arial" w:eastAsia="Arial" w:hAnsi="Arial"/>
          <w:sz w:val="16"/>
          <w:szCs w:val="16"/>
          <w:color w:val="auto"/>
        </w:rPr>
        <w:t>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w:t>
      </w:r>
    </w:p>
    <w:p>
      <w:pPr>
        <w:spacing w:after="0" w:line="5" w:lineRule="exact"/>
        <w:rPr>
          <w:rFonts w:ascii="Arial" w:cs="Arial" w:eastAsia="Arial" w:hAnsi="Arial"/>
          <w:sz w:val="16"/>
          <w:szCs w:val="16"/>
          <w:color w:val="auto"/>
        </w:rPr>
      </w:pPr>
    </w:p>
    <w:p>
      <w:pPr>
        <w:jc w:val="both"/>
        <w:ind w:firstLine="8"/>
        <w:spacing w:after="0" w:line="295" w:lineRule="auto"/>
        <w:tabs>
          <w:tab w:leader="none" w:pos="219"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w:t>
      </w:r>
    </w:p>
    <w:p>
      <w:pPr>
        <w:sectPr>
          <w:pgSz w:w="11900" w:h="16838" w:orient="portrait"/>
          <w:cols w:equalWidth="0" w:num="1">
            <w:col w:w="11420"/>
          </w:cols>
          <w:pgMar w:left="240" w:top="368" w:right="239" w:bottom="1440" w:gutter="0" w:footer="0" w:header="0"/>
        </w:sectPr>
      </w:pPr>
    </w:p>
    <w:bookmarkStart w:id="417" w:name="page418"/>
    <w:bookmarkEnd w:id="417"/>
    <w:p>
      <w:pPr>
        <w:jc w:val="both"/>
        <w:spacing w:after="0" w:line="271" w:lineRule="auto"/>
        <w:rPr>
          <w:sz w:val="20"/>
          <w:szCs w:val="20"/>
          <w:color w:val="auto"/>
        </w:rPr>
      </w:pPr>
      <w:r>
        <w:rPr>
          <w:rFonts w:ascii="Arial" w:cs="Arial" w:eastAsia="Arial" w:hAnsi="Arial"/>
          <w:sz w:val="17"/>
          <w:szCs w:val="17"/>
          <w:color w:val="auto"/>
        </w:rPr>
        <w:t>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7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87" w:lineRule="auto"/>
        <w:tabs>
          <w:tab w:leader="none" w:pos="632" w:val="left"/>
        </w:tabs>
        <w:numPr>
          <w:ilvl w:val="0"/>
          <w:numId w:val="506"/>
        </w:numPr>
        <w:rPr>
          <w:rFonts w:ascii="Arial" w:cs="Arial" w:eastAsia="Arial" w:hAnsi="Arial"/>
          <w:sz w:val="16"/>
          <w:szCs w:val="16"/>
          <w:color w:val="auto"/>
        </w:rPr>
      </w:pPr>
      <w:r>
        <w:rPr>
          <w:rFonts w:ascii="Arial" w:cs="Arial" w:eastAsia="Arial" w:hAnsi="Arial"/>
          <w:sz w:val="16"/>
          <w:szCs w:val="16"/>
          <w:color w:val="auto"/>
        </w:rPr>
        <w:t>Borrower shall have the right to replace any Lender (the “</w:t>
      </w:r>
      <w:r>
        <w:rPr>
          <w:rFonts w:ascii="Arial" w:cs="Arial" w:eastAsia="Arial" w:hAnsi="Arial"/>
          <w:sz w:val="16"/>
          <w:szCs w:val="16"/>
          <w:b w:val="1"/>
          <w:bCs w:val="1"/>
          <w:color w:val="auto"/>
        </w:rPr>
        <w:t>Replaced Lender</w:t>
      </w:r>
      <w:r>
        <w:rPr>
          <w:rFonts w:ascii="Arial" w:cs="Arial" w:eastAsia="Arial" w:hAnsi="Arial"/>
          <w:sz w:val="16"/>
          <w:szCs w:val="16"/>
          <w:color w:val="auto"/>
        </w:rPr>
        <w:t>”) with one or more other Eligible Assignees (collectively, the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83" w:lineRule="auto"/>
        <w:tabs>
          <w:tab w:leader="none" w:pos="222"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399" w:lineRule="exact"/>
        <w:rPr>
          <w:rFonts w:ascii="Arial" w:cs="Arial" w:eastAsia="Arial" w:hAnsi="Arial"/>
          <w:sz w:val="16"/>
          <w:szCs w:val="16"/>
          <w:color w:val="auto"/>
        </w:rPr>
      </w:pPr>
    </w:p>
    <w:p>
      <w:pPr>
        <w:jc w:val="both"/>
        <w:ind w:firstLine="8"/>
        <w:spacing w:after="0" w:line="279" w:lineRule="auto"/>
        <w:tabs>
          <w:tab w:leader="none" w:pos="47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w:t>
      </w:r>
    </w:p>
    <w:p>
      <w:pPr>
        <w:sectPr>
          <w:pgSz w:w="11900" w:h="16838" w:orient="portrait"/>
          <w:cols w:equalWidth="0" w:num="1">
            <w:col w:w="11420"/>
          </w:cols>
          <w:pgMar w:left="240" w:top="368" w:right="239" w:bottom="1440" w:gutter="0" w:footer="0" w:header="0"/>
        </w:sectPr>
      </w:pPr>
    </w:p>
    <w:bookmarkStart w:id="418" w:name="page419"/>
    <w:bookmarkEnd w:id="418"/>
    <w:p>
      <w:pPr>
        <w:jc w:val="both"/>
        <w:spacing w:after="0" w:line="284" w:lineRule="auto"/>
        <w:rPr>
          <w:sz w:val="20"/>
          <w:szCs w:val="20"/>
          <w:color w:val="auto"/>
        </w:rPr>
      </w:pPr>
      <w:r>
        <w:rPr>
          <w:rFonts w:ascii="Arial" w:cs="Arial" w:eastAsia="Arial" w:hAnsi="Arial"/>
          <w:sz w:val="16"/>
          <w:szCs w:val="16"/>
          <w:color w:val="auto"/>
        </w:rPr>
        <w:t xml:space="preserve">set forth in Section 2.09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w:t>
      </w:r>
    </w:p>
    <w:p>
      <w:pPr>
        <w:spacing w:after="0" w:line="3" w:lineRule="exact"/>
        <w:rPr>
          <w:sz w:val="20"/>
          <w:szCs w:val="20"/>
          <w:color w:val="auto"/>
        </w:rPr>
      </w:pPr>
    </w:p>
    <w:p>
      <w:pPr>
        <w:jc w:val="both"/>
        <w:ind w:firstLine="8"/>
        <w:spacing w:after="0" w:line="255" w:lineRule="auto"/>
        <w:tabs>
          <w:tab w:leader="none" w:pos="226" w:val="left"/>
        </w:tabs>
        <w:numPr>
          <w:ilvl w:val="0"/>
          <w:numId w:val="509"/>
        </w:numPr>
        <w:rPr>
          <w:rFonts w:ascii="Arial" w:cs="Arial" w:eastAsia="Arial" w:hAnsi="Arial"/>
          <w:sz w:val="18"/>
          <w:szCs w:val="18"/>
          <w:color w:val="auto"/>
        </w:rPr>
      </w:pPr>
      <w:r>
        <w:rPr>
          <w:rFonts w:ascii="Arial" w:cs="Arial" w:eastAsia="Arial" w:hAnsi="Arial"/>
          <w:sz w:val="18"/>
          <w:szCs w:val="18"/>
          <w:color w:val="auto"/>
        </w:rPr>
        <w:t>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8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color w:val="auto"/>
        </w:rPr>
        <w:t>Extensions of Loans and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84" w:lineRule="auto"/>
        <w:tabs>
          <w:tab w:leader="none" w:pos="54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Term Loans of any Tranche (an “</w:t>
      </w:r>
      <w:r>
        <w:rPr>
          <w:rFonts w:ascii="Arial" w:cs="Arial" w:eastAsia="Arial" w:hAnsi="Arial"/>
          <w:sz w:val="16"/>
          <w:szCs w:val="16"/>
          <w:b w:val="1"/>
          <w:bCs w:val="1"/>
          <w:color w:val="auto"/>
        </w:rPr>
        <w:t>Existing Term Loan Tranche</w:t>
      </w:r>
      <w:r>
        <w:rPr>
          <w:rFonts w:ascii="Arial" w:cs="Arial" w:eastAsia="Arial" w:hAnsi="Arial"/>
          <w:sz w:val="16"/>
          <w:szCs w:val="16"/>
          <w:color w:val="auto"/>
        </w:rPr>
        <w:t>”) be modified to constitute another Tranche of Term Loans in order to extend the scheduled final maturity date thereof (any such Term Loans which have been so modified, “</w:t>
      </w:r>
      <w:r>
        <w:rPr>
          <w:rFonts w:ascii="Arial" w:cs="Arial" w:eastAsia="Arial" w:hAnsi="Arial"/>
          <w:sz w:val="16"/>
          <w:szCs w:val="16"/>
          <w:b w:val="1"/>
          <w:bCs w:val="1"/>
          <w:color w:val="auto"/>
        </w:rPr>
        <w:t>Extended Term Loans</w:t>
      </w:r>
      <w:r>
        <w:rPr>
          <w:rFonts w:ascii="Arial" w:cs="Arial" w:eastAsia="Arial" w:hAnsi="Arial"/>
          <w:sz w:val="16"/>
          <w:szCs w:val="16"/>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in any optional or mandatory prepayments or prepayment of Term Loans hereunder in each case as specified in the respective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w:t>
      </w:r>
    </w:p>
    <w:p>
      <w:pPr>
        <w:sectPr>
          <w:pgSz w:w="11900" w:h="16838" w:orient="portrait"/>
          <w:cols w:equalWidth="0" w:num="1">
            <w:col w:w="11420"/>
          </w:cols>
          <w:pgMar w:left="240" w:top="368" w:right="239" w:bottom="1440" w:gutter="0" w:footer="0" w:header="0"/>
        </w:sectPr>
      </w:pPr>
    </w:p>
    <w:bookmarkStart w:id="419" w:name="page420"/>
    <w:bookmarkEnd w:id="419"/>
    <w:p>
      <w:pPr>
        <w:spacing w:after="0" w:line="277" w:lineRule="auto"/>
        <w:rPr>
          <w:sz w:val="20"/>
          <w:szCs w:val="20"/>
          <w:color w:val="auto"/>
        </w:rPr>
      </w:pPr>
      <w:r>
        <w:rPr>
          <w:rFonts w:ascii="Arial" w:cs="Arial" w:eastAsia="Arial" w:hAnsi="Arial"/>
          <w:sz w:val="18"/>
          <w:szCs w:val="18"/>
          <w:color w:val="auto"/>
        </w:rPr>
        <w:t>pursuant to any Term Loan Extension Request. Any Extended Term Loans of any Extension Tranche shall constitute a separate Tranche and Class of Term Loans from the Existing Term Loan Tranche from which they were modified.</w:t>
      </w:r>
    </w:p>
    <w:p>
      <w:pPr>
        <w:spacing w:after="0" w:line="166" w:lineRule="exact"/>
        <w:rPr>
          <w:sz w:val="20"/>
          <w:szCs w:val="20"/>
          <w:color w:val="auto"/>
        </w:rPr>
      </w:pPr>
    </w:p>
    <w:p>
      <w:pPr>
        <w:jc w:val="both"/>
        <w:ind w:firstLine="8"/>
        <w:spacing w:after="0" w:line="284" w:lineRule="auto"/>
        <w:tabs>
          <w:tab w:leader="none" w:pos="505" w:val="left"/>
        </w:tabs>
        <w:numPr>
          <w:ilvl w:val="0"/>
          <w:numId w:val="511"/>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Revolving Commitments of any Tranche (an “</w:t>
      </w:r>
      <w:r>
        <w:rPr>
          <w:rFonts w:ascii="Arial" w:cs="Arial" w:eastAsia="Arial" w:hAnsi="Arial"/>
          <w:sz w:val="16"/>
          <w:szCs w:val="16"/>
          <w:b w:val="1"/>
          <w:bCs w:val="1"/>
          <w:color w:val="auto"/>
        </w:rPr>
        <w:t>Existing Revolving Tranche</w:t>
      </w:r>
      <w:r>
        <w:rPr>
          <w:rFonts w:ascii="Arial" w:cs="Arial" w:eastAsia="Arial" w:hAnsi="Arial"/>
          <w:sz w:val="16"/>
          <w:szCs w:val="16"/>
          <w:color w:val="auto"/>
        </w:rPr>
        <w:t>” and any related Revolving Loans thereunder, “</w:t>
      </w:r>
      <w:r>
        <w:rPr>
          <w:rFonts w:ascii="Arial" w:cs="Arial" w:eastAsia="Arial" w:hAnsi="Arial"/>
          <w:sz w:val="16"/>
          <w:szCs w:val="16"/>
          <w:b w:val="1"/>
          <w:bCs w:val="1"/>
          <w:color w:val="auto"/>
        </w:rPr>
        <w:t>Existing Revolving Loans</w:t>
      </w:r>
      <w:r>
        <w:rPr>
          <w:rFonts w:ascii="Arial" w:cs="Arial" w:eastAsia="Arial" w:hAnsi="Arial"/>
          <w:sz w:val="16"/>
          <w:szCs w:val="16"/>
          <w:color w:val="auto"/>
        </w:rPr>
        <w:t>”) be modified to constitute another Tranche of Revolving Commitments in order to extend the termination date thereof (any such Revolving Commitments which have been so modified, “</w:t>
      </w:r>
      <w:r>
        <w:rPr>
          <w:rFonts w:ascii="Arial" w:cs="Arial" w:eastAsia="Arial" w:hAnsi="Arial"/>
          <w:sz w:val="16"/>
          <w:szCs w:val="16"/>
          <w:b w:val="1"/>
          <w:bCs w:val="1"/>
          <w:color w:val="auto"/>
        </w:rPr>
        <w:t>Extended Revolving Commitments</w:t>
      </w:r>
      <w:r>
        <w:rPr>
          <w:rFonts w:ascii="Arial" w:cs="Arial" w:eastAsia="Arial" w:hAnsi="Arial"/>
          <w:sz w:val="16"/>
          <w:szCs w:val="16"/>
          <w:color w:val="auto"/>
        </w:rPr>
        <w:t>” and any related Revolving Loans, “</w:t>
      </w:r>
      <w:r>
        <w:rPr>
          <w:rFonts w:ascii="Arial" w:cs="Arial" w:eastAsia="Arial" w:hAnsi="Arial"/>
          <w:sz w:val="16"/>
          <w:szCs w:val="16"/>
          <w:b w:val="1"/>
          <w:bCs w:val="1"/>
          <w:color w:val="auto"/>
        </w:rPr>
        <w:t>Extended Revolving Loans</w:t>
      </w:r>
      <w:r>
        <w:rPr>
          <w:rFonts w:ascii="Arial" w:cs="Arial" w:eastAsia="Arial" w:hAnsi="Arial"/>
          <w:sz w:val="16"/>
          <w:szCs w:val="16"/>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Arial" w:cs="Arial" w:eastAsia="Arial" w:hAnsi="Arial"/>
          <w:sz w:val="16"/>
          <w:szCs w:val="16"/>
          <w:b w:val="1"/>
          <w:bCs w:val="1"/>
          <w:color w:val="auto"/>
        </w:rPr>
        <w:t>Revolving Extension Request</w:t>
      </w:r>
      <w:r>
        <w:rPr>
          <w:rFonts w:ascii="Arial" w:cs="Arial" w:eastAsia="Arial" w:hAnsi="Arial"/>
          <w:sz w:val="16"/>
          <w:szCs w:val="16"/>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388" w:lineRule="exact"/>
        <w:rPr>
          <w:rFonts w:ascii="Arial" w:cs="Arial" w:eastAsia="Arial" w:hAnsi="Arial"/>
          <w:sz w:val="16"/>
          <w:szCs w:val="16"/>
          <w:color w:val="auto"/>
        </w:rPr>
      </w:pPr>
    </w:p>
    <w:p>
      <w:pPr>
        <w:jc w:val="both"/>
        <w:ind w:firstLine="8"/>
        <w:spacing w:after="0" w:line="270" w:lineRule="auto"/>
        <w:tabs>
          <w:tab w:leader="none" w:pos="447" w:val="left"/>
        </w:tabs>
        <w:numPr>
          <w:ilvl w:val="0"/>
          <w:numId w:val="511"/>
        </w:numPr>
        <w:rPr>
          <w:rFonts w:ascii="Arial" w:cs="Arial" w:eastAsia="Arial" w:hAnsi="Arial"/>
          <w:sz w:val="17"/>
          <w:szCs w:val="17"/>
          <w:color w:val="auto"/>
        </w:rPr>
      </w:pPr>
      <w:r>
        <w:rPr>
          <w:rFonts w:ascii="Arial" w:cs="Arial" w:eastAsia="Arial" w:hAnsi="Arial"/>
          <w:sz w:val="17"/>
          <w:szCs w:val="17"/>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7"/>
          <w:szCs w:val="17"/>
          <w:b w:val="1"/>
          <w:bCs w:val="1"/>
          <w:color w:val="auto"/>
        </w:rPr>
        <w:t>Extending Lender</w:t>
      </w:r>
      <w:r>
        <w:rPr>
          <w:rFonts w:ascii="Arial" w:cs="Arial" w:eastAsia="Arial" w:hAnsi="Arial"/>
          <w:sz w:val="17"/>
          <w:szCs w:val="17"/>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Arial" w:cs="Arial" w:eastAsia="Arial" w:hAnsi="Arial"/>
          <w:sz w:val="17"/>
          <w:szCs w:val="17"/>
          <w:b w:val="1"/>
          <w:bCs w:val="1"/>
          <w:color w:val="auto"/>
        </w:rPr>
        <w:t>Extension Election</w:t>
      </w:r>
      <w:r>
        <w:rPr>
          <w:rFonts w:ascii="Arial" w:cs="Arial" w:eastAsia="Arial" w:hAnsi="Arial"/>
          <w:sz w:val="17"/>
          <w:szCs w:val="17"/>
          <w:color w:val="auto"/>
        </w:rPr>
        <w:t>”)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w:t>
      </w:r>
    </w:p>
    <w:p>
      <w:pPr>
        <w:sectPr>
          <w:pgSz w:w="11900" w:h="16838" w:orient="portrait"/>
          <w:cols w:equalWidth="0" w:num="1">
            <w:col w:w="11420"/>
          </w:cols>
          <w:pgMar w:left="240" w:top="369" w:right="239" w:bottom="1440" w:gutter="0" w:footer="0" w:header="0"/>
        </w:sectPr>
      </w:pPr>
    </w:p>
    <w:bookmarkStart w:id="420" w:name="page421"/>
    <w:bookmarkEnd w:id="420"/>
    <w:p>
      <w:pPr>
        <w:jc w:val="both"/>
        <w:spacing w:after="0" w:line="259" w:lineRule="auto"/>
        <w:rPr>
          <w:sz w:val="20"/>
          <w:szCs w:val="20"/>
          <w:color w:val="auto"/>
        </w:rPr>
      </w:pPr>
      <w:r>
        <w:rPr>
          <w:rFonts w:ascii="Arial" w:cs="Arial" w:eastAsia="Arial" w:hAnsi="Arial"/>
          <w:sz w:val="18"/>
          <w:szCs w:val="18"/>
          <w:color w:val="auto"/>
        </w:rPr>
        <w:t xml:space="preserve">Extended Revolving Commitments, as applicable,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83" w:lineRule="exact"/>
        <w:rPr>
          <w:sz w:val="20"/>
          <w:szCs w:val="20"/>
          <w:color w:val="auto"/>
        </w:rPr>
      </w:pPr>
    </w:p>
    <w:p>
      <w:pPr>
        <w:jc w:val="both"/>
        <w:ind w:firstLine="8"/>
        <w:spacing w:after="0" w:line="269" w:lineRule="auto"/>
        <w:tabs>
          <w:tab w:leader="none" w:pos="659" w:val="left"/>
        </w:tabs>
        <w:numPr>
          <w:ilvl w:val="0"/>
          <w:numId w:val="512"/>
        </w:numPr>
        <w:rPr>
          <w:rFonts w:ascii="Arial" w:cs="Arial" w:eastAsia="Arial" w:hAnsi="Arial"/>
          <w:sz w:val="17"/>
          <w:szCs w:val="17"/>
          <w:color w:val="auto"/>
        </w:rPr>
      </w:pPr>
      <w:r>
        <w:rPr>
          <w:rFonts w:ascii="Arial" w:cs="Arial" w:eastAsia="Arial" w:hAnsi="Arial"/>
          <w:sz w:val="17"/>
          <w:szCs w:val="17"/>
          <w:color w:val="auto"/>
        </w:rPr>
        <w:t>Extended Term Loans or Extended Revolving Commitments, as applicable, shall be established pursuant to an amendment (an “</w:t>
      </w:r>
      <w:r>
        <w:rPr>
          <w:rFonts w:ascii="Arial" w:cs="Arial" w:eastAsia="Arial" w:hAnsi="Arial"/>
          <w:sz w:val="17"/>
          <w:szCs w:val="17"/>
          <w:b w:val="1"/>
          <w:b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to this Agreement (which shall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P</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Q</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as applicable, or, in each case,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right="20" w:firstLine="8"/>
        <w:spacing w:after="0" w:line="277" w:lineRule="auto"/>
        <w:tabs>
          <w:tab w:leader="none" w:pos="45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jc w:val="both"/>
        <w:ind w:left="660" w:hanging="4"/>
        <w:spacing w:after="0" w:line="290" w:lineRule="auto"/>
        <w:tabs>
          <w:tab w:leader="none" w:pos="1068"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sum of each Non-Defaulting Lender’s total Revolving Exposure may not in any event exceed the Revolving Commitment of such Non-Defaulting Lender as in effect at the time of such reallocation, (ii)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the Administrative Agent at such time, Borrower shall be deemed to have represented and warranted that no Event of Default exists and is continuing at such time);</w:t>
      </w:r>
    </w:p>
    <w:p>
      <w:pPr>
        <w:spacing w:after="0" w:line="162" w:lineRule="exact"/>
        <w:rPr>
          <w:rFonts w:ascii="Arial" w:cs="Arial" w:eastAsia="Arial" w:hAnsi="Arial"/>
          <w:sz w:val="16"/>
          <w:szCs w:val="16"/>
          <w:color w:val="auto"/>
        </w:rPr>
      </w:pPr>
    </w:p>
    <w:p>
      <w:pPr>
        <w:jc w:val="both"/>
        <w:ind w:left="660" w:hanging="4"/>
        <w:spacing w:after="0" w:line="256" w:lineRule="auto"/>
        <w:tabs>
          <w:tab w:leader="none" w:pos="114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b w:val="1"/>
          <w:bCs w:val="1"/>
          <w:color w:val="auto"/>
        </w:rPr>
        <w:t>un-reallocated portion</w:t>
      </w:r>
      <w:r>
        <w:rPr>
          <w:rFonts w:ascii="Arial" w:cs="Arial" w:eastAsia="Arial" w:hAnsi="Arial"/>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91" w:lineRule="exact"/>
        <w:rPr>
          <w:rFonts w:ascii="Arial" w:cs="Arial" w:eastAsia="Arial" w:hAnsi="Arial"/>
          <w:sz w:val="18"/>
          <w:szCs w:val="18"/>
          <w:color w:val="auto"/>
        </w:rPr>
      </w:pPr>
    </w:p>
    <w:p>
      <w:pPr>
        <w:ind w:left="1160" w:hanging="504"/>
        <w:spacing w:after="0"/>
        <w:tabs>
          <w:tab w:leader="none" w:pos="116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Borrower shall not be required to pay any fees to such Defaulting Lender under Section 2.05(a); and</w:t>
      </w:r>
    </w:p>
    <w:p>
      <w:pPr>
        <w:spacing w:after="0" w:line="225" w:lineRule="exact"/>
        <w:rPr>
          <w:rFonts w:ascii="Arial" w:cs="Arial" w:eastAsia="Arial" w:hAnsi="Arial"/>
          <w:sz w:val="18"/>
          <w:szCs w:val="18"/>
          <w:color w:val="auto"/>
        </w:rPr>
      </w:pPr>
    </w:p>
    <w:p>
      <w:pPr>
        <w:ind w:left="660" w:hanging="4"/>
        <w:spacing w:after="0" w:line="277" w:lineRule="auto"/>
        <w:tabs>
          <w:tab w:leader="none" w:pos="128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Administrative Agent for the account of such Defaulting Lender (whether voluntary or mandatory, at maturity, pursuant to Article 11 or</w:t>
      </w:r>
    </w:p>
    <w:p>
      <w:pPr>
        <w:sectPr>
          <w:pgSz w:w="11900" w:h="16838" w:orient="portrait"/>
          <w:cols w:equalWidth="0" w:num="1">
            <w:col w:w="11420"/>
          </w:cols>
          <w:pgMar w:left="240" w:top="368" w:right="239" w:bottom="1440" w:gutter="0" w:footer="0" w:header="0"/>
        </w:sectPr>
      </w:pPr>
    </w:p>
    <w:bookmarkStart w:id="421" w:name="page422"/>
    <w:bookmarkEnd w:id="421"/>
    <w:p>
      <w:pPr>
        <w:jc w:val="both"/>
        <w:ind w:left="4"/>
        <w:spacing w:after="0" w:line="267" w:lineRule="auto"/>
        <w:rPr>
          <w:sz w:val="20"/>
          <w:szCs w:val="20"/>
          <w:color w:val="auto"/>
        </w:rPr>
      </w:pPr>
      <w:r>
        <w:rPr>
          <w:rFonts w:ascii="Arial" w:cs="Arial" w:eastAsia="Arial" w:hAnsi="Arial"/>
          <w:sz w:val="17"/>
          <w:szCs w:val="17"/>
          <w:color w:val="auto"/>
        </w:rPr>
        <w:t xml:space="preserve">otherwise) or received by Administrative Agent from a Defaulting Lender pursuant to Section 4.07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of any amounts owing by such Defaulting Lender to any L/C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Administrative Agent and Borrower, to be held in a non-interest bearing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satisfy such Defaulting Lender’s potential future funding obligations with respect to Loans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84" w:lineRule="exact"/>
        <w:rPr>
          <w:sz w:val="20"/>
          <w:szCs w:val="20"/>
          <w:color w:val="auto"/>
        </w:rPr>
      </w:pPr>
    </w:p>
    <w:p>
      <w:pPr>
        <w:jc w:val="both"/>
        <w:ind w:left="4" w:hanging="4"/>
        <w:spacing w:after="0" w:line="289" w:lineRule="auto"/>
        <w:tabs>
          <w:tab w:leader="none" w:pos="259" w:val="left"/>
        </w:tabs>
        <w:numPr>
          <w:ilvl w:val="0"/>
          <w:numId w:val="514"/>
        </w:numPr>
        <w:rPr>
          <w:rFonts w:ascii="Arial" w:cs="Arial" w:eastAsia="Arial" w:hAnsi="Arial"/>
          <w:sz w:val="16"/>
          <w:szCs w:val="16"/>
          <w:color w:val="auto"/>
        </w:rPr>
      </w:pPr>
      <w:r>
        <w:rPr>
          <w:rFonts w:ascii="Arial" w:cs="Arial" w:eastAsia="Arial" w:hAnsi="Arial"/>
          <w:sz w:val="16"/>
          <w:szCs w:val="16"/>
          <w:b w:val="1"/>
          <w:bCs w:val="1"/>
          <w:color w:val="auto"/>
        </w:rPr>
        <w:t>Cure</w:t>
      </w:r>
      <w:r>
        <w:rPr>
          <w:rFonts w:ascii="Arial" w:cs="Arial" w:eastAsia="Arial" w:hAnsi="Arial"/>
          <w:sz w:val="16"/>
          <w:szCs w:val="16"/>
          <w:color w:val="auto"/>
        </w:rPr>
        <w:t>. If Borrower, Administrative Agent, each L/C Lender agree in writing in their discretion that a Lender is no longer a Defaulting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86" w:val="left"/>
        </w:tabs>
        <w:numPr>
          <w:ilvl w:val="0"/>
          <w:numId w:val="515"/>
        </w:numPr>
        <w:rPr>
          <w:rFonts w:ascii="Arial" w:cs="Arial" w:eastAsia="Arial" w:hAnsi="Arial"/>
          <w:sz w:val="17"/>
          <w:szCs w:val="17"/>
          <w:color w:val="auto"/>
        </w:rPr>
      </w:pPr>
      <w:r>
        <w:rPr>
          <w:rFonts w:ascii="Arial" w:cs="Arial" w:eastAsia="Arial" w:hAnsi="Arial"/>
          <w:sz w:val="17"/>
          <w:szCs w:val="17"/>
          <w:color w:val="auto"/>
        </w:rPr>
        <w:t xml:space="preserve">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 xml:space="preserve">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80" w:lineRule="exact"/>
        <w:rPr>
          <w:rFonts w:ascii="Arial" w:cs="Arial" w:eastAsia="Arial" w:hAnsi="Arial"/>
          <w:sz w:val="17"/>
          <w:szCs w:val="17"/>
          <w:color w:val="auto"/>
        </w:rPr>
      </w:pPr>
    </w:p>
    <w:p>
      <w:pPr>
        <w:jc w:val="both"/>
        <w:ind w:left="4" w:hanging="4"/>
        <w:spacing w:after="0" w:line="272" w:lineRule="auto"/>
        <w:tabs>
          <w:tab w:leader="none" w:pos="258" w:val="left"/>
        </w:tabs>
        <w:numPr>
          <w:ilvl w:val="0"/>
          <w:numId w:val="516"/>
        </w:numPr>
        <w:rPr>
          <w:rFonts w:ascii="Arial" w:cs="Arial" w:eastAsia="Arial" w:hAnsi="Arial"/>
          <w:sz w:val="17"/>
          <w:szCs w:val="17"/>
          <w:color w:val="auto"/>
        </w:rPr>
      </w:pPr>
      <w:r>
        <w:rPr>
          <w:rFonts w:ascii="Arial" w:cs="Arial" w:eastAsia="Arial" w:hAnsi="Arial"/>
          <w:sz w:val="17"/>
          <w:szCs w:val="17"/>
          <w:b w:val="1"/>
          <w:bCs w:val="1"/>
          <w:color w:val="auto"/>
        </w:rPr>
        <w:t xml:space="preserve">Certain Fees. </w:t>
      </w:r>
      <w:r>
        <w:rPr>
          <w:rFonts w:ascii="Arial" w:cs="Arial" w:eastAsia="Arial" w:hAnsi="Arial"/>
          <w:sz w:val="17"/>
          <w:szCs w:val="17"/>
          <w:color w:val="auto"/>
        </w:rPr>
        <w:t>Anything herein to the contrary notwithstanding, during such period as a Lender is a Defaulting Lender, such Defaulting Lender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not be entitled to any fees accruing during such period pursuant to Section 2.05 or Section 2.03(h) (without prejudice to the rights of the Non-Defaulting Lenders in respect of such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payment provisions of Section 4.02 will automatically be deemed adjusted to reflect the provisions of this Section 2.14(c)).</w:t>
      </w:r>
    </w:p>
    <w:p>
      <w:pPr>
        <w:sectPr>
          <w:pgSz w:w="11900" w:h="16838" w:orient="portrait"/>
          <w:cols w:equalWidth="0" w:num="1">
            <w:col w:w="10764"/>
          </w:cols>
          <w:pgMar w:left="896" w:top="368" w:right="239" w:bottom="1440" w:gutter="0" w:footer="0" w:header="0"/>
        </w:sectPr>
      </w:pPr>
    </w:p>
    <w:bookmarkStart w:id="422" w:name="page423"/>
    <w:bookmarkEnd w:id="422"/>
    <w:p>
      <w:pPr>
        <w:spacing w:after="0"/>
        <w:tabs>
          <w:tab w:leader="none" w:pos="13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86" w:lineRule="auto"/>
        <w:tabs>
          <w:tab w:leader="none" w:pos="422"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(subject to clauses (2) and (3) below), (2) the permanent repayment of Revolving Loans with respect to, and termination of,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except that Borrower shall be permitted to permanently repay and terminate commitments of any Class with an earlier maturity date on a better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68" w:lineRule="exact"/>
        <w:rPr>
          <w:rFonts w:ascii="Arial" w:cs="Arial" w:eastAsia="Arial" w:hAnsi="Arial"/>
          <w:sz w:val="16"/>
          <w:szCs w:val="16"/>
          <w:color w:val="auto"/>
        </w:rPr>
      </w:pPr>
    </w:p>
    <w:p>
      <w:pPr>
        <w:jc w:val="both"/>
        <w:ind w:firstLine="8"/>
        <w:spacing w:after="0" w:line="268" w:lineRule="auto"/>
        <w:tabs>
          <w:tab w:leader="none" w:pos="459" w:val="left"/>
        </w:tabs>
        <w:numPr>
          <w:ilvl w:val="0"/>
          <w:numId w:val="517"/>
        </w:numPr>
        <w:rPr>
          <w:rFonts w:ascii="Arial" w:cs="Arial" w:eastAsia="Arial" w:hAnsi="Arial"/>
          <w:sz w:val="17"/>
          <w:szCs w:val="17"/>
          <w:color w:val="auto"/>
        </w:rPr>
      </w:pPr>
      <w:r>
        <w:rPr>
          <w:rFonts w:ascii="Arial" w:cs="Arial" w:eastAsia="Arial" w:hAnsi="Arial"/>
          <w:sz w:val="17"/>
          <w:szCs w:val="17"/>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premium or other payment required to be paid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reasonable and customary fees and expenses of Borrower or any of its Restricted Subsidiaries incurred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 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83" w:lineRule="exact"/>
        <w:rPr>
          <w:rFonts w:ascii="Arial" w:cs="Arial" w:eastAsia="Arial" w:hAnsi="Arial"/>
          <w:sz w:val="17"/>
          <w:szCs w:val="17"/>
          <w:color w:val="auto"/>
        </w:rPr>
      </w:pPr>
    </w:p>
    <w:p>
      <w:pPr>
        <w:jc w:val="both"/>
        <w:ind w:firstLine="8"/>
        <w:spacing w:after="0" w:line="276" w:lineRule="auto"/>
        <w:tabs>
          <w:tab w:leader="none" w:pos="469"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ind w:firstLine="8"/>
        <w:spacing w:after="0" w:line="277" w:lineRule="auto"/>
        <w:tabs>
          <w:tab w:leader="none" w:pos="55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Upon the effectiveness of any Refinancing Amendment pursuant to this Section 2.15, any Person providing the corresponding Credit Agreement Refinancing Indebtedness that was not a Lender hereunder immediately prior to</w:t>
      </w:r>
    </w:p>
    <w:p>
      <w:pPr>
        <w:sectPr>
          <w:pgSz w:w="11900" w:h="16838" w:orient="portrait"/>
          <w:cols w:equalWidth="0" w:num="1">
            <w:col w:w="11420"/>
          </w:cols>
          <w:pgMar w:left="240" w:top="580" w:right="239" w:bottom="1440" w:gutter="0" w:footer="0" w:header="0"/>
        </w:sectPr>
      </w:pPr>
    </w:p>
    <w:bookmarkStart w:id="423" w:name="page424"/>
    <w:bookmarkEnd w:id="423"/>
    <w:p>
      <w:pPr>
        <w:jc w:val="both"/>
        <w:spacing w:after="0" w:line="284" w:lineRule="auto"/>
        <w:rPr>
          <w:sz w:val="20"/>
          <w:szCs w:val="20"/>
          <w:color w:val="auto"/>
        </w:rPr>
      </w:pPr>
      <w:r>
        <w:rPr>
          <w:rFonts w:ascii="Arial" w:cs="Arial" w:eastAsia="Arial" w:hAnsi="Arial"/>
          <w:sz w:val="16"/>
          <w:szCs w:val="16"/>
          <w:color w:val="auto"/>
        </w:rPr>
        <w:t>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w:t>
      </w:r>
    </w:p>
    <w:p>
      <w:pPr>
        <w:spacing w:after="0" w:line="5" w:lineRule="exact"/>
        <w:rPr>
          <w:sz w:val="20"/>
          <w:szCs w:val="20"/>
          <w:color w:val="auto"/>
        </w:rPr>
      </w:pPr>
    </w:p>
    <w:p>
      <w:pPr>
        <w:jc w:val="both"/>
        <w:ind w:firstLine="8"/>
        <w:spacing w:after="0" w:line="271" w:lineRule="auto"/>
        <w:tabs>
          <w:tab w:leader="none" w:pos="351"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in connection with declining prepayments.</w:t>
      </w:r>
    </w:p>
    <w:p>
      <w:pPr>
        <w:spacing w:after="0" w:line="179" w:lineRule="exact"/>
        <w:rPr>
          <w:sz w:val="20"/>
          <w:szCs w:val="20"/>
          <w:color w:val="auto"/>
        </w:rPr>
      </w:pPr>
    </w:p>
    <w:p>
      <w:pPr>
        <w:jc w:val="both"/>
        <w:ind w:firstLine="8"/>
        <w:spacing w:after="0" w:line="293" w:lineRule="auto"/>
        <w:tabs>
          <w:tab w:leader="none" w:pos="46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64" w:lineRule="exact"/>
        <w:rPr>
          <w:rFonts w:ascii="Arial" w:cs="Arial" w:eastAsia="Arial" w:hAnsi="Arial"/>
          <w:sz w:val="16"/>
          <w:szCs w:val="16"/>
          <w:color w:val="auto"/>
        </w:rPr>
      </w:pPr>
    </w:p>
    <w:p>
      <w:pPr>
        <w:jc w:val="both"/>
        <w:ind w:firstLine="8"/>
        <w:spacing w:after="0" w:line="286" w:lineRule="auto"/>
        <w:tabs>
          <w:tab w:leader="none" w:pos="503"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Arial" w:cs="Arial" w:eastAsia="Arial" w:hAnsi="Arial"/>
          <w:sz w:val="16"/>
          <w:szCs w:val="16"/>
          <w:b w:val="1"/>
          <w:bCs w:val="1"/>
          <w:color w:val="auto"/>
        </w:rPr>
        <w:t>Pre-Refinancing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Lenders</w:t>
      </w:r>
      <w:r>
        <w:rPr>
          <w:rFonts w:ascii="Arial" w:cs="Arial" w:eastAsia="Arial" w:hAnsi="Arial"/>
          <w:sz w:val="16"/>
          <w:szCs w:val="16"/>
          <w:color w:val="auto"/>
        </w:rPr>
        <w:t>”) shall assign or transfer to any Revolving Lender which is acquiring an Other Revolving Commitment on the effective date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(the “</w:t>
      </w:r>
      <w:r>
        <w:rPr>
          <w:rFonts w:ascii="Arial" w:cs="Arial" w:eastAsia="Arial" w:hAnsi="Arial"/>
          <w:sz w:val="16"/>
          <w:szCs w:val="16"/>
          <w:b w:val="1"/>
          <w:bCs w:val="1"/>
          <w:color w:val="auto"/>
        </w:rPr>
        <w:t>Post-Refinancing Revolving Lenders</w:t>
      </w:r>
      <w:r>
        <w:rPr>
          <w:rFonts w:ascii="Arial" w:cs="Arial" w:eastAsia="Arial" w:hAnsi="Arial"/>
          <w:sz w:val="16"/>
          <w:szCs w:val="16"/>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 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9" w:lineRule="auto"/>
        <w:tabs>
          <w:tab w:leader="none" w:pos="425"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w:t>
      </w:r>
    </w:p>
    <w:p>
      <w:pPr>
        <w:sectPr>
          <w:pgSz w:w="11900" w:h="16838" w:orient="portrait"/>
          <w:cols w:equalWidth="0" w:num="1">
            <w:col w:w="11420"/>
          </w:cols>
          <w:pgMar w:left="240" w:top="368" w:right="239" w:bottom="1440" w:gutter="0" w:footer="0" w:header="0"/>
        </w:sectPr>
      </w:pPr>
    </w:p>
    <w:bookmarkStart w:id="424" w:name="page425"/>
    <w:bookmarkEnd w:id="424"/>
    <w:p>
      <w:pPr>
        <w:spacing w:after="0" w:line="277" w:lineRule="auto"/>
        <w:rPr>
          <w:sz w:val="20"/>
          <w:szCs w:val="20"/>
          <w:color w:val="auto"/>
        </w:rPr>
      </w:pPr>
      <w:r>
        <w:rPr>
          <w:rFonts w:ascii="Arial" w:cs="Arial" w:eastAsia="Arial" w:hAnsi="Arial"/>
          <w:sz w:val="18"/>
          <w:szCs w:val="18"/>
          <w:color w:val="auto"/>
        </w:rPr>
        <w:t>of clause (ii) above) following any request by the Administrative Agent or the applicable L/C Lender, provide Cash Collateral in an amount not less than the applicable Minimum Collateral Amount.</w:t>
      </w:r>
    </w:p>
    <w:p>
      <w:pPr>
        <w:spacing w:after="0" w:line="170" w:lineRule="exact"/>
        <w:rPr>
          <w:sz w:val="20"/>
          <w:szCs w:val="20"/>
          <w:color w:val="auto"/>
        </w:rPr>
      </w:pPr>
    </w:p>
    <w:p>
      <w:pPr>
        <w:jc w:val="both"/>
        <w:ind w:firstLine="8"/>
        <w:spacing w:after="0" w:line="287" w:lineRule="auto"/>
        <w:tabs>
          <w:tab w:leader="none" w:pos="435"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68" w:lineRule="exact"/>
        <w:rPr>
          <w:rFonts w:ascii="Arial" w:cs="Arial" w:eastAsia="Arial" w:hAnsi="Arial"/>
          <w:sz w:val="16"/>
          <w:szCs w:val="16"/>
          <w:color w:val="auto"/>
        </w:rPr>
      </w:pPr>
    </w:p>
    <w:p>
      <w:pPr>
        <w:jc w:val="both"/>
        <w:ind w:firstLine="8"/>
        <w:spacing w:after="0" w:line="279" w:lineRule="auto"/>
        <w:tabs>
          <w:tab w:leader="none" w:pos="560"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firstLine="8"/>
        <w:spacing w:after="0" w:line="290" w:lineRule="auto"/>
        <w:tabs>
          <w:tab w:leader="none" w:pos="462"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8"/>
        <w:spacing w:after="0" w:line="266" w:lineRule="auto"/>
        <w:tabs>
          <w:tab w:leader="none" w:pos="535"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Borrower hereby promises to pay to Administrative Agent for the account of each applicable Revolving Lender on each R/C</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6" w:lineRule="exact"/>
        <w:rPr>
          <w:rFonts w:ascii="Arial" w:cs="Arial" w:eastAsia="Arial" w:hAnsi="Arial"/>
          <w:sz w:val="18"/>
          <w:szCs w:val="18"/>
          <w:color w:val="auto"/>
        </w:rPr>
      </w:pPr>
    </w:p>
    <w:p>
      <w:pPr>
        <w:jc w:val="both"/>
        <w:ind w:firstLine="8"/>
        <w:spacing w:after="0" w:line="314" w:lineRule="auto"/>
        <w:tabs>
          <w:tab w:leader="none" w:pos="440" w:val="left"/>
        </w:tabs>
        <w:numPr>
          <w:ilvl w:val="0"/>
          <w:numId w:val="522"/>
        </w:numPr>
        <w:rPr>
          <w:rFonts w:ascii="Arial" w:cs="Arial" w:eastAsia="Arial" w:hAnsi="Arial"/>
          <w:sz w:val="16"/>
          <w:szCs w:val="16"/>
          <w:color w:val="auto"/>
        </w:rPr>
      </w:pPr>
      <w:r>
        <w:rPr>
          <w:rFonts w:ascii="Arial" w:cs="Arial" w:eastAsia="Arial" w:hAnsi="Arial"/>
          <w:sz w:val="16"/>
          <w:szCs w:val="16"/>
          <w:b w:val="1"/>
          <w:bCs w:val="1"/>
          <w:color w:val="auto"/>
        </w:rPr>
        <w:t>Term Facility Loans</w:t>
      </w:r>
      <w:r>
        <w:rPr>
          <w:rFonts w:ascii="Arial" w:cs="Arial" w:eastAsia="Arial" w:hAnsi="Arial"/>
          <w:sz w:val="16"/>
          <w:szCs w:val="16"/>
          <w:color w:val="auto"/>
        </w:rPr>
        <w:t>. Borrower hereby promises to pay to Administrative Agent for the account of the Lenders with Term Facility Loans in 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principal of the Term Facility Loans, on each date set forth on </w:t>
      </w:r>
      <w:r>
        <w:rPr>
          <w:rFonts w:ascii="Arial" w:cs="Arial" w:eastAsia="Arial" w:hAnsi="Arial"/>
          <w:sz w:val="16"/>
          <w:szCs w:val="16"/>
          <w:u w:val="single" w:color="auto"/>
          <w:color w:val="auto"/>
        </w:rPr>
        <w:t>Annex B</w:t>
      </w:r>
      <w:r>
        <w:rPr>
          <w:rFonts w:ascii="Arial" w:cs="Arial" w:eastAsia="Arial" w:hAnsi="Arial"/>
          <w:sz w:val="16"/>
          <w:szCs w:val="16"/>
          <w:color w:val="auto"/>
        </w:rPr>
        <w:t>, that principal amount of Term Facility Loans, to the extent then outstanding, as is set forth opposite such date (subject to adjustment for any prepayments made under Section 2.09 or Section 2.10 or Section 2.11(b) or Section 13.04(b)(B)</w:t>
      </w:r>
    </w:p>
    <w:p>
      <w:pPr>
        <w:sectPr>
          <w:pgSz w:w="11900" w:h="16838" w:orient="portrait"/>
          <w:cols w:equalWidth="0" w:num="1">
            <w:col w:w="11420"/>
          </w:cols>
          <w:pgMar w:left="240" w:top="368" w:right="239" w:bottom="1440" w:gutter="0" w:footer="0" w:header="0"/>
        </w:sectPr>
      </w:pPr>
    </w:p>
    <w:bookmarkStart w:id="425" w:name="page426"/>
    <w:bookmarkEnd w:id="425"/>
    <w:p>
      <w:pPr>
        <w:spacing w:after="0" w:line="277" w:lineRule="auto"/>
        <w:rPr>
          <w:sz w:val="20"/>
          <w:szCs w:val="20"/>
          <w:color w:val="auto"/>
        </w:rPr>
      </w:pPr>
      <w:r>
        <w:rPr>
          <w:rFonts w:ascii="Arial" w:cs="Arial" w:eastAsia="Arial" w:hAnsi="Arial"/>
          <w:sz w:val="18"/>
          <w:szCs w:val="18"/>
          <w:color w:val="auto"/>
        </w:rPr>
        <w:t>or as provided in Section 2.12, in Section 2.13 or in Section 2.15), and the remaining principal amount of Term Facility Loans on the Term Facility Maturity Date.</w:t>
      </w:r>
    </w:p>
    <w:p>
      <w:pPr>
        <w:spacing w:after="0" w:line="166" w:lineRule="exact"/>
        <w:rPr>
          <w:sz w:val="20"/>
          <w:szCs w:val="20"/>
          <w:color w:val="auto"/>
        </w:rPr>
      </w:pPr>
    </w:p>
    <w:p>
      <w:pPr>
        <w:jc w:val="both"/>
        <w:ind w:firstLine="8"/>
        <w:spacing w:after="0" w:line="314" w:lineRule="auto"/>
        <w:tabs>
          <w:tab w:leader="none" w:pos="461" w:val="left"/>
        </w:tabs>
        <w:numPr>
          <w:ilvl w:val="0"/>
          <w:numId w:val="523"/>
        </w:numPr>
        <w:rPr>
          <w:rFonts w:ascii="Arial" w:cs="Arial" w:eastAsia="Arial" w:hAnsi="Arial"/>
          <w:sz w:val="16"/>
          <w:szCs w:val="16"/>
          <w:color w:val="auto"/>
        </w:rPr>
      </w:pPr>
      <w:r>
        <w:rPr>
          <w:rFonts w:ascii="Arial" w:cs="Arial" w:eastAsia="Arial" w:hAnsi="Arial"/>
          <w:sz w:val="16"/>
          <w:szCs w:val="16"/>
          <w:b w:val="1"/>
          <w:bCs w:val="1"/>
          <w:color w:val="auto"/>
        </w:rPr>
        <w:t>Extended Term Loans; Other Term Loans</w:t>
      </w:r>
      <w:r>
        <w:rPr>
          <w:rFonts w:ascii="Arial" w:cs="Arial" w:eastAsia="Arial" w:hAnsi="Arial"/>
          <w:sz w:val="16"/>
          <w:szCs w:val="16"/>
          <w:color w:val="auto"/>
        </w:rPr>
        <w:t>. Extended Term Loans shall mature in installments as specified in the applicable Extension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4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64" w:lineRule="auto"/>
        <w:tabs>
          <w:tab w:leader="none" w:pos="43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4"/>
        <w:spacing w:after="0" w:line="277" w:lineRule="auto"/>
        <w:tabs>
          <w:tab w:leader="none" w:pos="1163" w:val="left"/>
        </w:tabs>
        <w:numPr>
          <w:ilvl w:val="1"/>
          <w:numId w:val="524"/>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hanging="4"/>
        <w:spacing w:after="0" w:line="277" w:lineRule="auto"/>
        <w:tabs>
          <w:tab w:leader="none" w:pos="1156" w:val="left"/>
        </w:tabs>
        <w:numPr>
          <w:ilvl w:val="1"/>
          <w:numId w:val="524"/>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8"/>
        <w:spacing w:after="0" w:line="302" w:lineRule="auto"/>
        <w:tabs>
          <w:tab w:leader="none" w:pos="441"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8"/>
        <w:spacing w:after="0" w:line="254" w:lineRule="auto"/>
        <w:tabs>
          <w:tab w:leader="none" w:pos="429"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Payments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73" w:lineRule="auto"/>
        <w:tabs>
          <w:tab w:leader="none" w:pos="454" w:val="left"/>
        </w:tabs>
        <w:numPr>
          <w:ilvl w:val="0"/>
          <w:numId w:val="525"/>
        </w:numPr>
        <w:rPr>
          <w:rFonts w:ascii="Arial" w:cs="Arial" w:eastAsia="Arial" w:hAnsi="Arial"/>
          <w:sz w:val="17"/>
          <w:szCs w:val="17"/>
          <w:color w:val="auto"/>
        </w:rPr>
      </w:pPr>
      <w:r>
        <w:rPr>
          <w:rFonts w:ascii="Arial" w:cs="Arial" w:eastAsia="Arial" w:hAnsi="Arial"/>
          <w:sz w:val="17"/>
          <w:szCs w:val="17"/>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ectPr>
          <w:pgSz w:w="11900" w:h="16838" w:orient="portrait"/>
          <w:cols w:equalWidth="0" w:num="1">
            <w:col w:w="11420"/>
          </w:cols>
          <w:pgMar w:left="240" w:top="368" w:right="239" w:bottom="1440" w:gutter="0" w:footer="0" w:header="0"/>
        </w:sectPr>
      </w:pPr>
    </w:p>
    <w:bookmarkStart w:id="426" w:name="page427"/>
    <w:bookmarkEnd w:id="426"/>
    <w:p>
      <w:pPr>
        <w:jc w:val="both"/>
        <w:ind w:firstLine="8"/>
        <w:spacing w:after="0" w:line="264" w:lineRule="auto"/>
        <w:tabs>
          <w:tab w:leader="none" w:pos="51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8"/>
        <w:spacing w:after="0" w:line="270" w:lineRule="auto"/>
        <w:tabs>
          <w:tab w:leader="none" w:pos="442" w:val="left"/>
        </w:tabs>
        <w:numPr>
          <w:ilvl w:val="0"/>
          <w:numId w:val="526"/>
        </w:numPr>
        <w:rPr>
          <w:rFonts w:ascii="Arial" w:cs="Arial" w:eastAsia="Arial" w:hAnsi="Arial"/>
          <w:sz w:val="17"/>
          <w:szCs w:val="17"/>
          <w:color w:val="auto"/>
        </w:rPr>
      </w:pPr>
      <w:r>
        <w:rPr>
          <w:rFonts w:ascii="Arial" w:cs="Arial" w:eastAsia="Arial" w:hAnsi="Arial"/>
          <w:sz w:val="17"/>
          <w:szCs w:val="17"/>
          <w:color w:val="auto"/>
        </w:rPr>
        <w:t>Except to the extent otherwise provided in the third sentence of Section 2.03(h),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77" w:lineRule="exact"/>
        <w:rPr>
          <w:rFonts w:ascii="Arial" w:cs="Arial" w:eastAsia="Arial" w:hAnsi="Arial"/>
          <w:sz w:val="17"/>
          <w:szCs w:val="17"/>
          <w:color w:val="auto"/>
        </w:rPr>
      </w:pPr>
    </w:p>
    <w:p>
      <w:pPr>
        <w:jc w:val="both"/>
        <w:ind w:firstLine="8"/>
        <w:spacing w:after="0" w:line="264" w:lineRule="auto"/>
        <w:tabs>
          <w:tab w:leader="none" w:pos="455"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4.02. Pro Rata Treatment. </w:t>
      </w:r>
      <w:r>
        <w:rPr>
          <w:rFonts w:ascii="Arial" w:cs="Arial" w:eastAsia="Arial" w:hAnsi="Arial"/>
          <w:sz w:val="17"/>
          <w:szCs w:val="17"/>
          <w:color w:val="auto"/>
        </w:rPr>
        <w:t>Except to the extent otherwise provided herein: (a) each borrowing of Loans of a particular Class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amounts of their respective Commitments of such Class; (b) except as otherwise provided in Section 5.04, LIBOR Loans of any Class having the same Interest Period shall be allocated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among the relevant Lenders according to the amounts of their respective Revolving Commitments and Term Loan Commitments (in the case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accordance with the respective unpaid outstanding principal amounts of the Loans of such Class held by them; and (d)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2.09(b), Section 2.10(b), Section 2.12, Section 2.13, Section 2.14, Section 2.15, Section 13.04 or Section 13.05(d), each payment of interest on Revolving Loans and Term Loans shall be made for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amounts of interest on such Loans then due and payable to the respective Lenders.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4.03. Computations. </w:t>
      </w:r>
      <w:r>
        <w:rPr>
          <w:rFonts w:ascii="Arial" w:cs="Arial" w:eastAsia="Arial" w:hAnsi="Arial"/>
          <w:sz w:val="18"/>
          <w:szCs w:val="18"/>
          <w:color w:val="auto"/>
        </w:rPr>
        <w:t>Interest on LIBOR Loans, commitment fees and Letter of Credit fees shall be computed on the basis of a year of 360</w:t>
      </w:r>
      <w:r>
        <w:rPr>
          <w:rFonts w:ascii="Arial" w:cs="Arial" w:eastAsia="Arial" w:hAnsi="Arial"/>
          <w:sz w:val="18"/>
          <w:szCs w:val="18"/>
          <w:b w:val="1"/>
          <w:bCs w:val="1"/>
          <w:color w:val="auto"/>
        </w:rPr>
        <w:t xml:space="preserve"> </w:t>
      </w:r>
      <w:r>
        <w:rPr>
          <w:rFonts w:ascii="Arial" w:cs="Arial" w:eastAsia="Arial" w:hAnsi="Arial"/>
          <w:sz w:val="18"/>
          <w:szCs w:val="18"/>
          <w:color w:val="auto"/>
        </w:rPr>
        <w:t>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4.04. Minimum Amounts. </w:t>
      </w:r>
      <w:r>
        <w:rPr>
          <w:rFonts w:ascii="Arial" w:cs="Arial" w:eastAsia="Arial" w:hAnsi="Arial"/>
          <w:sz w:val="18"/>
          <w:szCs w:val="18"/>
          <w:color w:val="auto"/>
        </w:rPr>
        <w:t>Except for mandatory prepayments made pursuant to Section 2.10 and conversions or prepayments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w:t>
      </w:r>
    </w:p>
    <w:p>
      <w:pPr>
        <w:sectPr>
          <w:pgSz w:w="11900" w:h="16838" w:orient="portrait"/>
          <w:cols w:equalWidth="0" w:num="1">
            <w:col w:w="11420"/>
          </w:cols>
          <w:pgMar w:left="240" w:top="368" w:right="239" w:bottom="1440" w:gutter="0" w:footer="0" w:header="0"/>
        </w:sectPr>
      </w:pPr>
    </w:p>
    <w:bookmarkStart w:id="427" w:name="page428"/>
    <w:bookmarkEnd w:id="427"/>
    <w:p>
      <w:pPr>
        <w:jc w:val="both"/>
        <w:spacing w:after="0" w:line="297" w:lineRule="auto"/>
        <w:rPr>
          <w:sz w:val="20"/>
          <w:szCs w:val="20"/>
          <w:color w:val="auto"/>
        </w:rPr>
      </w:pPr>
      <w:r>
        <w:rPr>
          <w:rFonts w:ascii="Arial" w:cs="Arial" w:eastAsia="Arial" w:hAnsi="Arial"/>
          <w:sz w:val="16"/>
          <w:szCs w:val="16"/>
          <w:color w:val="auto"/>
        </w:rPr>
        <w:t>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40" w:type="dxa"/>
            <w:vAlign w:val="bottom"/>
          </w:tcPr>
          <w:p>
            <w:pPr>
              <w:ind w:left="4940"/>
              <w:spacing w:after="0"/>
              <w:rPr>
                <w:sz w:val="20"/>
                <w:szCs w:val="20"/>
                <w:color w:val="auto"/>
              </w:rPr>
            </w:pPr>
            <w:r>
              <w:rPr>
                <w:rFonts w:ascii="Arial" w:cs="Arial" w:eastAsia="Arial" w:hAnsi="Arial"/>
                <w:sz w:val="18"/>
                <w:szCs w:val="18"/>
                <w:color w:val="auto"/>
              </w:rPr>
              <w:t>NOTICE PERIODS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840" w:type="dxa"/>
            <w:vAlign w:val="bottom"/>
          </w:tcPr>
          <w:p>
            <w:pPr>
              <w:spacing w:after="0"/>
              <w:rPr>
                <w:sz w:val="24"/>
                <w:szCs w:val="24"/>
                <w:color w:val="auto"/>
              </w:rPr>
            </w:pP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432"/>
        </w:trPr>
        <w:tc>
          <w:tcPr>
            <w:tcW w:w="8840" w:type="dxa"/>
            <w:vAlign w:val="bottom"/>
            <w:vMerge w:val="restart"/>
          </w:tcPr>
          <w:p>
            <w:pPr>
              <w:spacing w:after="0"/>
              <w:rPr>
                <w:sz w:val="20"/>
                <w:szCs w:val="20"/>
                <w:color w:val="auto"/>
              </w:rPr>
            </w:pPr>
            <w:r>
              <w:rPr>
                <w:rFonts w:ascii="Arial" w:cs="Arial" w:eastAsia="Arial" w:hAnsi="Arial"/>
                <w:sz w:val="18"/>
                <w:szCs w:val="18"/>
                <w:color w:val="auto"/>
              </w:rPr>
              <w:t>Notice</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0"/>
              </w:rPr>
              <w:t>Business Days Prior</w:t>
            </w:r>
          </w:p>
        </w:tc>
        <w:tc>
          <w:tcPr>
            <w:tcW w:w="0" w:type="dxa"/>
            <w:vAlign w:val="bottom"/>
          </w:tcPr>
          <w:p>
            <w:pPr>
              <w:spacing w:after="0"/>
              <w:rPr>
                <w:sz w:val="1"/>
                <w:szCs w:val="1"/>
                <w:color w:val="auto"/>
              </w:rPr>
            </w:pPr>
          </w:p>
        </w:tc>
      </w:tr>
      <w:tr>
        <w:trPr>
          <w:trHeight w:val="216"/>
        </w:trPr>
        <w:tc>
          <w:tcPr>
            <w:tcW w:w="884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Termination or reduction of Commitments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Optional prepayment of, or conversions into, ABR 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6"/>
        </w:trPr>
        <w:tc>
          <w:tcPr>
            <w:tcW w:w="8840" w:type="dxa"/>
            <w:vAlign w:val="bottom"/>
          </w:tcPr>
          <w:p>
            <w:pPr>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8840" w:type="dxa"/>
            <w:vAlign w:val="bottom"/>
          </w:tcPr>
          <w:p>
            <w:pPr>
              <w:spacing w:after="0"/>
              <w:rPr>
                <w:sz w:val="20"/>
                <w:szCs w:val="20"/>
                <w:color w:val="auto"/>
              </w:rPr>
            </w:pPr>
            <w:r>
              <w:rPr>
                <w:rFonts w:ascii="Arial" w:cs="Arial" w:eastAsia="Arial" w:hAnsi="Arial"/>
                <w:sz w:val="18"/>
                <w:szCs w:val="18"/>
                <w:color w:val="auto"/>
              </w:rPr>
              <w:t>Borrowing of ABR Loans</w:t>
            </w:r>
          </w:p>
        </w:tc>
        <w:tc>
          <w:tcPr>
            <w:tcW w:w="1960" w:type="dxa"/>
            <w:vAlign w:val="bottom"/>
          </w:tcPr>
          <w:p>
            <w:pPr>
              <w:jc w:val="center"/>
              <w:ind w:left="410"/>
              <w:spacing w:after="0"/>
              <w:rPr>
                <w:sz w:val="20"/>
                <w:szCs w:val="20"/>
                <w:color w:val="auto"/>
              </w:rPr>
            </w:pPr>
            <w:r>
              <w:rPr>
                <w:rFonts w:ascii="Arial" w:cs="Arial" w:eastAsia="Arial" w:hAnsi="Arial"/>
                <w:sz w:val="18"/>
                <w:szCs w:val="18"/>
                <w:color w:val="auto"/>
                <w:w w:val="84"/>
              </w:rPr>
              <w:t>same day</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200" w:lineRule="exact"/>
        <w:rPr>
          <w:sz w:val="20"/>
          <w:szCs w:val="20"/>
          <w:color w:val="auto"/>
        </w:rPr>
      </w:pPr>
    </w:p>
    <w:p>
      <w:pPr>
        <w:spacing w:after="0" w:line="20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p>
    <w:p>
      <w:pPr>
        <w:spacing w:after="0" w:line="229" w:lineRule="exact"/>
        <w:rPr>
          <w:sz w:val="20"/>
          <w:szCs w:val="20"/>
          <w:color w:val="auto"/>
        </w:rPr>
      </w:pPr>
    </w:p>
    <w:p>
      <w:pPr>
        <w:jc w:val="both"/>
        <w:ind w:firstLine="8"/>
        <w:spacing w:after="0" w:line="257" w:lineRule="auto"/>
        <w:tabs>
          <w:tab w:leader="none" w:pos="393" w:val="left"/>
        </w:tabs>
        <w:numPr>
          <w:ilvl w:val="0"/>
          <w:numId w:val="52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w:t>
      </w:r>
    </w:p>
    <w:p>
      <w:pPr>
        <w:sectPr>
          <w:pgSz w:w="11900" w:h="16838" w:orient="portrait"/>
          <w:cols w:equalWidth="0" w:num="1">
            <w:col w:w="11420"/>
          </w:cols>
          <w:pgMar w:left="240" w:top="368" w:right="239" w:bottom="1440" w:gutter="0" w:footer="0" w:header="0"/>
        </w:sectPr>
      </w:pPr>
    </w:p>
    <w:bookmarkStart w:id="428" w:name="page429"/>
    <w:bookmarkEnd w:id="428"/>
    <w:p>
      <w:pPr>
        <w:jc w:val="both"/>
        <w:spacing w:after="0" w:line="253" w:lineRule="auto"/>
        <w:rPr>
          <w:sz w:val="20"/>
          <w:szCs w:val="20"/>
          <w:color w:val="auto"/>
        </w:rPr>
      </w:pPr>
      <w:r>
        <w:rPr>
          <w:rFonts w:ascii="Arial" w:cs="Arial" w:eastAsia="Arial" w:hAnsi="Arial"/>
          <w:sz w:val="18"/>
          <w:szCs w:val="18"/>
          <w:color w:val="auto"/>
        </w:rPr>
        <w:t>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95" w:lineRule="exact"/>
        <w:rPr>
          <w:sz w:val="20"/>
          <w:szCs w:val="20"/>
          <w:color w:val="auto"/>
        </w:rPr>
      </w:pPr>
    </w:p>
    <w:p>
      <w:pPr>
        <w:jc w:val="both"/>
        <w:ind w:firstLine="8"/>
        <w:spacing w:after="0" w:line="271" w:lineRule="auto"/>
        <w:tabs>
          <w:tab w:leader="none" w:pos="464" w:val="left"/>
        </w:tabs>
        <w:numPr>
          <w:ilvl w:val="0"/>
          <w:numId w:val="528"/>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90" w:lineRule="auto"/>
        <w:tabs>
          <w:tab w:leader="none" w:pos="504" w:val="left"/>
        </w:tabs>
        <w:numPr>
          <w:ilvl w:val="0"/>
          <w:numId w:val="529"/>
        </w:numPr>
        <w:rPr>
          <w:rFonts w:ascii="Arial" w:cs="Arial" w:eastAsia="Arial" w:hAnsi="Arial"/>
          <w:sz w:val="16"/>
          <w:szCs w:val="16"/>
          <w:color w:val="auto"/>
        </w:rPr>
      </w:pPr>
      <w:r>
        <w:rPr>
          <w:rFonts w:ascii="Arial" w:cs="Arial" w:eastAsia="Arial" w:hAnsi="Arial"/>
          <w:sz w:val="16"/>
          <w:szCs w:val="16"/>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Lender’s failure to give such notice shall not affect the validity thereof; and</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no such right of setoff,</w:t>
      </w:r>
      <w:r>
        <w:rPr>
          <w:rFonts w:ascii="Arial" w:cs="Arial" w:eastAsia="Arial" w:hAnsi="Arial"/>
          <w:sz w:val="16"/>
          <w:szCs w:val="16"/>
          <w:i w:val="1"/>
          <w:iCs w:val="1"/>
          <w:color w:val="auto"/>
        </w:rPr>
        <w:t xml:space="preserve"> </w:t>
      </w:r>
      <w:r>
        <w:rPr>
          <w:rFonts w:ascii="Arial" w:cs="Arial" w:eastAsia="Arial" w:hAnsi="Arial"/>
          <w:sz w:val="16"/>
          <w:szCs w:val="16"/>
          <w:color w:val="auto"/>
        </w:rPr>
        <w:t>banker’s lien or counterclaim shall apply to any funds held for further distribution to any Governmental Authority.</w:t>
      </w:r>
    </w:p>
    <w:p>
      <w:pPr>
        <w:spacing w:after="0" w:line="166" w:lineRule="exact"/>
        <w:rPr>
          <w:rFonts w:ascii="Arial" w:cs="Arial" w:eastAsia="Arial" w:hAnsi="Arial"/>
          <w:sz w:val="16"/>
          <w:szCs w:val="16"/>
          <w:color w:val="auto"/>
        </w:rPr>
      </w:pPr>
    </w:p>
    <w:p>
      <w:pPr>
        <w:jc w:val="both"/>
        <w:ind w:firstLine="8"/>
        <w:spacing w:after="0" w:line="288" w:lineRule="auto"/>
        <w:tabs>
          <w:tab w:leader="none" w:pos="476" w:val="left"/>
        </w:tabs>
        <w:numPr>
          <w:ilvl w:val="0"/>
          <w:numId w:val="529"/>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all or any portion of such excess amount is thereafter recovered from such Lender, such purchase shall be rescinded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restored to the extent of such recovery, but without interest. Borrower consents to the foregoing arrangements.</w:t>
      </w:r>
    </w:p>
    <w:p>
      <w:pPr>
        <w:sectPr>
          <w:pgSz w:w="11900" w:h="16838" w:orient="portrait"/>
          <w:cols w:equalWidth="0" w:num="1">
            <w:col w:w="11420"/>
          </w:cols>
          <w:pgMar w:left="240" w:top="368" w:right="239" w:bottom="1440" w:gutter="0" w:footer="0" w:header="0"/>
        </w:sectPr>
      </w:pPr>
    </w:p>
    <w:bookmarkStart w:id="429" w:name="page430"/>
    <w:bookmarkEnd w:id="429"/>
    <w:p>
      <w:pPr>
        <w:jc w:val="both"/>
        <w:ind w:firstLine="8"/>
        <w:spacing w:after="0" w:line="264" w:lineRule="auto"/>
        <w:tabs>
          <w:tab w:leader="none" w:pos="48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81" w:lineRule="exact"/>
        <w:rPr>
          <w:rFonts w:ascii="Arial" w:cs="Arial" w:eastAsia="Arial" w:hAnsi="Arial"/>
          <w:sz w:val="18"/>
          <w:szCs w:val="18"/>
          <w:color w:val="auto"/>
        </w:rPr>
      </w:pPr>
    </w:p>
    <w:p>
      <w:pPr>
        <w:jc w:val="both"/>
        <w:ind w:firstLine="8"/>
        <w:spacing w:after="0" w:line="257" w:lineRule="auto"/>
        <w:tabs>
          <w:tab w:leader="none" w:pos="439" w:val="left"/>
        </w:tabs>
        <w:numPr>
          <w:ilvl w:val="0"/>
          <w:numId w:val="530"/>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8" w:lineRule="exact"/>
        <w:rPr>
          <w:rFonts w:ascii="Arial" w:cs="Arial" w:eastAsia="Arial" w:hAnsi="Arial"/>
          <w:sz w:val="18"/>
          <w:szCs w:val="18"/>
          <w:color w:val="auto"/>
        </w:rPr>
      </w:pPr>
    </w:p>
    <w:p>
      <w:pPr>
        <w:jc w:val="both"/>
        <w:ind w:firstLine="8"/>
        <w:spacing w:after="0" w:line="257" w:lineRule="auto"/>
        <w:tabs>
          <w:tab w:leader="none" w:pos="49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p>
    <w:p>
      <w:pPr>
        <w:spacing w:after="0" w:line="200" w:lineRule="exact"/>
        <w:rPr>
          <w:sz w:val="20"/>
          <w:szCs w:val="20"/>
          <w:color w:val="auto"/>
        </w:rPr>
      </w:pPr>
    </w:p>
    <w:p>
      <w:pPr>
        <w:spacing w:after="0" w:line="245" w:lineRule="exact"/>
        <w:rPr>
          <w:sz w:val="20"/>
          <w:szCs w:val="20"/>
          <w:color w:val="auto"/>
        </w:rPr>
      </w:pPr>
    </w:p>
    <w:p>
      <w:pPr>
        <w:ind w:left="440" w:hanging="432"/>
        <w:spacing w:after="0"/>
        <w:tabs>
          <w:tab w:leader="none" w:pos="4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52" w:lineRule="exact"/>
        <w:rPr>
          <w:rFonts w:ascii="Arial" w:cs="Arial" w:eastAsia="Arial" w:hAnsi="Arial"/>
          <w:sz w:val="18"/>
          <w:szCs w:val="18"/>
          <w:color w:val="auto"/>
        </w:rPr>
      </w:pPr>
    </w:p>
    <w:p>
      <w:pPr>
        <w:jc w:val="both"/>
        <w:ind w:left="660" w:firstLine="888"/>
        <w:spacing w:after="0" w:line="297" w:lineRule="auto"/>
        <w:tabs>
          <w:tab w:leader="none" w:pos="2113" w:val="left"/>
        </w:tabs>
        <w:numPr>
          <w:ilvl w:val="1"/>
          <w:numId w:val="531"/>
        </w:numPr>
        <w:rPr>
          <w:rFonts w:ascii="Arial" w:cs="Arial" w:eastAsia="Arial" w:hAnsi="Arial"/>
          <w:sz w:val="18"/>
          <w:szCs w:val="18"/>
          <w:color w:val="auto"/>
        </w:rPr>
      </w:pPr>
      <w:r>
        <w:rPr>
          <w:rFonts w:ascii="Arial" w:cs="Arial" w:eastAsia="Arial" w:hAnsi="Arial"/>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 w:lineRule="exact"/>
        <w:rPr>
          <w:rFonts w:ascii="Arial" w:cs="Arial" w:eastAsia="Arial" w:hAnsi="Arial"/>
          <w:sz w:val="18"/>
          <w:szCs w:val="18"/>
          <w:color w:val="auto"/>
        </w:rPr>
      </w:pPr>
    </w:p>
    <w:p>
      <w:pPr>
        <w:jc w:val="both"/>
        <w:ind w:left="660" w:firstLine="888"/>
        <w:spacing w:after="0" w:line="334" w:lineRule="auto"/>
        <w:tabs>
          <w:tab w:leader="none" w:pos="2163"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1" w:lineRule="exact"/>
        <w:rPr>
          <w:rFonts w:ascii="Arial" w:cs="Arial" w:eastAsia="Arial" w:hAnsi="Arial"/>
          <w:sz w:val="16"/>
          <w:szCs w:val="16"/>
          <w:color w:val="auto"/>
        </w:rPr>
      </w:pPr>
    </w:p>
    <w:p>
      <w:pPr>
        <w:ind w:left="660" w:right="20" w:firstLine="888"/>
        <w:spacing w:after="0" w:line="324" w:lineRule="auto"/>
        <w:tabs>
          <w:tab w:leader="none" w:pos="2213" w:val="left"/>
        </w:tabs>
        <w:numPr>
          <w:ilvl w:val="1"/>
          <w:numId w:val="531"/>
        </w:numPr>
        <w:rPr>
          <w:rFonts w:ascii="Arial" w:cs="Arial" w:eastAsia="Arial" w:hAnsi="Arial"/>
          <w:sz w:val="18"/>
          <w:szCs w:val="18"/>
          <w:color w:val="auto"/>
        </w:rPr>
      </w:pPr>
      <w:r>
        <w:rPr>
          <w:rFonts w:ascii="Arial" w:cs="Arial" w:eastAsia="Arial" w:hAnsi="Arial"/>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93" w:lineRule="exact"/>
        <w:rPr>
          <w:sz w:val="20"/>
          <w:szCs w:val="20"/>
          <w:color w:val="auto"/>
        </w:rPr>
      </w:pPr>
    </w:p>
    <w:p>
      <w:pPr>
        <w:jc w:val="both"/>
        <w:ind w:firstLine="8"/>
        <w:spacing w:after="0" w:line="259" w:lineRule="auto"/>
        <w:tabs>
          <w:tab w:leader="none" w:pos="5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ectPr>
          <w:pgSz w:w="11900" w:h="16838" w:orient="portrait"/>
          <w:cols w:equalWidth="0" w:num="1">
            <w:col w:w="11420"/>
          </w:cols>
          <w:pgMar w:left="240" w:top="368" w:right="239" w:bottom="1440" w:gutter="0" w:footer="0" w:header="0"/>
        </w:sectPr>
      </w:pPr>
    </w:p>
    <w:bookmarkStart w:id="430" w:name="page431"/>
    <w:bookmarkEnd w:id="430"/>
    <w:p>
      <w:pPr>
        <w:jc w:val="both"/>
        <w:ind w:firstLine="8"/>
        <w:spacing w:after="0" w:line="271" w:lineRule="auto"/>
        <w:tabs>
          <w:tab w:leader="none" w:pos="431" w:val="left"/>
        </w:tabs>
        <w:numPr>
          <w:ilvl w:val="0"/>
          <w:numId w:val="533"/>
        </w:numPr>
        <w:rPr>
          <w:rFonts w:ascii="Arial" w:cs="Arial" w:eastAsia="Arial" w:hAnsi="Arial"/>
          <w:sz w:val="17"/>
          <w:szCs w:val="17"/>
          <w:color w:val="auto"/>
        </w:rPr>
      </w:pPr>
      <w:r>
        <w:rPr>
          <w:rFonts w:ascii="Arial" w:cs="Arial" w:eastAsia="Arial" w:hAnsi="Arial"/>
          <w:sz w:val="17"/>
          <w:szCs w:val="17"/>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78" w:lineRule="exact"/>
        <w:rPr>
          <w:rFonts w:ascii="Arial" w:cs="Arial" w:eastAsia="Arial" w:hAnsi="Arial"/>
          <w:sz w:val="17"/>
          <w:szCs w:val="17"/>
          <w:color w:val="auto"/>
        </w:rPr>
      </w:pPr>
    </w:p>
    <w:p>
      <w:pPr>
        <w:jc w:val="both"/>
        <w:ind w:firstLine="8"/>
        <w:spacing w:after="0" w:line="255" w:lineRule="auto"/>
        <w:tabs>
          <w:tab w:leader="none" w:pos="457"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5.01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5.02. Inability To Determine Interest Rate. </w:t>
      </w:r>
      <w:r>
        <w:rPr>
          <w:rFonts w:ascii="Arial" w:cs="Arial" w:eastAsia="Arial" w:hAnsi="Arial"/>
          <w:sz w:val="17"/>
          <w:szCs w:val="17"/>
          <w:color w:val="auto"/>
        </w:rPr>
        <w:t>If prior to the first day of any Interest Period: (a) Administrative Agent shall have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4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5.03. Illegality. </w:t>
      </w:r>
      <w:r>
        <w:rPr>
          <w:rFonts w:ascii="Arial" w:cs="Arial" w:eastAsia="Arial" w:hAnsi="Arial"/>
          <w:sz w:val="18"/>
          <w:szCs w:val="18"/>
          <w:color w:val="auto"/>
        </w:rPr>
        <w:t>Notwithstanding any other provision of this Agreement, in the event that any change after the date hereof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w:t>
      </w:r>
    </w:p>
    <w:p>
      <w:pPr>
        <w:sectPr>
          <w:pgSz w:w="11900" w:h="16838" w:orient="portrait"/>
          <w:cols w:equalWidth="0" w:num="1">
            <w:col w:w="11420"/>
          </w:cols>
          <w:pgMar w:left="240" w:top="368" w:right="239" w:bottom="1440" w:gutter="0" w:footer="0" w:header="0"/>
        </w:sectPr>
      </w:pPr>
    </w:p>
    <w:bookmarkStart w:id="431" w:name="page432"/>
    <w:bookmarkEnd w:id="431"/>
    <w:p>
      <w:pPr>
        <w:jc w:val="both"/>
        <w:spacing w:after="0" w:line="259" w:lineRule="auto"/>
        <w:rPr>
          <w:sz w:val="20"/>
          <w:szCs w:val="20"/>
          <w:color w:val="auto"/>
        </w:rPr>
      </w:pPr>
      <w:r>
        <w:rPr>
          <w:rFonts w:ascii="Arial" w:cs="Arial" w:eastAsia="Arial" w:hAnsi="Arial"/>
          <w:sz w:val="18"/>
          <w:szCs w:val="18"/>
          <w:color w:val="auto"/>
        </w:rPr>
        <w:t>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 until such time as such Lender or L/C Lender may again make and maintain LIBOR Loans or issue Letters of Credit (in which case the provisions of Section 5.04 shall be applicable).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5.04. Treatment of Affected Loans. </w:t>
      </w:r>
      <w:r>
        <w:rPr>
          <w:rFonts w:ascii="Arial" w:cs="Arial" w:eastAsia="Arial" w:hAnsi="Arial"/>
          <w:sz w:val="18"/>
          <w:szCs w:val="18"/>
          <w:color w:val="auto"/>
        </w:rPr>
        <w:t>If the obligation of any Lender to make LIBOR Loans or to continue, or to convert ABR Loans into,</w:t>
      </w:r>
      <w:r>
        <w:rPr>
          <w:rFonts w:ascii="Arial" w:cs="Arial" w:eastAsia="Arial" w:hAnsi="Arial"/>
          <w:sz w:val="18"/>
          <w:szCs w:val="18"/>
          <w:b w:val="1"/>
          <w:bCs w:val="1"/>
          <w:color w:val="auto"/>
        </w:rPr>
        <w:t xml:space="preserve"> </w:t>
      </w:r>
      <w:r>
        <w:rPr>
          <w:rFonts w:ascii="Arial" w:cs="Arial" w:eastAsia="Arial" w:hAnsi="Arial"/>
          <w:sz w:val="18"/>
          <w:szCs w:val="18"/>
          <w:color w:val="auto"/>
        </w:rPr>
        <w:t>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8" w:lineRule="exact"/>
        <w:rPr>
          <w:sz w:val="20"/>
          <w:szCs w:val="20"/>
          <w:color w:val="auto"/>
        </w:rPr>
      </w:pPr>
    </w:p>
    <w:p>
      <w:pPr>
        <w:ind w:left="660" w:right="20" w:hanging="4"/>
        <w:spacing w:after="0" w:line="277" w:lineRule="auto"/>
        <w:tabs>
          <w:tab w:leader="none" w:pos="109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70" w:lineRule="exact"/>
        <w:rPr>
          <w:rFonts w:ascii="Arial" w:cs="Arial" w:eastAsia="Arial" w:hAnsi="Arial"/>
          <w:sz w:val="18"/>
          <w:szCs w:val="18"/>
          <w:color w:val="auto"/>
        </w:rPr>
      </w:pPr>
    </w:p>
    <w:p>
      <w:pPr>
        <w:ind w:left="660" w:hanging="4"/>
        <w:spacing w:after="0" w:line="277" w:lineRule="auto"/>
        <w:tabs>
          <w:tab w:leader="none" w:pos="1153"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6"/>
          <w:szCs w:val="16"/>
          <w:b w:val="1"/>
          <w:bCs w:val="1"/>
          <w:color w:val="auto"/>
        </w:rPr>
        <w:t>Compensation</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53" w:lineRule="auto"/>
        <w:tabs>
          <w:tab w:leader="none" w:pos="40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97" w:lineRule="exact"/>
        <w:rPr>
          <w:rFonts w:ascii="Arial" w:cs="Arial" w:eastAsia="Arial" w:hAnsi="Arial"/>
          <w:sz w:val="18"/>
          <w:szCs w:val="18"/>
          <w:color w:val="auto"/>
        </w:rPr>
      </w:pPr>
    </w:p>
    <w:p>
      <w:pPr>
        <w:jc w:val="both"/>
        <w:ind w:firstLine="8"/>
        <w:spacing w:after="0" w:line="272" w:lineRule="auto"/>
        <w:tabs>
          <w:tab w:leader="none" w:pos="463" w:val="left"/>
        </w:tabs>
        <w:numPr>
          <w:ilvl w:val="0"/>
          <w:numId w:val="535"/>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ectPr>
          <w:pgSz w:w="11900" w:h="16838" w:orient="portrait"/>
          <w:cols w:equalWidth="0" w:num="1">
            <w:col w:w="11420"/>
          </w:cols>
          <w:pgMar w:left="240" w:top="368" w:right="239" w:bottom="1440" w:gutter="0" w:footer="0" w:header="0"/>
        </w:sectPr>
      </w:pPr>
    </w:p>
    <w:bookmarkStart w:id="432" w:name="page433"/>
    <w:bookmarkEnd w:id="432"/>
    <w:p>
      <w:pPr>
        <w:spacing w:after="0"/>
        <w:rPr>
          <w:sz w:val="20"/>
          <w:szCs w:val="20"/>
          <w:color w:val="auto"/>
        </w:rPr>
      </w:pPr>
      <w:r>
        <w:rPr>
          <w:rFonts w:ascii="Arial" w:cs="Arial" w:eastAsia="Arial" w:hAnsi="Arial"/>
          <w:sz w:val="17"/>
          <w:szCs w:val="17"/>
          <w:b w:val="1"/>
          <w:bCs w:val="1"/>
          <w:color w:val="auto"/>
        </w:rPr>
        <w:t>SECTION 5.06.</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Net Payments</w:t>
      </w:r>
    </w:p>
    <w:p>
      <w:pPr>
        <w:spacing w:after="0" w:line="457" w:lineRule="exact"/>
        <w:rPr>
          <w:sz w:val="20"/>
          <w:szCs w:val="20"/>
          <w:color w:val="auto"/>
        </w:rPr>
      </w:pPr>
    </w:p>
    <w:p>
      <w:pPr>
        <w:sectPr>
          <w:pgSz w:w="11900" w:h="16838" w:orient="portrait"/>
          <w:cols w:equalWidth="0" w:num="2">
            <w:col w:w="1220" w:space="360"/>
            <w:col w:w="9840"/>
          </w:cols>
          <w:pgMar w:left="240" w:top="580" w:right="239" w:bottom="1440" w:gutter="0" w:footer="0" w:header="0"/>
        </w:sectPr>
      </w:pPr>
    </w:p>
    <w:p>
      <w:pPr>
        <w:spacing w:after="0" w:line="11" w:lineRule="exact"/>
        <w:rPr>
          <w:sz w:val="20"/>
          <w:szCs w:val="20"/>
          <w:color w:val="auto"/>
        </w:rPr>
      </w:pPr>
    </w:p>
    <w:p>
      <w:pPr>
        <w:ind w:right="120" w:firstLine="8"/>
        <w:spacing w:after="0" w:line="285" w:lineRule="auto"/>
        <w:tabs>
          <w:tab w:leader="none" w:pos="425" w:val="left"/>
        </w:tabs>
        <w:numPr>
          <w:ilvl w:val="0"/>
          <w:numId w:val="536"/>
        </w:numPr>
        <w:rPr>
          <w:rFonts w:ascii="Arial" w:cs="Arial" w:eastAsia="Arial" w:hAnsi="Arial"/>
          <w:sz w:val="16"/>
          <w:szCs w:val="16"/>
          <w:color w:val="auto"/>
        </w:rPr>
      </w:pPr>
      <w:r>
        <w:rPr>
          <w:rFonts w:ascii="Arial" w:cs="Arial" w:eastAsia="Arial" w:hAnsi="Arial"/>
          <w:sz w:val="16"/>
          <w:szCs w:val="16"/>
          <w:color w:val="auto"/>
        </w:rPr>
        <w:t>Except as provided in this Section 5.06(a),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Section 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2" w:lineRule="exact"/>
        <w:rPr>
          <w:rFonts w:ascii="Arial" w:cs="Arial" w:eastAsia="Arial" w:hAnsi="Arial"/>
          <w:sz w:val="16"/>
          <w:szCs w:val="16"/>
          <w:color w:val="auto"/>
        </w:rPr>
      </w:pPr>
    </w:p>
    <w:p>
      <w:pPr>
        <w:jc w:val="both"/>
        <w:ind w:firstLine="8"/>
        <w:spacing w:after="0" w:line="288" w:lineRule="auto"/>
        <w:tabs>
          <w:tab w:leader="none" w:pos="413" w:val="left"/>
        </w:tabs>
        <w:numPr>
          <w:ilvl w:val="0"/>
          <w:numId w:val="536"/>
        </w:numPr>
        <w:rPr>
          <w:rFonts w:ascii="Arial" w:cs="Arial" w:eastAsia="Arial" w:hAnsi="Arial"/>
          <w:sz w:val="16"/>
          <w:szCs w:val="16"/>
          <w:color w:val="auto"/>
        </w:rPr>
      </w:pPr>
      <w:r>
        <w:rPr>
          <w:rFonts w:ascii="Arial" w:cs="Arial" w:eastAsia="Arial" w:hAnsi="Arial"/>
          <w:sz w:val="16"/>
          <w:szCs w:val="16"/>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69" w:lineRule="exact"/>
        <w:rPr>
          <w:rFonts w:ascii="Arial" w:cs="Arial" w:eastAsia="Arial" w:hAnsi="Arial"/>
          <w:sz w:val="16"/>
          <w:szCs w:val="16"/>
          <w:color w:val="auto"/>
        </w:rPr>
      </w:pPr>
    </w:p>
    <w:p>
      <w:pPr>
        <w:jc w:val="both"/>
        <w:ind w:firstLine="656"/>
        <w:spacing w:after="0" w:line="291" w:lineRule="auto"/>
        <w:tabs>
          <w:tab w:leader="none" w:pos="1059" w:val="left"/>
        </w:tabs>
        <w:numPr>
          <w:ilvl w:val="1"/>
          <w:numId w:val="536"/>
        </w:numPr>
        <w:rPr>
          <w:rFonts w:ascii="Arial" w:cs="Arial" w:eastAsia="Arial" w:hAnsi="Arial"/>
          <w:sz w:val="16"/>
          <w:szCs w:val="16"/>
          <w:color w:val="auto"/>
        </w:rPr>
      </w:pPr>
      <w:r>
        <w:rPr>
          <w:rFonts w:ascii="Arial" w:cs="Arial" w:eastAsia="Arial" w:hAnsi="Arial"/>
          <w:sz w:val="16"/>
          <w:szCs w:val="16"/>
          <w:color w:val="auto"/>
        </w:rPr>
        <w:t>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w:t>
      </w:r>
    </w:p>
    <w:p>
      <w:pPr>
        <w:sectPr>
          <w:pgSz w:w="11900" w:h="16838" w:orient="portrait"/>
          <w:cols w:equalWidth="0" w:num="1">
            <w:col w:w="11420"/>
          </w:cols>
          <w:pgMar w:left="240" w:top="580" w:right="239" w:bottom="1440" w:gutter="0" w:footer="0" w:header="0"/>
          <w:type w:val="continuous"/>
        </w:sectPr>
      </w:pPr>
    </w:p>
    <w:bookmarkStart w:id="433" w:name="page434"/>
    <w:bookmarkEnd w:id="433"/>
    <w:p>
      <w:pPr>
        <w:jc w:val="both"/>
        <w:ind w:left="-8" w:firstLine="8"/>
        <w:spacing w:after="0" w:line="285" w:lineRule="auto"/>
        <w:tabs>
          <w:tab w:leader="none" w:pos="247"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78" w:lineRule="exact"/>
        <w:rPr>
          <w:sz w:val="20"/>
          <w:szCs w:val="20"/>
          <w:color w:val="auto"/>
        </w:rPr>
      </w:pPr>
    </w:p>
    <w:p>
      <w:pPr>
        <w:jc w:val="both"/>
        <w:ind w:left="-8" w:firstLine="8"/>
        <w:spacing w:after="0" w:line="264" w:lineRule="auto"/>
        <w:tabs>
          <w:tab w:leader="none" w:pos="49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81" w:lineRule="exact"/>
        <w:rPr>
          <w:rFonts w:ascii="Arial" w:cs="Arial" w:eastAsia="Arial" w:hAnsi="Arial"/>
          <w:sz w:val="18"/>
          <w:szCs w:val="18"/>
          <w:color w:val="auto"/>
        </w:rPr>
      </w:pPr>
    </w:p>
    <w:p>
      <w:pPr>
        <w:jc w:val="both"/>
        <w:ind w:left="-8" w:firstLine="8"/>
        <w:spacing w:after="0" w:line="272" w:lineRule="auto"/>
        <w:tabs>
          <w:tab w:leader="none" w:pos="431" w:val="left"/>
        </w:tabs>
        <w:numPr>
          <w:ilvl w:val="0"/>
          <w:numId w:val="538"/>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color w:val="auto"/>
        </w:rPr>
      </w:pPr>
    </w:p>
    <w:p>
      <w:pPr>
        <w:jc w:val="both"/>
        <w:ind w:left="-8" w:firstLine="8"/>
        <w:spacing w:after="0" w:line="255" w:lineRule="auto"/>
        <w:tabs>
          <w:tab w:leader="none" w:pos="42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8" w:firstLine="8"/>
        <w:spacing w:after="0" w:line="279" w:lineRule="auto"/>
        <w:tabs>
          <w:tab w:leader="none" w:pos="478"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color w:val="auto"/>
        </w:rPr>
      </w:pPr>
    </w:p>
    <w:p>
      <w:pPr>
        <w:ind w:left="-8" w:firstLine="8"/>
        <w:spacing w:after="0" w:line="277" w:lineRule="auto"/>
        <w:tabs>
          <w:tab w:leader="none" w:pos="49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any party determines, in its sole discretion exercised in good faith, that it has received a refund of any Taxes as to which it has been indemnified pursuant to this Section 5.06 (including by the payment of additional amounts</w:t>
      </w:r>
    </w:p>
    <w:p>
      <w:pPr>
        <w:sectPr>
          <w:pgSz w:w="11900" w:h="16838" w:orient="portrait"/>
          <w:cols w:equalWidth="0" w:num="1">
            <w:col w:w="11412"/>
          </w:cols>
          <w:pgMar w:left="248" w:top="368" w:right="239" w:bottom="1440" w:gutter="0" w:footer="0" w:header="0"/>
        </w:sectPr>
      </w:pPr>
    </w:p>
    <w:bookmarkStart w:id="434" w:name="page435"/>
    <w:bookmarkEnd w:id="434"/>
    <w:p>
      <w:pPr>
        <w:jc w:val="both"/>
        <w:spacing w:after="0" w:line="269" w:lineRule="auto"/>
        <w:rPr>
          <w:sz w:val="20"/>
          <w:szCs w:val="20"/>
          <w:color w:val="auto"/>
        </w:rPr>
      </w:pPr>
      <w:r>
        <w:rPr>
          <w:rFonts w:ascii="Arial" w:cs="Arial" w:eastAsia="Arial" w:hAnsi="Arial"/>
          <w:sz w:val="17"/>
          <w:szCs w:val="17"/>
          <w:color w:val="auto"/>
        </w:rPr>
        <w:t>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SECTION 6.01. The Guarantees. </w:t>
      </w:r>
      <w:r>
        <w:rPr>
          <w:rFonts w:ascii="Arial" w:cs="Arial" w:eastAsia="Arial" w:hAnsi="Arial"/>
          <w:sz w:val="17"/>
          <w:szCs w:val="17"/>
          <w:color w:val="auto"/>
        </w:rPr>
        <w:t>Each (a) Guarantor, jointly and severally with each other Guarantor, hereby guarantees as primary obligor and not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6.02. Obligations Unconditional. </w:t>
      </w:r>
      <w:r>
        <w:rPr>
          <w:rFonts w:ascii="Arial" w:cs="Arial" w:eastAsia="Arial" w:hAnsi="Arial"/>
          <w:sz w:val="16"/>
          <w:szCs w:val="16"/>
          <w:color w:val="auto"/>
        </w:rPr>
        <w:t>The obligations of the Credit Parties under Section 6.01 shall constitute a guaranty of payment (and not of</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w:t>
      </w:r>
    </w:p>
    <w:p>
      <w:pPr>
        <w:sectPr>
          <w:pgSz w:w="11900" w:h="16838" w:orient="portrait"/>
          <w:cols w:equalWidth="0" w:num="1">
            <w:col w:w="11420"/>
          </w:cols>
          <w:pgMar w:left="240" w:top="368" w:right="239" w:bottom="1440" w:gutter="0" w:footer="0" w:header="0"/>
        </w:sectPr>
      </w:pPr>
    </w:p>
    <w:bookmarkStart w:id="435" w:name="page436"/>
    <w:bookmarkEnd w:id="435"/>
    <w:p>
      <w:pPr>
        <w:spacing w:after="0" w:line="258" w:lineRule="auto"/>
        <w:rPr>
          <w:sz w:val="20"/>
          <w:szCs w:val="20"/>
          <w:color w:val="auto"/>
        </w:rPr>
      </w:pPr>
      <w:r>
        <w:rPr>
          <w:rFonts w:ascii="Arial" w:cs="Arial" w:eastAsia="Arial" w:hAnsi="Arial"/>
          <w:sz w:val="18"/>
          <w:szCs w:val="18"/>
          <w:color w:val="auto"/>
        </w:rPr>
        <w:t>of any of the Credit Parties with respect to its respective guaranty of the Guaranteed Obligations which shall remain absolute, irrevocable and unconditional under any and all circumstances as described above:</w:t>
      </w:r>
    </w:p>
    <w:p>
      <w:pPr>
        <w:spacing w:after="0" w:line="1" w:lineRule="exact"/>
        <w:rPr>
          <w:sz w:val="20"/>
          <w:szCs w:val="20"/>
          <w:color w:val="auto"/>
        </w:rPr>
      </w:pPr>
    </w:p>
    <w:p>
      <w:pPr>
        <w:ind w:left="660" w:hanging="4"/>
        <w:spacing w:after="0" w:line="261" w:lineRule="auto"/>
        <w:tabs>
          <w:tab w:leader="none" w:pos="101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1128"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1160" w:hanging="504"/>
        <w:spacing w:after="0"/>
        <w:tabs>
          <w:tab w:leader="none" w:pos="11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release of any other Credit Party pursuant to Section 6.08;</w:t>
      </w:r>
    </w:p>
    <w:p>
      <w:pPr>
        <w:spacing w:after="0" w:line="225" w:lineRule="exact"/>
        <w:rPr>
          <w:rFonts w:ascii="Arial" w:cs="Arial" w:eastAsia="Arial" w:hAnsi="Arial"/>
          <w:sz w:val="18"/>
          <w:szCs w:val="18"/>
          <w:color w:val="auto"/>
        </w:rPr>
      </w:pPr>
    </w:p>
    <w:p>
      <w:pPr>
        <w:ind w:left="660" w:hanging="4"/>
        <w:spacing w:after="0" w:line="277" w:lineRule="auto"/>
        <w:tabs>
          <w:tab w:leader="none" w:pos="1246"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hanging="4"/>
        <w:spacing w:after="0" w:line="279" w:lineRule="auto"/>
        <w:tabs>
          <w:tab w:leader="none" w:pos="1113"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hanging="4"/>
        <w:spacing w:after="0" w:line="308" w:lineRule="auto"/>
        <w:tabs>
          <w:tab w:leader="none" w:pos="117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hanging="4"/>
        <w:spacing w:after="0" w:line="277" w:lineRule="auto"/>
        <w:tabs>
          <w:tab w:leader="none" w:pos="125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126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8" w:lineRule="exact"/>
        <w:rPr>
          <w:rFonts w:ascii="Arial" w:cs="Arial" w:eastAsia="Arial" w:hAnsi="Arial"/>
          <w:sz w:val="18"/>
          <w:szCs w:val="18"/>
          <w:color w:val="auto"/>
        </w:rPr>
      </w:pPr>
    </w:p>
    <w:p>
      <w:pPr>
        <w:jc w:val="both"/>
        <w:ind w:left="660" w:hanging="4"/>
        <w:spacing w:after="0" w:line="276" w:lineRule="auto"/>
        <w:tabs>
          <w:tab w:leader="none" w:pos="121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w:t>
      </w:r>
    </w:p>
    <w:p>
      <w:pPr>
        <w:sectPr>
          <w:pgSz w:w="11900" w:h="16838" w:orient="portrait"/>
          <w:cols w:equalWidth="0" w:num="1">
            <w:col w:w="11420"/>
          </w:cols>
          <w:pgMar w:left="240" w:top="368" w:right="239" w:bottom="1440" w:gutter="0" w:footer="0" w:header="0"/>
        </w:sectPr>
      </w:pPr>
    </w:p>
    <w:bookmarkStart w:id="436" w:name="page437"/>
    <w:bookmarkEnd w:id="436"/>
    <w:p>
      <w:pPr>
        <w:jc w:val="both"/>
        <w:spacing w:after="0" w:line="270" w:lineRule="auto"/>
        <w:rPr>
          <w:sz w:val="20"/>
          <w:szCs w:val="20"/>
          <w:color w:val="auto"/>
        </w:rPr>
      </w:pPr>
      <w:r>
        <w:rPr>
          <w:rFonts w:ascii="Arial" w:cs="Arial" w:eastAsia="Arial" w:hAnsi="Arial"/>
          <w:sz w:val="17"/>
          <w:szCs w:val="17"/>
          <w:color w:val="auto"/>
        </w:rPr>
        <w:t>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nothing in this Section 6.02 shall permit amendments to the Credit Documents or an acceleration of the Obligations other than as set forth in the Credit Documents.</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 Article VI shall be automatically reinstated if and to the extent that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6.04. Subrogation; Subordination</w:t>
      </w:r>
      <w:r>
        <w:rPr>
          <w:rFonts w:ascii="Arial" w:cs="Arial" w:eastAsia="Arial" w:hAnsi="Arial"/>
          <w:sz w:val="17"/>
          <w:szCs w:val="17"/>
          <w:color w:val="auto"/>
        </w:rPr>
        <w:t>. Each Credit Party hereby agrees that until the payment and satisfaction in full in cash of all Guaranteed</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ectPr>
          <w:pgSz w:w="11900" w:h="16838" w:orient="portrait"/>
          <w:cols w:equalWidth="0" w:num="1">
            <w:col w:w="11420"/>
          </w:cols>
          <w:pgMar w:left="240" w:top="368" w:right="239" w:bottom="1440" w:gutter="0" w:footer="0" w:header="0"/>
        </w:sectPr>
      </w:pPr>
    </w:p>
    <w:bookmarkStart w:id="437" w:name="page438"/>
    <w:bookmarkEnd w:id="437"/>
    <w:p>
      <w:pPr>
        <w:jc w:val="both"/>
        <w:ind w:right="20"/>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 Article VI 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 federal or</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6.08. Release of Guarantors</w:t>
      </w:r>
      <w:r>
        <w:rPr>
          <w:rFonts w:ascii="Arial" w:cs="Arial" w:eastAsia="Arial" w:hAnsi="Arial"/>
          <w:sz w:val="17"/>
          <w:szCs w:val="17"/>
          <w:color w:val="auto"/>
        </w:rPr>
        <w:t>. If, in compliance with the terms and provisions of the Credit Documents, (i) the Equity Interests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are directly or indirectly sold or otherwise transferred such that such Guarantor no longer constitutes a Restricted Subsidiary (a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w:t>
      </w:r>
      <w:r>
        <w:rPr>
          <w:rFonts w:ascii="Arial" w:cs="Arial" w:eastAsia="Arial" w:hAnsi="Arial"/>
          <w:sz w:val="17"/>
          <w:szCs w:val="17"/>
          <w:color w:val="auto"/>
        </w:rPr>
        <w:t>”) to a Person or Persons, none of which is Borrower or a Restricted Subsidiary, or (ii) any Restricted Subsidiary is designated as or becomes an</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6.10. Right of Contribution</w:t>
      </w:r>
      <w:r>
        <w:rPr>
          <w:rFonts w:ascii="Arial" w:cs="Arial" w:eastAsia="Arial" w:hAnsi="Arial"/>
          <w:sz w:val="17"/>
          <w:szCs w:val="17"/>
          <w:color w:val="auto"/>
        </w:rPr>
        <w:t>. Each Credit Party hereby agrees that to the extent that a Credit Party (a “</w:t>
      </w:r>
      <w:r>
        <w:rPr>
          <w:rFonts w:ascii="Arial" w:cs="Arial" w:eastAsia="Arial" w:hAnsi="Arial"/>
          <w:sz w:val="17"/>
          <w:szCs w:val="17"/>
          <w:b w:val="1"/>
          <w:bCs w:val="1"/>
          <w:color w:val="auto"/>
        </w:rPr>
        <w:t>Funding Credit Party</w:t>
      </w:r>
      <w:r>
        <w:rPr>
          <w:rFonts w:ascii="Arial" w:cs="Arial" w:eastAsia="Arial" w:hAnsi="Arial"/>
          <w:sz w:val="17"/>
          <w:szCs w:val="17"/>
          <w:color w:val="auto"/>
        </w:rPr>
        <w: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7"/>
          <w:szCs w:val="17"/>
          <w:b w:val="1"/>
          <w:bCs w:val="1"/>
          <w:color w:val="auto"/>
        </w:rPr>
        <w:t>Fair Share</w:t>
      </w:r>
      <w:r>
        <w:rPr>
          <w:rFonts w:ascii="Arial" w:cs="Arial" w:eastAsia="Arial" w:hAnsi="Arial"/>
          <w:sz w:val="17"/>
          <w:szCs w:val="17"/>
          <w:color w:val="auto"/>
        </w:rPr>
        <w:t>” 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Arial" w:cs="Arial" w:eastAsia="Arial" w:hAnsi="Arial"/>
          <w:sz w:val="17"/>
          <w:szCs w:val="17"/>
          <w:b w:val="1"/>
          <w:bCs w:val="1"/>
          <w:color w:val="auto"/>
        </w:rPr>
        <w:t>Fair Share Shortfall</w:t>
      </w:r>
      <w:r>
        <w:rPr>
          <w:rFonts w:ascii="Arial" w:cs="Arial" w:eastAsia="Arial" w:hAnsi="Arial"/>
          <w:sz w:val="17"/>
          <w:szCs w:val="17"/>
          <w:color w:val="auto"/>
        </w:rPr>
        <w:t>” means, with respect to a Credit Party as of any date of determination, the excess, if any, of the Fair Share of such Credit Party over the Aggregate Payments of such Credit Party. “</w:t>
      </w:r>
      <w:r>
        <w:rPr>
          <w:rFonts w:ascii="Arial" w:cs="Arial" w:eastAsia="Arial" w:hAnsi="Arial"/>
          <w:sz w:val="17"/>
          <w:szCs w:val="17"/>
          <w:b w:val="1"/>
          <w:bCs w:val="1"/>
          <w:color w:val="auto"/>
        </w:rPr>
        <w:t>Adjusted Maximum Amount</w:t>
      </w:r>
      <w:r>
        <w:rPr>
          <w:rFonts w:ascii="Arial" w:cs="Arial" w:eastAsia="Arial" w:hAnsi="Arial"/>
          <w:sz w:val="17"/>
          <w:szCs w:val="17"/>
          <w:color w:val="auto"/>
        </w:rPr>
        <w:t xml:space="preserve">” means, with respect to a Credit Party as of any date of determination, the maximum aggregate amount of the obligations of such Credit Party under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calculating the “Adjusted Maximum Amount” with respect to any Credit Party for purposes of this Section 6.10, any assets or liabilities of such Credit Party arising by virtue of any rights to subrogation,</w:t>
      </w:r>
    </w:p>
    <w:p>
      <w:pPr>
        <w:sectPr>
          <w:pgSz w:w="11900" w:h="16838" w:orient="portrait"/>
          <w:cols w:equalWidth="0" w:num="1">
            <w:col w:w="11420"/>
          </w:cols>
          <w:pgMar w:left="240" w:top="364" w:right="239" w:bottom="1440" w:gutter="0" w:footer="0" w:header="0"/>
        </w:sectPr>
      </w:pPr>
    </w:p>
    <w:bookmarkStart w:id="438" w:name="page439"/>
    <w:bookmarkEnd w:id="438"/>
    <w:p>
      <w:pPr>
        <w:jc w:val="both"/>
        <w:spacing w:after="0" w:line="255" w:lineRule="auto"/>
        <w:rPr>
          <w:sz w:val="20"/>
          <w:szCs w:val="20"/>
          <w:color w:val="auto"/>
        </w:rPr>
      </w:pPr>
      <w:r>
        <w:rPr>
          <w:rFonts w:ascii="Arial" w:cs="Arial" w:eastAsia="Arial" w:hAnsi="Arial"/>
          <w:sz w:val="18"/>
          <w:szCs w:val="18"/>
          <w:color w:val="auto"/>
        </w:rPr>
        <w:t>reimbursement or indemnification or any rights to or obligations of contribution hereunder shall not be considered as assets or liabilities of such Credit Party. “</w:t>
      </w:r>
      <w:r>
        <w:rPr>
          <w:rFonts w:ascii="Arial" w:cs="Arial" w:eastAsia="Arial" w:hAnsi="Arial"/>
          <w:sz w:val="18"/>
          <w:szCs w:val="18"/>
          <w:b w:val="1"/>
          <w:bCs w:val="1"/>
          <w:color w:val="auto"/>
        </w:rPr>
        <w:t>Aggregate Payments</w:t>
      </w:r>
      <w:r>
        <w:rPr>
          <w:rFonts w:ascii="Arial" w:cs="Arial" w:eastAsia="Arial" w:hAnsi="Arial"/>
          <w:sz w:val="18"/>
          <w:szCs w:val="18"/>
          <w:color w:val="auto"/>
        </w:rPr>
        <w:t>” means, with respect to a Credit Party as of any date of determination, an amount equal to (i) the aggregate amount of all payments and distributions made on or before such 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8"/>
        <w:spacing w:after="0" w:line="258" w:lineRule="auto"/>
        <w:tabs>
          <w:tab w:leader="none" w:pos="49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83" w:lineRule="exact"/>
        <w:rPr>
          <w:rFonts w:ascii="Arial" w:cs="Arial" w:eastAsia="Arial" w:hAnsi="Arial"/>
          <w:sz w:val="18"/>
          <w:szCs w:val="18"/>
          <w:color w:val="auto"/>
        </w:rPr>
      </w:pPr>
    </w:p>
    <w:p>
      <w:pPr>
        <w:ind w:firstLine="8"/>
        <w:spacing w:after="0" w:line="282" w:lineRule="auto"/>
        <w:tabs>
          <w:tab w:leader="none" w:pos="570"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Sections 7.02(a)(i) and 7.02(a)(ii) (giving effect to the provisions contained therein) have been satisfied.</w:t>
      </w:r>
    </w:p>
    <w:p>
      <w:pPr>
        <w:spacing w:after="0" w:line="161" w:lineRule="exact"/>
        <w:rPr>
          <w:rFonts w:ascii="Arial" w:cs="Arial" w:eastAsia="Arial" w:hAnsi="Arial"/>
          <w:sz w:val="18"/>
          <w:szCs w:val="18"/>
          <w:color w:val="auto"/>
        </w:rPr>
      </w:pPr>
    </w:p>
    <w:p>
      <w:pPr>
        <w:jc w:val="both"/>
        <w:ind w:firstLine="8"/>
        <w:spacing w:after="0" w:line="266" w:lineRule="auto"/>
        <w:tabs>
          <w:tab w:leader="none" w:pos="443"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Agent and the Lenders, dated the Closing Date and covering such matters as the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000" w:hanging="344"/>
        <w:spacing w:after="0"/>
        <w:tabs>
          <w:tab w:leader="none" w:pos="10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 opinion of Latham &amp; Watkins LLP, special counsel to the Credit Parties; and</w:t>
      </w:r>
    </w:p>
    <w:p>
      <w:pPr>
        <w:spacing w:after="0" w:line="23" w:lineRule="exact"/>
        <w:rPr>
          <w:rFonts w:ascii="Arial" w:cs="Arial" w:eastAsia="Arial" w:hAnsi="Arial"/>
          <w:sz w:val="18"/>
          <w:szCs w:val="18"/>
          <w:color w:val="auto"/>
        </w:rPr>
      </w:pPr>
    </w:p>
    <w:p>
      <w:pPr>
        <w:ind w:left="1100" w:hanging="444"/>
        <w:spacing w:after="0"/>
        <w:tabs>
          <w:tab w:leader="none" w:pos="11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 xml:space="preserve">opinions of local counsel to the Credit Parties in such jurisdictions as are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460" w:hanging="452"/>
        <w:spacing w:after="0"/>
        <w:tabs>
          <w:tab w:leader="none" w:pos="460" w:val="left"/>
        </w:tabs>
        <w:numPr>
          <w:ilvl w:val="0"/>
          <w:numId w:val="540"/>
        </w:numPr>
        <w:rPr>
          <w:rFonts w:ascii="Arial" w:cs="Arial" w:eastAsia="Arial" w:hAnsi="Arial"/>
          <w:sz w:val="16"/>
          <w:szCs w:val="16"/>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Administrative Agent shall have received copies of the Notes, duly completed and executed, for each Lender that requested a Note at least three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Business Days prior to the Closing Date.</w:t>
      </w:r>
    </w:p>
    <w:p>
      <w:pPr>
        <w:spacing w:after="0" w:line="206" w:lineRule="exact"/>
        <w:rPr>
          <w:rFonts w:ascii="Arial" w:cs="Arial" w:eastAsia="Arial" w:hAnsi="Arial"/>
          <w:sz w:val="16"/>
          <w:szCs w:val="16"/>
          <w:color w:val="auto"/>
        </w:rPr>
      </w:pPr>
    </w:p>
    <w:p>
      <w:pPr>
        <w:ind w:firstLine="8"/>
        <w:spacing w:after="0" w:line="282" w:lineRule="auto"/>
        <w:tabs>
          <w:tab w:leader="none" w:pos="468"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8"/>
        <w:spacing w:after="0" w:line="258" w:lineRule="auto"/>
        <w:tabs>
          <w:tab w:leader="none" w:pos="387"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UCC financing statements in form appropriate for filing in the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83" w:lineRule="exact"/>
        <w:rPr>
          <w:rFonts w:ascii="Arial" w:cs="Arial" w:eastAsia="Arial" w:hAnsi="Arial"/>
          <w:sz w:val="18"/>
          <w:szCs w:val="18"/>
          <w:color w:val="auto"/>
        </w:rPr>
      </w:pPr>
    </w:p>
    <w:p>
      <w:pPr>
        <w:jc w:val="both"/>
        <w:ind w:firstLine="8"/>
        <w:spacing w:after="0" w:line="281" w:lineRule="auto"/>
        <w:tabs>
          <w:tab w:leader="none" w:pos="513" w:val="left"/>
        </w:tabs>
        <w:numPr>
          <w:ilvl w:val="0"/>
          <w:numId w:val="540"/>
        </w:numPr>
        <w:rPr>
          <w:rFonts w:ascii="Arial" w:cs="Arial" w:eastAsia="Arial" w:hAnsi="Arial"/>
          <w:sz w:val="17"/>
          <w:szCs w:val="17"/>
          <w:color w:val="auto"/>
        </w:rPr>
      </w:pPr>
      <w:r>
        <w:rPr>
          <w:rFonts w:ascii="Arial" w:cs="Arial" w:eastAsia="Arial" w:hAnsi="Arial"/>
          <w:sz w:val="17"/>
          <w:szCs w:val="17"/>
          <w:b w:val="1"/>
          <w:bCs w:val="1"/>
          <w:color w:val="auto"/>
        </w:rPr>
        <w:t>Security Agreement</w:t>
      </w:r>
      <w:r>
        <w:rPr>
          <w:rFonts w:ascii="Arial" w:cs="Arial" w:eastAsia="Arial" w:hAnsi="Arial"/>
          <w:sz w:val="17"/>
          <w:szCs w:val="17"/>
          <w:color w:val="auto"/>
        </w:rPr>
        <w:t>. (i) Administrative Agent shall have received the Security Agreement and the Initial Perfection Certificate, in each case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w:t>
      </w:r>
    </w:p>
    <w:p>
      <w:pPr>
        <w:sectPr>
          <w:pgSz w:w="11900" w:h="16838" w:orient="portrait"/>
          <w:cols w:equalWidth="0" w:num="1">
            <w:col w:w="11420"/>
          </w:cols>
          <w:pgMar w:left="240" w:top="368" w:right="239" w:bottom="1440" w:gutter="0" w:footer="0" w:header="0"/>
        </w:sectPr>
      </w:pPr>
    </w:p>
    <w:bookmarkStart w:id="439" w:name="page440"/>
    <w:bookmarkEnd w:id="439"/>
    <w:p>
      <w:pPr>
        <w:jc w:val="both"/>
        <w:spacing w:after="0" w:line="297" w:lineRule="auto"/>
        <w:rPr>
          <w:sz w:val="20"/>
          <w:szCs w:val="20"/>
          <w:color w:val="auto"/>
        </w:rPr>
      </w:pPr>
      <w:r>
        <w:rPr>
          <w:rFonts w:ascii="Arial" w:cs="Arial" w:eastAsia="Arial" w:hAnsi="Arial"/>
          <w:sz w:val="16"/>
          <w:szCs w:val="16"/>
          <w:color w:val="auto"/>
        </w:rPr>
        <w:t>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4" w:lineRule="exact"/>
        <w:rPr>
          <w:sz w:val="20"/>
          <w:szCs w:val="20"/>
          <w:color w:val="auto"/>
        </w:rPr>
      </w:pPr>
    </w:p>
    <w:p>
      <w:pPr>
        <w:jc w:val="both"/>
        <w:ind w:firstLine="8"/>
        <w:spacing w:after="0" w:line="266" w:lineRule="auto"/>
        <w:tabs>
          <w:tab w:leader="none" w:pos="403"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Credit Documents in Full Force and Effect; Fee Letter</w:t>
      </w:r>
      <w:r>
        <w:rPr>
          <w:rFonts w:ascii="Arial" w:cs="Arial" w:eastAsia="Arial" w:hAnsi="Arial"/>
          <w:sz w:val="18"/>
          <w:szCs w:val="18"/>
          <w:color w:val="auto"/>
        </w:rPr>
        <w:t>. The Credit Documents required to be executed and delivered on or prior to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6" w:lineRule="exact"/>
        <w:rPr>
          <w:rFonts w:ascii="Arial" w:cs="Arial" w:eastAsia="Arial" w:hAnsi="Arial"/>
          <w:sz w:val="18"/>
          <w:szCs w:val="18"/>
          <w:color w:val="auto"/>
        </w:rPr>
      </w:pPr>
    </w:p>
    <w:p>
      <w:pPr>
        <w:jc w:val="both"/>
        <w:ind w:firstLine="8"/>
        <w:spacing w:after="0" w:line="261" w:lineRule="auto"/>
        <w:tabs>
          <w:tab w:leader="none" w:pos="377"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Consummation of Transactions</w:t>
      </w:r>
      <w:r>
        <w:rPr>
          <w:rFonts w:ascii="Arial" w:cs="Arial" w:eastAsia="Arial" w:hAnsi="Arial"/>
          <w:sz w:val="18"/>
          <w:szCs w:val="18"/>
          <w:color w:val="auto"/>
        </w:rPr>
        <w:t>. The Transactions shall have been consummated and the consummation thereof shall be in compliance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80" w:lineRule="exact"/>
        <w:rPr>
          <w:rFonts w:ascii="Arial" w:cs="Arial" w:eastAsia="Arial" w:hAnsi="Arial"/>
          <w:sz w:val="18"/>
          <w:szCs w:val="18"/>
          <w:color w:val="auto"/>
        </w:rPr>
      </w:pPr>
    </w:p>
    <w:p>
      <w:pPr>
        <w:jc w:val="both"/>
        <w:ind w:firstLine="8"/>
        <w:spacing w:after="0" w:line="281" w:lineRule="auto"/>
        <w:tabs>
          <w:tab w:leader="none" w:pos="412" w:val="left"/>
        </w:tabs>
        <w:numPr>
          <w:ilvl w:val="0"/>
          <w:numId w:val="541"/>
        </w:numPr>
        <w:rPr>
          <w:rFonts w:ascii="Arial" w:cs="Arial" w:eastAsia="Arial" w:hAnsi="Arial"/>
          <w:sz w:val="17"/>
          <w:szCs w:val="17"/>
          <w:color w:val="auto"/>
        </w:rPr>
      </w:pPr>
      <w:r>
        <w:rPr>
          <w:rFonts w:ascii="Arial" w:cs="Arial" w:eastAsia="Arial" w:hAnsi="Arial"/>
          <w:sz w:val="17"/>
          <w:szCs w:val="17"/>
          <w:b w:val="1"/>
          <w:bCs w:val="1"/>
          <w:color w:val="auto"/>
        </w:rPr>
        <w:t>Approvals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7.01(j)</w:t>
      </w:r>
      <w:r>
        <w:rPr>
          <w:rFonts w:ascii="Arial" w:cs="Arial" w:eastAsia="Arial" w:hAnsi="Arial"/>
          <w:sz w:val="17"/>
          <w:szCs w:val="17"/>
          <w:b w:val="1"/>
          <w:bCs w:val="1"/>
          <w:color w:val="auto"/>
        </w:rPr>
        <w:t xml:space="preserve"> </w:t>
      </w:r>
      <w:r>
        <w:rPr>
          <w:rFonts w:ascii="Arial" w:cs="Arial" w:eastAsia="Arial" w:hAnsi="Arial"/>
          <w:sz w:val="17"/>
          <w:szCs w:val="17"/>
          <w:color w:val="auto"/>
        </w:rPr>
        <w:t>or in Section 8.06 or Section 8.15, all necessary Governmental Authority approvals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4" w:lineRule="exact"/>
        <w:rPr>
          <w:rFonts w:ascii="Arial" w:cs="Arial" w:eastAsia="Arial" w:hAnsi="Arial"/>
          <w:sz w:val="17"/>
          <w:szCs w:val="17"/>
          <w:color w:val="auto"/>
        </w:rPr>
      </w:pPr>
    </w:p>
    <w:p>
      <w:pPr>
        <w:ind w:firstLine="8"/>
        <w:spacing w:after="0" w:line="347" w:lineRule="auto"/>
        <w:tabs>
          <w:tab w:leader="none" w:pos="462" w:val="left"/>
        </w:tabs>
        <w:numPr>
          <w:ilvl w:val="0"/>
          <w:numId w:val="541"/>
        </w:numPr>
        <w:rPr>
          <w:rFonts w:ascii="Arial" w:cs="Arial" w:eastAsia="Arial" w:hAnsi="Arial"/>
          <w:sz w:val="16"/>
          <w:szCs w:val="16"/>
          <w:color w:val="auto"/>
        </w:rPr>
      </w:pPr>
      <w:r>
        <w:rPr>
          <w:rFonts w:ascii="Arial" w:cs="Arial" w:eastAsia="Arial" w:hAnsi="Arial"/>
          <w:sz w:val="16"/>
          <w:szCs w:val="16"/>
          <w:b w:val="1"/>
          <w:bCs w:val="1"/>
          <w:color w:val="auto"/>
        </w:rPr>
        <w:t>Solvency</w:t>
      </w:r>
      <w:r>
        <w:rPr>
          <w:rFonts w:ascii="Arial" w:cs="Arial" w:eastAsia="Arial" w:hAnsi="Arial"/>
          <w:sz w:val="16"/>
          <w:szCs w:val="16"/>
          <w:color w:val="auto"/>
        </w:rPr>
        <w:t>. Administrative Agent shall have received a certificate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G</w:t>
      </w:r>
      <w:r>
        <w:rPr>
          <w:rFonts w:ascii="Arial" w:cs="Arial" w:eastAsia="Arial" w:hAnsi="Arial"/>
          <w:sz w:val="16"/>
          <w:szCs w:val="16"/>
          <w:b w:val="1"/>
          <w:bCs w:val="1"/>
          <w:color w:val="auto"/>
        </w:rPr>
        <w:t xml:space="preserve"> </w:t>
      </w:r>
      <w:r>
        <w:rPr>
          <w:rFonts w:ascii="Arial" w:cs="Arial" w:eastAsia="Arial" w:hAnsi="Arial"/>
          <w:sz w:val="16"/>
          <w:szCs w:val="16"/>
          <w:color w:val="auto"/>
        </w:rPr>
        <w:t>from a Responsible Officer of Borrower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Solvency of Borrower (on a consolidated basis with its Restricted Subsidiaries), immediately after giving effect to the consummation of the Transactions.</w:t>
      </w:r>
    </w:p>
    <w:p>
      <w:pPr>
        <w:spacing w:after="0" w:line="116" w:lineRule="exact"/>
        <w:rPr>
          <w:rFonts w:ascii="Arial" w:cs="Arial" w:eastAsia="Arial" w:hAnsi="Arial"/>
          <w:sz w:val="16"/>
          <w:szCs w:val="16"/>
          <w:color w:val="auto"/>
        </w:rPr>
      </w:pPr>
    </w:p>
    <w:p>
      <w:pPr>
        <w:jc w:val="both"/>
        <w:ind w:firstLine="8"/>
        <w:spacing w:after="0" w:line="261" w:lineRule="auto"/>
        <w:tabs>
          <w:tab w:leader="none" w:pos="425"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8"/>
        <w:spacing w:after="0" w:line="261" w:lineRule="auto"/>
        <w:tabs>
          <w:tab w:leader="none" w:pos="440"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On or prior to the Closing Date, Administrative Agent shall have received at least five (5) days prior to the Closing Date all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80" w:lineRule="exact"/>
        <w:rPr>
          <w:rFonts w:ascii="Arial" w:cs="Arial" w:eastAsia="Arial" w:hAnsi="Arial"/>
          <w:sz w:val="18"/>
          <w:szCs w:val="18"/>
          <w:color w:val="auto"/>
        </w:rPr>
      </w:pPr>
    </w:p>
    <w:p>
      <w:pPr>
        <w:jc w:val="both"/>
        <w:ind w:firstLine="8"/>
        <w:spacing w:after="0" w:line="277" w:lineRule="auto"/>
        <w:tabs>
          <w:tab w:leader="none" w:pos="431" w:val="left"/>
        </w:tabs>
        <w:numPr>
          <w:ilvl w:val="0"/>
          <w:numId w:val="541"/>
        </w:numPr>
        <w:rPr>
          <w:rFonts w:ascii="Arial" w:cs="Arial" w:eastAsia="Arial" w:hAnsi="Arial"/>
          <w:sz w:val="17"/>
          <w:szCs w:val="17"/>
          <w:color w:val="auto"/>
        </w:rPr>
      </w:pPr>
      <w:r>
        <w:rPr>
          <w:rFonts w:ascii="Arial" w:cs="Arial" w:eastAsia="Arial" w:hAnsi="Arial"/>
          <w:sz w:val="17"/>
          <w:szCs w:val="17"/>
          <w:b w:val="1"/>
          <w:bCs w:val="1"/>
          <w:color w:val="auto"/>
        </w:rPr>
        <w:t>Wynn Resorts Financials</w:t>
      </w:r>
      <w:r>
        <w:rPr>
          <w:rFonts w:ascii="Arial" w:cs="Arial" w:eastAsia="Arial" w:hAnsi="Arial"/>
          <w:sz w:val="17"/>
          <w:szCs w:val="17"/>
          <w:color w:val="auto"/>
        </w:rPr>
        <w:t>. Borrower has delivered to the Administrative Agent or made publically available (a) the audited consolidated balance sheets</w:t>
      </w:r>
      <w:r>
        <w:rPr>
          <w:rFonts w:ascii="Arial" w:cs="Arial" w:eastAsia="Arial" w:hAnsi="Arial"/>
          <w:sz w:val="17"/>
          <w:szCs w:val="17"/>
          <w:b w:val="1"/>
          <w:bCs w:val="1"/>
          <w:color w:val="auto"/>
        </w:rPr>
        <w:t xml:space="preserve"> </w:t>
      </w:r>
      <w:r>
        <w:rPr>
          <w:rFonts w:ascii="Arial" w:cs="Arial" w:eastAsia="Arial" w:hAnsi="Arial"/>
          <w:sz w:val="17"/>
          <w:szCs w:val="17"/>
          <w:color w:val="auto"/>
        </w:rPr>
        <w:t>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7.02. Conditions to All Extensions of Credit</w:t>
      </w:r>
      <w:r>
        <w:rPr>
          <w:rFonts w:ascii="Arial" w:cs="Arial" w:eastAsia="Arial" w:hAnsi="Arial"/>
          <w:sz w:val="18"/>
          <w:szCs w:val="18"/>
          <w:color w:val="auto"/>
        </w:rPr>
        <w:t>. The obligations of the Lenders to make any Loan or otherwise extend any credit to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occasion of each Borrowing or other extension of credit (whether by making a Loan or issuing a Letter of Credit) hereunder (including the initial borrowing) is subject to the further conditions precedent that:</w:t>
      </w:r>
    </w:p>
    <w:p>
      <w:pPr>
        <w:sectPr>
          <w:pgSz w:w="11900" w:h="16838" w:orient="portrait"/>
          <w:cols w:equalWidth="0" w:num="1">
            <w:col w:w="11420"/>
          </w:cols>
          <w:pgMar w:left="240" w:top="368" w:right="239" w:bottom="1440" w:gutter="0" w:footer="0" w:header="0"/>
        </w:sectPr>
      </w:pPr>
    </w:p>
    <w:bookmarkStart w:id="440" w:name="page441"/>
    <w:bookmarkEnd w:id="440"/>
    <w:p>
      <w:pPr>
        <w:ind w:right="20" w:firstLine="8"/>
        <w:spacing w:after="0" w:line="282" w:lineRule="auto"/>
        <w:tabs>
          <w:tab w:leader="none" w:pos="430"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such Loan or other extension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and also after giving effect thereto and to the intended use thereof:</w:t>
      </w:r>
    </w:p>
    <w:p>
      <w:pPr>
        <w:spacing w:after="0" w:line="165" w:lineRule="exact"/>
        <w:rPr>
          <w:rFonts w:ascii="Arial" w:cs="Arial" w:eastAsia="Arial" w:hAnsi="Arial"/>
          <w:sz w:val="18"/>
          <w:szCs w:val="18"/>
          <w:color w:val="auto"/>
        </w:rPr>
      </w:pPr>
    </w:p>
    <w:p>
      <w:pPr>
        <w:ind w:left="1000" w:hanging="344"/>
        <w:spacing w:after="0"/>
        <w:tabs>
          <w:tab w:leader="none" w:pos="10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1191" w:val="left"/>
        </w:tabs>
        <w:numPr>
          <w:ilvl w:val="1"/>
          <w:numId w:val="542"/>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93" w:lineRule="exact"/>
        <w:rPr>
          <w:rFonts w:ascii="Arial" w:cs="Arial" w:eastAsia="Arial" w:hAnsi="Arial"/>
          <w:sz w:val="18"/>
          <w:szCs w:val="18"/>
          <w:color w:val="auto"/>
        </w:rPr>
      </w:pPr>
    </w:p>
    <w:p>
      <w:pPr>
        <w:jc w:val="both"/>
        <w:ind w:left="660" w:hanging="4"/>
        <w:spacing w:after="0" w:line="259" w:lineRule="auto"/>
        <w:tabs>
          <w:tab w:leader="none" w:pos="122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provided, that prior to the Wynn Massachusetts Project Opening Date Borrower shall not be required to satisfy the conditions in this Section 7.02(a)(iii) in connection with any Loan requested by Borrower to be utilized solely to pay interest or fees due and payable or to become due and payable under this Agreement.</w:t>
      </w:r>
    </w:p>
    <w:p>
      <w:pPr>
        <w:spacing w:after="0" w:line="177" w:lineRule="exact"/>
        <w:rPr>
          <w:sz w:val="20"/>
          <w:szCs w:val="20"/>
          <w:color w:val="auto"/>
        </w:rPr>
      </w:pPr>
    </w:p>
    <w:p>
      <w:pPr>
        <w:jc w:val="both"/>
        <w:ind w:firstLine="8"/>
        <w:spacing w:after="0" w:line="258" w:lineRule="auto"/>
        <w:tabs>
          <w:tab w:leader="none" w:pos="417" w:val="left"/>
        </w:tabs>
        <w:numPr>
          <w:ilvl w:val="0"/>
          <w:numId w:val="543"/>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Administrative Agent shall have received a Notice of Borrowing and/or Letter of Credit Request, as applicable, duly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p>
    <w:p>
      <w:pPr>
        <w:spacing w:after="0" w:line="229" w:lineRule="exact"/>
        <w:rPr>
          <w:sz w:val="20"/>
          <w:szCs w:val="20"/>
          <w:color w:val="auto"/>
        </w:rPr>
      </w:pPr>
    </w:p>
    <w:p>
      <w:pPr>
        <w:jc w:val="both"/>
        <w:ind w:firstLine="8"/>
        <w:spacing w:after="0" w:line="255" w:lineRule="auto"/>
        <w:tabs>
          <w:tab w:leader="none" w:pos="40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93" w:lineRule="exact"/>
        <w:rPr>
          <w:rFonts w:ascii="Arial" w:cs="Arial" w:eastAsia="Arial" w:hAnsi="Arial"/>
          <w:sz w:val="18"/>
          <w:szCs w:val="18"/>
          <w:color w:val="auto"/>
        </w:rPr>
      </w:pPr>
    </w:p>
    <w:p>
      <w:pPr>
        <w:ind w:firstLine="8"/>
        <w:spacing w:after="0" w:line="264" w:lineRule="auto"/>
        <w:tabs>
          <w:tab w:leader="none" w:pos="39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w:t>
      </w:r>
    </w:p>
    <w:p>
      <w:pPr>
        <w:sectPr>
          <w:pgSz w:w="11900" w:h="16838" w:orient="portrait"/>
          <w:cols w:equalWidth="0" w:num="1">
            <w:col w:w="11420"/>
          </w:cols>
          <w:pgMar w:left="240" w:top="364" w:right="23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color w:val="auto"/>
        </w:rPr>
        <w:t>Governmental Authority, where such violations or defaults would reasonably be expected to have a Material Adverse Effect.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2013, there shall not have occurred any event or circumstance that has had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have, either individually or in the aggregate, a Material Adverse Effect.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8.03. 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8.03</w:t>
      </w:r>
      <w:r>
        <w:rPr>
          <w:rFonts w:ascii="Arial" w:cs="Arial" w:eastAsia="Arial" w:hAnsi="Arial"/>
          <w:sz w:val="17"/>
          <w:szCs w:val="17"/>
          <w:color w:val="auto"/>
        </w:rPr>
        <w:t>, there is no Proceeding (other than any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qui tam</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to which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6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p>
    <w:p>
      <w:pPr>
        <w:spacing w:after="0" w:line="229" w:lineRule="exact"/>
        <w:rPr>
          <w:sz w:val="20"/>
          <w:szCs w:val="20"/>
          <w:color w:val="auto"/>
        </w:rPr>
      </w:pPr>
    </w:p>
    <w:p>
      <w:pPr>
        <w:jc w:val="both"/>
        <w:ind w:firstLine="8"/>
        <w:spacing w:after="0" w:line="254" w:lineRule="auto"/>
        <w:tabs>
          <w:tab w:leader="none" w:pos="50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92" w:lineRule="exact"/>
        <w:rPr>
          <w:rFonts w:ascii="Arial" w:cs="Arial" w:eastAsia="Arial" w:hAnsi="Arial"/>
          <w:sz w:val="18"/>
          <w:szCs w:val="18"/>
          <w:color w:val="auto"/>
        </w:rPr>
      </w:pPr>
    </w:p>
    <w:p>
      <w:pPr>
        <w:ind w:left="440" w:hanging="432"/>
        <w:spacing w:after="0"/>
        <w:tabs>
          <w:tab w:leader="none" w:pos="4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Restricted Subsidiary has all necessary corporate or other organizational power, authority and legal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8.06. Approvals</w:t>
      </w:r>
      <w:r>
        <w:rPr>
          <w:rFonts w:ascii="Arial" w:cs="Arial" w:eastAsia="Arial" w:hAnsi="Arial"/>
          <w:sz w:val="17"/>
          <w:szCs w:val="17"/>
          <w:color w:val="auto"/>
        </w:rPr>
        <w:t>. No authorizations, approvals or consents of, and no filings or registrations with, any Governmental Authority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 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w:t>
      </w:r>
    </w:p>
    <w:p>
      <w:pPr>
        <w:sectPr>
          <w:pgSz w:w="11900" w:h="16838" w:orient="portrait"/>
          <w:cols w:equalWidth="0" w:num="1">
            <w:col w:w="11420"/>
          </w:cols>
          <w:pgMar w:left="240" w:top="368" w:right="239" w:bottom="1440" w:gutter="0" w:footer="0" w:header="0"/>
        </w:sectPr>
      </w:pPr>
    </w:p>
    <w:bookmarkStart w:id="442" w:name="page443"/>
    <w:bookmarkEnd w:id="442"/>
    <w:p>
      <w:pPr>
        <w:jc w:val="both"/>
        <w:spacing w:after="0" w:line="302" w:lineRule="auto"/>
        <w:rPr>
          <w:sz w:val="20"/>
          <w:szCs w:val="20"/>
          <w:color w:val="auto"/>
        </w:rPr>
      </w:pPr>
      <w:r>
        <w:rPr>
          <w:rFonts w:ascii="Arial" w:cs="Arial" w:eastAsia="Arial" w:hAnsi="Arial"/>
          <w:sz w:val="16"/>
          <w:szCs w:val="16"/>
          <w:color w:val="auto"/>
        </w:rPr>
        <w:t>and effect or the failure of which to 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all other such ERISA Events for which liability is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8.08. Taxes</w:t>
      </w:r>
      <w:r>
        <w:rPr>
          <w:rFonts w:ascii="Arial" w:cs="Arial" w:eastAsia="Arial" w:hAnsi="Arial"/>
          <w:sz w:val="17"/>
          <w:szCs w:val="17"/>
          <w:color w:val="auto"/>
        </w:rPr>
        <w:t>. Except as would not, individually or in the aggregate, reasonably be expected to have a Material Adverse Effect, (i)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its Restricted Subsidiaries is an “investment company,” or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an “investment company” required to be regulated under the Investment Company Act of 1940, as amended.</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SECTION 8.10. Environmental Matters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8.10</w:t>
      </w:r>
      <w:r>
        <w:rPr>
          <w:rFonts w:ascii="Arial" w:cs="Arial" w:eastAsia="Arial" w:hAnsi="Arial"/>
          <w:sz w:val="16"/>
          <w:szCs w:val="16"/>
          <w:b w:val="1"/>
          <w:bCs w:val="1"/>
          <w:color w:val="auto"/>
        </w:rPr>
        <w:t xml:space="preserve"> </w:t>
      </w:r>
      <w:r>
        <w:rPr>
          <w:rFonts w:ascii="Arial" w:cs="Arial" w:eastAsia="Arial" w:hAnsi="Arial"/>
          <w:sz w:val="16"/>
          <w:szCs w:val="16"/>
          <w:color w:val="auto"/>
        </w:rPr>
        <w:t>or as would not, individually or in the aggregate, reasonably be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6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p>
    <w:p>
      <w:pPr>
        <w:spacing w:after="0" w:line="200" w:lineRule="exact"/>
        <w:rPr>
          <w:sz w:val="20"/>
          <w:szCs w:val="20"/>
          <w:color w:val="auto"/>
        </w:rPr>
      </w:pPr>
    </w:p>
    <w:p>
      <w:pPr>
        <w:spacing w:after="0" w:line="2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Borrower will use the proceeds of:</w:t>
      </w:r>
    </w:p>
    <w:p>
      <w:pPr>
        <w:sectPr>
          <w:pgSz w:w="11900" w:h="16838" w:orient="portrait"/>
          <w:cols w:equalWidth="0" w:num="1">
            <w:col w:w="11420"/>
          </w:cols>
          <w:pgMar w:left="240" w:top="368" w:right="239" w:bottom="1440" w:gutter="0" w:footer="0" w:header="0"/>
        </w:sectPr>
      </w:pPr>
    </w:p>
    <w:bookmarkStart w:id="443" w:name="page444"/>
    <w:bookmarkEnd w:id="443"/>
    <w:p>
      <w:pPr>
        <w:ind w:left="660" w:hanging="4"/>
        <w:spacing w:after="0" w:line="291" w:lineRule="auto"/>
        <w:tabs>
          <w:tab w:leader="none" w:pos="1031" w:val="left"/>
        </w:tabs>
        <w:numPr>
          <w:ilvl w:val="1"/>
          <w:numId w:val="546"/>
        </w:numPr>
        <w:rPr>
          <w:rFonts w:ascii="Arial" w:cs="Arial" w:eastAsia="Arial" w:hAnsi="Arial"/>
          <w:sz w:val="16"/>
          <w:szCs w:val="16"/>
          <w:color w:val="auto"/>
        </w:rPr>
      </w:pPr>
      <w:r>
        <w:rPr>
          <w:rFonts w:ascii="Arial" w:cs="Arial" w:eastAsia="Arial" w:hAnsi="Arial"/>
          <w:sz w:val="16"/>
          <w:szCs w:val="16"/>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jc w:val="both"/>
        <w:ind w:left="660" w:hanging="4"/>
        <w:spacing w:after="0" w:line="255" w:lineRule="auto"/>
        <w:tabs>
          <w:tab w:leader="none" w:pos="1126" w:val="left"/>
        </w:tabs>
        <w:numPr>
          <w:ilvl w:val="1"/>
          <w:numId w:val="546"/>
        </w:numPr>
        <w:rPr>
          <w:rFonts w:ascii="Arial" w:cs="Arial" w:eastAsia="Arial" w:hAnsi="Arial"/>
          <w:sz w:val="18"/>
          <w:szCs w:val="18"/>
          <w:color w:val="auto"/>
        </w:rPr>
      </w:pPr>
      <w:r>
        <w:rPr>
          <w:rFonts w:ascii="Arial" w:cs="Arial" w:eastAsia="Arial" w:hAnsi="Arial"/>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90" w:lineRule="exact"/>
        <w:rPr>
          <w:rFonts w:ascii="Arial" w:cs="Arial" w:eastAsia="Arial" w:hAnsi="Arial"/>
          <w:sz w:val="18"/>
          <w:szCs w:val="18"/>
          <w:color w:val="auto"/>
        </w:rPr>
      </w:pPr>
    </w:p>
    <w:p>
      <w:pPr>
        <w:jc w:val="both"/>
        <w:ind w:firstLine="8"/>
        <w:spacing w:after="0" w:line="273" w:lineRule="auto"/>
        <w:tabs>
          <w:tab w:leader="none" w:pos="392" w:val="left"/>
        </w:tabs>
        <w:numPr>
          <w:ilvl w:val="0"/>
          <w:numId w:val="547"/>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ectPr>
          <w:pgSz w:w="11900" w:h="16838" w:orient="portrait"/>
          <w:cols w:equalWidth="0" w:num="1">
            <w:col w:w="11420"/>
          </w:cols>
          <w:pgMar w:left="240" w:top="368"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8.12.</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Subsidiaries</w:t>
      </w:r>
    </w:p>
    <w:p>
      <w:pPr>
        <w:spacing w:after="0" w:line="468" w:lineRule="exact"/>
        <w:rPr>
          <w:sz w:val="20"/>
          <w:szCs w:val="20"/>
          <w:color w:val="auto"/>
        </w:rPr>
      </w:pPr>
    </w:p>
    <w:p>
      <w:pPr>
        <w:sectPr>
          <w:pgSz w:w="11900" w:h="16838" w:orient="portrait"/>
          <w:cols w:equalWidth="0" w:num="2">
            <w:col w:w="1220" w:space="360"/>
            <w:col w:w="9840"/>
          </w:cols>
          <w:pgMar w:left="240" w:top="368" w:right="239" w:bottom="1440" w:gutter="0" w:footer="0" w:header="0"/>
          <w:type w:val="continuous"/>
        </w:sectPr>
      </w:pPr>
    </w:p>
    <w:p>
      <w:pPr>
        <w:spacing w:after="0" w:line="11" w:lineRule="exact"/>
        <w:rPr>
          <w:sz w:val="20"/>
          <w:szCs w:val="20"/>
          <w:color w:val="auto"/>
        </w:rPr>
      </w:pPr>
    </w:p>
    <w:p>
      <w:pPr>
        <w:jc w:val="both"/>
        <w:ind w:firstLine="8"/>
        <w:spacing w:after="0" w:line="264" w:lineRule="auto"/>
        <w:tabs>
          <w:tab w:leader="none" w:pos="447"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Schedule 8.12(a)</w:t>
      </w:r>
      <w:r>
        <w:rPr>
          <w:rFonts w:ascii="Arial" w:cs="Arial" w:eastAsia="Arial" w:hAnsi="Arial"/>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81" w:lineRule="exact"/>
        <w:rPr>
          <w:rFonts w:ascii="Arial" w:cs="Arial" w:eastAsia="Arial" w:hAnsi="Arial"/>
          <w:sz w:val="18"/>
          <w:szCs w:val="18"/>
          <w:color w:val="auto"/>
        </w:rPr>
      </w:pPr>
    </w:p>
    <w:p>
      <w:pPr>
        <w:ind w:left="440" w:hanging="432"/>
        <w:spacing w:after="0"/>
        <w:tabs>
          <w:tab w:leader="none" w:pos="440"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Schedule 8.12(b)</w:t>
      </w:r>
      <w:r>
        <w:rPr>
          <w:rFonts w:ascii="Arial" w:cs="Arial" w:eastAsia="Arial" w:hAnsi="Arial"/>
          <w:sz w:val="18"/>
          <w:szCs w:val="18"/>
          <w:color w:val="auto"/>
        </w:rPr>
        <w:t xml:space="preserve"> sets forth a true and complete list of all the Immaterial Subsidiaries as of the Closing Date.</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Schedule 8.12(c)</w:t>
      </w:r>
      <w:r>
        <w:rPr>
          <w:rFonts w:ascii="Arial" w:cs="Arial" w:eastAsia="Arial" w:hAnsi="Arial"/>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8.13. Ownership of Property; Liens.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8.13</w:t>
      </w:r>
      <w:r>
        <w:rPr>
          <w:rFonts w:ascii="Arial" w:cs="Arial" w:eastAsia="Arial" w:hAnsi="Arial"/>
          <w:sz w:val="17"/>
          <w:szCs w:val="17"/>
          <w:color w:val="auto"/>
        </w:rPr>
        <w:t>, (a) Borrower and each of its Restricted Subsidiaries has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8.14. Security Interest; Absence of Financing Statements; Etc</w:t>
      </w:r>
      <w:r>
        <w:rPr>
          <w:rFonts w:ascii="Arial" w:cs="Arial" w:eastAsia="Arial" w:hAnsi="Arial"/>
          <w:sz w:val="17"/>
          <w:szCs w:val="17"/>
          <w:color w:val="auto"/>
        </w:rPr>
        <w:t>. The Security Documents, once executed and delivered, will create, in favor</w:t>
      </w:r>
      <w:r>
        <w:rPr>
          <w:rFonts w:ascii="Arial" w:cs="Arial" w:eastAsia="Arial" w:hAnsi="Arial"/>
          <w:sz w:val="17"/>
          <w:szCs w:val="17"/>
          <w:b w:val="1"/>
          <w:bCs w:val="1"/>
          <w:color w:val="auto"/>
        </w:rPr>
        <w:t xml:space="preserve"> </w:t>
      </w:r>
      <w:r>
        <w:rPr>
          <w:rFonts w:ascii="Arial" w:cs="Arial" w:eastAsia="Arial" w:hAnsi="Arial"/>
          <w:sz w:val="17"/>
          <w:szCs w:val="17"/>
          <w:color w:val="auto"/>
        </w:rPr>
        <w:t>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ectPr>
          <w:pgSz w:w="11900" w:h="16838" w:orient="portrait"/>
          <w:cols w:equalWidth="0" w:num="1">
            <w:col w:w="11420"/>
          </w:cols>
          <w:pgMar w:left="240" w:top="368" w:right="239" w:bottom="1440" w:gutter="0" w:footer="0" w:header="0"/>
          <w:type w:val="continuous"/>
        </w:sectPr>
      </w:pPr>
    </w:p>
    <w:bookmarkStart w:id="444" w:name="page445"/>
    <w:bookmarkEnd w:id="444"/>
    <w:p>
      <w:pPr>
        <w:jc w:val="both"/>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Borrower and each of its Restricted Subsidiaries hold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8.16. Disclosure</w:t>
      </w:r>
      <w:r>
        <w:rPr>
          <w:rFonts w:ascii="Arial" w:cs="Arial" w:eastAsia="Arial" w:hAnsi="Arial"/>
          <w:sz w:val="17"/>
          <w:szCs w:val="17"/>
          <w:color w:val="auto"/>
        </w:rPr>
        <w:t>. The information, reports, financial statements, exhibits and schedules furnished in writing by or on behalf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each Funding Date (i) with respect to representations made as of the Closing Date,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of its Restricted Subsidiaries owns or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8.19 Regulation H</w:t>
      </w:r>
      <w:r>
        <w:rPr>
          <w:rFonts w:ascii="Arial" w:cs="Arial" w:eastAsia="Arial" w:hAnsi="Arial"/>
          <w:sz w:val="18"/>
          <w:szCs w:val="18"/>
          <w:color w:val="auto"/>
        </w:rPr>
        <w:t>. Except for the Real Property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8.19</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of the Closing Date, no Mortgage encumbers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8.20. Insurance</w:t>
      </w:r>
      <w:r>
        <w:rPr>
          <w:rFonts w:ascii="Arial" w:cs="Arial" w:eastAsia="Arial" w:hAnsi="Arial"/>
          <w:sz w:val="18"/>
          <w:szCs w:val="18"/>
          <w:color w:val="auto"/>
        </w:rPr>
        <w:t>. Borrower and each of its Restricted Subsidiaries are insured by insurers of recognized financial responsibility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such insurance was obtained) against such losses and risks (other than wind and flood damage) and in such amounts as are prudent and customary in the businesses in which</w:t>
      </w:r>
    </w:p>
    <w:p>
      <w:pPr>
        <w:sectPr>
          <w:pgSz w:w="11900" w:h="16838" w:orient="portrait"/>
          <w:cols w:equalWidth="0" w:num="1">
            <w:col w:w="11420"/>
          </w:cols>
          <w:pgMar w:left="240" w:top="580" w:right="239" w:bottom="1440" w:gutter="0" w:footer="0" w:header="0"/>
        </w:sectPr>
      </w:pPr>
    </w:p>
    <w:bookmarkStart w:id="445" w:name="page446"/>
    <w:bookmarkEnd w:id="445"/>
    <w:p>
      <w:pPr>
        <w:jc w:val="both"/>
        <w:spacing w:after="0" w:line="264" w:lineRule="auto"/>
        <w:rPr>
          <w:sz w:val="20"/>
          <w:szCs w:val="20"/>
          <w:color w:val="auto"/>
        </w:rPr>
      </w:pPr>
      <w:r>
        <w:rPr>
          <w:rFonts w:ascii="Arial" w:cs="Arial" w:eastAsia="Arial" w:hAnsi="Arial"/>
          <w:sz w:val="18"/>
          <w:szCs w:val="18"/>
          <w:color w:val="auto"/>
        </w:rPr>
        <w:t>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7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Real Estate</w:t>
      </w:r>
    </w:p>
    <w:p>
      <w:pPr>
        <w:spacing w:after="0" w:line="229" w:lineRule="exact"/>
        <w:rPr>
          <w:sz w:val="20"/>
          <w:szCs w:val="20"/>
          <w:color w:val="auto"/>
        </w:rPr>
      </w:pPr>
    </w:p>
    <w:p>
      <w:pPr>
        <w:jc w:val="both"/>
        <w:ind w:firstLine="8"/>
        <w:spacing w:after="0" w:line="264" w:lineRule="auto"/>
        <w:tabs>
          <w:tab w:leader="none" w:pos="465"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Schedule 8.21(a)</w:t>
      </w:r>
      <w:r>
        <w:rPr>
          <w:rFonts w:ascii="Arial" w:cs="Arial" w:eastAsia="Arial" w:hAnsi="Arial"/>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81" w:lineRule="exact"/>
        <w:rPr>
          <w:rFonts w:ascii="Arial" w:cs="Arial" w:eastAsia="Arial" w:hAnsi="Arial"/>
          <w:sz w:val="18"/>
          <w:szCs w:val="18"/>
          <w:color w:val="auto"/>
        </w:rPr>
      </w:pPr>
    </w:p>
    <w:p>
      <w:pPr>
        <w:jc w:val="both"/>
        <w:ind w:firstLine="8"/>
        <w:spacing w:after="0" w:line="286" w:lineRule="auto"/>
        <w:tabs>
          <w:tab w:leader="none" w:pos="426" w:val="left"/>
        </w:tabs>
        <w:numPr>
          <w:ilvl w:val="0"/>
          <w:numId w:val="54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8.21(b)</w:t>
      </w:r>
      <w:r>
        <w:rPr>
          <w:rFonts w:ascii="Arial" w:cs="Arial" w:eastAsia="Arial" w:hAnsi="Arial"/>
          <w:sz w:val="17"/>
          <w:szCs w:val="17"/>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7"/>
          <w:szCs w:val="17"/>
          <w:b w:val="1"/>
          <w:bCs w:val="1"/>
          <w:color w:val="auto"/>
        </w:rPr>
        <w:t>Anti-Terrorism Law</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57" w:lineRule="auto"/>
        <w:tabs>
          <w:tab w:leader="none" w:pos="412"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8"/>
        <w:spacing w:after="0" w:line="266" w:lineRule="auto"/>
        <w:tabs>
          <w:tab w:leader="none" w:pos="456"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ind w:left="2100" w:hanging="552"/>
        <w:spacing w:after="0"/>
        <w:tabs>
          <w:tab w:leader="none" w:pos="21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65" w:lineRule="exact"/>
        <w:rPr>
          <w:rFonts w:ascii="Arial" w:cs="Arial" w:eastAsia="Arial" w:hAnsi="Arial"/>
          <w:sz w:val="18"/>
          <w:szCs w:val="18"/>
          <w:color w:val="auto"/>
        </w:rPr>
      </w:pPr>
    </w:p>
    <w:p>
      <w:pPr>
        <w:ind w:left="660" w:firstLine="888"/>
        <w:spacing w:after="0" w:line="324" w:lineRule="auto"/>
        <w:tabs>
          <w:tab w:leader="none" w:pos="2163"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200" w:hanging="652"/>
        <w:spacing w:after="0"/>
        <w:tabs>
          <w:tab w:leader="none" w:pos="2200" w:val="left"/>
        </w:tabs>
        <w:numPr>
          <w:ilvl w:val="1"/>
          <w:numId w:val="550"/>
        </w:numPr>
        <w:rPr>
          <w:rFonts w:ascii="Arial" w:cs="Arial" w:eastAsia="Arial" w:hAnsi="Arial"/>
          <w:sz w:val="17"/>
          <w:szCs w:val="17"/>
          <w:color w:val="auto"/>
        </w:rPr>
      </w:pPr>
      <w:r>
        <w:rPr>
          <w:rFonts w:ascii="Arial" w:cs="Arial" w:eastAsia="Arial" w:hAnsi="Arial"/>
          <w:sz w:val="17"/>
          <w:szCs w:val="17"/>
          <w:color w:val="auto"/>
        </w:rPr>
        <w:t>a Person with which any Lender is prohibited from dealing or otherwise engaging in any transaction by any Anti-Terrorism</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65" w:lineRule="exact"/>
        <w:rPr>
          <w:rFonts w:ascii="Arial" w:cs="Arial" w:eastAsia="Arial" w:hAnsi="Arial"/>
          <w:sz w:val="17"/>
          <w:szCs w:val="17"/>
          <w:color w:val="auto"/>
        </w:rPr>
      </w:pPr>
    </w:p>
    <w:p>
      <w:pPr>
        <w:ind w:left="2200" w:hanging="652"/>
        <w:spacing w:after="0"/>
        <w:tabs>
          <w:tab w:leader="none" w:pos="22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65" w:lineRule="exact"/>
        <w:rPr>
          <w:rFonts w:ascii="Arial" w:cs="Arial" w:eastAsia="Arial" w:hAnsi="Arial"/>
          <w:sz w:val="18"/>
          <w:szCs w:val="18"/>
          <w:color w:val="auto"/>
        </w:rPr>
      </w:pPr>
    </w:p>
    <w:p>
      <w:pPr>
        <w:jc w:val="both"/>
        <w:ind w:left="660" w:firstLine="888"/>
        <w:spacing w:after="0" w:line="311" w:lineRule="auto"/>
        <w:tabs>
          <w:tab w:leader="none" w:pos="2153"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2200" w:hanging="652"/>
        <w:spacing w:after="0"/>
        <w:tabs>
          <w:tab w:leader="none" w:pos="22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ectPr>
          <w:pgSz w:w="11900" w:h="16838" w:orient="portrait"/>
          <w:cols w:equalWidth="0" w:num="1">
            <w:col w:w="11420"/>
          </w:cols>
          <w:pgMar w:left="240" w:top="368" w:right="239" w:bottom="1440" w:gutter="0" w:footer="0" w:header="0"/>
        </w:sectPr>
      </w:pPr>
    </w:p>
    <w:bookmarkStart w:id="446" w:name="page447"/>
    <w:bookmarkEnd w:id="446"/>
    <w:p>
      <w:pPr>
        <w:jc w:val="both"/>
        <w:spacing w:after="0" w:line="261" w:lineRule="auto"/>
        <w:rPr>
          <w:sz w:val="20"/>
          <w:szCs w:val="20"/>
          <w:color w:val="auto"/>
        </w:rPr>
      </w:pPr>
      <w:r>
        <w:rPr>
          <w:rFonts w:ascii="Arial" w:cs="Arial" w:eastAsia="Arial" w:hAnsi="Arial"/>
          <w:sz w:val="18"/>
          <w:szCs w:val="18"/>
          <w:b w:val="1"/>
          <w:bCs w:val="1"/>
          <w:color w:val="auto"/>
        </w:rPr>
        <w:t>SECTION 8.24. Labor Matters</w:t>
      </w:r>
      <w:r>
        <w:rPr>
          <w:rFonts w:ascii="Arial" w:cs="Arial" w:eastAsia="Arial" w:hAnsi="Arial"/>
          <w:sz w:val="18"/>
          <w:szCs w:val="18"/>
          <w:color w:val="auto"/>
        </w:rPr>
        <w:t>. Except as would not reasonably be expected, individually or in the aggregate, to have a Material Adverse Effect, (a)</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strikes or other labor disputes against Borrower or any of its Restricted Subsidiaries pending or, to the knowledge of Borrower, threatened and (b) 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39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64" w:lineRule="auto"/>
        <w:tabs>
          <w:tab w:leader="none" w:pos="437" w:val="left"/>
        </w:tabs>
        <w:numPr>
          <w:ilvl w:val="0"/>
          <w:numId w:val="551"/>
        </w:numPr>
        <w:rPr>
          <w:rFonts w:ascii="Arial" w:cs="Arial" w:eastAsia="Arial" w:hAnsi="Arial"/>
          <w:sz w:val="18"/>
          <w:szCs w:val="18"/>
          <w:color w:val="auto"/>
        </w:rPr>
      </w:pPr>
      <w:r>
        <w:rPr>
          <w:rFonts w:ascii="Arial" w:cs="Arial" w:eastAsia="Arial" w:hAnsi="Arial"/>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8"/>
        <w:spacing w:after="0" w:line="286" w:lineRule="auto"/>
        <w:tabs>
          <w:tab w:leader="none" w:pos="493" w:val="left"/>
        </w:tabs>
        <w:numPr>
          <w:ilvl w:val="0"/>
          <w:numId w:val="551"/>
        </w:numPr>
        <w:rPr>
          <w:rFonts w:ascii="Arial" w:cs="Arial" w:eastAsia="Arial" w:hAnsi="Arial"/>
          <w:sz w:val="16"/>
          <w:szCs w:val="16"/>
          <w:color w:val="auto"/>
        </w:rPr>
      </w:pPr>
      <w:r>
        <w:rPr>
          <w:rFonts w:ascii="Arial" w:cs="Arial" w:eastAsia="Arial" w:hAnsi="Arial"/>
          <w:sz w:val="16"/>
          <w:szCs w:val="16"/>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Insurance</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91" w:lineRule="auto"/>
        <w:tabs>
          <w:tab w:leader="none" w:pos="441"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w:t>
      </w:r>
    </w:p>
    <w:p>
      <w:pPr>
        <w:sectPr>
          <w:pgSz w:w="11900" w:h="16838" w:orient="portrait"/>
          <w:cols w:equalWidth="0" w:num="1">
            <w:col w:w="11420"/>
          </w:cols>
          <w:pgMar w:left="240" w:top="365" w:right="239" w:bottom="1440" w:gutter="0" w:footer="0" w:header="0"/>
        </w:sectPr>
      </w:pPr>
    </w:p>
    <w:bookmarkStart w:id="447" w:name="page448"/>
    <w:bookmarkEnd w:id="447"/>
    <w:p>
      <w:pPr>
        <w:spacing w:after="0" w:line="291" w:lineRule="auto"/>
        <w:rPr>
          <w:sz w:val="20"/>
          <w:szCs w:val="20"/>
          <w:color w:val="auto"/>
        </w:rPr>
      </w:pPr>
      <w:r>
        <w:rPr>
          <w:rFonts w:ascii="Arial" w:cs="Arial" w:eastAsia="Arial" w:hAnsi="Arial"/>
          <w:sz w:val="16"/>
          <w:szCs w:val="16"/>
          <w:color w:val="auto"/>
        </w:rPr>
        <w:t>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jc w:val="both"/>
        <w:ind w:firstLine="8"/>
        <w:spacing w:after="0" w:line="290" w:lineRule="auto"/>
        <w:tabs>
          <w:tab w:leader="none" w:pos="438" w:val="left"/>
        </w:tabs>
        <w:numPr>
          <w:ilvl w:val="0"/>
          <w:numId w:val="553"/>
        </w:numPr>
        <w:rPr>
          <w:rFonts w:ascii="Arial" w:cs="Arial" w:eastAsia="Arial" w:hAnsi="Arial"/>
          <w:sz w:val="16"/>
          <w:szCs w:val="16"/>
          <w:color w:val="auto"/>
        </w:rPr>
      </w:pPr>
      <w:r>
        <w:rPr>
          <w:rFonts w:ascii="Arial" w:cs="Arial" w:eastAsia="Arial" w:hAnsi="Arial"/>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9.03. Taxes</w:t>
      </w:r>
      <w:r>
        <w:rPr>
          <w:rFonts w:ascii="Arial" w:cs="Arial" w:eastAsia="Arial" w:hAnsi="Arial"/>
          <w:sz w:val="16"/>
          <w:szCs w:val="16"/>
          <w:color w:val="auto"/>
        </w:rPr>
        <w:t>. Borrower and each of its Restricted Subsidiaries shall timely file all Tax returns, statements, reports and forms required to be filed</w:t>
      </w:r>
      <w:r>
        <w:rPr>
          <w:rFonts w:ascii="Arial" w:cs="Arial" w:eastAsia="Arial" w:hAnsi="Arial"/>
          <w:sz w:val="16"/>
          <w:szCs w:val="16"/>
          <w:b w:val="1"/>
          <w:bCs w:val="1"/>
          <w:color w:val="auto"/>
        </w:rPr>
        <w:t xml:space="preserve"> </w:t>
      </w:r>
      <w:r>
        <w:rPr>
          <w:rFonts w:ascii="Arial" w:cs="Arial" w:eastAsia="Arial" w:hAnsi="Arial"/>
          <w:sz w:val="16"/>
          <w:szCs w:val="16"/>
          <w:color w:val="auto"/>
        </w:rPr>
        <w:t>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9.04. Financial Statements, Etc</w:t>
      </w:r>
      <w:r>
        <w:rPr>
          <w:rFonts w:ascii="Arial" w:cs="Arial" w:eastAsia="Arial" w:hAnsi="Arial"/>
          <w:sz w:val="18"/>
          <w:szCs w:val="18"/>
          <w:color w:val="auto"/>
        </w:rPr>
        <w:t>. Borrower shall deliver to Administrative Agent for distribution by Administrative Agent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 Lender expressly declines in writing to accept):</w:t>
      </w:r>
    </w:p>
    <w:p>
      <w:pPr>
        <w:spacing w:after="0" w:line="162" w:lineRule="exact"/>
        <w:rPr>
          <w:sz w:val="20"/>
          <w:szCs w:val="20"/>
          <w:color w:val="auto"/>
        </w:rPr>
      </w:pPr>
    </w:p>
    <w:p>
      <w:pPr>
        <w:jc w:val="both"/>
        <w:ind w:firstLine="8"/>
        <w:spacing w:after="0" w:line="289" w:lineRule="auto"/>
        <w:tabs>
          <w:tab w:leader="none" w:pos="434" w:val="left"/>
        </w:tabs>
        <w:numPr>
          <w:ilvl w:val="0"/>
          <w:numId w:val="554"/>
        </w:numPr>
        <w:rPr>
          <w:rFonts w:ascii="Arial" w:cs="Arial" w:eastAsia="Arial" w:hAnsi="Arial"/>
          <w:sz w:val="16"/>
          <w:szCs w:val="16"/>
          <w:color w:val="auto"/>
        </w:rPr>
      </w:pPr>
      <w:r>
        <w:rPr>
          <w:rFonts w:ascii="Arial" w:cs="Arial" w:eastAsia="Arial" w:hAnsi="Arial"/>
          <w:sz w:val="16"/>
          <w:szCs w:val="16"/>
          <w:b w:val="1"/>
          <w:bCs w:val="1"/>
          <w:color w:val="auto"/>
        </w:rPr>
        <w:t>Quarterly Financials</w:t>
      </w:r>
      <w:r>
        <w:rPr>
          <w:rFonts w:ascii="Arial" w:cs="Arial" w:eastAsia="Arial" w:hAnsi="Arial"/>
          <w:sz w:val="16"/>
          <w:szCs w:val="16"/>
          <w:color w:val="auto"/>
        </w:rPr>
        <w:t>. As soon as available and in any event within 45 days (or, in the case of each fiscal quarter ending prior to the first full fiscal</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61" w:lineRule="exact"/>
        <w:rPr>
          <w:rFonts w:ascii="Arial" w:cs="Arial" w:eastAsia="Arial" w:hAnsi="Arial"/>
          <w:sz w:val="16"/>
          <w:szCs w:val="16"/>
          <w:color w:val="auto"/>
        </w:rPr>
      </w:pPr>
    </w:p>
    <w:p>
      <w:pPr>
        <w:jc w:val="both"/>
        <w:ind w:firstLine="8"/>
        <w:spacing w:after="0" w:line="269" w:lineRule="auto"/>
        <w:tabs>
          <w:tab w:leader="none" w:pos="525" w:val="left"/>
        </w:tabs>
        <w:numPr>
          <w:ilvl w:val="0"/>
          <w:numId w:val="554"/>
        </w:numPr>
        <w:rPr>
          <w:rFonts w:ascii="Arial" w:cs="Arial" w:eastAsia="Arial" w:hAnsi="Arial"/>
          <w:sz w:val="17"/>
          <w:szCs w:val="17"/>
          <w:color w:val="auto"/>
        </w:rPr>
      </w:pPr>
      <w:r>
        <w:rPr>
          <w:rFonts w:ascii="Arial" w:cs="Arial" w:eastAsia="Arial" w:hAnsi="Arial"/>
          <w:sz w:val="17"/>
          <w:szCs w:val="17"/>
          <w:b w:val="1"/>
          <w:bCs w:val="1"/>
          <w:color w:val="auto"/>
        </w:rPr>
        <w:t>Annual Financials</w:t>
      </w:r>
      <w:r>
        <w:rPr>
          <w:rFonts w:ascii="Arial" w:cs="Arial" w:eastAsia="Arial" w:hAnsi="Arial"/>
          <w:sz w:val="17"/>
          <w:szCs w:val="17"/>
          <w:color w:val="auto"/>
        </w:rPr>
        <w:t>. As soon as available and in any event within 90 days after the end of each fiscal year beginning with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ectPr>
          <w:pgSz w:w="11900" w:h="16838" w:orient="portrait"/>
          <w:cols w:equalWidth="0" w:num="1">
            <w:col w:w="11420"/>
          </w:cols>
          <w:pgMar w:left="240" w:top="368" w:right="239" w:bottom="1440" w:gutter="0" w:footer="0" w:header="0"/>
        </w:sectPr>
      </w:pPr>
    </w:p>
    <w:bookmarkStart w:id="448" w:name="page449"/>
    <w:bookmarkEnd w:id="448"/>
    <w:p>
      <w:pPr>
        <w:jc w:val="both"/>
        <w:ind w:left="-8" w:firstLine="8"/>
        <w:spacing w:after="0" w:line="292" w:lineRule="auto"/>
        <w:tabs>
          <w:tab w:leader="none" w:pos="372" w:val="left"/>
        </w:tabs>
        <w:numPr>
          <w:ilvl w:val="0"/>
          <w:numId w:val="555"/>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At the time Borrower furnishes each set of financial statements pursuant to Section 9.04(a) or Section 9.04(b), a certificate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Responsible Officer of Borrower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Arial" w:cs="Arial" w:eastAsia="Arial" w:hAnsi="Arial"/>
          <w:sz w:val="16"/>
          <w:szCs w:val="16"/>
          <w:b w:val="1"/>
          <w:bCs w:val="1"/>
          <w:color w:val="auto"/>
        </w:rPr>
        <w:t>Notice of Intent to Cure</w:t>
      </w:r>
      <w:r>
        <w:rPr>
          <w:rFonts w:ascii="Arial" w:cs="Arial" w:eastAsia="Arial" w:hAnsi="Arial"/>
          <w:sz w:val="16"/>
          <w:szCs w:val="16"/>
          <w:color w:val="auto"/>
        </w:rPr>
        <w:t>”) pursuant to Section 11.03 to the extent permitted thereunder;</w:t>
      </w:r>
    </w:p>
    <w:p>
      <w:pPr>
        <w:spacing w:after="0" w:line="161" w:lineRule="exact"/>
        <w:rPr>
          <w:rFonts w:ascii="Arial" w:cs="Arial" w:eastAsia="Arial" w:hAnsi="Arial"/>
          <w:sz w:val="16"/>
          <w:szCs w:val="16"/>
          <w:color w:val="auto"/>
        </w:rPr>
      </w:pPr>
    </w:p>
    <w:p>
      <w:pPr>
        <w:ind w:left="-8" w:firstLine="8"/>
        <w:spacing w:after="0" w:line="347" w:lineRule="auto"/>
        <w:tabs>
          <w:tab w:leader="none" w:pos="418" w:val="left"/>
        </w:tabs>
        <w:numPr>
          <w:ilvl w:val="0"/>
          <w:numId w:val="555"/>
        </w:numPr>
        <w:rPr>
          <w:rFonts w:ascii="Arial" w:cs="Arial" w:eastAsia="Arial" w:hAnsi="Arial"/>
          <w:sz w:val="16"/>
          <w:szCs w:val="16"/>
          <w:color w:val="auto"/>
        </w:rPr>
      </w:pPr>
      <w:r>
        <w:rPr>
          <w:rFonts w:ascii="Arial" w:cs="Arial" w:eastAsia="Arial" w:hAnsi="Arial"/>
          <w:sz w:val="16"/>
          <w:szCs w:val="16"/>
          <w:b w:val="1"/>
          <w:bCs w:val="1"/>
          <w:color w:val="auto"/>
        </w:rPr>
        <w:t>Notice of Default</w:t>
      </w:r>
      <w:r>
        <w:rPr>
          <w:rFonts w:ascii="Arial" w:cs="Arial" w:eastAsia="Arial" w:hAnsi="Arial"/>
          <w:sz w:val="16"/>
          <w:szCs w:val="16"/>
          <w:color w:val="auto"/>
        </w:rPr>
        <w:t>. Promptly after any Responsible Officer of any Company knows that any Default has occurred, a notice of such Default,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describing the same in reasonable detail and a description of the action that the Companies have taken and propose to take with respect thereto;</w:t>
      </w:r>
    </w:p>
    <w:p>
      <w:pPr>
        <w:spacing w:after="0" w:line="116" w:lineRule="exact"/>
        <w:rPr>
          <w:rFonts w:ascii="Arial" w:cs="Arial" w:eastAsia="Arial" w:hAnsi="Arial"/>
          <w:sz w:val="16"/>
          <w:szCs w:val="16"/>
          <w:color w:val="auto"/>
        </w:rPr>
      </w:pPr>
    </w:p>
    <w:p>
      <w:pPr>
        <w:ind w:left="-8" w:firstLine="8"/>
        <w:spacing w:after="0" w:line="282" w:lineRule="auto"/>
        <w:tabs>
          <w:tab w:leader="none" w:pos="480"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Environmental Matters</w:t>
      </w:r>
      <w:r>
        <w:rPr>
          <w:rFonts w:ascii="Arial" w:cs="Arial" w:eastAsia="Arial" w:hAnsi="Arial"/>
          <w:sz w:val="18"/>
          <w:szCs w:val="18"/>
          <w:color w:val="auto"/>
        </w:rPr>
        <w:t>. Written notice of any claim, release of Hazardous Material, condition, circumstance, occurrence or event arising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 which would reasonably be expected to have, individually or in the aggregate, a Material Adverse Effect;</w:t>
      </w:r>
    </w:p>
    <w:p>
      <w:pPr>
        <w:spacing w:after="0" w:line="161" w:lineRule="exact"/>
        <w:rPr>
          <w:rFonts w:ascii="Arial" w:cs="Arial" w:eastAsia="Arial" w:hAnsi="Arial"/>
          <w:sz w:val="18"/>
          <w:szCs w:val="18"/>
          <w:color w:val="auto"/>
        </w:rPr>
      </w:pPr>
    </w:p>
    <w:p>
      <w:pPr>
        <w:jc w:val="both"/>
        <w:ind w:left="-8" w:firstLine="8"/>
        <w:spacing w:after="0" w:line="290" w:lineRule="auto"/>
        <w:tabs>
          <w:tab w:leader="none" w:pos="379" w:val="left"/>
        </w:tabs>
        <w:numPr>
          <w:ilvl w:val="0"/>
          <w:numId w:val="555"/>
        </w:numPr>
        <w:rPr>
          <w:rFonts w:ascii="Arial" w:cs="Arial" w:eastAsia="Arial" w:hAnsi="Arial"/>
          <w:sz w:val="16"/>
          <w:szCs w:val="16"/>
          <w:color w:val="auto"/>
        </w:rPr>
      </w:pPr>
      <w:r>
        <w:rPr>
          <w:rFonts w:ascii="Arial" w:cs="Arial" w:eastAsia="Arial" w:hAnsi="Arial"/>
          <w:sz w:val="16"/>
          <w:szCs w:val="16"/>
          <w:b w:val="1"/>
          <w:bCs w:val="1"/>
          <w:color w:val="auto"/>
        </w:rPr>
        <w:t>Annual Budgets</w:t>
      </w:r>
      <w:r>
        <w:rPr>
          <w:rFonts w:ascii="Arial" w:cs="Arial" w:eastAsia="Arial" w:hAnsi="Arial"/>
          <w:sz w:val="16"/>
          <w:szCs w:val="16"/>
          <w:color w:val="auto"/>
        </w:rPr>
        <w:t>. Beginning with the fiscal year of Borrower commencing on January 1, 2015, as soon as practicable and in any event within 10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59" w:lineRule="exact"/>
        <w:rPr>
          <w:rFonts w:ascii="Arial" w:cs="Arial" w:eastAsia="Arial" w:hAnsi="Arial"/>
          <w:sz w:val="16"/>
          <w:szCs w:val="16"/>
          <w:color w:val="auto"/>
        </w:rPr>
      </w:pPr>
    </w:p>
    <w:p>
      <w:pPr>
        <w:jc w:val="both"/>
        <w:ind w:left="-8" w:firstLine="8"/>
        <w:spacing w:after="0" w:line="258" w:lineRule="auto"/>
        <w:tabs>
          <w:tab w:leader="none" w:pos="404"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Auditors’ Reports</w:t>
      </w:r>
      <w:r>
        <w:rPr>
          <w:rFonts w:ascii="Arial" w:cs="Arial" w:eastAsia="Arial" w:hAnsi="Arial"/>
          <w:sz w:val="18"/>
          <w:szCs w:val="18"/>
          <w:color w:val="auto"/>
        </w:rPr>
        <w:t>. Promptly upon receipt thereof, copies of all annual, interim or special reports issued to Borrower or any Restricted Subsidiary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reports shall only be made available to Administrative Agent and to those Lenders who request such reports through Administrative Agent;</w:t>
      </w:r>
    </w:p>
    <w:p>
      <w:pPr>
        <w:spacing w:after="0" w:line="183" w:lineRule="exact"/>
        <w:rPr>
          <w:rFonts w:ascii="Arial" w:cs="Arial" w:eastAsia="Arial" w:hAnsi="Arial"/>
          <w:sz w:val="18"/>
          <w:szCs w:val="18"/>
          <w:color w:val="auto"/>
        </w:rPr>
      </w:pPr>
    </w:p>
    <w:p>
      <w:pPr>
        <w:ind w:left="392" w:hanging="392"/>
        <w:spacing w:after="0"/>
        <w:tabs>
          <w:tab w:leader="none" w:pos="392"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Casualty and Damage to Collateral; Perfection Certificate Updates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92" w:hanging="344"/>
        <w:spacing w:after="0"/>
        <w:tabs>
          <w:tab w:leader="none" w:pos="992" w:val="left"/>
        </w:tabs>
        <w:numPr>
          <w:ilvl w:val="1"/>
          <w:numId w:val="555"/>
        </w:numPr>
        <w:rPr>
          <w:rFonts w:ascii="Arial" w:cs="Arial" w:eastAsia="Arial" w:hAnsi="Arial"/>
          <w:sz w:val="18"/>
          <w:szCs w:val="18"/>
          <w:color w:val="auto"/>
        </w:rPr>
      </w:pPr>
      <w:r>
        <w:rPr>
          <w:rFonts w:ascii="Arial" w:cs="Arial" w:eastAsia="Arial" w:hAnsi="Arial"/>
          <w:sz w:val="18"/>
          <w:szCs w:val="18"/>
          <w:color w:val="auto"/>
        </w:rPr>
        <w:t>Prompt written notice of any Casualty Event or other insured damage to any material portion of the Collateral; and</w:t>
      </w:r>
    </w:p>
    <w:p>
      <w:pPr>
        <w:spacing w:after="0" w:line="225" w:lineRule="exact"/>
        <w:rPr>
          <w:rFonts w:ascii="Arial" w:cs="Arial" w:eastAsia="Arial" w:hAnsi="Arial"/>
          <w:sz w:val="18"/>
          <w:szCs w:val="18"/>
          <w:color w:val="auto"/>
        </w:rPr>
      </w:pPr>
    </w:p>
    <w:p>
      <w:pPr>
        <w:jc w:val="both"/>
        <w:ind w:left="652" w:hanging="4"/>
        <w:spacing w:after="0" w:line="279" w:lineRule="auto"/>
        <w:tabs>
          <w:tab w:leader="none" w:pos="1158" w:val="left"/>
        </w:tabs>
        <w:numPr>
          <w:ilvl w:val="1"/>
          <w:numId w:val="555"/>
        </w:numPr>
        <w:rPr>
          <w:rFonts w:ascii="Arial" w:cs="Arial" w:eastAsia="Arial" w:hAnsi="Arial"/>
          <w:sz w:val="17"/>
          <w:szCs w:val="17"/>
          <w:color w:val="auto"/>
        </w:rPr>
      </w:pPr>
      <w:r>
        <w:rPr>
          <w:rFonts w:ascii="Arial" w:cs="Arial" w:eastAsia="Arial" w:hAnsi="Arial"/>
          <w:sz w:val="17"/>
          <w:szCs w:val="17"/>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Arial" w:cs="Arial" w:eastAsia="Arial" w:hAnsi="Arial"/>
          <w:sz w:val="17"/>
          <w:szCs w:val="17"/>
          <w:u w:val="single" w:color="auto"/>
          <w:color w:val="auto"/>
        </w:rPr>
        <w:t>Schedules 1(a)</w:t>
      </w:r>
      <w:r>
        <w:rPr>
          <w:rFonts w:ascii="Arial" w:cs="Arial" w:eastAsia="Arial" w:hAnsi="Arial"/>
          <w:sz w:val="17"/>
          <w:szCs w:val="17"/>
          <w:color w:val="auto"/>
        </w:rPr>
        <w:t xml:space="preserve">,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4(a)</w:t>
      </w:r>
      <w:r>
        <w:rPr>
          <w:rFonts w:ascii="Arial" w:cs="Arial" w:eastAsia="Arial" w:hAnsi="Arial"/>
          <w:sz w:val="17"/>
          <w:szCs w:val="17"/>
          <w:color w:val="auto"/>
        </w:rPr>
        <w:t xml:space="preserve">,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7(a)</w:t>
      </w:r>
      <w:r>
        <w:rPr>
          <w:rFonts w:ascii="Arial" w:cs="Arial" w:eastAsia="Arial" w:hAnsi="Arial"/>
          <w:sz w:val="17"/>
          <w:szCs w:val="17"/>
          <w:color w:val="auto"/>
        </w:rPr>
        <w:t xml:space="preserve">, </w:t>
      </w:r>
      <w:r>
        <w:rPr>
          <w:rFonts w:ascii="Arial" w:cs="Arial" w:eastAsia="Arial" w:hAnsi="Arial"/>
          <w:sz w:val="17"/>
          <w:szCs w:val="17"/>
          <w:u w:val="single" w:color="auto"/>
          <w:color w:val="auto"/>
        </w:rPr>
        <w:t>7(b)</w:t>
      </w:r>
      <w:r>
        <w:rPr>
          <w:rFonts w:ascii="Arial" w:cs="Arial" w:eastAsia="Arial" w:hAnsi="Arial"/>
          <w:sz w:val="17"/>
          <w:szCs w:val="17"/>
          <w:color w:val="auto"/>
        </w:rPr>
        <w:t xml:space="preserve">, </w:t>
      </w:r>
      <w:r>
        <w:rPr>
          <w:rFonts w:ascii="Arial" w:cs="Arial" w:eastAsia="Arial" w:hAnsi="Arial"/>
          <w:sz w:val="17"/>
          <w:szCs w:val="17"/>
          <w:u w:val="single" w:color="auto"/>
          <w:color w:val="auto"/>
        </w:rPr>
        <w:t>7(c)</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to the Perfection Certificate or confirming that there has been no change in such information since the date of the Initial Perfection Certificate or the date of the most recent certificate delivered pursuant to this Section 9.04(h)(ii);</w:t>
      </w:r>
    </w:p>
    <w:p>
      <w:pPr>
        <w:spacing w:after="0" w:line="167" w:lineRule="exact"/>
        <w:rPr>
          <w:rFonts w:ascii="Arial" w:cs="Arial" w:eastAsia="Arial" w:hAnsi="Arial"/>
          <w:sz w:val="17"/>
          <w:szCs w:val="17"/>
          <w:color w:val="auto"/>
        </w:rPr>
      </w:pPr>
    </w:p>
    <w:p>
      <w:pPr>
        <w:jc w:val="both"/>
        <w:ind w:left="-8" w:firstLine="8"/>
        <w:spacing w:after="0" w:line="266" w:lineRule="auto"/>
        <w:tabs>
          <w:tab w:leader="none" w:pos="387"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 or Covenant Suspension Period</w:t>
      </w:r>
      <w:r>
        <w:rPr>
          <w:rFonts w:ascii="Arial" w:cs="Arial" w:eastAsia="Arial" w:hAnsi="Arial"/>
          <w:sz w:val="18"/>
          <w:szCs w:val="18"/>
          <w:color w:val="auto"/>
        </w:rPr>
        <w:t>. Written notice (i) of the occurrence of any event or occurrence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a Material Adverse Effect or (ii) Borrower’s determination of the commencement or termination of a Covenant Suspension Period;</w:t>
      </w:r>
    </w:p>
    <w:p>
      <w:pPr>
        <w:sectPr>
          <w:pgSz w:w="11900" w:h="16838" w:orient="portrait"/>
          <w:cols w:equalWidth="0" w:num="1">
            <w:col w:w="11412"/>
          </w:cols>
          <w:pgMar w:left="248" w:top="364" w:right="239" w:bottom="1440" w:gutter="0" w:footer="0" w:header="0"/>
        </w:sectPr>
      </w:pPr>
    </w:p>
    <w:bookmarkStart w:id="449" w:name="page450"/>
    <w:bookmarkEnd w:id="449"/>
    <w:p>
      <w:pPr>
        <w:jc w:val="both"/>
        <w:ind w:firstLine="8"/>
        <w:spacing w:after="0" w:line="261" w:lineRule="auto"/>
        <w:tabs>
          <w:tab w:leader="none" w:pos="350"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 occurred,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80" w:lineRule="exact"/>
        <w:rPr>
          <w:rFonts w:ascii="Arial" w:cs="Arial" w:eastAsia="Arial" w:hAnsi="Arial"/>
          <w:sz w:val="18"/>
          <w:szCs w:val="18"/>
          <w:color w:val="auto"/>
        </w:rPr>
      </w:pPr>
    </w:p>
    <w:p>
      <w:pPr>
        <w:ind w:right="20" w:firstLine="8"/>
        <w:spacing w:after="0" w:line="261" w:lineRule="auto"/>
        <w:tabs>
          <w:tab w:leader="none" w:pos="498"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as Administrative Agent or the Required Lenders may from time to time reasonably request;</w:t>
      </w:r>
    </w:p>
    <w:p>
      <w:pPr>
        <w:jc w:val="both"/>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 Section 9.04 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and the L/C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ectPr>
          <w:pgSz w:w="11900" w:h="16838" w:orient="portrait"/>
          <w:cols w:equalWidth="0" w:num="1">
            <w:col w:w="11420"/>
          </w:cols>
          <w:pgMar w:left="240" w:top="364" w:right="239" w:bottom="1440" w:gutter="0" w:footer="0" w:header="0"/>
        </w:sectPr>
      </w:pPr>
    </w:p>
    <w:bookmarkStart w:id="450" w:name="page451"/>
    <w:bookmarkEnd w:id="450"/>
    <w:p>
      <w:pPr>
        <w:jc w:val="both"/>
        <w:spacing w:after="0" w:line="270" w:lineRule="auto"/>
        <w:rPr>
          <w:sz w:val="20"/>
          <w:szCs w:val="20"/>
          <w:color w:val="auto"/>
        </w:rPr>
      </w:pPr>
      <w:r>
        <w:rPr>
          <w:rFonts w:ascii="Arial" w:cs="Arial" w:eastAsia="Arial" w:hAnsi="Arial"/>
          <w:sz w:val="17"/>
          <w:szCs w:val="17"/>
          <w:b w:val="1"/>
          <w:bCs w:val="1"/>
          <w:color w:val="auto"/>
        </w:rPr>
        <w:t>SECTION 9.05. Maintaining Records; Access to Properties and Inspections</w:t>
      </w:r>
      <w:r>
        <w:rPr>
          <w:rFonts w:ascii="Arial" w:cs="Arial" w:eastAsia="Arial" w:hAnsi="Arial"/>
          <w:sz w:val="17"/>
          <w:szCs w:val="17"/>
          <w:color w:val="auto"/>
        </w:rPr>
        <w:t>. Borrower and its Restricted Subsidiaries shall keep proper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9.06. Use of Proceeds; FCPA</w:t>
      </w:r>
      <w:r>
        <w:rPr>
          <w:rFonts w:ascii="Arial" w:cs="Arial" w:eastAsia="Arial" w:hAnsi="Arial"/>
          <w:sz w:val="17"/>
          <w:szCs w:val="17"/>
          <w:color w:val="auto"/>
        </w:rPr>
        <w:t>. Borrower shall use the proceeds of the Loans only for the purposes set forth in Section 8.11. No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9.07. Compliance with Environmental Law</w:t>
      </w:r>
      <w:r>
        <w:rPr>
          <w:rFonts w:ascii="Arial" w:cs="Arial" w:eastAsia="Arial" w:hAnsi="Arial"/>
          <w:sz w:val="16"/>
          <w:szCs w:val="16"/>
          <w:color w:val="auto"/>
        </w:rPr>
        <w:t>. Borrower and its Restricted Subsidiaries shall (a) comply with Environmental Law,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w:t>
      </w:r>
    </w:p>
    <w:p>
      <w:pPr>
        <w:sectPr>
          <w:pgSz w:w="11900" w:h="16838" w:orient="portrait"/>
          <w:cols w:equalWidth="0" w:num="1">
            <w:col w:w="11420"/>
          </w:cols>
          <w:pgMar w:left="240" w:top="364" w:right="239" w:bottom="1440" w:gutter="0" w:footer="0" w:header="0"/>
        </w:sectPr>
      </w:pPr>
    </w:p>
    <w:bookmarkStart w:id="451" w:name="page452"/>
    <w:bookmarkEnd w:id="451"/>
    <w:p>
      <w:pPr>
        <w:jc w:val="both"/>
        <w:spacing w:after="0" w:line="259" w:lineRule="auto"/>
        <w:rPr>
          <w:sz w:val="20"/>
          <w:szCs w:val="20"/>
          <w:color w:val="auto"/>
        </w:rPr>
      </w:pPr>
      <w:r>
        <w:rPr>
          <w:rFonts w:ascii="Arial" w:cs="Arial" w:eastAsia="Arial" w:hAnsi="Arial"/>
          <w:sz w:val="18"/>
          <w:szCs w:val="18"/>
          <w:color w:val="auto"/>
        </w:rPr>
        <w:t>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8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color w:val="auto"/>
        </w:rPr>
        <w:t>Pledge of Property or Mortgage of Real Property</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87" w:lineRule="auto"/>
        <w:tabs>
          <w:tab w:leader="none" w:pos="416" w:val="left"/>
        </w:tabs>
        <w:numPr>
          <w:ilvl w:val="0"/>
          <w:numId w:val="557"/>
        </w:numPr>
        <w:rPr>
          <w:rFonts w:ascii="Arial" w:cs="Arial" w:eastAsia="Arial" w:hAnsi="Arial"/>
          <w:sz w:val="16"/>
          <w:szCs w:val="16"/>
          <w:color w:val="auto"/>
        </w:rPr>
      </w:pPr>
      <w:r>
        <w:rPr>
          <w:rFonts w:ascii="Arial" w:cs="Arial" w:eastAsia="Arial" w:hAnsi="Arial"/>
          <w:sz w:val="16"/>
          <w:szCs w:val="16"/>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68" w:lineRule="exact"/>
        <w:rPr>
          <w:rFonts w:ascii="Arial" w:cs="Arial" w:eastAsia="Arial" w:hAnsi="Arial"/>
          <w:sz w:val="16"/>
          <w:szCs w:val="16"/>
          <w:color w:val="auto"/>
        </w:rPr>
      </w:pPr>
    </w:p>
    <w:p>
      <w:pPr>
        <w:jc w:val="both"/>
        <w:ind w:firstLine="8"/>
        <w:spacing w:after="0" w:line="284" w:lineRule="auto"/>
        <w:tabs>
          <w:tab w:leader="none" w:pos="478" w:val="left"/>
        </w:tabs>
        <w:numPr>
          <w:ilvl w:val="0"/>
          <w:numId w:val="557"/>
        </w:numPr>
        <w:rPr>
          <w:rFonts w:ascii="Arial" w:cs="Arial" w:eastAsia="Arial" w:hAnsi="Arial"/>
          <w:sz w:val="16"/>
          <w:szCs w:val="16"/>
          <w:color w:val="auto"/>
        </w:rPr>
      </w:pPr>
      <w:r>
        <w:rPr>
          <w:rFonts w:ascii="Arial" w:cs="Arial" w:eastAsia="Arial" w:hAnsi="Arial"/>
          <w:sz w:val="16"/>
          <w:szCs w:val="16"/>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w:t>
      </w:r>
    </w:p>
    <w:p>
      <w:pPr>
        <w:spacing w:after="0" w:line="2" w:lineRule="exact"/>
        <w:rPr>
          <w:rFonts w:ascii="Arial" w:cs="Arial" w:eastAsia="Arial" w:hAnsi="Arial"/>
          <w:sz w:val="16"/>
          <w:szCs w:val="16"/>
          <w:color w:val="auto"/>
        </w:rPr>
      </w:pPr>
    </w:p>
    <w:p>
      <w:pPr>
        <w:jc w:val="both"/>
        <w:ind w:firstLine="8"/>
        <w:spacing w:after="0" w:line="250" w:lineRule="auto"/>
        <w:tabs>
          <w:tab w:leader="none" w:pos="26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below,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2" w:lineRule="exact"/>
        <w:rPr>
          <w:rFonts w:ascii="Arial" w:cs="Arial" w:eastAsia="Arial" w:hAnsi="Arial"/>
          <w:sz w:val="18"/>
          <w:szCs w:val="18"/>
          <w:color w:val="auto"/>
        </w:rPr>
      </w:pPr>
    </w:p>
    <w:p>
      <w:pPr>
        <w:jc w:val="both"/>
        <w:ind w:left="660" w:firstLine="645"/>
        <w:spacing w:after="0" w:line="253" w:lineRule="auto"/>
        <w:tabs>
          <w:tab w:leader="none" w:pos="1758"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91" w:lineRule="exact"/>
        <w:rPr>
          <w:rFonts w:ascii="Arial" w:cs="Arial" w:eastAsia="Arial" w:hAnsi="Arial"/>
          <w:sz w:val="18"/>
          <w:szCs w:val="18"/>
          <w:color w:val="auto"/>
        </w:rPr>
      </w:pPr>
    </w:p>
    <w:p>
      <w:pPr>
        <w:jc w:val="both"/>
        <w:ind w:left="660" w:firstLine="645"/>
        <w:spacing w:after="0" w:line="279" w:lineRule="auto"/>
        <w:tabs>
          <w:tab w:leader="none" w:pos="1790" w:val="left"/>
        </w:tabs>
        <w:numPr>
          <w:ilvl w:val="1"/>
          <w:numId w:val="558"/>
        </w:numPr>
        <w:rPr>
          <w:rFonts w:ascii="Arial" w:cs="Arial" w:eastAsia="Arial" w:hAnsi="Arial"/>
          <w:sz w:val="17"/>
          <w:szCs w:val="17"/>
          <w:color w:val="auto"/>
        </w:rPr>
      </w:pPr>
      <w:r>
        <w:rPr>
          <w:rFonts w:ascii="Arial" w:cs="Arial" w:eastAsia="Arial" w:hAnsi="Arial"/>
          <w:sz w:val="17"/>
          <w:szCs w:val="17"/>
          <w:color w:val="auto"/>
        </w:rPr>
        <w:t>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w:t>
      </w:r>
    </w:p>
    <w:p>
      <w:pPr>
        <w:sectPr>
          <w:pgSz w:w="11900" w:h="16838" w:orient="portrait"/>
          <w:cols w:equalWidth="0" w:num="1">
            <w:col w:w="11420"/>
          </w:cols>
          <w:pgMar w:left="240" w:top="369" w:right="239" w:bottom="1440" w:gutter="0" w:footer="0" w:header="0"/>
        </w:sectPr>
      </w:pPr>
    </w:p>
    <w:bookmarkStart w:id="452" w:name="page453"/>
    <w:bookmarkEnd w:id="452"/>
    <w:p>
      <w:pPr>
        <w:jc w:val="both"/>
        <w:ind w:left="660"/>
        <w:spacing w:after="0" w:line="264" w:lineRule="auto"/>
        <w:rPr>
          <w:sz w:val="20"/>
          <w:szCs w:val="20"/>
          <w:color w:val="auto"/>
        </w:rPr>
      </w:pPr>
      <w:r>
        <w:rPr>
          <w:rFonts w:ascii="Arial" w:cs="Arial" w:eastAsia="Arial" w:hAnsi="Arial"/>
          <w:sz w:val="18"/>
          <w:szCs w:val="18"/>
          <w:color w:val="auto"/>
        </w:rPr>
        <w:t xml:space="preserve">reasonable terms as the Collateral Agent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1" w:lineRule="exact"/>
        <w:rPr>
          <w:sz w:val="20"/>
          <w:szCs w:val="20"/>
          <w:color w:val="auto"/>
        </w:rPr>
      </w:pPr>
    </w:p>
    <w:p>
      <w:pPr>
        <w:jc w:val="both"/>
        <w:ind w:left="660" w:firstLine="645"/>
        <w:spacing w:after="0" w:line="259" w:lineRule="auto"/>
        <w:tabs>
          <w:tab w:leader="none" w:pos="1836" w:val="left"/>
        </w:tabs>
        <w:numPr>
          <w:ilvl w:val="0"/>
          <w:numId w:val="559"/>
        </w:numPr>
        <w:rPr>
          <w:rFonts w:ascii="Arial" w:cs="Arial" w:eastAsia="Arial" w:hAnsi="Arial"/>
          <w:sz w:val="18"/>
          <w:szCs w:val="18"/>
          <w:color w:val="auto"/>
        </w:rPr>
      </w:pPr>
      <w:r>
        <w:rPr>
          <w:rFonts w:ascii="Arial" w:cs="Arial" w:eastAsia="Arial" w:hAnsi="Arial"/>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740" w:val="left"/>
        </w:tabs>
        <w:numPr>
          <w:ilvl w:val="0"/>
          <w:numId w:val="559"/>
        </w:numPr>
        <w:rPr>
          <w:rFonts w:ascii="Arial" w:cs="Arial" w:eastAsia="Arial" w:hAnsi="Arial"/>
          <w:sz w:val="16"/>
          <w:szCs w:val="16"/>
          <w:color w:val="auto"/>
        </w:rPr>
      </w:pPr>
      <w:r>
        <w:rPr>
          <w:rFonts w:ascii="Arial" w:cs="Arial" w:eastAsia="Arial" w:hAnsi="Arial"/>
          <w:sz w:val="16"/>
          <w:szCs w:val="16"/>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46" w:lineRule="exact"/>
        <w:rPr>
          <w:rFonts w:ascii="Arial" w:cs="Arial" w:eastAsia="Arial" w:hAnsi="Arial"/>
          <w:sz w:val="16"/>
          <w:szCs w:val="16"/>
          <w:color w:val="auto"/>
        </w:rPr>
      </w:pPr>
    </w:p>
    <w:p>
      <w:pPr>
        <w:jc w:val="both"/>
        <w:ind w:left="660" w:firstLine="645"/>
        <w:spacing w:after="0" w:line="276" w:lineRule="auto"/>
        <w:tabs>
          <w:tab w:leader="none" w:pos="178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Credit Parties shall not be required to grant a Mortgage on (i) any leasehold interest in any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58" w:lineRule="exact"/>
        <w:rPr>
          <w:sz w:val="20"/>
          <w:szCs w:val="20"/>
          <w:color w:val="auto"/>
        </w:rPr>
      </w:pPr>
    </w:p>
    <w:p>
      <w:pPr>
        <w:jc w:val="both"/>
        <w:ind w:firstLine="8"/>
        <w:spacing w:after="0" w:line="257" w:lineRule="auto"/>
        <w:tabs>
          <w:tab w:leader="none" w:pos="5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 applicable) as a result of such Lien(s) and/or Mortgage(s) being prohibited by (i) the applicable Gaming Authorities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8" w:lineRule="exact"/>
        <w:rPr>
          <w:rFonts w:ascii="Arial" w:cs="Arial" w:eastAsia="Arial" w:hAnsi="Arial"/>
          <w:sz w:val="18"/>
          <w:szCs w:val="18"/>
          <w:color w:val="auto"/>
        </w:rPr>
      </w:pPr>
    </w:p>
    <w:p>
      <w:pPr>
        <w:jc w:val="both"/>
        <w:ind w:firstLine="8"/>
        <w:spacing w:after="0" w:line="255" w:lineRule="auto"/>
        <w:tabs>
          <w:tab w:leader="none" w:pos="435"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Sections 9.08(a) and/or 9.08(b) or with Section 9.11, as the case may be.</w:t>
      </w:r>
    </w:p>
    <w:p>
      <w:pPr>
        <w:spacing w:after="0" w:line="193" w:lineRule="exact"/>
        <w:rPr>
          <w:rFonts w:ascii="Arial" w:cs="Arial" w:eastAsia="Arial" w:hAnsi="Arial"/>
          <w:sz w:val="18"/>
          <w:szCs w:val="18"/>
          <w:color w:val="auto"/>
        </w:rPr>
      </w:pPr>
    </w:p>
    <w:p>
      <w:pPr>
        <w:jc w:val="both"/>
        <w:ind w:firstLine="8"/>
        <w:spacing w:after="0" w:line="286" w:lineRule="auto"/>
        <w:tabs>
          <w:tab w:leader="none" w:pos="39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ectPr>
          <w:pgSz w:w="11900" w:h="16838" w:orient="portrait"/>
          <w:cols w:equalWidth="0" w:num="1">
            <w:col w:w="11420"/>
          </w:cols>
          <w:pgMar w:left="240" w:top="368" w:right="239" w:bottom="1440" w:gutter="0" w:footer="0" w:header="0"/>
        </w:sectPr>
      </w:pPr>
    </w:p>
    <w:bookmarkStart w:id="453" w:name="page454"/>
    <w:bookmarkEnd w:id="453"/>
    <w:p>
      <w:pPr>
        <w:jc w:val="both"/>
        <w:spacing w:after="0" w:line="268" w:lineRule="auto"/>
        <w:rPr>
          <w:sz w:val="20"/>
          <w:szCs w:val="20"/>
          <w:color w:val="auto"/>
        </w:rPr>
      </w:pPr>
      <w:r>
        <w:rPr>
          <w:rFonts w:ascii="Arial" w:cs="Arial" w:eastAsia="Arial" w:hAnsi="Arial"/>
          <w:sz w:val="17"/>
          <w:szCs w:val="17"/>
          <w:b w:val="1"/>
          <w:bCs w:val="1"/>
          <w:color w:val="auto"/>
        </w:rPr>
        <w:t>SECTION 9.09. Security Interests; Further Assurances</w:t>
      </w:r>
      <w:r>
        <w:rPr>
          <w:rFonts w:ascii="Arial" w:cs="Arial" w:eastAsia="Arial" w:hAnsi="Arial"/>
          <w:sz w:val="17"/>
          <w:szCs w:val="17"/>
          <w:color w:val="auto"/>
        </w:rPr>
        <w:t>. Each Credit Party shall, promptly, upon the reasonable request of Collateral Agent, and so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9.10. Wynn Las Vegas Reorganization</w:t>
      </w:r>
      <w:r>
        <w:rPr>
          <w:rFonts w:ascii="Arial" w:cs="Arial" w:eastAsia="Arial" w:hAnsi="Arial"/>
          <w:sz w:val="17"/>
          <w:szCs w:val="17"/>
          <w:color w:val="auto"/>
        </w:rPr>
        <w:t>. Borrower shall use commercially reasonable efforts to cause the Wynn Las Vegas Reorganization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SECTION 9.11. Additional Credit Parties</w:t>
      </w:r>
      <w:r>
        <w:rPr>
          <w:rFonts w:ascii="Arial" w:cs="Arial" w:eastAsia="Arial" w:hAnsi="Arial"/>
          <w:sz w:val="17"/>
          <w:szCs w:val="17"/>
          <w:color w:val="auto"/>
        </w:rPr>
        <w:t>. Upon (i) any Credit Party creating or acquiring any Subsidiary that is a Wholly Owned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Arial" w:cs="Arial" w:eastAsia="Arial" w:hAnsi="Arial"/>
          <w:sz w:val="17"/>
          <w:szCs w:val="17"/>
          <w:b w:val="1"/>
          <w:bCs w:val="1"/>
          <w:color w:val="auto"/>
        </w:rPr>
        <w:t>Additional Credit Party</w:t>
      </w:r>
      <w:r>
        <w:rPr>
          <w:rFonts w:ascii="Arial" w:cs="Arial" w:eastAsia="Arial" w:hAnsi="Arial"/>
          <w:sz w:val="17"/>
          <w:szCs w:val="17"/>
          <w:color w:val="auto"/>
        </w:rPr>
        <w:t>”),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w:t>
      </w:r>
    </w:p>
    <w:p>
      <w:pPr>
        <w:sectPr>
          <w:pgSz w:w="11900" w:h="16838" w:orient="portrait"/>
          <w:cols w:equalWidth="0" w:num="1">
            <w:col w:w="11420"/>
          </w:cols>
          <w:pgMar w:left="240" w:top="364" w:right="239" w:bottom="1440" w:gutter="0" w:footer="0" w:header="0"/>
        </w:sectPr>
      </w:pPr>
    </w:p>
    <w:bookmarkStart w:id="454" w:name="page455"/>
    <w:bookmarkEnd w:id="454"/>
    <w:p>
      <w:pPr>
        <w:jc w:val="both"/>
        <w:spacing w:after="0" w:line="266" w:lineRule="auto"/>
        <w:rPr>
          <w:sz w:val="20"/>
          <w:szCs w:val="20"/>
          <w:color w:val="auto"/>
        </w:rPr>
      </w:pPr>
      <w:r>
        <w:rPr>
          <w:rFonts w:ascii="Arial" w:cs="Arial" w:eastAsia="Arial" w:hAnsi="Arial"/>
          <w:sz w:val="17"/>
          <w:szCs w:val="17"/>
          <w:color w:val="auto"/>
        </w:rPr>
        <w:t xml:space="preserve">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solely with respect of the Wynn Las Vegas Entities (including the Wynn Las Vegas Pledge), the requirements of subclause (B) above</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the limitations in any then outstanding Wynn Las Vegas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w:t>
      </w:r>
      <w:r>
        <w:rPr>
          <w:rFonts w:ascii="Arial" w:cs="Arial" w:eastAsia="Arial" w:hAnsi="Arial"/>
          <w:sz w:val="17"/>
          <w:szCs w:val="17"/>
          <w:b w:val="1"/>
          <w:bCs w:val="1"/>
          <w:color w:val="FF0000"/>
          <w:strike w:val="1"/>
        </w:rPr>
        <w:t>Adminsitrative</w:t>
      </w:r>
      <w:r>
        <w:rPr>
          <w:rFonts w:ascii="Arial" w:cs="Arial" w:eastAsia="Arial" w:hAnsi="Arial"/>
          <w:sz w:val="17"/>
          <w:szCs w:val="17"/>
          <w:b w:val="1"/>
          <w:bCs w:val="1"/>
          <w:color w:val="0000FF"/>
        </w:rPr>
        <w:t>Administrative</w:t>
      </w:r>
      <w:r>
        <w:rPr>
          <w:rFonts w:ascii="Arial" w:cs="Arial" w:eastAsia="Arial" w:hAnsi="Arial"/>
          <w:sz w:val="17"/>
          <w:szCs w:val="17"/>
          <w:color w:val="auto"/>
        </w:rPr>
        <w:t xml:space="preserve"> Agent) with respect to the Wynn Las Vegas Pledge with the holders of the Wynn Las Vegas Notes to the extent necessary to effectuate such </w:t>
      </w:r>
      <w:r>
        <w:rPr>
          <w:rFonts w:ascii="Arial" w:cs="Arial" w:eastAsia="Arial" w:hAnsi="Arial"/>
          <w:sz w:val="17"/>
          <w:szCs w:val="17"/>
          <w:b w:val="1"/>
          <w:bCs w:val="1"/>
          <w:color w:val="FF0000"/>
          <w:strike w:val="1"/>
        </w:rPr>
        <w:t>complaince</w:t>
      </w:r>
      <w:r>
        <w:rPr>
          <w:rFonts w:ascii="Arial" w:cs="Arial" w:eastAsia="Arial" w:hAnsi="Arial"/>
          <w:sz w:val="17"/>
          <w:szCs w:val="17"/>
          <w:b w:val="1"/>
          <w:bCs w:val="1"/>
          <w:color w:val="0000FF"/>
        </w:rPr>
        <w:t>compliance</w:t>
      </w:r>
      <w:r>
        <w:rPr>
          <w:rFonts w:ascii="Arial" w:cs="Arial" w:eastAsia="Arial" w:hAnsi="Arial"/>
          <w:sz w:val="17"/>
          <w:szCs w:val="17"/>
          <w:color w:val="auto"/>
        </w:rPr>
        <w:t>. All of the foregoing actions shall be at the sole cost and expense of the Credit Parties.</w:t>
      </w:r>
    </w:p>
    <w:p>
      <w:pPr>
        <w:spacing w:after="0" w:line="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7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9.12.</w:t>
      </w:r>
      <w:r>
        <w:rPr>
          <w:sz w:val="20"/>
          <w:szCs w:val="20"/>
          <w:color w:val="auto"/>
        </w:rPr>
        <w:tab/>
      </w:r>
      <w:r>
        <w:rPr>
          <w:rFonts w:ascii="Arial" w:cs="Arial" w:eastAsia="Arial" w:hAnsi="Arial"/>
          <w:sz w:val="16"/>
          <w:szCs w:val="16"/>
          <w:b w:val="1"/>
          <w:bCs w:val="1"/>
          <w:color w:val="auto"/>
        </w:rPr>
        <w:t>Limitation on Designations of Unrestricted Subsidiaries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firstLine="8"/>
        <w:spacing w:after="0" w:line="264" w:lineRule="auto"/>
        <w:tabs>
          <w:tab w:leader="none" w:pos="49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Arial" w:cs="Arial" w:eastAsia="Arial" w:hAnsi="Arial"/>
          <w:sz w:val="18"/>
          <w:szCs w:val="18"/>
          <w:b w:val="1"/>
          <w:bCs w:val="1"/>
          <w:color w:val="auto"/>
        </w:rPr>
        <w:t>Designation</w:t>
      </w:r>
      <w:r>
        <w:rPr>
          <w:rFonts w:ascii="Arial" w:cs="Arial" w:eastAsia="Arial" w:hAnsi="Arial"/>
          <w:sz w:val="18"/>
          <w:szCs w:val="18"/>
          <w:color w:val="auto"/>
        </w:rPr>
        <w:t>”) only if:</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1"/>
          <w:numId w:val="561"/>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of or immediately after giving effect to such Designation;</w:t>
      </w:r>
    </w:p>
    <w:p>
      <w:pPr>
        <w:spacing w:after="0" w:line="236" w:lineRule="exact"/>
        <w:rPr>
          <w:rFonts w:ascii="Arial" w:cs="Arial" w:eastAsia="Arial" w:hAnsi="Arial"/>
          <w:sz w:val="17"/>
          <w:szCs w:val="17"/>
          <w:color w:val="auto"/>
        </w:rPr>
      </w:pPr>
    </w:p>
    <w:p>
      <w:pPr>
        <w:jc w:val="both"/>
        <w:ind w:left="660" w:hanging="4"/>
        <w:spacing w:after="0" w:line="259" w:lineRule="auto"/>
        <w:tabs>
          <w:tab w:leader="none" w:pos="113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Borrower would be permitted under this Agreement to make an Investment at the time of Designation (assuming the effectiveness of such Designation) in an amount (the “</w:t>
      </w:r>
      <w:r>
        <w:rPr>
          <w:rFonts w:ascii="Arial" w:cs="Arial" w:eastAsia="Arial" w:hAnsi="Arial"/>
          <w:sz w:val="18"/>
          <w:szCs w:val="18"/>
          <w:b w:val="1"/>
          <w:bCs w:val="1"/>
          <w:color w:val="auto"/>
        </w:rPr>
        <w:t>Designation Amount</w:t>
      </w:r>
      <w:r>
        <w:rPr>
          <w:rFonts w:ascii="Arial" w:cs="Arial" w:eastAsia="Arial" w:hAnsi="Arial"/>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6" w:lineRule="exact"/>
        <w:rPr>
          <w:rFonts w:ascii="Arial" w:cs="Arial" w:eastAsia="Arial" w:hAnsi="Arial"/>
          <w:sz w:val="18"/>
          <w:szCs w:val="18"/>
          <w:color w:val="auto"/>
        </w:rPr>
      </w:pPr>
    </w:p>
    <w:p>
      <w:pPr>
        <w:jc w:val="both"/>
        <w:ind w:left="660" w:hanging="4"/>
        <w:spacing w:after="0" w:line="291" w:lineRule="auto"/>
        <w:tabs>
          <w:tab w:leader="none" w:pos="1137" w:val="left"/>
        </w:tabs>
        <w:numPr>
          <w:ilvl w:val="1"/>
          <w:numId w:val="561"/>
        </w:numPr>
        <w:rPr>
          <w:rFonts w:ascii="Arial" w:cs="Arial" w:eastAsia="Arial" w:hAnsi="Arial"/>
          <w:sz w:val="16"/>
          <w:szCs w:val="16"/>
          <w:color w:val="auto"/>
        </w:rPr>
      </w:pPr>
      <w:r>
        <w:rPr>
          <w:rFonts w:ascii="Arial" w:cs="Arial" w:eastAsia="Arial" w:hAnsi="Arial"/>
          <w:sz w:val="16"/>
          <w:szCs w:val="16"/>
          <w:color w:val="auto"/>
        </w:rPr>
        <w:t>after giving effect to such Designation, (x) prior to the Initial Test Date, the Consolidated Senior Secured Net Leverage Ratio calculated on a Pro Forma Basis shall not exceed 2.50 to 1.00 as of the most recent Calculation Date and (y) from and after the Initial Test Date, Borrower shall be</w:t>
      </w:r>
    </w:p>
    <w:p>
      <w:pPr>
        <w:jc w:val="both"/>
        <w:ind w:firstLine="648"/>
        <w:spacing w:after="0" w:line="255" w:lineRule="auto"/>
        <w:rPr>
          <w:sz w:val="20"/>
          <w:szCs w:val="20"/>
          <w:color w:val="auto"/>
        </w:rPr>
      </w:pPr>
      <w:r>
        <w:rPr>
          <w:rFonts w:ascii="Arial" w:cs="Arial" w:eastAsia="Arial" w:hAnsi="Arial"/>
          <w:sz w:val="18"/>
          <w:szCs w:val="18"/>
          <w:color w:val="auto"/>
        </w:rPr>
        <w:t>in compliance on a Pro Forma Basis with the Financial Maintenance Covenant (whether or not then in effect) as of the most recent Calculation Date. Upon any such Designation, Borrower and its Restricted Subsidiaries shall be deemed to have made an Investment in such Unrestricted Subsidiary in an amount equal to the Designation Amount.</w:t>
      </w:r>
    </w:p>
    <w:p>
      <w:pPr>
        <w:sectPr>
          <w:pgSz w:w="11900" w:h="16838" w:orient="portrait"/>
          <w:cols w:equalWidth="0" w:num="1">
            <w:col w:w="11420"/>
          </w:cols>
          <w:pgMar w:left="240" w:top="368" w:right="239" w:bottom="1440" w:gutter="0" w:footer="0" w:header="0"/>
        </w:sectPr>
      </w:pPr>
    </w:p>
    <w:bookmarkStart w:id="455" w:name="page456"/>
    <w:bookmarkEnd w:id="455"/>
    <w:p>
      <w:pPr>
        <w:ind w:firstLine="8"/>
        <w:spacing w:after="0" w:line="261" w:lineRule="auto"/>
        <w:tabs>
          <w:tab w:leader="none" w:pos="39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Borrower may revoke any Designation of a Subsidiary as an Unrestricted Subsidiary (a “</w:t>
      </w:r>
      <w:r>
        <w:rPr>
          <w:rFonts w:ascii="Arial" w:cs="Arial" w:eastAsia="Arial" w:hAnsi="Arial"/>
          <w:sz w:val="18"/>
          <w:szCs w:val="18"/>
          <w:b w:val="1"/>
          <w:bCs w:val="1"/>
          <w:color w:val="auto"/>
        </w:rPr>
        <w:t>Revocation</w:t>
      </w:r>
      <w:r>
        <w:rPr>
          <w:rFonts w:ascii="Arial" w:cs="Arial" w:eastAsia="Arial" w:hAnsi="Arial"/>
          <w:sz w:val="18"/>
          <w:szCs w:val="18"/>
          <w:color w:val="auto"/>
        </w:rPr>
        <w:t>”), whereupon such Subsidiary shall then constitute a Restricted Subsidiary, if:</w:t>
      </w:r>
    </w:p>
    <w:p>
      <w:pPr>
        <w:ind w:left="1000" w:hanging="344"/>
        <w:spacing w:after="0"/>
        <w:tabs>
          <w:tab w:leader="none" w:pos="1000" w:val="left"/>
        </w:tabs>
        <w:numPr>
          <w:ilvl w:val="1"/>
          <w:numId w:val="56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and immediately after giving effect to such Revocation;</w:t>
      </w:r>
    </w:p>
    <w:p>
      <w:pPr>
        <w:spacing w:after="0" w:line="222" w:lineRule="exact"/>
        <w:rPr>
          <w:rFonts w:ascii="Arial" w:cs="Arial" w:eastAsia="Arial" w:hAnsi="Arial"/>
          <w:sz w:val="17"/>
          <w:szCs w:val="17"/>
          <w:color w:val="auto"/>
        </w:rPr>
      </w:pPr>
    </w:p>
    <w:p>
      <w:pPr>
        <w:jc w:val="both"/>
        <w:ind w:left="660" w:hanging="4"/>
        <w:spacing w:after="0" w:line="259" w:lineRule="auto"/>
        <w:tabs>
          <w:tab w:leader="none" w:pos="110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6" w:lineRule="exact"/>
        <w:rPr>
          <w:rFonts w:ascii="Arial" w:cs="Arial" w:eastAsia="Arial" w:hAnsi="Arial"/>
          <w:sz w:val="18"/>
          <w:szCs w:val="18"/>
          <w:color w:val="auto"/>
        </w:rPr>
      </w:pPr>
    </w:p>
    <w:p>
      <w:pPr>
        <w:ind w:left="660" w:hanging="4"/>
        <w:spacing w:after="0" w:line="277" w:lineRule="auto"/>
        <w:tabs>
          <w:tab w:leader="none" w:pos="1133"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70" w:lineRule="exact"/>
        <w:rPr>
          <w:rFonts w:ascii="Arial" w:cs="Arial" w:eastAsia="Arial" w:hAnsi="Arial"/>
          <w:sz w:val="18"/>
          <w:szCs w:val="18"/>
          <w:color w:val="auto"/>
        </w:rPr>
      </w:pPr>
    </w:p>
    <w:p>
      <w:pPr>
        <w:jc w:val="both"/>
        <w:ind w:firstLine="8"/>
        <w:spacing w:after="0" w:line="264" w:lineRule="auto"/>
        <w:tabs>
          <w:tab w:leader="none" w:pos="555"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81" w:lineRule="exact"/>
        <w:rPr>
          <w:rFonts w:ascii="Arial" w:cs="Arial" w:eastAsia="Arial" w:hAnsi="Arial"/>
          <w:sz w:val="18"/>
          <w:szCs w:val="18"/>
          <w:color w:val="auto"/>
        </w:rPr>
      </w:pPr>
    </w:p>
    <w:p>
      <w:pPr>
        <w:jc w:val="both"/>
        <w:ind w:firstLine="8"/>
        <w:spacing w:after="0" w:line="290" w:lineRule="auto"/>
        <w:tabs>
          <w:tab w:leader="none" w:pos="453" w:val="left"/>
        </w:tabs>
        <w:numPr>
          <w:ilvl w:val="0"/>
          <w:numId w:val="562"/>
        </w:numPr>
        <w:rPr>
          <w:rFonts w:ascii="Arial" w:cs="Arial" w:eastAsia="Arial" w:hAnsi="Arial"/>
          <w:sz w:val="16"/>
          <w:szCs w:val="16"/>
          <w:color w:val="auto"/>
        </w:rPr>
      </w:pPr>
      <w:r>
        <w:rPr>
          <w:rFonts w:ascii="Arial" w:cs="Arial" w:eastAsia="Arial" w:hAnsi="Arial"/>
          <w:sz w:val="16"/>
          <w:szCs w:val="16"/>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color w:val="auto"/>
        </w:rPr>
        <w:t>Limitation on Designation of Immaterial Subsidiaries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89" w:lineRule="auto"/>
        <w:tabs>
          <w:tab w:leader="none" w:pos="452" w:val="left"/>
        </w:tabs>
        <w:numPr>
          <w:ilvl w:val="0"/>
          <w:numId w:val="563"/>
        </w:numPr>
        <w:rPr>
          <w:rFonts w:ascii="Arial" w:cs="Arial" w:eastAsia="Arial" w:hAnsi="Arial"/>
          <w:sz w:val="16"/>
          <w:szCs w:val="16"/>
          <w:color w:val="auto"/>
        </w:rPr>
      </w:pPr>
      <w:r>
        <w:rPr>
          <w:rFonts w:ascii="Arial" w:cs="Arial" w:eastAsia="Arial" w:hAnsi="Arial"/>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6"/>
          <w:szCs w:val="16"/>
          <w:b w:val="1"/>
          <w:bCs w:val="1"/>
          <w:color w:val="auto"/>
        </w:rPr>
        <w:t>Excluded Designation</w:t>
      </w:r>
      <w:r>
        <w:rPr>
          <w:rFonts w:ascii="Arial" w:cs="Arial" w:eastAsia="Arial" w:hAnsi="Arial"/>
          <w:sz w:val="16"/>
          <w:szCs w:val="16"/>
          <w:color w:val="auto"/>
        </w:rPr>
        <w:t>”) one or more Immaterial Subsidiaries as no longer constituting Immaterial Subsidiaries for all purposes of this Agreement (an “</w:t>
      </w:r>
      <w:r>
        <w:rPr>
          <w:rFonts w:ascii="Arial" w:cs="Arial" w:eastAsia="Arial" w:hAnsi="Arial"/>
          <w:sz w:val="16"/>
          <w:szCs w:val="16"/>
          <w:b w:val="1"/>
          <w:bCs w:val="1"/>
          <w:color w:val="auto"/>
        </w:rPr>
        <w:t>Excluded Immaterial Subsidiary</w:t>
      </w:r>
      <w:r>
        <w:rPr>
          <w:rFonts w:ascii="Arial" w:cs="Arial" w:eastAsia="Arial" w:hAnsi="Arial"/>
          <w:sz w:val="16"/>
          <w:szCs w:val="16"/>
          <w:color w:val="auto"/>
        </w:rPr>
        <w:t>”) as may be necessary to ensure that the Immaterial Subsidiary Threshold is satisfied. Borrower may redesignate (a “</w:t>
      </w:r>
      <w:r>
        <w:rPr>
          <w:rFonts w:ascii="Arial" w:cs="Arial" w:eastAsia="Arial" w:hAnsi="Arial"/>
          <w:sz w:val="16"/>
          <w:szCs w:val="16"/>
          <w:b w:val="1"/>
          <w:bCs w:val="1"/>
          <w:color w:val="auto"/>
        </w:rPr>
        <w:t>Redesignation</w:t>
      </w:r>
      <w:r>
        <w:rPr>
          <w:rFonts w:ascii="Arial" w:cs="Arial" w:eastAsia="Arial" w:hAnsi="Arial"/>
          <w:sz w:val="16"/>
          <w:szCs w:val="16"/>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Section 9.13(a), fair market value shall be determined as of the most recent Calculation Date.</w:t>
      </w:r>
    </w:p>
    <w:p>
      <w:pPr>
        <w:spacing w:after="0" w:line="166" w:lineRule="exact"/>
        <w:rPr>
          <w:rFonts w:ascii="Arial" w:cs="Arial" w:eastAsia="Arial" w:hAnsi="Arial"/>
          <w:sz w:val="16"/>
          <w:szCs w:val="16"/>
          <w:color w:val="auto"/>
        </w:rPr>
      </w:pPr>
    </w:p>
    <w:p>
      <w:pPr>
        <w:ind w:firstLine="8"/>
        <w:spacing w:after="0" w:line="277" w:lineRule="auto"/>
        <w:tabs>
          <w:tab w:leader="none" w:pos="42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70" w:lineRule="exact"/>
        <w:rPr>
          <w:rFonts w:ascii="Arial" w:cs="Arial" w:eastAsia="Arial" w:hAnsi="Arial"/>
          <w:sz w:val="18"/>
          <w:szCs w:val="18"/>
          <w:color w:val="auto"/>
        </w:rPr>
      </w:pPr>
    </w:p>
    <w:p>
      <w:pPr>
        <w:ind w:firstLine="8"/>
        <w:spacing w:after="0" w:line="277" w:lineRule="auto"/>
        <w:tabs>
          <w:tab w:leader="none" w:pos="399"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If Borrower redesignates an Excluded Immaterial Subsidiary as an Immaterial Subsidiary in accordance with this Section 9.13, so long as no Default or Event of Default exists, the Obligations of such Excluded Immaterial</w:t>
      </w:r>
    </w:p>
    <w:p>
      <w:pPr>
        <w:sectPr>
          <w:pgSz w:w="11900" w:h="16838" w:orient="portrait"/>
          <w:cols w:equalWidth="0" w:num="1">
            <w:col w:w="11420"/>
          </w:cols>
          <w:pgMar w:left="240" w:top="364" w:right="239" w:bottom="1440" w:gutter="0" w:footer="0" w:header="0"/>
        </w:sectPr>
      </w:pPr>
    </w:p>
    <w:bookmarkStart w:id="456" w:name="page457"/>
    <w:bookmarkEnd w:id="456"/>
    <w:p>
      <w:pPr>
        <w:jc w:val="both"/>
        <w:spacing w:after="0" w:line="272" w:lineRule="auto"/>
        <w:rPr>
          <w:sz w:val="20"/>
          <w:szCs w:val="20"/>
          <w:color w:val="auto"/>
        </w:rPr>
      </w:pPr>
      <w:r>
        <w:rPr>
          <w:rFonts w:ascii="Arial" w:cs="Arial" w:eastAsia="Arial" w:hAnsi="Arial"/>
          <w:sz w:val="17"/>
          <w:szCs w:val="17"/>
          <w:color w:val="auto"/>
        </w:rPr>
        <w:t>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9.14. Wynn Las Vegas Distributions</w:t>
      </w:r>
      <w:r>
        <w:rPr>
          <w:rFonts w:ascii="Arial" w:cs="Arial" w:eastAsia="Arial" w:hAnsi="Arial"/>
          <w:sz w:val="18"/>
          <w:szCs w:val="18"/>
          <w:color w:val="auto"/>
        </w:rPr>
        <w:t>. From and after the occurrence of the Wynn Las Vegas Reorganization and until the Wynn Las Vegas</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9.15. Ratings</w:t>
      </w:r>
      <w:r>
        <w:rPr>
          <w:rFonts w:ascii="Arial" w:cs="Arial" w:eastAsia="Arial" w:hAnsi="Arial"/>
          <w:sz w:val="18"/>
          <w:szCs w:val="18"/>
          <w:color w:val="auto"/>
        </w:rPr>
        <w:t>. Borrower shall use commercially reasonable efforts to obtain ratings from each of Moody’s and S&amp;P for the Term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Loans prior to the date that is 270 days after the Closing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Borrower and its Restricted Subsidiaries will not incur any Indebtedness, except:</w:t>
      </w:r>
    </w:p>
    <w:p>
      <w:pPr>
        <w:spacing w:after="0" w:line="229" w:lineRule="exact"/>
        <w:rPr>
          <w:sz w:val="20"/>
          <w:szCs w:val="20"/>
          <w:color w:val="auto"/>
        </w:rPr>
      </w:pPr>
    </w:p>
    <w:p>
      <w:pPr>
        <w:ind w:left="440" w:hanging="432"/>
        <w:spacing w:after="0"/>
        <w:tabs>
          <w:tab w:leader="none" w:pos="4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Indebtedness incurred pursuant to this Agreement and the other Credit Documents;</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pacing w:after="0" w:line="225" w:lineRule="exact"/>
        <w:rPr>
          <w:rFonts w:ascii="Arial" w:cs="Arial" w:eastAsia="Arial" w:hAnsi="Arial"/>
          <w:sz w:val="18"/>
          <w:szCs w:val="18"/>
          <w:color w:val="auto"/>
        </w:rPr>
      </w:pPr>
    </w:p>
    <w:p>
      <w:pPr>
        <w:ind w:right="20" w:firstLine="8"/>
        <w:spacing w:after="0" w:line="277" w:lineRule="auto"/>
        <w:tabs>
          <w:tab w:leader="none" w:pos="386"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intercompany Indebtedness of Borrower and the Restricted Subsidiaries to Borrower or other Restricted Subsidiaries;</w:t>
      </w:r>
    </w:p>
    <w:p>
      <w:pPr>
        <w:spacing w:after="0" w:line="225" w:lineRule="exact"/>
        <w:rPr>
          <w:rFonts w:ascii="Arial" w:cs="Arial" w:eastAsia="Arial" w:hAnsi="Arial"/>
          <w:sz w:val="18"/>
          <w:szCs w:val="18"/>
          <w:color w:val="auto"/>
        </w:rPr>
      </w:pPr>
    </w:p>
    <w:p>
      <w:pPr>
        <w:jc w:val="both"/>
        <w:ind w:firstLine="8"/>
        <w:spacing w:after="0" w:line="259" w:lineRule="auto"/>
        <w:tabs>
          <w:tab w:leader="none" w:pos="522" w:val="left"/>
        </w:tabs>
        <w:numPr>
          <w:ilvl w:val="0"/>
          <w:numId w:val="564"/>
        </w:numPr>
        <w:rPr>
          <w:rFonts w:ascii="Arial" w:cs="Arial" w:eastAsia="Arial" w:hAnsi="Arial"/>
          <w:sz w:val="18"/>
          <w:szCs w:val="18"/>
          <w:color w:val="auto"/>
        </w:rPr>
      </w:pPr>
      <w:r>
        <w:rPr>
          <w:rFonts w:ascii="Arial" w:cs="Arial" w:eastAsia="Arial" w:hAnsi="Arial"/>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ectPr>
          <w:pgSz w:w="11900" w:h="16838" w:orient="portrait"/>
          <w:cols w:equalWidth="0" w:num="1">
            <w:col w:w="11420"/>
          </w:cols>
          <w:pgMar w:left="240" w:top="368" w:right="239" w:bottom="1440" w:gutter="0" w:footer="0" w:header="0"/>
        </w:sectPr>
      </w:pPr>
    </w:p>
    <w:bookmarkStart w:id="457" w:name="page458"/>
    <w:bookmarkEnd w:id="457"/>
    <w:p>
      <w:pPr>
        <w:jc w:val="both"/>
        <w:ind w:left="-8" w:firstLine="8"/>
        <w:spacing w:after="0" w:line="259" w:lineRule="auto"/>
        <w:tabs>
          <w:tab w:leader="none" w:pos="58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6" w:lineRule="exact"/>
        <w:rPr>
          <w:rFonts w:ascii="Arial" w:cs="Arial" w:eastAsia="Arial" w:hAnsi="Arial"/>
          <w:sz w:val="18"/>
          <w:szCs w:val="18"/>
          <w:color w:val="auto"/>
        </w:rPr>
      </w:pPr>
    </w:p>
    <w:p>
      <w:pPr>
        <w:ind w:left="-8" w:right="20" w:firstLine="8"/>
        <w:spacing w:after="0" w:line="308" w:lineRule="auto"/>
        <w:tabs>
          <w:tab w:leader="none" w:pos="392" w:val="left"/>
        </w:tabs>
        <w:numPr>
          <w:ilvl w:val="0"/>
          <w:numId w:val="565"/>
        </w:numPr>
        <w:rPr>
          <w:rFonts w:ascii="Arial" w:cs="Arial" w:eastAsia="Arial" w:hAnsi="Arial"/>
          <w:sz w:val="17"/>
          <w:szCs w:val="17"/>
          <w:color w:val="auto"/>
        </w:rPr>
      </w:pPr>
      <w:r>
        <w:rPr>
          <w:rFonts w:ascii="Arial" w:cs="Arial" w:eastAsia="Arial" w:hAnsi="Arial"/>
          <w:sz w:val="17"/>
          <w:szCs w:val="17"/>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extinguished within five (5) Business Days of its incurrence;</w:t>
      </w:r>
    </w:p>
    <w:p>
      <w:pPr>
        <w:spacing w:after="0" w:line="146" w:lineRule="exact"/>
        <w:rPr>
          <w:rFonts w:ascii="Arial" w:cs="Arial" w:eastAsia="Arial" w:hAnsi="Arial"/>
          <w:sz w:val="17"/>
          <w:szCs w:val="17"/>
          <w:color w:val="auto"/>
        </w:rPr>
      </w:pPr>
    </w:p>
    <w:p>
      <w:pPr>
        <w:ind w:left="-8" w:firstLine="8"/>
        <w:spacing w:after="0" w:line="277" w:lineRule="auto"/>
        <w:tabs>
          <w:tab w:leader="none" w:pos="448"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left="-8" w:firstLine="8"/>
        <w:spacing w:after="0" w:line="277" w:lineRule="auto"/>
        <w:tabs>
          <w:tab w:leader="none" w:pos="382" w:val="left"/>
        </w:tabs>
        <w:numPr>
          <w:ilvl w:val="0"/>
          <w:numId w:val="565"/>
        </w:numPr>
        <w:rPr>
          <w:rFonts w:ascii="Arial" w:cs="Arial" w:eastAsia="Arial" w:hAnsi="Arial"/>
          <w:sz w:val="18"/>
          <w:szCs w:val="18"/>
          <w:color w:val="auto"/>
        </w:rPr>
      </w:pPr>
      <w:r>
        <w:rPr>
          <w:rFonts w:ascii="Arial" w:cs="Arial" w:eastAsia="Arial" w:hAnsi="Arial"/>
          <w:sz w:val="18"/>
          <w:szCs w:val="18"/>
          <w:color w:val="auto"/>
        </w:rPr>
        <w:t>guarantees by Borrower or Restricted Subsidiaries of Indebtedness otherwise permitted to be incurred by Borrower or any Restricted Subsidiary under this Section 10.01;</w:t>
      </w:r>
    </w:p>
    <w:p>
      <w:pPr>
        <w:spacing w:after="0" w:line="170" w:lineRule="exact"/>
        <w:rPr>
          <w:rFonts w:ascii="Arial" w:cs="Arial" w:eastAsia="Arial" w:hAnsi="Arial"/>
          <w:sz w:val="18"/>
          <w:szCs w:val="18"/>
          <w:color w:val="auto"/>
        </w:rPr>
      </w:pPr>
    </w:p>
    <w:p>
      <w:pPr>
        <w:jc w:val="both"/>
        <w:ind w:left="-8" w:firstLine="8"/>
        <w:spacing w:after="0" w:line="264" w:lineRule="auto"/>
        <w:tabs>
          <w:tab w:leader="none" w:pos="38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existed at the time such Person became a Subsidiary and was not created in anticipation or contemplation thereof, and Permitted Refinancings thereof;</w:t>
      </w:r>
    </w:p>
    <w:p>
      <w:pPr>
        <w:spacing w:after="0" w:line="181" w:lineRule="exact"/>
        <w:rPr>
          <w:rFonts w:ascii="Arial" w:cs="Arial" w:eastAsia="Arial" w:hAnsi="Arial"/>
          <w:sz w:val="18"/>
          <w:szCs w:val="18"/>
          <w:color w:val="auto"/>
        </w:rPr>
      </w:pPr>
    </w:p>
    <w:p>
      <w:pPr>
        <w:jc w:val="both"/>
        <w:ind w:left="-8" w:firstLine="8"/>
        <w:spacing w:after="0" w:line="270" w:lineRule="auto"/>
        <w:tabs>
          <w:tab w:leader="none" w:pos="484" w:val="left"/>
        </w:tabs>
        <w:numPr>
          <w:ilvl w:val="0"/>
          <w:numId w:val="565"/>
        </w:numPr>
        <w:rPr>
          <w:rFonts w:ascii="Arial" w:cs="Arial" w:eastAsia="Arial" w:hAnsi="Arial"/>
          <w:sz w:val="17"/>
          <w:szCs w:val="17"/>
          <w:color w:val="auto"/>
        </w:rPr>
      </w:pPr>
      <w:r>
        <w:rPr>
          <w:rFonts w:ascii="Arial" w:cs="Arial" w:eastAsia="Arial" w:hAnsi="Arial"/>
          <w:sz w:val="17"/>
          <w:szCs w:val="17"/>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 Lien Indebtedness or Permitted Unsecured Indebtedness or (y) in the case of Permitted Refinancings of Permitted Unsecured Indebtedness, such Permitted Refinancings qualify as Permitted Unsecured Indebtedness;</w:t>
      </w:r>
    </w:p>
    <w:p>
      <w:pPr>
        <w:spacing w:after="0" w:line="177" w:lineRule="exact"/>
        <w:rPr>
          <w:rFonts w:ascii="Arial" w:cs="Arial" w:eastAsia="Arial" w:hAnsi="Arial"/>
          <w:sz w:val="17"/>
          <w:szCs w:val="17"/>
          <w:color w:val="auto"/>
        </w:rPr>
      </w:pPr>
    </w:p>
    <w:p>
      <w:pPr>
        <w:jc w:val="both"/>
        <w:ind w:left="-8" w:firstLine="8"/>
        <w:spacing w:after="0" w:line="286" w:lineRule="auto"/>
        <w:tabs>
          <w:tab w:leader="none" w:pos="564" w:val="left"/>
        </w:tabs>
        <w:numPr>
          <w:ilvl w:val="0"/>
          <w:numId w:val="565"/>
        </w:numPr>
        <w:rPr>
          <w:rFonts w:ascii="Arial" w:cs="Arial" w:eastAsia="Arial" w:hAnsi="Arial"/>
          <w:sz w:val="16"/>
          <w:szCs w:val="16"/>
          <w:color w:val="auto"/>
        </w:rPr>
      </w:pPr>
      <w:r>
        <w:rPr>
          <w:rFonts w:ascii="Arial" w:cs="Arial" w:eastAsia="Arial" w:hAnsi="Arial"/>
          <w:sz w:val="16"/>
          <w:szCs w:val="16"/>
          <w:color w:val="auto"/>
        </w:rPr>
        <w:t>(i) from and after the earlier of the Wynn Las Vegas Reorganization and the Wynn Massachusetts Project Opening Date, Permitted First Lien Indebtedness in an aggregate principal amount not to exceed the sum of (A) $250.0 million prior to the Wynn Massachusetts Project Opening Date and $500.0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w:t>
      </w:r>
    </w:p>
    <w:p>
      <w:pPr>
        <w:spacing w:after="0" w:line="1" w:lineRule="exact"/>
        <w:rPr>
          <w:rFonts w:ascii="Arial" w:cs="Arial" w:eastAsia="Arial" w:hAnsi="Arial"/>
          <w:sz w:val="16"/>
          <w:szCs w:val="16"/>
          <w:color w:val="auto"/>
        </w:rPr>
      </w:pPr>
    </w:p>
    <w:p>
      <w:pPr>
        <w:jc w:val="both"/>
        <w:ind w:left="-8" w:firstLine="8"/>
        <w:spacing w:after="0" w:line="252" w:lineRule="auto"/>
        <w:tabs>
          <w:tab w:leader="none" w:pos="25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prior to the Initial Test Date, immediately after giving effect 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ectPr>
          <w:pgSz w:w="11900" w:h="16838" w:orient="portrait"/>
          <w:cols w:equalWidth="0" w:num="1">
            <w:col w:w="11412"/>
          </w:cols>
          <w:pgMar w:left="248" w:top="368" w:right="239" w:bottom="1440" w:gutter="0" w:footer="0" w:header="0"/>
        </w:sectPr>
      </w:pPr>
    </w:p>
    <w:bookmarkStart w:id="458" w:name="page459"/>
    <w:bookmarkEnd w:id="458"/>
    <w:p>
      <w:pPr>
        <w:jc w:val="both"/>
        <w:ind w:firstLine="8"/>
        <w:spacing w:after="0" w:line="273" w:lineRule="auto"/>
        <w:tabs>
          <w:tab w:leader="none" w:pos="39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78" w:lineRule="exact"/>
        <w:rPr>
          <w:rFonts w:ascii="Arial" w:cs="Arial" w:eastAsia="Arial" w:hAnsi="Arial"/>
          <w:sz w:val="17"/>
          <w:szCs w:val="17"/>
          <w:color w:val="auto"/>
        </w:rPr>
      </w:pPr>
    </w:p>
    <w:p>
      <w:pPr>
        <w:ind w:left="400" w:hanging="392"/>
        <w:spacing w:after="0"/>
        <w:tabs>
          <w:tab w:leader="none" w:pos="4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Permitted Unsecured Refinancing Debt, Permitted First Priority Refinancing Debt and Permitted Second Priority Refinancing Debt;</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40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Indebtedness of Borrower or any Restricted Subsidiary in an aggregate principal amount not to exceed as of the time of incurrence thereof $75.0 million;</w:t>
      </w:r>
    </w:p>
    <w:p>
      <w:pPr>
        <w:spacing w:after="0" w:line="248" w:lineRule="exact"/>
        <w:rPr>
          <w:rFonts w:ascii="Arial" w:cs="Arial" w:eastAsia="Arial" w:hAnsi="Arial"/>
          <w:sz w:val="16"/>
          <w:szCs w:val="16"/>
          <w:color w:val="auto"/>
        </w:rPr>
      </w:pPr>
    </w:p>
    <w:p>
      <w:pPr>
        <w:ind w:left="360" w:hanging="352"/>
        <w:spacing w:after="0"/>
        <w:tabs>
          <w:tab w:leader="none" w:pos="36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Investments under Section 10.04(l), 10.04(q), 10.04(s) and 10.04(w) consisting of guarantees;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Development Financing (including Permitted Refinancings thereof);</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8"/>
        <w:spacing w:after="0" w:line="277" w:lineRule="auto"/>
        <w:tabs>
          <w:tab w:leader="none" w:pos="49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Intercompany Contribution Indebtedness (it being acknowledged that Wynn Resorts may fund its obligations under the Completion Guaranty in the form of Intercompany Contribution Indebtedness); and</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from and after the Wynn Las Vegas Reorganization, the incurrence of Indebtedness in an amount not to exceed the greater of (i) the Aircraft Note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100% of the fair market value of the Aircraft, which in either case is secured only by Liens permitted by Section 10.02(ii).</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Arial" w:cs="Arial" w:eastAsia="Arial" w:hAnsi="Arial"/>
          <w:sz w:val="18"/>
          <w:szCs w:val="18"/>
          <w:u w:val="single" w:color="auto"/>
          <w:color w:val="auto"/>
        </w:rPr>
        <w:t>provided</w:t>
      </w:r>
      <w:r>
        <w:rPr>
          <w:rFonts w:ascii="Arial" w:cs="Arial" w:eastAsia="Arial" w:hAnsi="Arial"/>
          <w:sz w:val="18"/>
          <w:szCs w:val="18"/>
          <w:color w:val="auto"/>
        </w:rPr>
        <w:t>, that all Indebtedness under this Agreement outstanding on the Closing Date shall at all 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w:t>
      </w:r>
    </w:p>
    <w:p>
      <w:pPr>
        <w:sectPr>
          <w:pgSz w:w="11900" w:h="16838" w:orient="portrait"/>
          <w:cols w:equalWidth="0" w:num="1">
            <w:col w:w="11420"/>
          </w:cols>
          <w:pgMar w:left="240" w:top="368" w:right="239" w:bottom="1440" w:gutter="0" w:footer="0" w:header="0"/>
        </w:sectPr>
      </w:pPr>
    </w:p>
    <w:bookmarkStart w:id="459" w:name="page460"/>
    <w:bookmarkEnd w:id="459"/>
    <w:p>
      <w:pPr>
        <w:jc w:val="both"/>
        <w:spacing w:after="0" w:line="293" w:lineRule="auto"/>
        <w:rPr>
          <w:sz w:val="20"/>
          <w:szCs w:val="20"/>
          <w:color w:val="auto"/>
        </w:rPr>
      </w:pPr>
      <w:r>
        <w:rPr>
          <w:rFonts w:ascii="Arial" w:cs="Arial" w:eastAsia="Arial" w:hAnsi="Arial"/>
          <w:sz w:val="16"/>
          <w:szCs w:val="16"/>
          <w:color w:val="auto"/>
        </w:rPr>
        <w:t>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6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10.02. Liens</w:t>
      </w:r>
      <w:r>
        <w:rPr>
          <w:rFonts w:ascii="Arial" w:cs="Arial" w:eastAsia="Arial" w:hAnsi="Arial"/>
          <w:sz w:val="16"/>
          <w:szCs w:val="16"/>
          <w:color w:val="auto"/>
        </w:rPr>
        <w:t>. Neither Borrower nor any Restricted Subsidiary shall create, incur, grant, assume or permit to exist, directly or indirectly, any Lien</w:t>
      </w:r>
      <w:r>
        <w:rPr>
          <w:rFonts w:ascii="Arial" w:cs="Arial" w:eastAsia="Arial" w:hAnsi="Arial"/>
          <w:sz w:val="16"/>
          <w:szCs w:val="16"/>
          <w:b w:val="1"/>
          <w:bCs w:val="1"/>
          <w:color w:val="auto"/>
        </w:rPr>
        <w:t xml:space="preserve"> </w:t>
      </w:r>
      <w:r>
        <w:rPr>
          <w:rFonts w:ascii="Arial" w:cs="Arial" w:eastAsia="Arial" w:hAnsi="Arial"/>
          <w:sz w:val="16"/>
          <w:szCs w:val="16"/>
          <w:color w:val="auto"/>
        </w:rPr>
        <w:t>on any Property now owned or hereafter acquired by it or on any income or revenues or rights in respect of any thereof, except (the “</w:t>
      </w:r>
      <w:r>
        <w:rPr>
          <w:rFonts w:ascii="Arial" w:cs="Arial" w:eastAsia="Arial" w:hAnsi="Arial"/>
          <w:sz w:val="16"/>
          <w:szCs w:val="16"/>
          <w:b w:val="1"/>
          <w:bCs w:val="1"/>
          <w:color w:val="auto"/>
        </w:rPr>
        <w:t>Permitted Liens</w:t>
      </w:r>
      <w:r>
        <w:rPr>
          <w:rFonts w:ascii="Arial" w:cs="Arial" w:eastAsia="Arial" w:hAnsi="Arial"/>
          <w:sz w:val="16"/>
          <w:szCs w:val="16"/>
          <w:color w:val="auto"/>
        </w:rPr>
        <w:t>”):</w:t>
      </w:r>
    </w:p>
    <w:p>
      <w:pPr>
        <w:spacing w:after="0" w:line="120" w:lineRule="exact"/>
        <w:rPr>
          <w:sz w:val="20"/>
          <w:szCs w:val="20"/>
          <w:color w:val="auto"/>
        </w:rPr>
      </w:pPr>
    </w:p>
    <w:p>
      <w:pPr>
        <w:ind w:firstLine="8"/>
        <w:spacing w:after="0" w:line="277" w:lineRule="auto"/>
        <w:tabs>
          <w:tab w:leader="none" w:pos="422" w:val="left"/>
        </w:tabs>
        <w:numPr>
          <w:ilvl w:val="0"/>
          <w:numId w:val="569"/>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70" w:lineRule="exact"/>
        <w:rPr>
          <w:rFonts w:ascii="Arial" w:cs="Arial" w:eastAsia="Arial" w:hAnsi="Arial"/>
          <w:sz w:val="18"/>
          <w:szCs w:val="18"/>
          <w:color w:val="auto"/>
        </w:rPr>
      </w:pPr>
    </w:p>
    <w:p>
      <w:pPr>
        <w:jc w:val="both"/>
        <w:ind w:firstLine="8"/>
        <w:spacing w:after="0" w:line="255" w:lineRule="auto"/>
        <w:tabs>
          <w:tab w:leader="none" w:pos="42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9" w:lineRule="exact"/>
        <w:rPr>
          <w:rFonts w:ascii="Arial" w:cs="Arial" w:eastAsia="Arial" w:hAnsi="Arial"/>
          <w:sz w:val="18"/>
          <w:szCs w:val="18"/>
          <w:color w:val="auto"/>
        </w:rPr>
      </w:pPr>
    </w:p>
    <w:p>
      <w:pPr>
        <w:jc w:val="both"/>
        <w:ind w:firstLine="8"/>
        <w:spacing w:after="0" w:line="259" w:lineRule="auto"/>
        <w:tabs>
          <w:tab w:leader="none" w:pos="387"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Section 10.01(b) and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6" w:lineRule="exact"/>
        <w:rPr>
          <w:rFonts w:ascii="Arial" w:cs="Arial" w:eastAsia="Arial" w:hAnsi="Arial"/>
          <w:sz w:val="18"/>
          <w:szCs w:val="18"/>
          <w:color w:val="auto"/>
        </w:rPr>
      </w:pPr>
    </w:p>
    <w:p>
      <w:pPr>
        <w:jc w:val="both"/>
        <w:ind w:firstLine="8"/>
        <w:spacing w:after="0" w:line="259" w:lineRule="auto"/>
        <w:tabs>
          <w:tab w:leader="none" w:pos="46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jc w:val="both"/>
        <w:ind w:firstLine="8"/>
        <w:spacing w:after="0" w:line="289" w:lineRule="auto"/>
        <w:tabs>
          <w:tab w:leader="none" w:pos="441" w:val="left"/>
        </w:tabs>
        <w:numPr>
          <w:ilvl w:val="0"/>
          <w:numId w:val="569"/>
        </w:numPr>
        <w:rPr>
          <w:rFonts w:ascii="Arial" w:cs="Arial" w:eastAsia="Arial" w:hAnsi="Arial"/>
          <w:sz w:val="16"/>
          <w:szCs w:val="16"/>
          <w:color w:val="auto"/>
        </w:rPr>
      </w:pPr>
      <w:r>
        <w:rPr>
          <w:rFonts w:ascii="Arial" w:cs="Arial" w:eastAsia="Arial" w:hAnsi="Arial"/>
          <w:sz w:val="16"/>
          <w:szCs w:val="16"/>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such Liens are not imposed by Law, such Liens shall in no event encumber any Property other than cash and Cash Equivalents or, in the case of clause (iii), proceeds of insurance policies;</w:t>
      </w:r>
    </w:p>
    <w:p>
      <w:pPr>
        <w:sectPr>
          <w:pgSz w:w="11900" w:h="16838" w:orient="portrait"/>
          <w:cols w:equalWidth="0" w:num="1">
            <w:col w:w="11420"/>
          </w:cols>
          <w:pgMar w:left="240" w:top="368" w:right="239" w:bottom="1440" w:gutter="0" w:footer="0" w:header="0"/>
        </w:sectPr>
      </w:pPr>
    </w:p>
    <w:bookmarkStart w:id="460" w:name="page461"/>
    <w:bookmarkEnd w:id="460"/>
    <w:p>
      <w:pPr>
        <w:jc w:val="both"/>
        <w:ind w:left="-8" w:firstLine="8"/>
        <w:spacing w:after="0" w:line="270" w:lineRule="auto"/>
        <w:tabs>
          <w:tab w:leader="none" w:pos="45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Borrower, the Collateral Agent shall enter into a customary subordination and non-disturbance and attornment agreement in connection with any such Lease;</w:t>
      </w:r>
    </w:p>
    <w:p>
      <w:pPr>
        <w:spacing w:after="0" w:line="177" w:lineRule="exact"/>
        <w:rPr>
          <w:rFonts w:ascii="Arial" w:cs="Arial" w:eastAsia="Arial" w:hAnsi="Arial"/>
          <w:sz w:val="17"/>
          <w:szCs w:val="17"/>
          <w:color w:val="auto"/>
        </w:rPr>
      </w:pPr>
    </w:p>
    <w:p>
      <w:pPr>
        <w:ind w:left="-8" w:right="20" w:firstLine="8"/>
        <w:spacing w:after="0" w:line="277" w:lineRule="auto"/>
        <w:tabs>
          <w:tab w:leader="none" w:pos="484" w:val="left"/>
        </w:tabs>
        <w:numPr>
          <w:ilvl w:val="0"/>
          <w:numId w:val="57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left="-8" w:firstLine="8"/>
        <w:spacing w:after="0" w:line="270" w:lineRule="auto"/>
        <w:tabs>
          <w:tab w:leader="none" w:pos="443" w:val="left"/>
        </w:tabs>
        <w:numPr>
          <w:ilvl w:val="0"/>
          <w:numId w:val="570"/>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Section 10.01(h);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77" w:lineRule="exact"/>
        <w:rPr>
          <w:rFonts w:ascii="Arial" w:cs="Arial" w:eastAsia="Arial" w:hAnsi="Arial"/>
          <w:sz w:val="17"/>
          <w:szCs w:val="17"/>
          <w:color w:val="auto"/>
        </w:rPr>
      </w:pPr>
    </w:p>
    <w:p>
      <w:pPr>
        <w:jc w:val="both"/>
        <w:ind w:left="-8" w:firstLine="8"/>
        <w:spacing w:after="0" w:line="276" w:lineRule="auto"/>
        <w:tabs>
          <w:tab w:leader="none" w:pos="40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unless such Liens are non-consensual and arise by operation of law, in no case shall any such Liens secure (either directly or indirectly) the repayment of any Indebtedness;</w:t>
      </w:r>
    </w:p>
    <w:p>
      <w:pPr>
        <w:spacing w:after="0" w:line="172" w:lineRule="exact"/>
        <w:rPr>
          <w:rFonts w:ascii="Arial" w:cs="Arial" w:eastAsia="Arial" w:hAnsi="Arial"/>
          <w:sz w:val="17"/>
          <w:szCs w:val="17"/>
          <w:color w:val="auto"/>
        </w:rPr>
      </w:pPr>
    </w:p>
    <w:p>
      <w:pPr>
        <w:jc w:val="both"/>
        <w:ind w:left="-8" w:firstLine="8"/>
        <w:spacing w:after="0" w:line="259" w:lineRule="auto"/>
        <w:tabs>
          <w:tab w:leader="none" w:pos="483"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6" w:lineRule="exact"/>
        <w:rPr>
          <w:rFonts w:ascii="Arial" w:cs="Arial" w:eastAsia="Arial" w:hAnsi="Arial"/>
          <w:sz w:val="18"/>
          <w:szCs w:val="18"/>
          <w:color w:val="auto"/>
        </w:rPr>
      </w:pPr>
    </w:p>
    <w:p>
      <w:pPr>
        <w:jc w:val="both"/>
        <w:ind w:left="-8" w:firstLine="8"/>
        <w:spacing w:after="0" w:line="279" w:lineRule="auto"/>
        <w:tabs>
          <w:tab w:leader="none" w:pos="354" w:val="left"/>
        </w:tabs>
        <w:numPr>
          <w:ilvl w:val="0"/>
          <w:numId w:val="570"/>
        </w:numPr>
        <w:rPr>
          <w:rFonts w:ascii="Arial" w:cs="Arial" w:eastAsia="Arial" w:hAnsi="Arial"/>
          <w:sz w:val="17"/>
          <w:szCs w:val="17"/>
          <w:color w:val="auto"/>
        </w:rPr>
      </w:pPr>
      <w:r>
        <w:rPr>
          <w:rFonts w:ascii="Arial" w:cs="Arial" w:eastAsia="Arial" w:hAnsi="Arial"/>
          <w:sz w:val="17"/>
          <w:szCs w:val="17"/>
          <w:color w:val="auto"/>
        </w:rPr>
        <w:t xml:space="preserve">in addition to Liens otherwise permitted by this Section 10.02, other Liens incurred with respect to any Indebtedness or other obligations of Borrower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aggregate 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71" w:lineRule="exact"/>
        <w:rPr>
          <w:rFonts w:ascii="Arial" w:cs="Arial" w:eastAsia="Arial" w:hAnsi="Arial"/>
          <w:sz w:val="17"/>
          <w:szCs w:val="17"/>
          <w:color w:val="auto"/>
        </w:rPr>
      </w:pPr>
    </w:p>
    <w:p>
      <w:pPr>
        <w:ind w:left="-8" w:firstLine="8"/>
        <w:spacing w:after="0" w:line="277" w:lineRule="auto"/>
        <w:tabs>
          <w:tab w:leader="none" w:pos="44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ectPr>
          <w:pgSz w:w="11900" w:h="16838" w:orient="portrait"/>
          <w:cols w:equalWidth="0" w:num="1">
            <w:col w:w="11412"/>
          </w:cols>
          <w:pgMar w:left="248" w:top="368" w:right="239" w:bottom="1440" w:gutter="0" w:footer="0" w:header="0"/>
        </w:sectPr>
      </w:pPr>
    </w:p>
    <w:bookmarkStart w:id="461" w:name="page462"/>
    <w:bookmarkEnd w:id="461"/>
    <w:p>
      <w:pPr>
        <w:ind w:left="392" w:hanging="392"/>
        <w:spacing w:after="0"/>
        <w:tabs>
          <w:tab w:leader="none" w:pos="39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Liens pursuant to the Credit Documents, including, without limitation, Liens related to Cash Collateralizations;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Liens associated with the Wynn Las Vegas Pledge;</w:t>
      </w:r>
    </w:p>
    <w:p>
      <w:pPr>
        <w:spacing w:after="0" w:line="225" w:lineRule="exact"/>
        <w:rPr>
          <w:rFonts w:ascii="Arial" w:cs="Arial" w:eastAsia="Arial" w:hAnsi="Arial"/>
          <w:sz w:val="18"/>
          <w:szCs w:val="18"/>
          <w:color w:val="auto"/>
        </w:rPr>
      </w:pPr>
    </w:p>
    <w:p>
      <w:pPr>
        <w:ind w:left="-8" w:firstLine="8"/>
        <w:spacing w:after="0" w:line="277" w:lineRule="auto"/>
        <w:tabs>
          <w:tab w:leader="none" w:pos="393"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left="-8" w:firstLine="8"/>
        <w:spacing w:after="0" w:line="257" w:lineRule="auto"/>
        <w:tabs>
          <w:tab w:leader="none" w:pos="42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left="-8" w:firstLine="8"/>
        <w:spacing w:after="0" w:line="277" w:lineRule="auto"/>
        <w:tabs>
          <w:tab w:leader="none" w:pos="46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Section 10.01(p);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of Borrower or any Restricted Subsidiary other than any Foreign Subsidiary;</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Prior Mortgage Liens with respect to the applicable Mortgaged Real Property;</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 that was permitted to so be repaid;</w:t>
      </w:r>
    </w:p>
    <w:p>
      <w:pPr>
        <w:spacing w:after="0" w:line="225" w:lineRule="exact"/>
        <w:rPr>
          <w:rFonts w:ascii="Arial" w:cs="Arial" w:eastAsia="Arial" w:hAnsi="Arial"/>
          <w:sz w:val="18"/>
          <w:szCs w:val="18"/>
          <w:color w:val="auto"/>
        </w:rPr>
      </w:pPr>
    </w:p>
    <w:p>
      <w:pPr>
        <w:ind w:left="-8" w:firstLine="8"/>
        <w:spacing w:after="0" w:line="277" w:lineRule="auto"/>
        <w:tabs>
          <w:tab w:leader="none" w:pos="457"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jc w:val="both"/>
        <w:ind w:left="-8" w:firstLine="8"/>
        <w:spacing w:after="0" w:line="312" w:lineRule="auto"/>
        <w:tabs>
          <w:tab w:leader="none" w:pos="436" w:val="left"/>
        </w:tabs>
        <w:numPr>
          <w:ilvl w:val="0"/>
          <w:numId w:val="571"/>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(i) Permitted First Lien Indebtedness permitted under Section 10.01(m) or Permitted First Priority Refinancing Debt and, in each case, subject 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46" w:lineRule="exact"/>
        <w:rPr>
          <w:rFonts w:ascii="Arial" w:cs="Arial" w:eastAsia="Arial" w:hAnsi="Arial"/>
          <w:sz w:val="16"/>
          <w:szCs w:val="16"/>
          <w:color w:val="auto"/>
        </w:rPr>
      </w:pPr>
    </w:p>
    <w:p>
      <w:pPr>
        <w:ind w:left="432" w:hanging="432"/>
        <w:spacing w:after="0"/>
        <w:tabs>
          <w:tab w:leader="none" w:pos="432" w:val="left"/>
        </w:tabs>
        <w:numPr>
          <w:ilvl w:val="0"/>
          <w:numId w:val="5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firstLine="8"/>
        <w:spacing w:after="0" w:line="277" w:lineRule="auto"/>
        <w:tabs>
          <w:tab w:leader="none" w:pos="47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70" w:lineRule="exact"/>
        <w:rPr>
          <w:rFonts w:ascii="Arial" w:cs="Arial" w:eastAsia="Arial" w:hAnsi="Arial"/>
          <w:sz w:val="18"/>
          <w:szCs w:val="18"/>
          <w:color w:val="auto"/>
        </w:rPr>
      </w:pPr>
    </w:p>
    <w:p>
      <w:pPr>
        <w:jc w:val="both"/>
        <w:ind w:left="-8" w:firstLine="8"/>
        <w:spacing w:after="0" w:line="264" w:lineRule="auto"/>
        <w:tabs>
          <w:tab w:leader="none" w:pos="45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81" w:lineRule="exact"/>
        <w:rPr>
          <w:rFonts w:ascii="Arial" w:cs="Arial" w:eastAsia="Arial" w:hAnsi="Arial"/>
          <w:sz w:val="18"/>
          <w:szCs w:val="18"/>
          <w:color w:val="auto"/>
        </w:rPr>
      </w:pPr>
    </w:p>
    <w:p>
      <w:pPr>
        <w:ind w:left="372" w:hanging="372"/>
        <w:spacing w:after="0"/>
        <w:tabs>
          <w:tab w:leader="none" w:pos="372" w:val="left"/>
        </w:tabs>
        <w:numPr>
          <w:ilvl w:val="0"/>
          <w:numId w:val="571"/>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 business;</w:t>
      </w:r>
    </w:p>
    <w:p>
      <w:pPr>
        <w:spacing w:after="0" w:line="248" w:lineRule="exact"/>
        <w:rPr>
          <w:sz w:val="20"/>
          <w:szCs w:val="20"/>
          <w:color w:val="auto"/>
        </w:rPr>
      </w:pPr>
    </w:p>
    <w:p>
      <w:pPr>
        <w:ind w:left="-8" w:firstLine="8"/>
        <w:spacing w:after="0" w:line="277" w:lineRule="auto"/>
        <w:tabs>
          <w:tab w:leader="none" w:pos="47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licenses, leases or subleases granted to other Persons not materially interfering with the conduct of the business of Borrower and its Subsidiaries taken as a whole;</w:t>
      </w:r>
    </w:p>
    <w:p>
      <w:pPr>
        <w:spacing w:after="0" w:line="170" w:lineRule="exact"/>
        <w:rPr>
          <w:rFonts w:ascii="Arial" w:cs="Arial" w:eastAsia="Arial" w:hAnsi="Arial"/>
          <w:sz w:val="18"/>
          <w:szCs w:val="18"/>
          <w:color w:val="auto"/>
        </w:rPr>
      </w:pPr>
    </w:p>
    <w:p>
      <w:pPr>
        <w:ind w:left="472" w:hanging="472"/>
        <w:spacing w:after="0"/>
        <w:tabs>
          <w:tab w:leader="none" w:pos="472"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left="-8" w:firstLine="8"/>
        <w:spacing w:after="0" w:line="277" w:lineRule="auto"/>
        <w:tabs>
          <w:tab w:leader="none" w:pos="51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ectPr>
          <w:pgSz w:w="11900" w:h="16838" w:orient="portrait"/>
          <w:cols w:equalWidth="0" w:num="1">
            <w:col w:w="11412"/>
          </w:cols>
          <w:pgMar w:left="248" w:top="368" w:right="239" w:bottom="1440" w:gutter="0" w:footer="0" w:header="0"/>
        </w:sectPr>
      </w:pPr>
    </w:p>
    <w:bookmarkStart w:id="462" w:name="page463"/>
    <w:bookmarkEnd w:id="462"/>
    <w:p>
      <w:pPr>
        <w:jc w:val="both"/>
        <w:ind w:firstLine="8"/>
        <w:spacing w:after="0" w:line="264" w:lineRule="auto"/>
        <w:tabs>
          <w:tab w:leader="none" w:pos="59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81" w:lineRule="exact"/>
        <w:rPr>
          <w:rFonts w:ascii="Arial" w:cs="Arial" w:eastAsia="Arial" w:hAnsi="Arial"/>
          <w:sz w:val="18"/>
          <w:szCs w:val="18"/>
          <w:color w:val="auto"/>
        </w:rPr>
      </w:pPr>
    </w:p>
    <w:p>
      <w:pPr>
        <w:jc w:val="both"/>
        <w:ind w:firstLine="8"/>
        <w:spacing w:after="0" w:line="259" w:lineRule="auto"/>
        <w:tabs>
          <w:tab w:leader="none" w:pos="473"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6" w:lineRule="exact"/>
        <w:rPr>
          <w:rFonts w:ascii="Arial" w:cs="Arial" w:eastAsia="Arial" w:hAnsi="Arial"/>
          <w:sz w:val="18"/>
          <w:szCs w:val="18"/>
          <w:color w:val="auto"/>
        </w:rPr>
      </w:pPr>
    </w:p>
    <w:p>
      <w:pPr>
        <w:jc w:val="both"/>
        <w:ind w:firstLine="8"/>
        <w:spacing w:after="0" w:line="264" w:lineRule="auto"/>
        <w:tabs>
          <w:tab w:leader="none" w:pos="433"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the Second Lien Intercreditor Agreement, as may be applicable;</w:t>
      </w:r>
    </w:p>
    <w:p>
      <w:pPr>
        <w:spacing w:after="0" w:line="181" w:lineRule="exact"/>
        <w:rPr>
          <w:rFonts w:ascii="Arial" w:cs="Arial" w:eastAsia="Arial" w:hAnsi="Arial"/>
          <w:sz w:val="18"/>
          <w:szCs w:val="18"/>
          <w:color w:val="auto"/>
        </w:rPr>
      </w:pPr>
    </w:p>
    <w:p>
      <w:pPr>
        <w:ind w:left="480" w:hanging="472"/>
        <w:spacing w:after="0"/>
        <w:tabs>
          <w:tab w:leader="none" w:pos="48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Section 10.01(x);</w:t>
      </w:r>
    </w:p>
    <w:p>
      <w:pPr>
        <w:spacing w:after="0" w:line="225" w:lineRule="exact"/>
        <w:rPr>
          <w:rFonts w:ascii="Arial" w:cs="Arial" w:eastAsia="Arial" w:hAnsi="Arial"/>
          <w:sz w:val="18"/>
          <w:szCs w:val="18"/>
          <w:color w:val="auto"/>
        </w:rPr>
      </w:pPr>
    </w:p>
    <w:p>
      <w:pPr>
        <w:ind w:firstLine="8"/>
        <w:spacing w:after="0" w:line="277" w:lineRule="auto"/>
        <w:tabs>
          <w:tab w:leader="none" w:pos="55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70" w:lineRule="exact"/>
        <w:rPr>
          <w:rFonts w:ascii="Arial" w:cs="Arial" w:eastAsia="Arial" w:hAnsi="Arial"/>
          <w:sz w:val="18"/>
          <w:szCs w:val="18"/>
          <w:color w:val="auto"/>
        </w:rPr>
      </w:pPr>
    </w:p>
    <w:p>
      <w:pPr>
        <w:ind w:firstLine="8"/>
        <w:spacing w:after="0" w:line="308" w:lineRule="auto"/>
        <w:tabs>
          <w:tab w:leader="none" w:pos="483" w:val="left"/>
        </w:tabs>
        <w:numPr>
          <w:ilvl w:val="0"/>
          <w:numId w:val="573"/>
        </w:numPr>
        <w:rPr>
          <w:rFonts w:ascii="Arial" w:cs="Arial" w:eastAsia="Arial" w:hAnsi="Arial"/>
          <w:sz w:val="17"/>
          <w:szCs w:val="17"/>
          <w:color w:val="auto"/>
        </w:rPr>
      </w:pPr>
      <w:r>
        <w:rPr>
          <w:rFonts w:ascii="Arial" w:cs="Arial" w:eastAsia="Arial" w:hAnsi="Arial"/>
          <w:sz w:val="17"/>
          <w:szCs w:val="17"/>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 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6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SECTION 10.04. Investments, Loans and Advances</w:t>
      </w:r>
      <w:r>
        <w:rPr>
          <w:rFonts w:ascii="Arial" w:cs="Arial" w:eastAsia="Arial" w:hAnsi="Arial"/>
          <w:sz w:val="18"/>
          <w:szCs w:val="18"/>
          <w:color w:val="auto"/>
        </w:rPr>
        <w:t>. Neither Borrower nor any Restricted Subsidiary will, directly or indirectly, make any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following:</w:t>
      </w:r>
    </w:p>
    <w:p>
      <w:pPr>
        <w:spacing w:after="0" w:line="166" w:lineRule="exact"/>
        <w:rPr>
          <w:sz w:val="20"/>
          <w:szCs w:val="20"/>
          <w:color w:val="auto"/>
        </w:rPr>
      </w:pPr>
    </w:p>
    <w:p>
      <w:pPr>
        <w:ind w:firstLine="8"/>
        <w:spacing w:after="0" w:line="277" w:lineRule="auto"/>
        <w:tabs>
          <w:tab w:leader="none" w:pos="44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 xml:space="preserve">Investments outstanding on the Closing Date and identified on </w:t>
      </w:r>
      <w:r>
        <w:rPr>
          <w:rFonts w:ascii="Arial" w:cs="Arial" w:eastAsia="Arial" w:hAnsi="Arial"/>
          <w:sz w:val="18"/>
          <w:szCs w:val="18"/>
          <w:u w:val="single" w:color="auto"/>
          <w:color w:val="auto"/>
        </w:rPr>
        <w:t>Schedule 10.04</w:t>
      </w:r>
      <w:r>
        <w:rPr>
          <w:rFonts w:ascii="Arial" w:cs="Arial" w:eastAsia="Arial" w:hAnsi="Arial"/>
          <w:sz w:val="18"/>
          <w:szCs w:val="18"/>
          <w:color w:val="auto"/>
        </w:rPr>
        <w:t xml:space="preserve"> and any Investments received in respect thereof without the payment of additional consideration (other than through the issuance of or exchange of Qualified Capital Stock);</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Borrower may enter into Swap Contracts to the extent permitted by Section 10.01(c);</w:t>
      </w:r>
    </w:p>
    <w:p>
      <w:pPr>
        <w:sectPr>
          <w:pgSz w:w="11900" w:h="16838" w:orient="portrait"/>
          <w:cols w:equalWidth="0" w:num="1">
            <w:col w:w="11420"/>
          </w:cols>
          <w:pgMar w:left="240" w:top="368" w:right="239" w:bottom="1440" w:gutter="0" w:footer="0" w:header="0"/>
        </w:sectPr>
      </w:pPr>
    </w:p>
    <w:bookmarkStart w:id="463" w:name="page464"/>
    <w:bookmarkEnd w:id="463"/>
    <w:p>
      <w:pPr>
        <w:jc w:val="both"/>
        <w:ind w:left="-8" w:firstLine="8"/>
        <w:spacing w:after="0" w:line="257" w:lineRule="auto"/>
        <w:tabs>
          <w:tab w:leader="none" w:pos="417" w:val="left"/>
        </w:tabs>
        <w:numPr>
          <w:ilvl w:val="0"/>
          <w:numId w:val="575"/>
        </w:numPr>
        <w:rPr>
          <w:rFonts w:ascii="Arial" w:cs="Arial" w:eastAsia="Arial" w:hAnsi="Arial"/>
          <w:sz w:val="18"/>
          <w:szCs w:val="18"/>
          <w:color w:val="auto"/>
        </w:rPr>
      </w:pPr>
      <w:r>
        <w:rPr>
          <w:rFonts w:ascii="Arial" w:cs="Arial" w:eastAsia="Arial" w:hAnsi="Arial"/>
          <w:sz w:val="18"/>
          <w:szCs w:val="18"/>
          <w:color w:val="auto"/>
        </w:rPr>
        <w:t xml:space="preserve">Investments (i) by Borrower in any Restricted Subsidiary, (ii) by any Restricted Subsidiary in Borrower and (iii) by a Restricted Subsidiary in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8" w:lineRule="exact"/>
        <w:rPr>
          <w:rFonts w:ascii="Arial" w:cs="Arial" w:eastAsia="Arial" w:hAnsi="Arial"/>
          <w:sz w:val="18"/>
          <w:szCs w:val="18"/>
          <w:color w:val="auto"/>
        </w:rPr>
      </w:pPr>
    </w:p>
    <w:p>
      <w:pPr>
        <w:ind w:left="372" w:hanging="372"/>
        <w:spacing w:after="0"/>
        <w:tabs>
          <w:tab w:leader="none" w:pos="37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Borrower and its Restricted Subsidiaries may sell or transfer assets to the extent permitted by Section 10.05;</w:t>
      </w:r>
    </w:p>
    <w:p>
      <w:pPr>
        <w:spacing w:after="0" w:line="225" w:lineRule="exact"/>
        <w:rPr>
          <w:rFonts w:ascii="Arial" w:cs="Arial" w:eastAsia="Arial" w:hAnsi="Arial"/>
          <w:sz w:val="18"/>
          <w:szCs w:val="18"/>
          <w:color w:val="auto"/>
        </w:rPr>
      </w:pPr>
    </w:p>
    <w:p>
      <w:pPr>
        <w:ind w:left="-8" w:firstLine="8"/>
        <w:spacing w:after="0" w:line="308" w:lineRule="auto"/>
        <w:tabs>
          <w:tab w:leader="none" w:pos="38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46" w:lineRule="exact"/>
        <w:rPr>
          <w:rFonts w:ascii="Arial" w:cs="Arial" w:eastAsia="Arial" w:hAnsi="Arial"/>
          <w:sz w:val="17"/>
          <w:szCs w:val="17"/>
          <w:color w:val="auto"/>
        </w:rPr>
      </w:pPr>
    </w:p>
    <w:p>
      <w:pPr>
        <w:ind w:left="-8" w:firstLine="8"/>
        <w:spacing w:after="0" w:line="277" w:lineRule="auto"/>
        <w:tabs>
          <w:tab w:leader="none" w:pos="436"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Investments made by Borrower or any Restricted Subsidiary with, or as a result of, consideration received in connection with an Asset Sale made in compliance with Section 10.05;</w:t>
      </w:r>
    </w:p>
    <w:p>
      <w:pPr>
        <w:spacing w:after="0" w:line="170" w:lineRule="exact"/>
        <w:rPr>
          <w:rFonts w:ascii="Arial" w:cs="Arial" w:eastAsia="Arial" w:hAnsi="Arial"/>
          <w:sz w:val="18"/>
          <w:szCs w:val="18"/>
          <w:color w:val="auto"/>
        </w:rPr>
      </w:pPr>
    </w:p>
    <w:p>
      <w:pPr>
        <w:ind w:left="-8" w:firstLine="8"/>
        <w:spacing w:after="0" w:line="277" w:lineRule="auto"/>
        <w:tabs>
          <w:tab w:leader="none" w:pos="466"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$10.0 million in the aggregate at any time outstanding;</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8" w:firstLine="8"/>
        <w:spacing w:after="0" w:line="277" w:lineRule="auto"/>
        <w:tabs>
          <w:tab w:leader="none" w:pos="409"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392" w:hanging="392"/>
        <w:spacing w:after="0"/>
        <w:tabs>
          <w:tab w:leader="none" w:pos="39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Investments resulting from pledges and deposits permitted under Section 10.02;</w:t>
      </w:r>
    </w:p>
    <w:p>
      <w:pPr>
        <w:spacing w:after="0" w:line="225" w:lineRule="exact"/>
        <w:rPr>
          <w:rFonts w:ascii="Arial" w:cs="Arial" w:eastAsia="Arial" w:hAnsi="Arial"/>
          <w:sz w:val="18"/>
          <w:szCs w:val="18"/>
          <w:color w:val="auto"/>
        </w:rPr>
      </w:pPr>
    </w:p>
    <w:p>
      <w:pPr>
        <w:jc w:val="both"/>
        <w:ind w:left="-8" w:firstLine="8"/>
        <w:spacing w:after="0" w:line="270" w:lineRule="auto"/>
        <w:tabs>
          <w:tab w:leader="none" w:pos="394"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77" w:lineRule="exact"/>
        <w:rPr>
          <w:rFonts w:ascii="Arial" w:cs="Arial" w:eastAsia="Arial" w:hAnsi="Arial"/>
          <w:sz w:val="17"/>
          <w:szCs w:val="17"/>
          <w:color w:val="auto"/>
        </w:rPr>
      </w:pPr>
    </w:p>
    <w:p>
      <w:pPr>
        <w:ind w:left="432" w:hanging="432"/>
        <w:spacing w:after="0"/>
        <w:tabs>
          <w:tab w:leader="none" w:pos="43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 w:firstLine="8"/>
        <w:spacing w:after="0" w:line="308" w:lineRule="auto"/>
        <w:tabs>
          <w:tab w:leader="none" w:pos="40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left="-8" w:firstLine="8"/>
        <w:spacing w:after="0" w:line="286" w:lineRule="auto"/>
        <w:tabs>
          <w:tab w:leader="none" w:pos="448"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65" w:lineRule="exact"/>
        <w:rPr>
          <w:rFonts w:ascii="Arial" w:cs="Arial" w:eastAsia="Arial" w:hAnsi="Arial"/>
          <w:sz w:val="17"/>
          <w:szCs w:val="17"/>
          <w:color w:val="auto"/>
        </w:rPr>
      </w:pPr>
    </w:p>
    <w:p>
      <w:pPr>
        <w:ind w:left="392" w:hanging="392"/>
        <w:spacing w:after="0"/>
        <w:tabs>
          <w:tab w:leader="none" w:pos="392"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Investments in the nature of pledges or deposits with respect to leases or utilities provided to third parties in the ordinary course of business;</w:t>
      </w:r>
    </w:p>
    <w:p>
      <w:pPr>
        <w:sectPr>
          <w:pgSz w:w="11900" w:h="16838" w:orient="portrait"/>
          <w:cols w:equalWidth="0" w:num="1">
            <w:col w:w="11412"/>
          </w:cols>
          <w:pgMar w:left="248" w:top="368" w:right="239" w:bottom="1440" w:gutter="0" w:footer="0" w:header="0"/>
        </w:sectPr>
      </w:pPr>
    </w:p>
    <w:bookmarkStart w:id="464" w:name="page465"/>
    <w:bookmarkEnd w:id="464"/>
    <w:p>
      <w:pPr>
        <w:jc w:val="both"/>
        <w:ind w:left="-8" w:firstLine="8"/>
        <w:spacing w:after="0" w:line="257" w:lineRule="auto"/>
        <w:tabs>
          <w:tab w:leader="none" w:pos="47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8" w:lineRule="exact"/>
        <w:rPr>
          <w:rFonts w:ascii="Arial" w:cs="Arial" w:eastAsia="Arial" w:hAnsi="Arial"/>
          <w:sz w:val="18"/>
          <w:szCs w:val="18"/>
          <w:color w:val="auto"/>
        </w:rPr>
      </w:pPr>
    </w:p>
    <w:p>
      <w:pPr>
        <w:ind w:left="352" w:hanging="352"/>
        <w:spacing w:after="0"/>
        <w:tabs>
          <w:tab w:leader="none" w:pos="352"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occurrence of a Reverse Trigger Event under any applicable Transfer Agreement;</w:t>
      </w:r>
    </w:p>
    <w:p>
      <w:pPr>
        <w:spacing w:after="0" w:line="225" w:lineRule="exact"/>
        <w:rPr>
          <w:rFonts w:ascii="Arial" w:cs="Arial" w:eastAsia="Arial" w:hAnsi="Arial"/>
          <w:sz w:val="18"/>
          <w:szCs w:val="18"/>
          <w:color w:val="auto"/>
        </w:rPr>
      </w:pPr>
    </w:p>
    <w:p>
      <w:pPr>
        <w:jc w:val="both"/>
        <w:ind w:left="-8" w:firstLine="8"/>
        <w:spacing w:after="0" w:line="283" w:lineRule="auto"/>
        <w:tabs>
          <w:tab w:leader="none" w:pos="374"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Junior Prepayments made pursuant to Section 10.09(a)(i);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Arial" w:cs="Arial" w:eastAsia="Arial" w:hAnsi="Arial"/>
          <w:sz w:val="16"/>
          <w:szCs w:val="16"/>
          <w:color w:val="auto"/>
        </w:rPr>
      </w:pPr>
    </w:p>
    <w:p>
      <w:pPr>
        <w:ind w:left="232" w:hanging="232"/>
        <w:spacing w:after="0"/>
        <w:tabs>
          <w:tab w:leader="none" w:pos="232" w:val="left"/>
        </w:tabs>
        <w:numPr>
          <w:ilvl w:val="0"/>
          <w:numId w:val="577"/>
        </w:numPr>
        <w:rPr>
          <w:rFonts w:ascii="Arial" w:cs="Arial" w:eastAsia="Arial" w:hAnsi="Arial"/>
          <w:sz w:val="18"/>
          <w:szCs w:val="18"/>
          <w:color w:val="auto"/>
        </w:rPr>
      </w:pPr>
      <w:r>
        <w:rPr>
          <w:rFonts w:ascii="Arial" w:cs="Arial" w:eastAsia="Arial" w:hAnsi="Arial"/>
          <w:sz w:val="18"/>
          <w:szCs w:val="18"/>
          <w:color w:val="auto"/>
        </w:rPr>
        <w:t>for so long as such person continues to be a Restricted Subsidiary of Borrower;</w:t>
      </w:r>
    </w:p>
    <w:p>
      <w:pPr>
        <w:spacing w:after="0" w:line="210" w:lineRule="exact"/>
        <w:rPr>
          <w:rFonts w:ascii="Arial" w:cs="Arial" w:eastAsia="Arial" w:hAnsi="Arial"/>
          <w:sz w:val="18"/>
          <w:szCs w:val="18"/>
          <w:color w:val="auto"/>
        </w:rPr>
      </w:pPr>
    </w:p>
    <w:p>
      <w:pPr>
        <w:ind w:left="-8" w:firstLine="8"/>
        <w:spacing w:after="0" w:line="277" w:lineRule="auto"/>
        <w:tabs>
          <w:tab w:leader="none" w:pos="46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70" w:lineRule="exact"/>
        <w:rPr>
          <w:rFonts w:ascii="Arial" w:cs="Arial" w:eastAsia="Arial" w:hAnsi="Arial"/>
          <w:sz w:val="18"/>
          <w:szCs w:val="18"/>
          <w:color w:val="auto"/>
        </w:rPr>
      </w:pPr>
    </w:p>
    <w:p>
      <w:pPr>
        <w:ind w:left="-8" w:firstLine="8"/>
        <w:spacing w:after="0" w:line="277" w:lineRule="auto"/>
        <w:tabs>
          <w:tab w:leader="none" w:pos="42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70" w:lineRule="exact"/>
        <w:rPr>
          <w:rFonts w:ascii="Arial" w:cs="Arial" w:eastAsia="Arial" w:hAnsi="Arial"/>
          <w:sz w:val="18"/>
          <w:szCs w:val="18"/>
          <w:color w:val="auto"/>
        </w:rPr>
      </w:pPr>
    </w:p>
    <w:p>
      <w:pPr>
        <w:ind w:left="-8" w:firstLine="8"/>
        <w:spacing w:after="0" w:line="277" w:lineRule="auto"/>
        <w:tabs>
          <w:tab w:leader="none" w:pos="41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or other arrangements with other persons in the ordinary course of business; and</w:t>
      </w:r>
    </w:p>
    <w:p>
      <w:pPr>
        <w:spacing w:after="0" w:line="170" w:lineRule="exact"/>
        <w:rPr>
          <w:rFonts w:ascii="Arial" w:cs="Arial" w:eastAsia="Arial" w:hAnsi="Arial"/>
          <w:sz w:val="18"/>
          <w:szCs w:val="18"/>
          <w:color w:val="auto"/>
        </w:rPr>
      </w:pPr>
    </w:p>
    <w:p>
      <w:pPr>
        <w:jc w:val="both"/>
        <w:ind w:left="-8" w:firstLine="8"/>
        <w:spacing w:after="0" w:line="255" w:lineRule="auto"/>
        <w:tabs>
          <w:tab w:leader="none" w:pos="45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w:t>
      </w:r>
    </w:p>
    <w:p>
      <w:pPr>
        <w:spacing w:after="0" w:line="193" w:lineRule="exact"/>
        <w:rPr>
          <w:rFonts w:ascii="Arial" w:cs="Arial" w:eastAsia="Arial" w:hAnsi="Arial"/>
          <w:sz w:val="18"/>
          <w:szCs w:val="18"/>
          <w:color w:val="auto"/>
        </w:rPr>
      </w:pPr>
    </w:p>
    <w:p>
      <w:pPr>
        <w:jc w:val="both"/>
        <w:ind w:left="-8" w:firstLine="8"/>
        <w:spacing w:after="0" w:line="271" w:lineRule="auto"/>
        <w:tabs>
          <w:tab w:leader="none" w:pos="44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Junior Prepayments made pursuant to Section 10.09(i);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ectPr>
          <w:pgSz w:w="11900" w:h="16838" w:orient="portrait"/>
          <w:cols w:equalWidth="0" w:num="1">
            <w:col w:w="11412"/>
          </w:cols>
          <w:pgMar w:left="248" w:top="368" w:right="239" w:bottom="1440" w:gutter="0" w:footer="0" w:header="0"/>
        </w:sectPr>
      </w:pPr>
    </w:p>
    <w:bookmarkStart w:id="465" w:name="page466"/>
    <w:bookmarkEnd w:id="465"/>
    <w:p>
      <w:pPr>
        <w:jc w:val="both"/>
        <w:ind w:firstLine="8"/>
        <w:spacing w:after="0" w:line="253" w:lineRule="auto"/>
        <w:tabs>
          <w:tab w:leader="none" w:pos="432"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by this Section 10.04, Investments by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Investments to be made pursuant to this Section 10.04(y) do not exceed the Available Equity Amount determined at the time such Investment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 w:lineRule="exact"/>
        <w:rPr>
          <w:rFonts w:ascii="Arial" w:cs="Arial" w:eastAsia="Arial" w:hAnsi="Arial"/>
          <w:sz w:val="18"/>
          <w:szCs w:val="18"/>
          <w:color w:val="auto"/>
        </w:rPr>
      </w:pPr>
    </w:p>
    <w:p>
      <w:pPr>
        <w:jc w:val="both"/>
        <w:ind w:firstLine="648"/>
        <w:spacing w:after="0" w:line="253" w:lineRule="auto"/>
        <w:rPr>
          <w:rFonts w:ascii="Arial" w:cs="Arial" w:eastAsia="Arial" w:hAnsi="Arial"/>
          <w:sz w:val="18"/>
          <w:szCs w:val="18"/>
          <w:color w:val="auto"/>
        </w:rPr>
      </w:pPr>
      <w:r>
        <w:rPr>
          <w:rFonts w:ascii="Arial" w:cs="Arial" w:eastAsia="Arial" w:hAnsi="Arial"/>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 dissolve its</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380" w:hanging="372"/>
        <w:spacing w:after="0"/>
        <w:tabs>
          <w:tab w:leader="none" w:pos="3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Capital Expenditures by Borrower and the Restricted Subsidiaries;</w:t>
      </w:r>
    </w:p>
    <w:p>
      <w:pPr>
        <w:spacing w:after="0" w:line="225" w:lineRule="exact"/>
        <w:rPr>
          <w:rFonts w:ascii="Arial" w:cs="Arial" w:eastAsia="Arial" w:hAnsi="Arial"/>
          <w:sz w:val="18"/>
          <w:szCs w:val="18"/>
          <w:color w:val="auto"/>
        </w:rPr>
      </w:pPr>
    </w:p>
    <w:p>
      <w:pPr>
        <w:jc w:val="both"/>
        <w:ind w:firstLine="8"/>
        <w:spacing w:after="0" w:line="302" w:lineRule="auto"/>
        <w:tabs>
          <w:tab w:leader="none" w:pos="457" w:val="left"/>
        </w:tabs>
        <w:numPr>
          <w:ilvl w:val="0"/>
          <w:numId w:val="579"/>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4" w:lineRule="exact"/>
        <w:rPr>
          <w:rFonts w:ascii="Arial" w:cs="Arial" w:eastAsia="Arial" w:hAnsi="Arial"/>
          <w:sz w:val="16"/>
          <w:szCs w:val="16"/>
          <w:color w:val="auto"/>
        </w:rPr>
      </w:pPr>
    </w:p>
    <w:p>
      <w:pPr>
        <w:jc w:val="both"/>
        <w:ind w:firstLine="8"/>
        <w:spacing w:after="0" w:line="268" w:lineRule="auto"/>
        <w:tabs>
          <w:tab w:leader="none" w:pos="41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Asset Sales by Borrower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 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87" w:lineRule="exact"/>
        <w:rPr>
          <w:rFonts w:ascii="Arial" w:cs="Arial" w:eastAsia="Arial" w:hAnsi="Arial"/>
          <w:sz w:val="17"/>
          <w:szCs w:val="17"/>
          <w:color w:val="auto"/>
        </w:rPr>
      </w:pPr>
    </w:p>
    <w:p>
      <w:pPr>
        <w:ind w:firstLine="8"/>
        <w:spacing w:after="0" w:line="277" w:lineRule="auto"/>
        <w:tabs>
          <w:tab w:leader="none" w:pos="446" w:val="left"/>
        </w:tabs>
        <w:numPr>
          <w:ilvl w:val="0"/>
          <w:numId w:val="579"/>
        </w:numPr>
        <w:rPr>
          <w:rFonts w:ascii="Arial" w:cs="Arial" w:eastAsia="Arial" w:hAnsi="Arial"/>
          <w:sz w:val="18"/>
          <w:szCs w:val="18"/>
          <w:color w:val="auto"/>
        </w:rPr>
      </w:pPr>
      <w:r>
        <w:rPr>
          <w:rFonts w:ascii="Arial" w:cs="Arial" w:eastAsia="Arial" w:hAnsi="Arial"/>
          <w:sz w:val="18"/>
          <w:szCs w:val="18"/>
          <w:color w:val="auto"/>
        </w:rPr>
        <w:t>Liens permitted by Section 10.02, Investments may be made to the extent permitted by Sections 10.04 and Restricted Payments may be made to the extent permitted by Section 10.06;</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ectPr>
          <w:pgSz w:w="11900" w:h="16838" w:orient="portrait"/>
          <w:cols w:equalWidth="0" w:num="1">
            <w:col w:w="11420"/>
          </w:cols>
          <w:pgMar w:left="240" w:top="584" w:right="239" w:bottom="1440" w:gutter="0" w:footer="0" w:header="0"/>
        </w:sectPr>
      </w:pPr>
    </w:p>
    <w:bookmarkStart w:id="466" w:name="page467"/>
    <w:bookmarkEnd w:id="466"/>
    <w:p>
      <w:pPr>
        <w:ind w:left="352" w:hanging="352"/>
        <w:spacing w:after="0"/>
        <w:tabs>
          <w:tab w:leader="none" w:pos="352" w:val="left"/>
        </w:tabs>
        <w:numPr>
          <w:ilvl w:val="0"/>
          <w:numId w:val="580"/>
        </w:numPr>
        <w:rPr>
          <w:rFonts w:ascii="Arial" w:cs="Arial" w:eastAsia="Arial" w:hAnsi="Arial"/>
          <w:sz w:val="17"/>
          <w:szCs w:val="17"/>
          <w:color w:val="auto"/>
        </w:rPr>
      </w:pPr>
      <w:r>
        <w:rPr>
          <w:rFonts w:ascii="Arial" w:cs="Arial" w:eastAsia="Arial" w:hAnsi="Arial"/>
          <w:sz w:val="17"/>
          <w:szCs w:val="17"/>
          <w:color w:val="auto"/>
        </w:rPr>
        <w:t>Borrower and the Restricted Subsidiaries may lease (as lessor or sublessor) real or personal property to the extent permitted under Section 10.02;</w:t>
      </w:r>
    </w:p>
    <w:p>
      <w:pPr>
        <w:spacing w:after="0" w:line="236" w:lineRule="exact"/>
        <w:rPr>
          <w:rFonts w:ascii="Arial" w:cs="Arial" w:eastAsia="Arial" w:hAnsi="Arial"/>
          <w:sz w:val="17"/>
          <w:szCs w:val="17"/>
          <w:color w:val="auto"/>
        </w:rPr>
      </w:pPr>
    </w:p>
    <w:p>
      <w:pPr>
        <w:ind w:left="-8" w:right="20" w:firstLine="8"/>
        <w:spacing w:after="0" w:line="277" w:lineRule="auto"/>
        <w:tabs>
          <w:tab w:leader="none" w:pos="407" w:val="left"/>
        </w:tabs>
        <w:numPr>
          <w:ilvl w:val="0"/>
          <w:numId w:val="580"/>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left="-8" w:firstLine="8"/>
        <w:spacing w:after="0" w:line="286" w:lineRule="auto"/>
        <w:tabs>
          <w:tab w:leader="none" w:pos="421" w:val="left"/>
        </w:tabs>
        <w:numPr>
          <w:ilvl w:val="0"/>
          <w:numId w:val="580"/>
        </w:numPr>
        <w:rPr>
          <w:rFonts w:ascii="Arial" w:cs="Arial" w:eastAsia="Arial" w:hAnsi="Arial"/>
          <w:sz w:val="16"/>
          <w:szCs w:val="16"/>
          <w:color w:val="auto"/>
        </w:rPr>
      </w:pPr>
      <w:r>
        <w:rPr>
          <w:rFonts w:ascii="Arial" w:cs="Arial" w:eastAsia="Arial" w:hAnsi="Arial"/>
          <w:sz w:val="16"/>
          <w:szCs w:val="16"/>
          <w:color w:val="auto"/>
        </w:rPr>
        <w:t xml:space="preserve">(A) Borrower or any Restricted Subsidiary may transfer or lease property to or acquire or lease property from Borrower or any Restricted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sum of (x) the aggregate fair market value of all Property transferred by Borrower and Domestic Subsidiaries of Borrower that are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68" w:lineRule="exact"/>
        <w:rPr>
          <w:rFonts w:ascii="Arial" w:cs="Arial" w:eastAsia="Arial" w:hAnsi="Arial"/>
          <w:sz w:val="16"/>
          <w:szCs w:val="16"/>
          <w:color w:val="auto"/>
        </w:rPr>
      </w:pPr>
    </w:p>
    <w:p>
      <w:pPr>
        <w:ind w:left="352" w:hanging="352"/>
        <w:spacing w:after="0"/>
        <w:tabs>
          <w:tab w:leader="none" w:pos="35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taking by a Governmental Authority of assets or property, or any part thereof, under the power of eminent domain or condemnation;</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25" w:lineRule="exact"/>
        <w:rPr>
          <w:rFonts w:ascii="Arial" w:cs="Arial" w:eastAsia="Arial" w:hAnsi="Arial"/>
          <w:sz w:val="18"/>
          <w:szCs w:val="18"/>
          <w:color w:val="auto"/>
        </w:rPr>
      </w:pPr>
    </w:p>
    <w:p>
      <w:pPr>
        <w:jc w:val="both"/>
        <w:ind w:left="-8" w:firstLine="8"/>
        <w:spacing w:after="0" w:line="342" w:lineRule="auto"/>
        <w:tabs>
          <w:tab w:leader="none" w:pos="469" w:val="left"/>
        </w:tabs>
        <w:numPr>
          <w:ilvl w:val="0"/>
          <w:numId w:val="580"/>
        </w:numPr>
        <w:rPr>
          <w:rFonts w:ascii="Arial" w:cs="Arial" w:eastAsia="Arial" w:hAnsi="Arial"/>
          <w:sz w:val="16"/>
          <w:szCs w:val="16"/>
          <w:color w:val="auto"/>
        </w:rPr>
      </w:pPr>
      <w:r>
        <w:rPr>
          <w:rFonts w:ascii="Arial" w:cs="Arial" w:eastAsia="Arial" w:hAnsi="Arial"/>
          <w:sz w:val="16"/>
          <w:szCs w:val="16"/>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ind w:left="392" w:hanging="392"/>
        <w:spacing w:after="0"/>
        <w:tabs>
          <w:tab w:leader="none" w:pos="3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392" w:hanging="392"/>
        <w:spacing w:after="0"/>
        <w:tabs>
          <w:tab w:leader="none" w:pos="3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left="-8" w:firstLine="8"/>
        <w:spacing w:after="0" w:line="286" w:lineRule="auto"/>
        <w:tabs>
          <w:tab w:leader="none" w:pos="434" w:val="left"/>
        </w:tabs>
        <w:numPr>
          <w:ilvl w:val="0"/>
          <w:numId w:val="580"/>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5" w:lineRule="exact"/>
        <w:rPr>
          <w:rFonts w:ascii="Arial" w:cs="Arial" w:eastAsia="Arial" w:hAnsi="Arial"/>
          <w:sz w:val="17"/>
          <w:szCs w:val="17"/>
          <w:color w:val="auto"/>
        </w:rPr>
      </w:pPr>
    </w:p>
    <w:p>
      <w:pPr>
        <w:ind w:left="392" w:hanging="392"/>
        <w:spacing w:after="0"/>
        <w:tabs>
          <w:tab w:leader="none" w:pos="3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from and after the Wynn Las Vegas Reorganization, the transfer or sale or disposition of any Aircraft Assets; and</w:t>
      </w:r>
    </w:p>
    <w:p>
      <w:pPr>
        <w:sectPr>
          <w:pgSz w:w="11900" w:h="16838" w:orient="portrait"/>
          <w:cols w:equalWidth="0" w:num="1">
            <w:col w:w="11412"/>
          </w:cols>
          <w:pgMar w:left="248" w:top="368" w:right="239" w:bottom="1440" w:gutter="0" w:footer="0" w:header="0"/>
        </w:sectPr>
      </w:pPr>
    </w:p>
    <w:bookmarkStart w:id="467" w:name="page468"/>
    <w:bookmarkEnd w:id="467"/>
    <w:p>
      <w:pPr>
        <w:spacing w:after="0"/>
        <w:tabs>
          <w:tab w:leader="none" w:pos="340" w:val="left"/>
        </w:tabs>
        <w:rPr>
          <w:sz w:val="20"/>
          <w:szCs w:val="20"/>
          <w:color w:val="auto"/>
        </w:rPr>
      </w:pPr>
      <w:r>
        <w:rPr>
          <w:rFonts w:ascii="Arial" w:cs="Arial" w:eastAsia="Arial" w:hAnsi="Arial"/>
          <w:sz w:val="18"/>
          <w:szCs w:val="18"/>
          <w:color w:val="auto"/>
        </w:rPr>
        <w:t>(r)</w:t>
      </w:r>
      <w:r>
        <w:rPr>
          <w:sz w:val="20"/>
          <w:szCs w:val="20"/>
          <w:color w:val="auto"/>
        </w:rPr>
        <w:tab/>
      </w:r>
      <w:r>
        <w:rPr>
          <w:rFonts w:ascii="Arial" w:cs="Arial" w:eastAsia="Arial" w:hAnsi="Arial"/>
          <w:sz w:val="16"/>
          <w:szCs w:val="16"/>
          <w:color w:val="auto"/>
        </w:rPr>
        <w:t>any transfer of Equity Interests of any Restricted Subsidiary or any Gaming Facility in connection with the occurrence of a Trigger Event.</w:t>
      </w:r>
    </w:p>
    <w:p>
      <w:pPr>
        <w:spacing w:after="0" w:line="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10.06. Restricted Payments</w:t>
      </w:r>
      <w:r>
        <w:rPr>
          <w:rFonts w:ascii="Arial" w:cs="Arial" w:eastAsia="Arial" w:hAnsi="Arial"/>
          <w:sz w:val="16"/>
          <w:szCs w:val="16"/>
          <w:color w:val="auto"/>
        </w:rPr>
        <w:t>. Neither Borrower nor any of its Restricted Subsidiaries shall, directly or indirectly, declare or make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w:t>
      </w:r>
    </w:p>
    <w:p>
      <w:pPr>
        <w:sectPr>
          <w:pgSz w:w="11900" w:h="16838" w:orient="portrait"/>
          <w:cols w:equalWidth="0" w:num="1">
            <w:col w:w="11420"/>
          </w:cols>
          <w:pgMar w:left="240" w:top="368" w:right="239" w:bottom="1440" w:gutter="0" w:footer="0" w:header="0"/>
        </w:sectPr>
      </w:pPr>
    </w:p>
    <w:bookmarkStart w:id="468" w:name="page469"/>
    <w:bookmarkEnd w:id="468"/>
    <w:p>
      <w:pPr>
        <w:jc w:val="both"/>
        <w:spacing w:after="0" w:line="269" w:lineRule="auto"/>
        <w:rPr>
          <w:sz w:val="20"/>
          <w:szCs w:val="20"/>
          <w:color w:val="auto"/>
        </w:rPr>
      </w:pPr>
      <w:r>
        <w:rPr>
          <w:rFonts w:ascii="Arial" w:cs="Arial" w:eastAsia="Arial" w:hAnsi="Arial"/>
          <w:sz w:val="17"/>
          <w:szCs w:val="17"/>
          <w:color w:val="auto"/>
        </w:rPr>
        <w:t xml:space="preserve">Junior Prepayments made pursuant to Section 10.09(a)(i) and the aggregate amount of Investments made (and as calculated) pursuant to Section 10.04(s), </w:t>
      </w:r>
      <w:r>
        <w:rPr>
          <w:rFonts w:ascii="Arial" w:cs="Arial" w:eastAsia="Arial" w:hAnsi="Arial"/>
          <w:sz w:val="17"/>
          <w:szCs w:val="17"/>
          <w:i w:val="1"/>
          <w:iCs w:val="1"/>
          <w:color w:val="auto"/>
        </w:rPr>
        <w:t xml:space="preserve">plus </w:t>
      </w:r>
      <w:r>
        <w:rPr>
          <w:rFonts w:ascii="Arial" w:cs="Arial" w:eastAsia="Arial" w:hAnsi="Arial"/>
          <w:sz w:val="17"/>
          <w:szCs w:val="17"/>
          <w:color w:val="auto"/>
        </w:rPr>
        <w:t>(ii) the Available Amount, (j) to the extent constituting Restricted Payments, Borrower may make payments to counterparties under Swap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of its Restricted Subsidiaries shall enter into any transaction,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 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Arial" w:cs="Arial" w:eastAsia="Arial" w:hAnsi="Arial"/>
          <w:sz w:val="16"/>
          <w:szCs w:val="16"/>
          <w:u w:val="single" w:color="auto"/>
          <w:color w:val="auto"/>
        </w:rPr>
        <w:t>Schedule 10.07</w:t>
      </w:r>
      <w:r>
        <w:rPr>
          <w:rFonts w:ascii="Arial" w:cs="Arial" w:eastAsia="Arial" w:hAnsi="Arial"/>
          <w:sz w:val="16"/>
          <w:szCs w:val="16"/>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10.08.</w:t>
      </w:r>
      <w:r>
        <w:rPr>
          <w:sz w:val="20"/>
          <w:szCs w:val="20"/>
          <w:color w:val="auto"/>
        </w:rPr>
        <w:tab/>
      </w:r>
      <w:r>
        <w:rPr>
          <w:rFonts w:ascii="Arial" w:cs="Arial" w:eastAsia="Arial" w:hAnsi="Arial"/>
          <w:sz w:val="16"/>
          <w:szCs w:val="16"/>
          <w:b w:val="1"/>
          <w:bCs w:val="1"/>
          <w:color w:val="auto"/>
        </w:rPr>
        <w:t>Financial Covenant.</w:t>
      </w:r>
    </w:p>
    <w:p>
      <w:pPr>
        <w:spacing w:after="0" w:line="200" w:lineRule="exact"/>
        <w:rPr>
          <w:sz w:val="20"/>
          <w:szCs w:val="20"/>
          <w:color w:val="auto"/>
        </w:rPr>
      </w:pPr>
    </w:p>
    <w:p>
      <w:pPr>
        <w:spacing w:after="0" w:line="241" w:lineRule="exact"/>
        <w:rPr>
          <w:sz w:val="20"/>
          <w:szCs w:val="20"/>
          <w:color w:val="auto"/>
        </w:rPr>
      </w:pPr>
    </w:p>
    <w:p>
      <w:pPr>
        <w:ind w:firstLine="8"/>
        <w:spacing w:after="0" w:line="282" w:lineRule="auto"/>
        <w:tabs>
          <w:tab w:leader="none" w:pos="417"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Maximum Consolidated Senior Secured Net Leverage Ratio. </w:t>
      </w:r>
      <w:r>
        <w:rPr>
          <w:rFonts w:ascii="Arial" w:cs="Arial" w:eastAsia="Arial" w:hAnsi="Arial"/>
          <w:sz w:val="18"/>
          <w:szCs w:val="18"/>
          <w:color w:val="auto"/>
        </w:rPr>
        <w:t>Borrower shall not permit the Consolidated Senior Secured Net Leverage Ratio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day of any fiscal quarter of Borrower commencing with the second</w:t>
      </w:r>
    </w:p>
    <w:p>
      <w:pPr>
        <w:sectPr>
          <w:pgSz w:w="11900" w:h="16838" w:orient="portrait"/>
          <w:cols w:equalWidth="0" w:num="1">
            <w:col w:w="11420"/>
          </w:cols>
          <w:pgMar w:left="240" w:top="368" w:right="239" w:bottom="1440" w:gutter="0" w:footer="0" w:header="0"/>
        </w:sectPr>
      </w:pPr>
    </w:p>
    <w:bookmarkStart w:id="469" w:name="page470"/>
    <w:bookmarkEnd w:id="469"/>
    <w:p>
      <w:pPr>
        <w:spacing w:after="0" w:line="261" w:lineRule="auto"/>
        <w:rPr>
          <w:sz w:val="20"/>
          <w:szCs w:val="20"/>
          <w:color w:val="auto"/>
        </w:rPr>
      </w:pPr>
      <w:r>
        <w:rPr>
          <w:rFonts w:ascii="Arial" w:cs="Arial" w:eastAsia="Arial" w:hAnsi="Arial"/>
          <w:sz w:val="18"/>
          <w:szCs w:val="18"/>
          <w:color w:val="auto"/>
        </w:rPr>
        <w:t>full fiscal quarter ending after the fiscal quarter in which the Wynn Massachusetts Project Opening Date occurs (the last day of such fiscal quarter,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Test Date</w:t>
      </w:r>
      <w:r>
        <w:rPr>
          <w:rFonts w:ascii="Arial" w:cs="Arial" w:eastAsia="Arial" w:hAnsi="Arial"/>
          <w:sz w:val="18"/>
          <w:szCs w:val="18"/>
          <w:color w:val="auto"/>
        </w:rPr>
        <w:t>”) to exceed 2.75 to 1.00.</w:t>
      </w:r>
    </w:p>
    <w:p>
      <w:pPr>
        <w:jc w:val="both"/>
        <w:ind w:right="20" w:firstLine="8"/>
        <w:spacing w:after="0" w:line="255" w:lineRule="auto"/>
        <w:tabs>
          <w:tab w:leader="none" w:pos="408"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t>Minimum Consolidated EBITDA</w:t>
      </w:r>
      <w:r>
        <w:rPr>
          <w:rFonts w:ascii="Arial" w:cs="Arial" w:eastAsia="Arial" w:hAnsi="Arial"/>
          <w:sz w:val="18"/>
          <w:szCs w:val="18"/>
          <w:color w:val="auto"/>
        </w:rPr>
        <w:t>. Borrower shall not permit Consolidated EBITDA as of the last day of any fiscal quarter of Borrower commencing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SECTION 10.09. Certain Payments of Indebtedness</w:t>
      </w:r>
      <w:r>
        <w:rPr>
          <w:rFonts w:ascii="Arial" w:cs="Arial" w:eastAsia="Arial" w:hAnsi="Arial"/>
          <w:sz w:val="16"/>
          <w:szCs w:val="16"/>
          <w:color w:val="auto"/>
        </w:rPr>
        <w:t>. None of Borrower or any of its Restricted Subsidiaries will, nor will they permit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Arial" w:cs="Arial" w:eastAsia="Arial" w:hAnsi="Arial"/>
          <w:sz w:val="16"/>
          <w:szCs w:val="16"/>
          <w:b w:val="1"/>
          <w:bCs w:val="1"/>
          <w:color w:val="auto"/>
        </w:rPr>
        <w:t>Junior Prepayments</w:t>
      </w:r>
      <w:r>
        <w:rPr>
          <w:rFonts w:ascii="Arial" w:cs="Arial" w:eastAsia="Arial" w:hAnsi="Arial"/>
          <w:sz w:val="16"/>
          <w:szCs w:val="16"/>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Investments made (and as calculated) pursuant to Section 10.04(s),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w:t>
      </w:r>
    </w:p>
    <w:p>
      <w:pPr>
        <w:spacing w:after="0" w:line="6" w:lineRule="exact"/>
        <w:rPr>
          <w:sz w:val="20"/>
          <w:szCs w:val="20"/>
          <w:color w:val="auto"/>
        </w:rPr>
      </w:pPr>
    </w:p>
    <w:p>
      <w:pPr>
        <w:jc w:val="both"/>
        <w:ind w:firstLine="8"/>
        <w:spacing w:after="0" w:line="267" w:lineRule="auto"/>
        <w:tabs>
          <w:tab w:leader="none" w:pos="274" w:val="left"/>
        </w:tabs>
        <w:numPr>
          <w:ilvl w:val="0"/>
          <w:numId w:val="583"/>
        </w:numPr>
        <w:rPr>
          <w:rFonts w:ascii="Arial" w:cs="Arial" w:eastAsia="Arial" w:hAnsi="Arial"/>
          <w:sz w:val="17"/>
          <w:szCs w:val="17"/>
          <w:color w:val="auto"/>
        </w:rPr>
      </w:pPr>
      <w:r>
        <w:rPr>
          <w:rFonts w:ascii="Arial" w:cs="Arial" w:eastAsia="Arial" w:hAnsi="Arial"/>
          <w:sz w:val="17"/>
          <w:szCs w:val="17"/>
          <w:color w:val="auto"/>
        </w:rPr>
        <w:t xml:space="preserve">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 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(l) Borrower may make Junior Prepayments in an aggregate amount not to exceed the Available Equity Amount.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None of Borrower or any of its Restricted Subsidiaries shall,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w:t>
      </w:r>
    </w:p>
    <w:p>
      <w:pPr>
        <w:sectPr>
          <w:pgSz w:w="11900" w:h="16838" w:orient="portrait"/>
          <w:cols w:equalWidth="0" w:num="1">
            <w:col w:w="11420"/>
          </w:cols>
          <w:pgMar w:left="240" w:top="364" w:right="239" w:bottom="1440" w:gutter="0" w:footer="0" w:header="0"/>
        </w:sectPr>
      </w:pPr>
    </w:p>
    <w:bookmarkStart w:id="470" w:name="page471"/>
    <w:bookmarkEnd w:id="470"/>
    <w:p>
      <w:pPr>
        <w:jc w:val="both"/>
        <w:spacing w:after="0" w:line="284" w:lineRule="auto"/>
        <w:rPr>
          <w:sz w:val="20"/>
          <w:szCs w:val="20"/>
          <w:color w:val="auto"/>
        </w:rPr>
      </w:pPr>
      <w:r>
        <w:rPr>
          <w:rFonts w:ascii="Arial" w:cs="Arial" w:eastAsia="Arial" w:hAnsi="Arial"/>
          <w:sz w:val="16"/>
          <w:szCs w:val="16"/>
          <w:color w:val="auto"/>
        </w:rPr>
        <w:t xml:space="preserve">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Arial" w:cs="Arial" w:eastAsia="Arial" w:hAnsi="Arial"/>
          <w:sz w:val="16"/>
          <w:szCs w:val="16"/>
          <w:u w:val="single" w:color="auto"/>
          <w:color w:val="auto"/>
        </w:rPr>
        <w:t>Schedule 10.01</w:t>
      </w:r>
      <w:r>
        <w:rPr>
          <w:rFonts w:ascii="Arial" w:cs="Arial" w:eastAsia="Arial" w:hAnsi="Arial"/>
          <w:sz w:val="16"/>
          <w:szCs w:val="16"/>
          <w:color w:val="auto"/>
        </w:rPr>
        <w:t xml:space="preserv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spacing w:after="0" w:line="1" w:lineRule="exact"/>
        <w:rPr>
          <w:sz w:val="20"/>
          <w:szCs w:val="20"/>
          <w:color w:val="auto"/>
        </w:rPr>
      </w:pPr>
    </w:p>
    <w:p>
      <w:pPr>
        <w:jc w:val="both"/>
        <w:ind w:firstLine="8"/>
        <w:spacing w:after="0" w:line="281" w:lineRule="auto"/>
        <w:tabs>
          <w:tab w:leader="none" w:pos="357"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subject to such licenses, leases and contracts and the Equity Interests of the Persons party to such licenses and contracts, (xi) restrictions contained in Indebtedness of Foreign Subsidiaries incurred pursuant to Section 10.01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apply only to the asset (or the Person owning such asset) being financed pursuant to such Indebtedness,</w:t>
      </w:r>
    </w:p>
    <w:p>
      <w:pPr>
        <w:spacing w:after="0" w:line="9" w:lineRule="exact"/>
        <w:rPr>
          <w:rFonts w:ascii="Arial" w:cs="Arial" w:eastAsia="Arial" w:hAnsi="Arial"/>
          <w:sz w:val="16"/>
          <w:szCs w:val="16"/>
          <w:color w:val="auto"/>
        </w:rPr>
      </w:pPr>
    </w:p>
    <w:p>
      <w:pPr>
        <w:jc w:val="both"/>
        <w:ind w:firstLine="8"/>
        <w:spacing w:after="0" w:line="252" w:lineRule="auto"/>
        <w:tabs>
          <w:tab w:leader="none" w:pos="41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restrictions contained in subordination provisions applicable to intercompany debt owed by the Credit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intercompany debt is subordinated to the Obligations on terms at least as favorable to the Lenders as the subordination 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 Note, </w:t>
      </w:r>
      <w:r>
        <w:rPr>
          <w:rFonts w:ascii="Arial" w:cs="Arial" w:eastAsia="Arial" w:hAnsi="Arial"/>
          <w:sz w:val="18"/>
          <w:szCs w:val="18"/>
          <w:i w:val="1"/>
          <w:iCs w:val="1"/>
          <w:color w:val="auto"/>
        </w:rPr>
        <w:t>provided</w:t>
      </w:r>
      <w:r>
        <w:rPr>
          <w:rFonts w:ascii="Arial" w:cs="Arial" w:eastAsia="Arial" w:hAnsi="Arial"/>
          <w:sz w:val="18"/>
          <w:szCs w:val="18"/>
          <w:color w:val="auto"/>
        </w:rPr>
        <w:t>, that such restrictions apply only to the asset (or the Person owning such asset) being financed pursuant to such Indebtedness.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Neither Borrower nor any Restricted Subsidiary shall directly or indirectly engage to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extent (determined on a consolidated basis) in any line or lines of business activity other than Permitted Business.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10.12. Limitation on Changes to Fiscal Year</w:t>
      </w:r>
      <w:r>
        <w:rPr>
          <w:rFonts w:ascii="Arial" w:cs="Arial" w:eastAsia="Arial" w:hAnsi="Arial"/>
          <w:sz w:val="18"/>
          <w:szCs w:val="18"/>
          <w:color w:val="auto"/>
        </w:rPr>
        <w:t>. Neither Borrower nor any Restricted Subsidiary shall change its fiscal year end to a date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December 31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ectPr>
          <w:pgSz w:w="11900" w:h="16838" w:orient="portrait"/>
          <w:cols w:equalWidth="0" w:num="1">
            <w:col w:w="11420"/>
          </w:cols>
          <w:pgMar w:left="240" w:top="368" w:right="239" w:bottom="1440" w:gutter="0" w:footer="0" w:header="0"/>
        </w:sectPr>
      </w:pPr>
    </w:p>
    <w:bookmarkStart w:id="471" w:name="page472"/>
    <w:bookmarkEnd w:id="471"/>
    <w:p>
      <w:pPr>
        <w:jc w:val="both"/>
        <w:ind w:left="-8" w:firstLine="8"/>
        <w:spacing w:after="0" w:line="255" w:lineRule="auto"/>
        <w:tabs>
          <w:tab w:leader="none" w:pos="418"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left="-8" w:firstLine="8"/>
        <w:spacing w:after="0" w:line="259" w:lineRule="auto"/>
        <w:tabs>
          <w:tab w:leader="none" w:pos="399" w:val="left"/>
        </w:tabs>
        <w:numPr>
          <w:ilvl w:val="0"/>
          <w:numId w:val="586"/>
        </w:numPr>
        <w:rPr>
          <w:rFonts w:ascii="Arial" w:cs="Arial" w:eastAsia="Arial" w:hAnsi="Arial"/>
          <w:sz w:val="18"/>
          <w:szCs w:val="18"/>
          <w:color w:val="auto"/>
        </w:rPr>
      </w:pPr>
      <w:r>
        <w:rPr>
          <w:rFonts w:ascii="Arial" w:cs="Arial" w:eastAsia="Arial" w:hAnsi="Arial"/>
          <w:sz w:val="18"/>
          <w:szCs w:val="18"/>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spacing w:after="0" w:line="186" w:lineRule="exact"/>
        <w:rPr>
          <w:rFonts w:ascii="Arial" w:cs="Arial" w:eastAsia="Arial" w:hAnsi="Arial"/>
          <w:sz w:val="18"/>
          <w:szCs w:val="18"/>
          <w:color w:val="auto"/>
        </w:rPr>
      </w:pPr>
    </w:p>
    <w:p>
      <w:pPr>
        <w:ind w:left="-8" w:firstLine="8"/>
        <w:spacing w:after="0" w:line="308" w:lineRule="auto"/>
        <w:tabs>
          <w:tab w:leader="none" w:pos="412" w:val="left"/>
        </w:tabs>
        <w:numPr>
          <w:ilvl w:val="0"/>
          <w:numId w:val="586"/>
        </w:numPr>
        <w:rPr>
          <w:rFonts w:ascii="Arial" w:cs="Arial" w:eastAsia="Arial" w:hAnsi="Arial"/>
          <w:sz w:val="17"/>
          <w:szCs w:val="17"/>
          <w:color w:val="auto"/>
        </w:rPr>
      </w:pPr>
      <w:r>
        <w:rPr>
          <w:rFonts w:ascii="Arial" w:cs="Arial" w:eastAsia="Arial" w:hAnsi="Arial"/>
          <w:sz w:val="17"/>
          <w:szCs w:val="17"/>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46" w:lineRule="exact"/>
        <w:rPr>
          <w:rFonts w:ascii="Arial" w:cs="Arial" w:eastAsia="Arial" w:hAnsi="Arial"/>
          <w:sz w:val="17"/>
          <w:szCs w:val="17"/>
          <w:color w:val="auto"/>
        </w:rPr>
      </w:pPr>
    </w:p>
    <w:p>
      <w:pPr>
        <w:jc w:val="both"/>
        <w:ind w:left="-8" w:firstLine="8"/>
        <w:spacing w:after="0" w:line="286" w:lineRule="auto"/>
        <w:tabs>
          <w:tab w:leader="none" w:pos="496" w:val="left"/>
        </w:tabs>
        <w:numPr>
          <w:ilvl w:val="0"/>
          <w:numId w:val="586"/>
        </w:numPr>
        <w:rPr>
          <w:rFonts w:ascii="Arial" w:cs="Arial" w:eastAsia="Arial" w:hAnsi="Arial"/>
          <w:sz w:val="17"/>
          <w:szCs w:val="17"/>
          <w:color w:val="auto"/>
        </w:rPr>
      </w:pPr>
      <w:r>
        <w:rPr>
          <w:rFonts w:ascii="Arial" w:cs="Arial" w:eastAsia="Arial" w:hAnsi="Arial"/>
          <w:sz w:val="17"/>
          <w:szCs w:val="17"/>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65" w:lineRule="exact"/>
        <w:rPr>
          <w:rFonts w:ascii="Arial" w:cs="Arial" w:eastAsia="Arial" w:hAnsi="Arial"/>
          <w:sz w:val="17"/>
          <w:szCs w:val="17"/>
          <w:color w:val="auto"/>
        </w:rPr>
      </w:pPr>
    </w:p>
    <w:p>
      <w:pPr>
        <w:jc w:val="both"/>
        <w:ind w:left="-8" w:firstLine="8"/>
        <w:spacing w:after="0" w:line="302" w:lineRule="auto"/>
        <w:tabs>
          <w:tab w:leader="none" w:pos="402" w:val="left"/>
        </w:tabs>
        <w:numPr>
          <w:ilvl w:val="0"/>
          <w:numId w:val="586"/>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Arial" w:cs="Arial" w:eastAsia="Arial" w:hAnsi="Arial"/>
          <w:sz w:val="16"/>
          <w:szCs w:val="16"/>
          <w:color w:val="auto"/>
        </w:rPr>
      </w:pPr>
    </w:p>
    <w:p>
      <w:pPr>
        <w:jc w:val="both"/>
        <w:ind w:left="-8" w:firstLine="8"/>
        <w:spacing w:after="0" w:line="286" w:lineRule="auto"/>
        <w:tabs>
          <w:tab w:leader="none" w:pos="37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clauses (i) 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74" w:lineRule="exact"/>
        <w:rPr>
          <w:rFonts w:ascii="Arial" w:cs="Arial" w:eastAsia="Arial" w:hAnsi="Arial"/>
          <w:sz w:val="16"/>
          <w:szCs w:val="16"/>
          <w:color w:val="auto"/>
        </w:rPr>
      </w:pPr>
    </w:p>
    <w:p>
      <w:pPr>
        <w:jc w:val="both"/>
        <w:ind w:left="-8" w:firstLine="8"/>
        <w:spacing w:after="0" w:line="279" w:lineRule="auto"/>
        <w:tabs>
          <w:tab w:leader="none" w:pos="45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w:t>
      </w:r>
    </w:p>
    <w:p>
      <w:pPr>
        <w:sectPr>
          <w:pgSz w:w="11900" w:h="16838" w:orient="portrait"/>
          <w:cols w:equalWidth="0" w:num="1">
            <w:col w:w="11412"/>
          </w:cols>
          <w:pgMar w:left="248" w:top="584" w:right="239" w:bottom="1440" w:gutter="0" w:footer="0" w:header="0"/>
        </w:sectPr>
      </w:pPr>
    </w:p>
    <w:bookmarkStart w:id="472" w:name="page473"/>
    <w:bookmarkEnd w:id="472"/>
    <w:p>
      <w:pPr>
        <w:jc w:val="both"/>
        <w:spacing w:after="0" w:line="259" w:lineRule="auto"/>
        <w:rPr>
          <w:sz w:val="20"/>
          <w:szCs w:val="20"/>
          <w:color w:val="auto"/>
        </w:rPr>
      </w:pPr>
      <w:r>
        <w:rPr>
          <w:rFonts w:ascii="Arial" w:cs="Arial" w:eastAsia="Arial" w:hAnsi="Arial"/>
          <w:sz w:val="18"/>
          <w:szCs w:val="18"/>
          <w:color w:val="auto"/>
        </w:rPr>
        <w:t>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87" w:lineRule="exact"/>
        <w:rPr>
          <w:sz w:val="20"/>
          <w:szCs w:val="20"/>
          <w:color w:val="auto"/>
        </w:rPr>
      </w:pPr>
    </w:p>
    <w:p>
      <w:pPr>
        <w:jc w:val="both"/>
        <w:ind w:firstLine="8"/>
        <w:spacing w:after="0" w:line="270" w:lineRule="auto"/>
        <w:tabs>
          <w:tab w:leader="none" w:pos="403" w:val="left"/>
        </w:tabs>
        <w:numPr>
          <w:ilvl w:val="0"/>
          <w:numId w:val="587"/>
        </w:numPr>
        <w:rPr>
          <w:rFonts w:ascii="Arial" w:cs="Arial" w:eastAsia="Arial" w:hAnsi="Arial"/>
          <w:sz w:val="17"/>
          <w:szCs w:val="17"/>
          <w:color w:val="auto"/>
        </w:rPr>
      </w:pPr>
      <w:r>
        <w:rPr>
          <w:rFonts w:ascii="Arial" w:cs="Arial" w:eastAsia="Arial" w:hAnsi="Arial"/>
          <w:sz w:val="17"/>
          <w:szCs w:val="17"/>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rFonts w:ascii="Arial" w:cs="Arial" w:eastAsia="Arial" w:hAnsi="Arial"/>
          <w:sz w:val="17"/>
          <w:szCs w:val="17"/>
          <w:color w:val="auto"/>
        </w:rPr>
      </w:pPr>
    </w:p>
    <w:p>
      <w:pPr>
        <w:jc w:val="both"/>
        <w:ind w:firstLine="8"/>
        <w:spacing w:after="0" w:line="257" w:lineRule="auto"/>
        <w:tabs>
          <w:tab w:leader="none" w:pos="355" w:val="left"/>
        </w:tabs>
        <w:numPr>
          <w:ilvl w:val="0"/>
          <w:numId w:val="587"/>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right="20" w:firstLine="8"/>
        <w:spacing w:after="0" w:line="277" w:lineRule="auto"/>
        <w:tabs>
          <w:tab w:leader="none" w:pos="379"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jc w:val="both"/>
        <w:ind w:firstLine="8"/>
        <w:spacing w:after="0" w:line="297" w:lineRule="auto"/>
        <w:tabs>
          <w:tab w:leader="none" w:pos="421" w:val="left"/>
        </w:tabs>
        <w:numPr>
          <w:ilvl w:val="0"/>
          <w:numId w:val="587"/>
        </w:numPr>
        <w:rPr>
          <w:rFonts w:ascii="Arial" w:cs="Arial" w:eastAsia="Arial" w:hAnsi="Arial"/>
          <w:sz w:val="16"/>
          <w:szCs w:val="16"/>
          <w:color w:val="auto"/>
        </w:rPr>
      </w:pPr>
      <w:r>
        <w:rPr>
          <w:rFonts w:ascii="Arial" w:cs="Arial" w:eastAsia="Arial" w:hAnsi="Arial"/>
          <w:sz w:val="16"/>
          <w:szCs w:val="16"/>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 Document) security interest in or Lien on the Collateral covered thereby, in each case, other than as a result of an act of the Administrative Agent, the Collateral Agent or any other Secured Party;</w:t>
      </w:r>
    </w:p>
    <w:p>
      <w:pPr>
        <w:spacing w:after="0" w:line="158" w:lineRule="exact"/>
        <w:rPr>
          <w:rFonts w:ascii="Arial" w:cs="Arial" w:eastAsia="Arial" w:hAnsi="Arial"/>
          <w:sz w:val="16"/>
          <w:szCs w:val="16"/>
          <w:color w:val="auto"/>
        </w:rPr>
      </w:pPr>
    </w:p>
    <w:p>
      <w:pPr>
        <w:ind w:firstLine="8"/>
        <w:spacing w:after="0" w:line="342" w:lineRule="auto"/>
        <w:tabs>
          <w:tab w:leader="none" w:pos="376" w:val="left"/>
        </w:tabs>
        <w:numPr>
          <w:ilvl w:val="0"/>
          <w:numId w:val="587"/>
        </w:numPr>
        <w:rPr>
          <w:rFonts w:ascii="Arial" w:cs="Arial" w:eastAsia="Arial" w:hAnsi="Arial"/>
          <w:sz w:val="16"/>
          <w:szCs w:val="16"/>
          <w:color w:val="auto"/>
        </w:rPr>
      </w:pPr>
      <w:r>
        <w:rPr>
          <w:rFonts w:ascii="Arial" w:cs="Arial" w:eastAsia="Arial" w:hAnsi="Arial"/>
          <w:sz w:val="16"/>
          <w:szCs w:val="16"/>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23" w:lineRule="exact"/>
        <w:rPr>
          <w:rFonts w:ascii="Arial" w:cs="Arial" w:eastAsia="Arial" w:hAnsi="Arial"/>
          <w:sz w:val="16"/>
          <w:szCs w:val="16"/>
          <w:color w:val="auto"/>
        </w:rPr>
      </w:pPr>
    </w:p>
    <w:p>
      <w:pPr>
        <w:jc w:val="both"/>
        <w:ind w:firstLine="8"/>
        <w:spacing w:after="0" w:line="259" w:lineRule="auto"/>
        <w:tabs>
          <w:tab w:leader="none" w:pos="45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8"/>
        <w:spacing w:after="0" w:line="279" w:lineRule="auto"/>
        <w:tabs>
          <w:tab w:leader="none" w:pos="478" w:val="left"/>
        </w:tabs>
        <w:numPr>
          <w:ilvl w:val="0"/>
          <w:numId w:val="587"/>
        </w:numPr>
        <w:rPr>
          <w:rFonts w:ascii="Arial" w:cs="Arial" w:eastAsia="Arial" w:hAnsi="Arial"/>
          <w:sz w:val="17"/>
          <w:szCs w:val="17"/>
          <w:color w:val="auto"/>
        </w:rPr>
      </w:pPr>
      <w:r>
        <w:rPr>
          <w:rFonts w:ascii="Arial" w:cs="Arial" w:eastAsia="Arial" w:hAnsi="Arial"/>
          <w:sz w:val="17"/>
          <w:szCs w:val="17"/>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License Revocation continues for at least thirty (30) consecutive days</w:t>
      </w:r>
    </w:p>
    <w:p>
      <w:pPr>
        <w:sectPr>
          <w:pgSz w:w="11900" w:h="16838" w:orient="portrait"/>
          <w:cols w:equalWidth="0" w:num="1">
            <w:col w:w="11420"/>
          </w:cols>
          <w:pgMar w:left="240" w:top="368" w:right="239" w:bottom="1440" w:gutter="0" w:footer="0" w:header="0"/>
        </w:sectPr>
      </w:pPr>
    </w:p>
    <w:bookmarkStart w:id="473" w:name="page474"/>
    <w:bookmarkEnd w:id="473"/>
    <w:p>
      <w:pPr>
        <w:spacing w:after="0" w:line="277" w:lineRule="auto"/>
        <w:rPr>
          <w:sz w:val="20"/>
          <w:szCs w:val="20"/>
          <w:color w:val="auto"/>
        </w:rPr>
      </w:pPr>
      <w:r>
        <w:rPr>
          <w:rFonts w:ascii="Arial" w:cs="Arial" w:eastAsia="Arial" w:hAnsi="Arial"/>
          <w:sz w:val="18"/>
          <w:szCs w:val="18"/>
          <w:color w:val="auto"/>
        </w:rPr>
        <w:t>after the earlier of (x) 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70" w:lineRule="exact"/>
        <w:rPr>
          <w:sz w:val="20"/>
          <w:szCs w:val="20"/>
          <w:color w:val="auto"/>
        </w:rPr>
      </w:pPr>
    </w:p>
    <w:p>
      <w:pPr>
        <w:jc w:val="both"/>
        <w:ind w:firstLine="8"/>
        <w:spacing w:after="0" w:line="264" w:lineRule="auto"/>
        <w:tabs>
          <w:tab w:leader="none" w:pos="41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being entered into, terminate, cease to be effective or cease to be legally valid, binding and enforceable against the Persons party thereto, except in accordance with its terms;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 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11.02. Application of Proceeds</w:t>
      </w:r>
      <w:r>
        <w:rPr>
          <w:rFonts w:ascii="Arial" w:cs="Arial" w:eastAsia="Arial" w:hAnsi="Arial"/>
          <w:sz w:val="16"/>
          <w:szCs w:val="16"/>
          <w:color w:val="auto"/>
        </w:rPr>
        <w:t>. The proceeds received by Collateral Agent in respect of any sale of, collection from or other realization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46" w:lineRule="exact"/>
        <w:rPr>
          <w:sz w:val="20"/>
          <w:szCs w:val="20"/>
          <w:color w:val="auto"/>
        </w:rPr>
      </w:pPr>
    </w:p>
    <w:p>
      <w:pPr>
        <w:jc w:val="both"/>
        <w:ind w:firstLine="8"/>
        <w:spacing w:after="0" w:line="259" w:lineRule="auto"/>
        <w:tabs>
          <w:tab w:leader="none" w:pos="515" w:val="left"/>
        </w:tabs>
        <w:numPr>
          <w:ilvl w:val="0"/>
          <w:numId w:val="58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8"/>
        <w:spacing w:after="0" w:line="264" w:lineRule="auto"/>
        <w:tabs>
          <w:tab w:leader="none" w:pos="444" w:val="left"/>
        </w:tabs>
        <w:numPr>
          <w:ilvl w:val="0"/>
          <w:numId w:val="589"/>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8"/>
        <w:spacing w:after="0" w:line="264" w:lineRule="auto"/>
        <w:tabs>
          <w:tab w:leader="none" w:pos="393" w:val="left"/>
        </w:tabs>
        <w:numPr>
          <w:ilvl w:val="0"/>
          <w:numId w:val="58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of amounts applied pursuant to clauses (a) and (b) above,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amounts constituting Obligations (other than principal, reimbursement obligations in respect of L/C Liabilities and obligations to Cash Collateralize L/C Liabilities) and any fees, premiums</w:t>
      </w:r>
    </w:p>
    <w:p>
      <w:pPr>
        <w:sectPr>
          <w:pgSz w:w="11900" w:h="16838" w:orient="portrait"/>
          <w:cols w:equalWidth="0" w:num="1">
            <w:col w:w="11420"/>
          </w:cols>
          <w:pgMar w:left="240" w:top="368" w:right="239" w:bottom="1440" w:gutter="0" w:footer="0" w:header="0"/>
        </w:sectPr>
      </w:pPr>
    </w:p>
    <w:bookmarkStart w:id="474" w:name="page475"/>
    <w:bookmarkEnd w:id="474"/>
    <w:p>
      <w:pPr>
        <w:jc w:val="both"/>
        <w:spacing w:after="0" w:line="264" w:lineRule="auto"/>
        <w:rPr>
          <w:sz w:val="20"/>
          <w:szCs w:val="20"/>
          <w:color w:val="auto"/>
        </w:rPr>
      </w:pPr>
      <w:r>
        <w:rPr>
          <w:rFonts w:ascii="Arial" w:cs="Arial" w:eastAsia="Arial" w:hAnsi="Arial"/>
          <w:sz w:val="18"/>
          <w:szCs w:val="18"/>
          <w:color w:val="auto"/>
        </w:rPr>
        <w:t>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81" w:lineRule="exact"/>
        <w:rPr>
          <w:sz w:val="20"/>
          <w:szCs w:val="20"/>
          <w:color w:val="auto"/>
        </w:rPr>
      </w:pPr>
    </w:p>
    <w:p>
      <w:pPr>
        <w:jc w:val="both"/>
        <w:ind w:firstLine="8"/>
        <w:spacing w:after="0" w:line="259" w:lineRule="auto"/>
        <w:tabs>
          <w:tab w:leader="none" w:pos="39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 thereon (including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6" w:lineRule="exact"/>
        <w:rPr>
          <w:rFonts w:ascii="Arial" w:cs="Arial" w:eastAsia="Arial" w:hAnsi="Arial"/>
          <w:sz w:val="18"/>
          <w:szCs w:val="18"/>
          <w:color w:val="auto"/>
        </w:rPr>
      </w:pPr>
    </w:p>
    <w:p>
      <w:pPr>
        <w:ind w:right="20" w:firstLine="8"/>
        <w:spacing w:after="0" w:line="258" w:lineRule="auto"/>
        <w:tabs>
          <w:tab w:leader="none" w:pos="447"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competent jurisdiction may direct.</w:t>
      </w:r>
    </w:p>
    <w:p>
      <w:pPr>
        <w:spacing w:after="0" w:line="1"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11.03 Borrower’s Right to Cure</w:t>
      </w:r>
      <w:r>
        <w:rPr>
          <w:rFonts w:ascii="Arial" w:cs="Arial" w:eastAsia="Arial" w:hAnsi="Arial"/>
          <w:sz w:val="16"/>
          <w:szCs w:val="16"/>
          <w:color w:val="auto"/>
        </w:rPr>
        <w:t>. Notwithstanding anything to the contrary contained in Section 10.08, in the event that Borrower shall fail</w:t>
      </w:r>
      <w:r>
        <w:rPr>
          <w:rFonts w:ascii="Arial" w:cs="Arial" w:eastAsia="Arial" w:hAnsi="Arial"/>
          <w:sz w:val="16"/>
          <w:szCs w:val="16"/>
          <w:b w:val="1"/>
          <w:bCs w:val="1"/>
          <w:color w:val="auto"/>
        </w:rPr>
        <w:t xml:space="preserve"> </w:t>
      </w:r>
      <w:r>
        <w:rPr>
          <w:rFonts w:ascii="Arial" w:cs="Arial" w:eastAsia="Arial" w:hAnsi="Arial"/>
          <w:sz w:val="16"/>
          <w:szCs w:val="16"/>
          <w:color w:val="auto"/>
        </w:rPr>
        <w:t>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 the “</w:t>
      </w:r>
      <w:r>
        <w:rPr>
          <w:rFonts w:ascii="Arial" w:cs="Arial" w:eastAsia="Arial" w:hAnsi="Arial"/>
          <w:sz w:val="16"/>
          <w:szCs w:val="16"/>
          <w:b w:val="1"/>
          <w:bCs w:val="1"/>
          <w:color w:val="auto"/>
        </w:rPr>
        <w:t>Cure Expiration Date</w:t>
      </w:r>
      <w:r>
        <w:rPr>
          <w:rFonts w:ascii="Arial" w:cs="Arial" w:eastAsia="Arial" w:hAnsi="Arial"/>
          <w:sz w:val="16"/>
          <w:szCs w:val="16"/>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Arial" w:cs="Arial" w:eastAsia="Arial" w:hAnsi="Arial"/>
          <w:sz w:val="16"/>
          <w:szCs w:val="16"/>
          <w:b w:val="1"/>
          <w:bCs w:val="1"/>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no Lender shall be required to make any extension of credit during the ten (10) Business Day period referred to above if Borrower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ectPr>
          <w:pgSz w:w="11900" w:h="16838" w:orient="portrait"/>
          <w:cols w:equalWidth="0" w:num="1">
            <w:col w:w="11420"/>
          </w:cols>
          <w:pgMar w:left="240" w:top="369"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12.01. Appointment</w:t>
      </w:r>
      <w:r>
        <w:rPr>
          <w:rFonts w:ascii="Arial" w:cs="Arial" w:eastAsia="Arial" w:hAnsi="Arial"/>
          <w:sz w:val="16"/>
          <w:szCs w:val="16"/>
          <w:color w:val="auto"/>
        </w:rPr>
        <w:t>. Each of the Lenders hereby irrevocably appoints DB to act on its behalf as the Administrative Agent and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 Lender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18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SECTION 12.03. Exculpatory Provisions</w:t>
      </w:r>
      <w:r>
        <w:rPr>
          <w:rFonts w:ascii="Arial" w:cs="Arial" w:eastAsia="Arial" w:hAnsi="Arial"/>
          <w:sz w:val="17"/>
          <w:szCs w:val="17"/>
          <w:color w:val="auto"/>
        </w:rPr>
        <w:t>. No Agent shall have any duties or obligations except those expressly set forth herein and in the other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each Agent’s duties hereunder shall be administrative in nature. Without limiting the generality of the foregoing, no Agent:</w:t>
      </w:r>
    </w:p>
    <w:p>
      <w:pPr>
        <w:spacing w:after="0" w:line="142" w:lineRule="exact"/>
        <w:rPr>
          <w:sz w:val="20"/>
          <w:szCs w:val="20"/>
          <w:color w:val="auto"/>
        </w:rPr>
      </w:pPr>
    </w:p>
    <w:p>
      <w:pPr>
        <w:ind w:right="20" w:firstLine="8"/>
        <w:spacing w:after="0" w:line="277" w:lineRule="auto"/>
        <w:tabs>
          <w:tab w:leader="none" w:pos="383" w:val="left"/>
        </w:tabs>
        <w:numPr>
          <w:ilvl w:val="0"/>
          <w:numId w:val="591"/>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8"/>
        <w:spacing w:after="0" w:line="273" w:lineRule="auto"/>
        <w:tabs>
          <w:tab w:leader="none" w:pos="394" w:val="left"/>
        </w:tabs>
        <w:numPr>
          <w:ilvl w:val="0"/>
          <w:numId w:val="591"/>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right="20" w:firstLine="8"/>
        <w:spacing w:after="0" w:line="264" w:lineRule="auto"/>
        <w:tabs>
          <w:tab w:leader="none" w:pos="389" w:val="left"/>
        </w:tabs>
        <w:numPr>
          <w:ilvl w:val="0"/>
          <w:numId w:val="591"/>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ectPr>
          <w:pgSz w:w="11900" w:h="16838" w:orient="portrait"/>
          <w:cols w:equalWidth="0" w:num="1">
            <w:col w:w="11420"/>
          </w:cols>
          <w:pgMar w:left="240" w:top="584" w:right="239" w:bottom="1440" w:gutter="0" w:footer="0" w:header="0"/>
        </w:sectPr>
      </w:pPr>
    </w:p>
    <w:bookmarkStart w:id="476" w:name="page477"/>
    <w:bookmarkEnd w:id="476"/>
    <w:p>
      <w:pPr>
        <w:jc w:val="both"/>
        <w:ind w:firstLine="648"/>
        <w:spacing w:after="0" w:line="257" w:lineRule="auto"/>
        <w:rPr>
          <w:sz w:val="20"/>
          <w:szCs w:val="20"/>
          <w:color w:val="auto"/>
        </w:rPr>
      </w:pPr>
      <w:r>
        <w:rPr>
          <w:rFonts w:ascii="Arial" w:cs="Arial" w:eastAsia="Arial" w:hAnsi="Arial"/>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12.04. Reliance by Agents</w:t>
      </w:r>
      <w:r>
        <w:rPr>
          <w:rFonts w:ascii="Arial" w:cs="Arial" w:eastAsia="Arial" w:hAnsi="Arial"/>
          <w:sz w:val="17"/>
          <w:szCs w:val="17"/>
          <w:color w:val="auto"/>
        </w:rPr>
        <w:t>. Each Agent shall be entitled to rely upon, and shall not incur any liability for relying upon, any notice,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7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5"/>
        <w:spacing w:after="0" w:line="302" w:lineRule="auto"/>
        <w:tabs>
          <w:tab w:leader="none" w:pos="2156"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w:t>
      </w:r>
    </w:p>
    <w:p>
      <w:pPr>
        <w:sectPr>
          <w:pgSz w:w="11900" w:h="16838" w:orient="portrait"/>
          <w:cols w:equalWidth="0" w:num="1">
            <w:col w:w="11420"/>
          </w:cols>
          <w:pgMar w:left="240" w:top="368" w:right="239" w:bottom="1440" w:gutter="0" w:footer="0" w:header="0"/>
        </w:sectPr>
      </w:pPr>
    </w:p>
    <w:bookmarkStart w:id="477" w:name="page478"/>
    <w:bookmarkEnd w:id="477"/>
    <w:p>
      <w:pPr>
        <w:jc w:val="both"/>
        <w:ind w:left="652"/>
        <w:spacing w:after="0" w:line="302" w:lineRule="auto"/>
        <w:rPr>
          <w:sz w:val="20"/>
          <w:szCs w:val="20"/>
          <w:color w:val="auto"/>
        </w:rPr>
      </w:pPr>
      <w:r>
        <w:rPr>
          <w:rFonts w:ascii="Arial" w:cs="Arial" w:eastAsia="Arial" w:hAnsi="Arial"/>
          <w:sz w:val="18"/>
          <w:szCs w:val="18"/>
          <w:color w:val="auto"/>
        </w:rPr>
        <w:t>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93" w:lineRule="exact"/>
        <w:rPr>
          <w:sz w:val="20"/>
          <w:szCs w:val="20"/>
          <w:color w:val="auto"/>
        </w:rPr>
      </w:pPr>
    </w:p>
    <w:p>
      <w:pPr>
        <w:jc w:val="both"/>
        <w:ind w:left="-8" w:firstLine="656"/>
        <w:spacing w:after="0" w:line="325" w:lineRule="auto"/>
        <w:tabs>
          <w:tab w:leader="none" w:pos="1498" w:val="left"/>
        </w:tabs>
        <w:numPr>
          <w:ilvl w:val="1"/>
          <w:numId w:val="593"/>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5" w:lineRule="exact"/>
        <w:rPr>
          <w:rFonts w:ascii="Arial" w:cs="Arial" w:eastAsia="Arial" w:hAnsi="Arial"/>
          <w:sz w:val="17"/>
          <w:szCs w:val="17"/>
          <w:color w:val="auto"/>
        </w:rPr>
      </w:pPr>
    </w:p>
    <w:p>
      <w:pPr>
        <w:jc w:val="both"/>
        <w:ind w:left="-8" w:firstLine="656"/>
        <w:spacing w:after="0" w:line="317" w:lineRule="auto"/>
        <w:tabs>
          <w:tab w:leader="none" w:pos="1488" w:val="left"/>
        </w:tabs>
        <w:numPr>
          <w:ilvl w:val="1"/>
          <w:numId w:val="593"/>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87" w:lineRule="exact"/>
        <w:rPr>
          <w:rFonts w:ascii="Arial" w:cs="Arial" w:eastAsia="Arial" w:hAnsi="Arial"/>
          <w:sz w:val="17"/>
          <w:szCs w:val="17"/>
          <w:color w:val="auto"/>
        </w:rPr>
      </w:pPr>
    </w:p>
    <w:p>
      <w:pPr>
        <w:jc w:val="both"/>
        <w:ind w:left="-8" w:firstLine="656"/>
        <w:spacing w:after="0" w:line="334" w:lineRule="auto"/>
        <w:tabs>
          <w:tab w:leader="none" w:pos="1498" w:val="left"/>
        </w:tabs>
        <w:numPr>
          <w:ilvl w:val="1"/>
          <w:numId w:val="593"/>
        </w:numPr>
        <w:rPr>
          <w:rFonts w:ascii="Arial" w:cs="Arial" w:eastAsia="Arial" w:hAnsi="Arial"/>
          <w:sz w:val="16"/>
          <w:szCs w:val="16"/>
          <w:color w:val="auto"/>
        </w:rPr>
      </w:pPr>
      <w:r>
        <w:rPr>
          <w:rFonts w:ascii="Arial" w:cs="Arial" w:eastAsia="Arial" w:hAnsi="Arial"/>
          <w:sz w:val="16"/>
          <w:szCs w:val="16"/>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3" w:lineRule="exact"/>
        <w:rPr>
          <w:rFonts w:ascii="Arial" w:cs="Arial" w:eastAsia="Arial" w:hAnsi="Arial"/>
          <w:sz w:val="16"/>
          <w:szCs w:val="16"/>
          <w:color w:val="auto"/>
        </w:rPr>
      </w:pPr>
    </w:p>
    <w:p>
      <w:pPr>
        <w:jc w:val="both"/>
        <w:ind w:left="-8" w:firstLine="8"/>
        <w:spacing w:after="0" w:line="311" w:lineRule="auto"/>
        <w:tabs>
          <w:tab w:leader="none" w:pos="24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ectPr>
          <w:pgSz w:w="11900" w:h="16838" w:orient="portrait"/>
          <w:cols w:equalWidth="0" w:num="1">
            <w:col w:w="11412"/>
          </w:cols>
          <w:pgMar w:left="248" w:top="395" w:right="239" w:bottom="1440" w:gutter="0" w:footer="0" w:header="0"/>
        </w:sectPr>
      </w:pPr>
    </w:p>
    <w:bookmarkStart w:id="478" w:name="page479"/>
    <w:bookmarkEnd w:id="478"/>
    <w:p>
      <w:pPr>
        <w:spacing w:after="0"/>
        <w:tabs>
          <w:tab w:leader="none" w:pos="148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firstLine="8"/>
        <w:spacing w:after="0" w:line="276" w:lineRule="auto"/>
        <w:tabs>
          <w:tab w:leader="none" w:pos="388" w:val="left"/>
        </w:tabs>
        <w:numPr>
          <w:ilvl w:val="0"/>
          <w:numId w:val="595"/>
        </w:numPr>
        <w:rPr>
          <w:rFonts w:ascii="Arial" w:cs="Arial" w:eastAsia="Arial" w:hAnsi="Arial"/>
          <w:sz w:val="17"/>
          <w:szCs w:val="17"/>
          <w:color w:val="auto"/>
        </w:rPr>
      </w:pPr>
      <w:r>
        <w:rPr>
          <w:rFonts w:ascii="Arial" w:cs="Arial" w:eastAsia="Arial" w:hAnsi="Arial"/>
          <w:sz w:val="17"/>
          <w:szCs w:val="17"/>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72" w:lineRule="exact"/>
        <w:rPr>
          <w:rFonts w:ascii="Arial" w:cs="Arial" w:eastAsia="Arial" w:hAnsi="Arial"/>
          <w:sz w:val="17"/>
          <w:szCs w:val="17"/>
          <w:color w:val="auto"/>
        </w:rPr>
      </w:pPr>
    </w:p>
    <w:p>
      <w:pPr>
        <w:jc w:val="both"/>
        <w:ind w:firstLine="8"/>
        <w:spacing w:after="0" w:line="269" w:lineRule="auto"/>
        <w:tabs>
          <w:tab w:leader="none" w:pos="43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 (ii) 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(iii) such Lender has independently and without reliance on any other party made such Lender’s own analysis and determined to enter into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Excluded Information shall not and does not affect the truth or accuracy of the representations or warranties of Borrower in the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set forth in the applicable assignment agreement. Each Lender further acknowledges that the Excluded Information may not be available to Administrative Agent, Auction Manager or the other Lenders hereunder.</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12.08. Indemnification</w:t>
      </w:r>
      <w:r>
        <w:rPr>
          <w:rFonts w:ascii="Arial" w:cs="Arial" w:eastAsia="Arial" w:hAnsi="Arial"/>
          <w:sz w:val="16"/>
          <w:szCs w:val="16"/>
          <w:color w:val="auto"/>
        </w:rPr>
        <w:t>. The Lenders agree to reimburse and indemnify each Agent in its capacity as such ratably according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the Administrative Agent, Collateral Agent,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 and until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the assignment, transfer or endorsement thereof, as</w:t>
      </w:r>
    </w:p>
    <w:p>
      <w:pPr>
        <w:sectPr>
          <w:pgSz w:w="11900" w:h="16838" w:orient="portrait"/>
          <w:cols w:equalWidth="0" w:num="1">
            <w:col w:w="11420"/>
          </w:cols>
          <w:pgMar w:left="240" w:top="580" w:right="239" w:bottom="1440" w:gutter="0" w:footer="0" w:header="0"/>
        </w:sectPr>
      </w:pPr>
    </w:p>
    <w:bookmarkStart w:id="479" w:name="page480"/>
    <w:bookmarkEnd w:id="479"/>
    <w:p>
      <w:pPr>
        <w:jc w:val="both"/>
        <w:spacing w:after="0" w:line="256" w:lineRule="auto"/>
        <w:rPr>
          <w:sz w:val="20"/>
          <w:szCs w:val="20"/>
          <w:color w:val="auto"/>
        </w:rPr>
      </w:pPr>
      <w:r>
        <w:rPr>
          <w:rFonts w:ascii="Arial" w:cs="Arial" w:eastAsia="Arial" w:hAnsi="Arial"/>
          <w:sz w:val="18"/>
          <w:szCs w:val="18"/>
          <w:color w:val="auto"/>
        </w:rPr>
        <w:t>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jc w:val="both"/>
        <w:spacing w:after="0" w:line="300" w:lineRule="auto"/>
        <w:rPr>
          <w:sz w:val="20"/>
          <w:szCs w:val="20"/>
          <w:color w:val="auto"/>
        </w:rPr>
      </w:pPr>
      <w:r>
        <w:rPr>
          <w:rFonts w:ascii="Arial" w:cs="Arial" w:eastAsia="Arial" w:hAnsi="Arial"/>
          <w:sz w:val="18"/>
          <w:szCs w:val="18"/>
          <w:b w:val="1"/>
          <w:bCs w:val="1"/>
          <w:color w:val="auto"/>
        </w:rPr>
        <w:t>SECTION 12.11. Administrative Agent May File Proofs of Claim</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the pendency of any proceeding under any Debtor Relief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64" w:lineRule="exact"/>
        <w:rPr>
          <w:sz w:val="20"/>
          <w:szCs w:val="20"/>
          <w:color w:val="auto"/>
        </w:rPr>
      </w:pPr>
    </w:p>
    <w:p>
      <w:pPr>
        <w:jc w:val="both"/>
        <w:ind w:firstLine="8"/>
        <w:spacing w:after="0" w:line="279" w:lineRule="auto"/>
        <w:tabs>
          <w:tab w:leader="none" w:pos="451" w:val="left"/>
        </w:tabs>
        <w:numPr>
          <w:ilvl w:val="0"/>
          <w:numId w:val="596"/>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71" w:lineRule="exact"/>
        <w:rPr>
          <w:rFonts w:ascii="Arial" w:cs="Arial" w:eastAsia="Arial" w:hAnsi="Arial"/>
          <w:sz w:val="17"/>
          <w:szCs w:val="17"/>
          <w:color w:val="auto"/>
        </w:rPr>
      </w:pPr>
    </w:p>
    <w:p>
      <w:pPr>
        <w:ind w:left="400" w:hanging="392"/>
        <w:spacing w:after="0"/>
        <w:tabs>
          <w:tab w:leader="none" w:pos="4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6"/>
          <w:szCs w:val="16"/>
          <w:b w:val="1"/>
          <w:bCs w:val="1"/>
          <w:color w:val="auto"/>
        </w:rPr>
        <w:t>Collateral Matters</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72" w:lineRule="auto"/>
        <w:tabs>
          <w:tab w:leader="none" w:pos="398" w:val="left"/>
        </w:tabs>
        <w:numPr>
          <w:ilvl w:val="0"/>
          <w:numId w:val="597"/>
        </w:numPr>
        <w:rPr>
          <w:rFonts w:ascii="Arial" w:cs="Arial" w:eastAsia="Arial" w:hAnsi="Arial"/>
          <w:sz w:val="17"/>
          <w:szCs w:val="17"/>
          <w:color w:val="auto"/>
        </w:rPr>
      </w:pPr>
      <w:r>
        <w:rPr>
          <w:rFonts w:ascii="Arial" w:cs="Arial" w:eastAsia="Arial" w:hAnsi="Arial"/>
          <w:sz w:val="17"/>
          <w:szCs w:val="17"/>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77" w:lineRule="exact"/>
        <w:rPr>
          <w:rFonts w:ascii="Arial" w:cs="Arial" w:eastAsia="Arial" w:hAnsi="Arial"/>
          <w:sz w:val="17"/>
          <w:szCs w:val="17"/>
          <w:color w:val="auto"/>
        </w:rPr>
      </w:pPr>
    </w:p>
    <w:p>
      <w:pPr>
        <w:jc w:val="both"/>
        <w:ind w:firstLine="8"/>
        <w:spacing w:after="0" w:line="291" w:lineRule="auto"/>
        <w:tabs>
          <w:tab w:leader="none" w:pos="40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w:t>
      </w:r>
    </w:p>
    <w:p>
      <w:pPr>
        <w:sectPr>
          <w:pgSz w:w="11900" w:h="16838" w:orient="portrait"/>
          <w:cols w:equalWidth="0" w:num="1">
            <w:col w:w="11420"/>
          </w:cols>
          <w:pgMar w:left="240" w:top="369" w:right="239" w:bottom="1440" w:gutter="0" w:footer="0" w:header="0"/>
        </w:sectPr>
      </w:pPr>
    </w:p>
    <w:bookmarkStart w:id="480" w:name="page481"/>
    <w:bookmarkEnd w:id="480"/>
    <w:p>
      <w:pPr>
        <w:jc w:val="both"/>
        <w:spacing w:after="0" w:line="277" w:lineRule="auto"/>
        <w:rPr>
          <w:sz w:val="20"/>
          <w:szCs w:val="20"/>
          <w:color w:val="auto"/>
        </w:rPr>
      </w:pPr>
      <w:r>
        <w:rPr>
          <w:rFonts w:ascii="Arial" w:cs="Arial" w:eastAsia="Arial" w:hAnsi="Arial"/>
          <w:sz w:val="18"/>
          <w:szCs w:val="18"/>
          <w:color w:val="auto"/>
        </w:rPr>
        <w:t>shall have no duty or liability whatsoever to the Lenders or the other Secured Parties, except for its gross negligence or willful misconduct (as determined by a court of competent jurisdiction in a final and non-appealable decision).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SECTION 12.14. Secured Cash Management Agreements and Swap Contracts</w:t>
      </w:r>
      <w:r>
        <w:rPr>
          <w:rFonts w:ascii="Arial" w:cs="Arial" w:eastAsia="Arial" w:hAnsi="Arial"/>
          <w:sz w:val="18"/>
          <w:szCs w:val="18"/>
          <w:color w:val="auto"/>
        </w:rPr>
        <w:t>. Except as otherwise expressly set forth herein or in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00" w:lineRule="exact"/>
        <w:rPr>
          <w:sz w:val="20"/>
          <w:szCs w:val="20"/>
          <w:color w:val="auto"/>
        </w:rPr>
      </w:pP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1" w:lineRule="auto"/>
        <w:tabs>
          <w:tab w:leader="none" w:pos="489"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ectPr>
          <w:pgSz w:w="11900" w:h="16838" w:orient="portrait"/>
          <w:cols w:equalWidth="0" w:num="1">
            <w:col w:w="11420"/>
          </w:cols>
          <w:pgMar w:left="240" w:top="368" w:right="239" w:bottom="1440" w:gutter="0" w:footer="0" w:header="0"/>
        </w:sectPr>
      </w:pPr>
    </w:p>
    <w:bookmarkStart w:id="481" w:name="page482"/>
    <w:bookmarkEnd w:id="481"/>
    <w:p>
      <w:pPr>
        <w:ind w:left="660" w:hanging="4"/>
        <w:spacing w:after="0" w:line="258" w:lineRule="auto"/>
        <w:tabs>
          <w:tab w:leader="none" w:pos="104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 w:lineRule="exact"/>
        <w:rPr>
          <w:rFonts w:ascii="Arial" w:cs="Arial" w:eastAsia="Arial" w:hAnsi="Arial"/>
          <w:sz w:val="18"/>
          <w:szCs w:val="18"/>
          <w:color w:val="auto"/>
        </w:rPr>
      </w:pPr>
    </w:p>
    <w:p>
      <w:pPr>
        <w:ind w:left="660" w:right="20" w:hanging="4"/>
        <w:spacing w:after="0" w:line="261" w:lineRule="auto"/>
        <w:tabs>
          <w:tab w:leader="none" w:pos="107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83" w:lineRule="exact"/>
        <w:rPr>
          <w:sz w:val="20"/>
          <w:szCs w:val="20"/>
          <w:color w:val="auto"/>
        </w:rPr>
      </w:pPr>
    </w:p>
    <w:p>
      <w:pPr>
        <w:jc w:val="both"/>
        <w:ind w:firstLine="8"/>
        <w:spacing w:after="0" w:line="220" w:lineRule="exact"/>
        <w:tabs>
          <w:tab w:leader="none" w:pos="401"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 communication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8"/>
        <w:spacing w:after="0" w:line="261" w:lineRule="auto"/>
        <w:tabs>
          <w:tab w:leader="none" w:pos="441"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Change of Address, Etc</w:t>
      </w:r>
      <w:r>
        <w:rPr>
          <w:rFonts w:ascii="Arial" w:cs="Arial" w:eastAsia="Arial" w:hAnsi="Arial"/>
          <w:sz w:val="18"/>
          <w:szCs w:val="18"/>
          <w:color w:val="auto"/>
        </w:rPr>
        <w:t>. Each Credit Party, each Agent and each L/C Lender may change its respective address, facsimile number, electronic mail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spacing w:after="0" w:line="180" w:lineRule="exact"/>
        <w:rPr>
          <w:rFonts w:ascii="Arial" w:cs="Arial" w:eastAsia="Arial" w:hAnsi="Arial"/>
          <w:sz w:val="18"/>
          <w:szCs w:val="18"/>
          <w:color w:val="auto"/>
        </w:rPr>
      </w:pPr>
    </w:p>
    <w:p>
      <w:pPr>
        <w:jc w:val="both"/>
        <w:ind w:firstLine="8"/>
        <w:spacing w:after="0" w:line="272" w:lineRule="auto"/>
        <w:tabs>
          <w:tab w:leader="none" w:pos="390" w:val="left"/>
        </w:tabs>
        <w:numPr>
          <w:ilvl w:val="0"/>
          <w:numId w:val="601"/>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 Borrowing</w:t>
      </w:r>
      <w:r>
        <w:rPr>
          <w:rFonts w:ascii="Arial" w:cs="Arial" w:eastAsia="Arial" w:hAnsi="Arial"/>
          <w:sz w:val="17"/>
          <w:szCs w:val="17"/>
          <w:b w:val="1"/>
          <w:bCs w:val="1"/>
          <w:color w:val="auto"/>
        </w:rPr>
        <w:t xml:space="preserve"> </w:t>
      </w:r>
      <w:r>
        <w:rPr>
          <w:rFonts w:ascii="Arial" w:cs="Arial" w:eastAsia="Arial" w:hAnsi="Arial"/>
          <w:sz w:val="17"/>
          <w:szCs w:val="17"/>
          <w:color w:val="auto"/>
        </w:rPr>
        <w:t>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72" w:lineRule="exact"/>
        <w:rPr>
          <w:rFonts w:ascii="Arial" w:cs="Arial" w:eastAsia="Arial" w:hAnsi="Arial"/>
          <w:sz w:val="17"/>
          <w:szCs w:val="17"/>
          <w:color w:val="auto"/>
        </w:rPr>
      </w:pPr>
    </w:p>
    <w:p>
      <w:pPr>
        <w:jc w:val="both"/>
        <w:ind w:firstLine="8"/>
        <w:spacing w:after="0" w:line="255" w:lineRule="auto"/>
        <w:tabs>
          <w:tab w:leader="none" w:pos="452"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The Platform</w:t>
      </w:r>
      <w:r>
        <w:rPr>
          <w:rFonts w:ascii="Arial" w:cs="Arial" w:eastAsia="Arial" w:hAnsi="Arial"/>
          <w:sz w:val="18"/>
          <w:szCs w:val="18"/>
          <w:color w:val="auto"/>
        </w:rPr>
        <w:t>. THE PLATFORM IS PROVIDED “AS IS” AND “AS AVAILABLE.” THE AGENT PARTIES (AS DEFINED BELOW) DO NOT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w:t>
      </w:r>
    </w:p>
    <w:p>
      <w:pPr>
        <w:sectPr>
          <w:pgSz w:w="11900" w:h="16838" w:orient="portrait"/>
          <w:cols w:equalWidth="0" w:num="1">
            <w:col w:w="11420"/>
          </w:cols>
          <w:pgMar w:left="240" w:top="368" w:right="239" w:bottom="1440" w:gutter="0" w:footer="0" w:header="0"/>
        </w:sectPr>
      </w:pPr>
    </w:p>
    <w:bookmarkStart w:id="482" w:name="page483"/>
    <w:bookmarkEnd w:id="482"/>
    <w:p>
      <w:pPr>
        <w:jc w:val="both"/>
        <w:spacing w:after="0" w:line="273" w:lineRule="auto"/>
        <w:rPr>
          <w:sz w:val="20"/>
          <w:szCs w:val="20"/>
          <w:color w:val="auto"/>
        </w:rPr>
      </w:pPr>
      <w:r>
        <w:rPr>
          <w:rFonts w:ascii="Arial" w:cs="Arial" w:eastAsia="Arial" w:hAnsi="Arial"/>
          <w:sz w:val="17"/>
          <w:szCs w:val="17"/>
          <w:color w:val="auto"/>
        </w:rPr>
        <w:t>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7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380" w:hanging="372"/>
        <w:spacing w:after="0"/>
        <w:tabs>
          <w:tab w:leader="none" w:pos="3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hanging="4"/>
        <w:spacing w:after="0" w:line="273" w:lineRule="auto"/>
        <w:tabs>
          <w:tab w:leader="none" w:pos="1102" w:val="left"/>
        </w:tabs>
        <w:numPr>
          <w:ilvl w:val="1"/>
          <w:numId w:val="602"/>
        </w:numPr>
        <w:rPr>
          <w:rFonts w:ascii="Arial" w:cs="Arial" w:eastAsia="Arial" w:hAnsi="Arial"/>
          <w:sz w:val="17"/>
          <w:szCs w:val="17"/>
          <w:color w:val="auto"/>
        </w:rPr>
      </w:pPr>
      <w:r>
        <w:rPr>
          <w:rFonts w:ascii="Arial" w:cs="Arial" w:eastAsia="Arial" w:hAnsi="Arial"/>
          <w:sz w:val="17"/>
          <w:szCs w:val="17"/>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78" w:lineRule="exact"/>
        <w:rPr>
          <w:rFonts w:ascii="Arial" w:cs="Arial" w:eastAsia="Arial" w:hAnsi="Arial"/>
          <w:sz w:val="17"/>
          <w:szCs w:val="17"/>
          <w:color w:val="auto"/>
        </w:rPr>
      </w:pPr>
    </w:p>
    <w:p>
      <w:pPr>
        <w:jc w:val="both"/>
        <w:ind w:left="660" w:hanging="4"/>
        <w:spacing w:after="0" w:line="270" w:lineRule="auto"/>
        <w:tabs>
          <w:tab w:leader="none" w:pos="1091" w:val="left"/>
        </w:tabs>
        <w:numPr>
          <w:ilvl w:val="1"/>
          <w:numId w:val="602"/>
        </w:numPr>
        <w:rPr>
          <w:rFonts w:ascii="Arial" w:cs="Arial" w:eastAsia="Arial" w:hAnsi="Arial"/>
          <w:sz w:val="17"/>
          <w:szCs w:val="17"/>
          <w:color w:val="auto"/>
        </w:rPr>
      </w:pPr>
      <w:r>
        <w:rPr>
          <w:rFonts w:ascii="Arial" w:cs="Arial" w:eastAsia="Arial" w:hAnsi="Arial"/>
          <w:sz w:val="17"/>
          <w:szCs w:val="17"/>
          <w:color w:val="auto"/>
        </w:rPr>
        <w:t>each Agent and each Lender for all reasonable and documented out-of-pocket costs and expenses of such Agent or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77" w:lineRule="exact"/>
        <w:rPr>
          <w:rFonts w:ascii="Arial" w:cs="Arial" w:eastAsia="Arial" w:hAnsi="Arial"/>
          <w:sz w:val="17"/>
          <w:szCs w:val="17"/>
          <w:color w:val="auto"/>
        </w:rPr>
      </w:pPr>
    </w:p>
    <w:p>
      <w:pPr>
        <w:jc w:val="both"/>
        <w:ind w:left="660" w:hanging="4"/>
        <w:spacing w:after="0" w:line="259" w:lineRule="auto"/>
        <w:tabs>
          <w:tab w:leader="none" w:pos="1262"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47" w:lineRule="exact"/>
        <w:rPr>
          <w:sz w:val="20"/>
          <w:szCs w:val="20"/>
          <w:color w:val="auto"/>
        </w:rPr>
      </w:pPr>
    </w:p>
    <w:p>
      <w:pPr>
        <w:jc w:val="both"/>
        <w:ind w:firstLine="8"/>
        <w:spacing w:after="0" w:line="255" w:lineRule="auto"/>
        <w:tabs>
          <w:tab w:leader="none" w:pos="407"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8"/>
          <w:szCs w:val="18"/>
          <w:b w:val="1"/>
          <w:bCs w:val="1"/>
          <w:color w:val="auto"/>
        </w:rPr>
        <w:t>Indemnitee</w:t>
      </w:r>
      <w:r>
        <w:rPr>
          <w:rFonts w:ascii="Arial" w:cs="Arial" w:eastAsia="Arial" w:hAnsi="Arial"/>
          <w:sz w:val="18"/>
          <w:szCs w:val="18"/>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w:t>
      </w:r>
    </w:p>
    <w:p>
      <w:pPr>
        <w:sectPr>
          <w:pgSz w:w="11900" w:h="16838" w:orient="portrait"/>
          <w:cols w:equalWidth="0" w:num="1">
            <w:col w:w="11420"/>
          </w:cols>
          <w:pgMar w:left="240" w:top="364" w:right="239" w:bottom="1440" w:gutter="0" w:footer="0" w:header="0"/>
        </w:sectPr>
      </w:pPr>
    </w:p>
    <w:bookmarkStart w:id="483" w:name="page484"/>
    <w:bookmarkEnd w:id="483"/>
    <w:p>
      <w:pPr>
        <w:jc w:val="both"/>
        <w:spacing w:after="0" w:line="268" w:lineRule="auto"/>
        <w:rPr>
          <w:sz w:val="20"/>
          <w:szCs w:val="20"/>
          <w:color w:val="auto"/>
        </w:rPr>
      </w:pPr>
      <w:r>
        <w:rPr>
          <w:rFonts w:ascii="Arial" w:cs="Arial" w:eastAsia="Arial" w:hAnsi="Arial"/>
          <w:sz w:val="17"/>
          <w:szCs w:val="17"/>
          <w:color w:val="auto"/>
        </w:rPr>
        <w:t>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Arial" w:cs="Arial" w:eastAsia="Arial" w:hAnsi="Arial"/>
          <w:sz w:val="17"/>
          <w:szCs w:val="17"/>
          <w:u w:val="single" w:color="auto"/>
          <w:color w:val="auto"/>
        </w:rPr>
        <w:t>Related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hereunder shall be subject to the exclusions from indemnification set forth in the preceding sentence.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w:t>
      </w:r>
    </w:p>
    <w:p>
      <w:pPr>
        <w:sectPr>
          <w:pgSz w:w="11900" w:h="16838" w:orient="portrait"/>
          <w:cols w:equalWidth="0" w:num="1">
            <w:col w:w="11420"/>
          </w:cols>
          <w:pgMar w:left="240" w:top="368" w:right="239" w:bottom="1440" w:gutter="0" w:footer="0" w:header="0"/>
        </w:sectPr>
      </w:pPr>
    </w:p>
    <w:bookmarkStart w:id="484" w:name="page485"/>
    <w:bookmarkEnd w:id="484"/>
    <w:p>
      <w:pPr>
        <w:jc w:val="both"/>
        <w:spacing w:after="0" w:line="264" w:lineRule="auto"/>
        <w:rPr>
          <w:sz w:val="20"/>
          <w:szCs w:val="20"/>
          <w:color w:val="auto"/>
        </w:rPr>
      </w:pPr>
      <w:r>
        <w:rPr>
          <w:rFonts w:ascii="Arial" w:cs="Arial" w:eastAsia="Arial" w:hAnsi="Arial"/>
          <w:sz w:val="18"/>
          <w:szCs w:val="18"/>
          <w:color w:val="auto"/>
        </w:rPr>
        <w:t>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5"/>
        <w:spacing w:after="0" w:line="315" w:lineRule="auto"/>
        <w:tabs>
          <w:tab w:leader="none" w:pos="2156" w:val="left"/>
        </w:tabs>
        <w:numPr>
          <w:ilvl w:val="1"/>
          <w:numId w:val="604"/>
        </w:numPr>
        <w:rPr>
          <w:rFonts w:ascii="Arial" w:cs="Arial" w:eastAsia="Arial" w:hAnsi="Arial"/>
          <w:sz w:val="17"/>
          <w:szCs w:val="17"/>
          <w:color w:val="auto"/>
        </w:rPr>
      </w:pPr>
      <w:r>
        <w:rPr>
          <w:rFonts w:ascii="Arial" w:cs="Arial" w:eastAsia="Arial" w:hAnsi="Arial"/>
          <w:sz w:val="17"/>
          <w:szCs w:val="17"/>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jc w:val="both"/>
        <w:ind w:left="660" w:firstLine="888"/>
        <w:spacing w:after="0" w:line="315" w:lineRule="auto"/>
        <w:tabs>
          <w:tab w:leader="none" w:pos="2113" w:val="left"/>
        </w:tabs>
        <w:numPr>
          <w:ilvl w:val="2"/>
          <w:numId w:val="604"/>
        </w:numPr>
        <w:rPr>
          <w:rFonts w:ascii="Arial" w:cs="Arial" w:eastAsia="Arial" w:hAnsi="Arial"/>
          <w:sz w:val="17"/>
          <w:szCs w:val="17"/>
          <w:color w:val="auto"/>
        </w:rPr>
      </w:pPr>
      <w:r>
        <w:rPr>
          <w:rFonts w:ascii="Arial" w:cs="Arial" w:eastAsia="Arial" w:hAnsi="Arial"/>
          <w:sz w:val="17"/>
          <w:szCs w:val="17"/>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ind w:left="660" w:firstLine="888"/>
        <w:spacing w:after="0" w:line="297" w:lineRule="auto"/>
        <w:tabs>
          <w:tab w:leader="none" w:pos="2163" w:val="left"/>
        </w:tabs>
        <w:numPr>
          <w:ilvl w:val="2"/>
          <w:numId w:val="604"/>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ind w:left="2200" w:hanging="652"/>
        <w:spacing w:after="0"/>
        <w:tabs>
          <w:tab w:leader="none" w:pos="2200" w:val="left"/>
        </w:tabs>
        <w:numPr>
          <w:ilvl w:val="2"/>
          <w:numId w:val="604"/>
        </w:numPr>
        <w:rPr>
          <w:rFonts w:ascii="Arial" w:cs="Arial" w:eastAsia="Arial" w:hAnsi="Arial"/>
          <w:sz w:val="16"/>
          <w:szCs w:val="16"/>
          <w:color w:val="auto"/>
        </w:rPr>
      </w:pPr>
      <w:r>
        <w:rPr>
          <w:rFonts w:ascii="Arial" w:cs="Arial" w:eastAsia="Arial" w:hAnsi="Arial"/>
          <w:sz w:val="16"/>
          <w:szCs w:val="16"/>
          <w:color w:val="auto"/>
        </w:rPr>
        <w:t>amend, modify, change or waive (x) any provision of Section 11.02 or this Section 13.04 without the consent of each Lender,</w:t>
      </w:r>
    </w:p>
    <w:p>
      <w:pPr>
        <w:spacing w:after="0" w:line="72" w:lineRule="exact"/>
        <w:rPr>
          <w:rFonts w:ascii="Arial" w:cs="Arial" w:eastAsia="Arial" w:hAnsi="Arial"/>
          <w:sz w:val="16"/>
          <w:szCs w:val="16"/>
          <w:color w:val="auto"/>
        </w:rPr>
      </w:pPr>
    </w:p>
    <w:p>
      <w:pPr>
        <w:jc w:val="both"/>
        <w:ind w:left="660" w:hanging="4"/>
        <w:spacing w:after="0" w:line="334" w:lineRule="auto"/>
        <w:tabs>
          <w:tab w:leader="none" w:pos="925" w:val="left"/>
        </w:tabs>
        <w:numPr>
          <w:ilvl w:val="0"/>
          <w:numId w:val="605"/>
        </w:numPr>
        <w:rPr>
          <w:rFonts w:ascii="Arial" w:cs="Arial" w:eastAsia="Arial" w:hAnsi="Arial"/>
          <w:sz w:val="16"/>
          <w:szCs w:val="16"/>
          <w:color w:val="auto"/>
        </w:rPr>
      </w:pPr>
      <w:r>
        <w:rPr>
          <w:rFonts w:ascii="Arial" w:cs="Arial" w:eastAsia="Arial" w:hAnsi="Arial"/>
          <w:sz w:val="16"/>
          <w:szCs w:val="16"/>
          <w:color w:val="auto"/>
        </w:rPr>
        <w:t>any other provision of any Credit Document or any other provision 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3" w:lineRule="exact"/>
        <w:rPr>
          <w:rFonts w:ascii="Arial" w:cs="Arial" w:eastAsia="Arial" w:hAnsi="Arial"/>
          <w:sz w:val="16"/>
          <w:szCs w:val="16"/>
          <w:color w:val="auto"/>
        </w:rPr>
      </w:pPr>
    </w:p>
    <w:p>
      <w:pPr>
        <w:jc w:val="both"/>
        <w:ind w:left="660" w:firstLine="888"/>
        <w:spacing w:after="0" w:line="334" w:lineRule="auto"/>
        <w:tabs>
          <w:tab w:leader="none" w:pos="2203" w:val="left"/>
        </w:tabs>
        <w:numPr>
          <w:ilvl w:val="2"/>
          <w:numId w:val="605"/>
        </w:numPr>
        <w:rPr>
          <w:rFonts w:ascii="Arial" w:cs="Arial" w:eastAsia="Arial" w:hAnsi="Arial"/>
          <w:sz w:val="16"/>
          <w:szCs w:val="16"/>
          <w:color w:val="auto"/>
        </w:rPr>
      </w:pPr>
      <w:r>
        <w:rPr>
          <w:rFonts w:ascii="Arial" w:cs="Arial" w:eastAsia="Arial" w:hAnsi="Arial"/>
          <w:sz w:val="16"/>
          <w:szCs w:val="16"/>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3" w:lineRule="exact"/>
        <w:rPr>
          <w:rFonts w:ascii="Arial" w:cs="Arial" w:eastAsia="Arial" w:hAnsi="Arial"/>
          <w:sz w:val="16"/>
          <w:szCs w:val="16"/>
          <w:color w:val="auto"/>
        </w:rPr>
      </w:pPr>
    </w:p>
    <w:p>
      <w:pPr>
        <w:jc w:val="both"/>
        <w:ind w:left="660" w:firstLine="888"/>
        <w:spacing w:after="0" w:line="354" w:lineRule="auto"/>
        <w:tabs>
          <w:tab w:leader="none" w:pos="2153" w:val="left"/>
        </w:tabs>
        <w:numPr>
          <w:ilvl w:val="2"/>
          <w:numId w:val="605"/>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4.02 or Section 4.07(b)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ectPr>
          <w:pgSz w:w="11900" w:h="16838" w:orient="portrait"/>
          <w:cols w:equalWidth="0" w:num="1">
            <w:col w:w="11420"/>
          </w:cols>
          <w:pgMar w:left="240" w:top="369" w:right="239" w:bottom="1440" w:gutter="0" w:footer="0" w:header="0"/>
        </w:sectPr>
      </w:pPr>
    </w:p>
    <w:bookmarkStart w:id="485" w:name="page486"/>
    <w:bookmarkEnd w:id="485"/>
    <w:p>
      <w:pPr>
        <w:ind w:left="660" w:firstLine="888"/>
        <w:spacing w:after="0" w:line="297" w:lineRule="auto"/>
        <w:tabs>
          <w:tab w:leader="none" w:pos="2203" w:val="left"/>
        </w:tabs>
        <w:numPr>
          <w:ilvl w:val="0"/>
          <w:numId w:val="60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 or</w:t>
      </w:r>
    </w:p>
    <w:p>
      <w:pPr>
        <w:jc w:val="both"/>
        <w:ind w:left="660" w:firstLine="888"/>
        <w:spacing w:after="0" w:line="334" w:lineRule="auto"/>
        <w:tabs>
          <w:tab w:leader="none" w:pos="2253"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consent of the Required Tranche Lenders for such Tranche;</w:t>
      </w:r>
    </w:p>
    <w:p>
      <w:pPr>
        <w:spacing w:after="0" w:line="23" w:lineRule="exact"/>
        <w:rPr>
          <w:rFonts w:ascii="Arial" w:cs="Arial" w:eastAsia="Arial" w:hAnsi="Arial"/>
          <w:sz w:val="16"/>
          <w:szCs w:val="16"/>
          <w:color w:val="auto"/>
        </w:rPr>
      </w:pPr>
    </w:p>
    <w:p>
      <w:pPr>
        <w:jc w:val="both"/>
        <w:ind w:left="660"/>
        <w:spacing w:after="0" w:line="284" w:lineRule="auto"/>
        <w:rPr>
          <w:rFonts w:ascii="Arial" w:cs="Arial" w:eastAsia="Arial" w:hAnsi="Arial"/>
          <w:sz w:val="16"/>
          <w:szCs w:val="16"/>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 (D) 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 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97" w:lineRule="exact"/>
        <w:rPr>
          <w:sz w:val="20"/>
          <w:szCs w:val="20"/>
          <w:color w:val="auto"/>
        </w:rPr>
      </w:pPr>
    </w:p>
    <w:p>
      <w:pPr>
        <w:jc w:val="both"/>
        <w:ind w:left="660" w:firstLine="645"/>
        <w:spacing w:after="0" w:line="325" w:lineRule="auto"/>
        <w:tabs>
          <w:tab w:leader="none" w:pos="2166" w:val="left"/>
        </w:tabs>
        <w:numPr>
          <w:ilvl w:val="0"/>
          <w:numId w:val="607"/>
        </w:numPr>
        <w:rPr>
          <w:rFonts w:ascii="Arial" w:cs="Arial" w:eastAsia="Arial" w:hAnsi="Arial"/>
          <w:sz w:val="17"/>
          <w:szCs w:val="17"/>
          <w:color w:val="auto"/>
        </w:rPr>
      </w:pPr>
      <w:r>
        <w:rPr>
          <w:rFonts w:ascii="Arial" w:cs="Arial" w:eastAsia="Arial" w:hAnsi="Arial"/>
          <w:sz w:val="17"/>
          <w:szCs w:val="17"/>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ectPr>
          <w:pgSz w:w="11900" w:h="16838" w:orient="portrait"/>
          <w:cols w:equalWidth="0" w:num="1">
            <w:col w:w="11420"/>
          </w:cols>
          <w:pgMar w:left="240" w:top="395" w:right="239" w:bottom="1440" w:gutter="0" w:footer="0" w:header="0"/>
        </w:sectPr>
      </w:pPr>
    </w:p>
    <w:bookmarkStart w:id="486" w:name="page487"/>
    <w:bookmarkEnd w:id="486"/>
    <w:p>
      <w:pPr>
        <w:jc w:val="both"/>
        <w:ind w:left="-540" w:firstLine="645"/>
        <w:spacing w:after="0" w:line="284" w:lineRule="auto"/>
        <w:tabs>
          <w:tab w:leader="none" w:pos="405" w:val="left"/>
        </w:tabs>
        <w:numPr>
          <w:ilvl w:val="0"/>
          <w:numId w:val="608"/>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Classes</w:t>
      </w:r>
      <w:r>
        <w:rPr>
          <w:rFonts w:ascii="Arial" w:cs="Arial" w:eastAsia="Arial" w:hAnsi="Arial"/>
          <w:sz w:val="16"/>
          <w:szCs w:val="16"/>
          <w:color w:val="auto"/>
        </w:rPr>
        <w:t>”)) with one or more Replacement Lenders, so long as, at the time of such replacement, each such Replacement Lender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391" w:lineRule="exact"/>
        <w:rPr>
          <w:rFonts w:ascii="Arial" w:cs="Arial" w:eastAsia="Arial" w:hAnsi="Arial"/>
          <w:sz w:val="16"/>
          <w:szCs w:val="16"/>
          <w:color w:val="auto"/>
        </w:rPr>
      </w:pPr>
    </w:p>
    <w:p>
      <w:pPr>
        <w:jc w:val="both"/>
        <w:ind w:left="-540" w:firstLine="645"/>
        <w:spacing w:after="0" w:line="268" w:lineRule="auto"/>
        <w:tabs>
          <w:tab w:leader="none" w:pos="413"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w:t>
      </w:r>
    </w:p>
    <w:p>
      <w:pPr>
        <w:sectPr>
          <w:pgSz w:w="11900" w:h="16838" w:orient="portrait"/>
          <w:cols w:equalWidth="0" w:num="1">
            <w:col w:w="10220"/>
          </w:cols>
          <w:pgMar w:left="1440" w:top="368" w:right="239" w:bottom="1440" w:gutter="0" w:footer="0" w:header="0"/>
        </w:sectPr>
      </w:pPr>
    </w:p>
    <w:bookmarkStart w:id="487" w:name="page488"/>
    <w:bookmarkEnd w:id="487"/>
    <w:p>
      <w:pPr>
        <w:jc w:val="both"/>
        <w:ind w:left="660"/>
        <w:spacing w:after="0" w:line="289" w:lineRule="auto"/>
        <w:rPr>
          <w:sz w:val="20"/>
          <w:szCs w:val="20"/>
          <w:color w:val="auto"/>
        </w:rPr>
      </w:pPr>
      <w:r>
        <w:rPr>
          <w:rFonts w:ascii="Arial" w:cs="Arial" w:eastAsia="Arial" w:hAnsi="Arial"/>
          <w:sz w:val="16"/>
          <w:szCs w:val="16"/>
          <w:color w:val="auto"/>
        </w:rPr>
        <w:t>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Borrower shall not have the right to replace a Lender, or terminate the Commitments of or repay the Loans of a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13.04(b), solely as a result of the exercise of such Lender’s rights (and the withholding of any required consent by such Lender) pursuant to clauses</w:t>
      </w:r>
    </w:p>
    <w:p>
      <w:pPr>
        <w:ind w:left="300" w:hanging="292"/>
        <w:spacing w:after="0"/>
        <w:tabs>
          <w:tab w:leader="none" w:pos="30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through (F) of the second proviso to Section 13.04(a).</w:t>
      </w:r>
    </w:p>
    <w:p>
      <w:pPr>
        <w:spacing w:after="0" w:line="210" w:lineRule="exact"/>
        <w:rPr>
          <w:rFonts w:ascii="Arial" w:cs="Arial" w:eastAsia="Arial" w:hAnsi="Arial"/>
          <w:sz w:val="18"/>
          <w:szCs w:val="18"/>
          <w:color w:val="auto"/>
        </w:rPr>
      </w:pPr>
    </w:p>
    <w:p>
      <w:pPr>
        <w:jc w:val="both"/>
        <w:ind w:left="660" w:hanging="4"/>
        <w:spacing w:after="0" w:line="268" w:lineRule="auto"/>
        <w:tabs>
          <w:tab w:leader="none" w:pos="1075" w:val="left"/>
        </w:tabs>
        <w:numPr>
          <w:ilvl w:val="1"/>
          <w:numId w:val="609"/>
        </w:numPr>
        <w:rPr>
          <w:rFonts w:ascii="Arial" w:cs="Arial" w:eastAsia="Arial" w:hAnsi="Arial"/>
          <w:sz w:val="17"/>
          <w:szCs w:val="17"/>
          <w:color w:val="auto"/>
        </w:rPr>
      </w:pPr>
      <w:r>
        <w:rPr>
          <w:rFonts w:ascii="Arial" w:cs="Arial" w:eastAsia="Arial" w:hAnsi="Arial"/>
          <w:sz w:val="17"/>
          <w:szCs w:val="17"/>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85" w:lineRule="exact"/>
        <w:rPr>
          <w:sz w:val="20"/>
          <w:szCs w:val="20"/>
          <w:color w:val="auto"/>
        </w:rPr>
      </w:pPr>
    </w:p>
    <w:p>
      <w:pPr>
        <w:jc w:val="both"/>
        <w:ind w:firstLine="8"/>
        <w:spacing w:after="0" w:line="273" w:lineRule="auto"/>
        <w:tabs>
          <w:tab w:leader="none" w:pos="531" w:val="left"/>
        </w:tabs>
        <w:numPr>
          <w:ilvl w:val="0"/>
          <w:numId w:val="610"/>
        </w:numPr>
        <w:rPr>
          <w:rFonts w:ascii="Arial" w:cs="Arial" w:eastAsia="Arial" w:hAnsi="Arial"/>
          <w:sz w:val="17"/>
          <w:szCs w:val="17"/>
          <w:color w:val="auto"/>
        </w:rPr>
      </w:pPr>
      <w:r>
        <w:rPr>
          <w:rFonts w:ascii="Arial" w:cs="Arial" w:eastAsia="Arial" w:hAnsi="Arial"/>
          <w:sz w:val="17"/>
          <w:szCs w:val="17"/>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78" w:lineRule="exact"/>
        <w:rPr>
          <w:rFonts w:ascii="Arial" w:cs="Arial" w:eastAsia="Arial" w:hAnsi="Arial"/>
          <w:sz w:val="17"/>
          <w:szCs w:val="17"/>
          <w:color w:val="auto"/>
        </w:rPr>
      </w:pPr>
    </w:p>
    <w:p>
      <w:pPr>
        <w:jc w:val="both"/>
        <w:ind w:firstLine="8"/>
        <w:spacing w:after="0" w:line="293" w:lineRule="auto"/>
        <w:tabs>
          <w:tab w:leader="none" w:pos="380" w:val="left"/>
        </w:tabs>
        <w:numPr>
          <w:ilvl w:val="0"/>
          <w:numId w:val="61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w:t>
      </w:r>
    </w:p>
    <w:p>
      <w:pPr>
        <w:sectPr>
          <w:pgSz w:w="11900" w:h="16838" w:orient="portrait"/>
          <w:cols w:equalWidth="0" w:num="1">
            <w:col w:w="11420"/>
          </w:cols>
          <w:pgMar w:left="240" w:top="368" w:right="239" w:bottom="1440" w:gutter="0" w:footer="0" w:header="0"/>
        </w:sectPr>
      </w:pPr>
    </w:p>
    <w:bookmarkStart w:id="488" w:name="page489"/>
    <w:bookmarkEnd w:id="488"/>
    <w:p>
      <w:pPr>
        <w:jc w:val="both"/>
        <w:spacing w:after="0" w:line="287" w:lineRule="auto"/>
        <w:rPr>
          <w:sz w:val="20"/>
          <w:szCs w:val="20"/>
          <w:color w:val="auto"/>
        </w:rPr>
      </w:pPr>
      <w:r>
        <w:rPr>
          <w:rFonts w:ascii="Arial" w:cs="Arial" w:eastAsia="Arial" w:hAnsi="Arial"/>
          <w:sz w:val="16"/>
          <w:szCs w:val="16"/>
          <w:color w:val="auto"/>
        </w:rPr>
        <w:t xml:space="preserve">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69" w:lineRule="exact"/>
        <w:rPr>
          <w:sz w:val="20"/>
          <w:szCs w:val="20"/>
          <w:color w:val="auto"/>
        </w:rPr>
      </w:pPr>
    </w:p>
    <w:p>
      <w:pPr>
        <w:jc w:val="both"/>
        <w:ind w:firstLine="8"/>
        <w:spacing w:after="0" w:line="273" w:lineRule="auto"/>
        <w:tabs>
          <w:tab w:leader="none" w:pos="386" w:val="left"/>
        </w:tabs>
        <w:numPr>
          <w:ilvl w:val="0"/>
          <w:numId w:val="611"/>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178" w:lineRule="exact"/>
        <w:rPr>
          <w:rFonts w:ascii="Arial" w:cs="Arial" w:eastAsia="Arial" w:hAnsi="Arial"/>
          <w:sz w:val="17"/>
          <w:szCs w:val="17"/>
          <w:color w:val="auto"/>
        </w:rPr>
      </w:pPr>
    </w:p>
    <w:p>
      <w:pPr>
        <w:jc w:val="both"/>
        <w:ind w:firstLine="8"/>
        <w:spacing w:after="0" w:line="268" w:lineRule="auto"/>
        <w:tabs>
          <w:tab w:leader="none" w:pos="541" w:val="left"/>
        </w:tabs>
        <w:numPr>
          <w:ilvl w:val="0"/>
          <w:numId w:val="611"/>
        </w:numPr>
        <w:rPr>
          <w:rFonts w:ascii="Arial" w:cs="Arial" w:eastAsia="Arial" w:hAnsi="Arial"/>
          <w:sz w:val="17"/>
          <w:szCs w:val="17"/>
          <w:color w:val="auto"/>
        </w:rPr>
      </w:pPr>
      <w:r>
        <w:rPr>
          <w:rFonts w:ascii="Arial" w:cs="Arial" w:eastAsia="Arial" w:hAnsi="Arial"/>
          <w:sz w:val="17"/>
          <w:szCs w:val="17"/>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85" w:lineRule="exact"/>
        <w:rPr>
          <w:rFonts w:ascii="Arial" w:cs="Arial" w:eastAsia="Arial" w:hAnsi="Arial"/>
          <w:sz w:val="17"/>
          <w:szCs w:val="17"/>
          <w:color w:val="auto"/>
        </w:rPr>
      </w:pPr>
    </w:p>
    <w:p>
      <w:pPr>
        <w:jc w:val="both"/>
        <w:ind w:firstLine="8"/>
        <w:spacing w:after="0" w:line="272" w:lineRule="auto"/>
        <w:tabs>
          <w:tab w:leader="none" w:pos="406"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terminations of Revolving Commitments shall not exceed 20% of the initial aggregate principal amount of the Revolving Commitments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w:t>
      </w:r>
    </w:p>
    <w:p>
      <w:pPr>
        <w:sectPr>
          <w:pgSz w:w="11900" w:h="16838" w:orient="portrait"/>
          <w:cols w:equalWidth="0" w:num="1">
            <w:col w:w="11420"/>
          </w:cols>
          <w:pgMar w:left="240" w:top="369" w:right="239" w:bottom="1440" w:gutter="0" w:footer="0" w:header="0"/>
        </w:sectPr>
      </w:pPr>
    </w:p>
    <w:bookmarkStart w:id="489" w:name="page490"/>
    <w:bookmarkEnd w:id="489"/>
    <w:p>
      <w:pPr>
        <w:jc w:val="both"/>
        <w:spacing w:after="0" w:line="268" w:lineRule="auto"/>
        <w:rPr>
          <w:sz w:val="20"/>
          <w:szCs w:val="20"/>
          <w:color w:val="auto"/>
        </w:rPr>
      </w:pPr>
      <w:r>
        <w:rPr>
          <w:rFonts w:ascii="Arial" w:cs="Arial" w:eastAsia="Arial" w:hAnsi="Arial"/>
          <w:sz w:val="17"/>
          <w:szCs w:val="17"/>
          <w:color w:val="auto"/>
        </w:rPr>
        <w:t>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84" w:lineRule="auto"/>
        <w:tabs>
          <w:tab w:leader="none" w:pos="446" w:val="left"/>
        </w:tabs>
        <w:numPr>
          <w:ilvl w:val="0"/>
          <w:numId w:val="612"/>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to the benefit of and be enforceable by the respective successors and assigns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no Credit Party may assign or transfer any of its rights, obligations or interest hereunder or under any other Credit Document (it being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understood that a merger or consolidation 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w:t>
      </w:r>
    </w:p>
    <w:p>
      <w:pPr>
        <w:sectPr>
          <w:pgSz w:w="11900" w:h="16838" w:orient="portrait"/>
          <w:cols w:equalWidth="0" w:num="1">
            <w:col w:w="11420"/>
          </w:cols>
          <w:pgMar w:left="240" w:top="368" w:right="239" w:bottom="1440" w:gutter="0" w:footer="0" w:header="0"/>
        </w:sectPr>
      </w:pPr>
    </w:p>
    <w:bookmarkStart w:id="490" w:name="page491"/>
    <w:bookmarkEnd w:id="490"/>
    <w:p>
      <w:pPr>
        <w:jc w:val="both"/>
        <w:spacing w:after="0" w:line="286" w:lineRule="auto"/>
        <w:rPr>
          <w:sz w:val="20"/>
          <w:szCs w:val="20"/>
          <w:color w:val="auto"/>
        </w:rPr>
      </w:pPr>
      <w:r>
        <w:rPr>
          <w:rFonts w:ascii="Arial" w:cs="Arial" w:eastAsia="Arial" w:hAnsi="Arial"/>
          <w:sz w:val="16"/>
          <w:szCs w:val="16"/>
          <w:color w:val="auto"/>
        </w:rPr>
        <w:t>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172" w:lineRule="exact"/>
        <w:rPr>
          <w:sz w:val="20"/>
          <w:szCs w:val="20"/>
          <w:color w:val="auto"/>
        </w:rPr>
      </w:pPr>
    </w:p>
    <w:p>
      <w:pPr>
        <w:jc w:val="both"/>
        <w:ind w:firstLine="8"/>
        <w:spacing w:after="0" w:line="284" w:lineRule="auto"/>
        <w:tabs>
          <w:tab w:leader="none" w:pos="425"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 consent of each L/C Lender and, so long as no Event of Default pursuant to Section 11.01(b) or 11.01(c), or, with respect to Borrower, 11.01(g) or 11.01(h),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w:t>
      </w:r>
    </w:p>
    <w:p>
      <w:pPr>
        <w:sectPr>
          <w:pgSz w:w="11900" w:h="16838" w:orient="portrait"/>
          <w:cols w:equalWidth="0" w:num="1">
            <w:col w:w="11420"/>
          </w:cols>
          <w:pgMar w:left="240" w:top="368" w:right="239" w:bottom="1440" w:gutter="0" w:footer="0" w:header="0"/>
        </w:sectPr>
      </w:pPr>
    </w:p>
    <w:bookmarkStart w:id="491" w:name="page492"/>
    <w:bookmarkEnd w:id="491"/>
    <w:p>
      <w:pPr>
        <w:jc w:val="both"/>
        <w:spacing w:after="0" w:line="270" w:lineRule="auto"/>
        <w:rPr>
          <w:sz w:val="20"/>
          <w:szCs w:val="20"/>
          <w:color w:val="auto"/>
        </w:rPr>
      </w:pPr>
      <w:r>
        <w:rPr>
          <w:rFonts w:ascii="Arial" w:cs="Arial" w:eastAsia="Arial" w:hAnsi="Arial"/>
          <w:sz w:val="17"/>
          <w:szCs w:val="17"/>
          <w:color w:val="auto"/>
        </w:rPr>
        <w:t>To the extent of any assignment permitted pursuant to this Section 13.05(b), the assigning Lender shall be relieved of its obligations hereunder with respect to its assigned Commitments and outstanding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78" w:lineRule="exact"/>
        <w:rPr>
          <w:sz w:val="20"/>
          <w:szCs w:val="20"/>
          <w:color w:val="auto"/>
        </w:rPr>
      </w:pPr>
    </w:p>
    <w:p>
      <w:pPr>
        <w:jc w:val="both"/>
        <w:ind w:firstLine="8"/>
        <w:spacing w:after="0" w:line="259" w:lineRule="auto"/>
        <w:tabs>
          <w:tab w:leader="none" w:pos="382" w:val="left"/>
        </w:tabs>
        <w:numPr>
          <w:ilvl w:val="0"/>
          <w:numId w:val="614"/>
        </w:numPr>
        <w:rPr>
          <w:rFonts w:ascii="Arial" w:cs="Arial" w:eastAsia="Arial" w:hAnsi="Arial"/>
          <w:sz w:val="18"/>
          <w:szCs w:val="18"/>
          <w:color w:val="auto"/>
        </w:rPr>
      </w:pPr>
      <w:r>
        <w:rPr>
          <w:rFonts w:ascii="Arial" w:cs="Arial" w:eastAsia="Arial" w:hAnsi="Arial"/>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6" w:lineRule="exact"/>
        <w:rPr>
          <w:rFonts w:ascii="Arial" w:cs="Arial" w:eastAsia="Arial" w:hAnsi="Arial"/>
          <w:sz w:val="18"/>
          <w:szCs w:val="18"/>
          <w:color w:val="auto"/>
        </w:rPr>
      </w:pPr>
    </w:p>
    <w:p>
      <w:pPr>
        <w:jc w:val="both"/>
        <w:ind w:firstLine="8"/>
        <w:spacing w:after="0" w:line="286" w:lineRule="auto"/>
        <w:tabs>
          <w:tab w:leader="none" w:pos="418" w:val="left"/>
        </w:tabs>
        <w:numPr>
          <w:ilvl w:val="0"/>
          <w:numId w:val="61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92" w:lineRule="exact"/>
        <w:rPr>
          <w:rFonts w:ascii="Arial" w:cs="Arial" w:eastAsia="Arial" w:hAnsi="Arial"/>
          <w:sz w:val="17"/>
          <w:szCs w:val="17"/>
          <w:color w:val="auto"/>
        </w:rPr>
      </w:pPr>
    </w:p>
    <w:p>
      <w:pPr>
        <w:jc w:val="both"/>
        <w:ind w:left="660" w:firstLine="888"/>
        <w:spacing w:after="0" w:line="304" w:lineRule="auto"/>
        <w:tabs>
          <w:tab w:leader="none" w:pos="2113" w:val="left"/>
        </w:tabs>
        <w:numPr>
          <w:ilvl w:val="1"/>
          <w:numId w:val="614"/>
        </w:numPr>
        <w:rPr>
          <w:rFonts w:ascii="Arial" w:cs="Arial" w:eastAsia="Arial" w:hAnsi="Arial"/>
          <w:sz w:val="18"/>
          <w:szCs w:val="18"/>
          <w:color w:val="auto"/>
        </w:rPr>
      </w:pPr>
      <w:r>
        <w:rPr>
          <w:rFonts w:ascii="Arial" w:cs="Arial" w:eastAsia="Arial" w:hAnsi="Arial"/>
          <w:sz w:val="18"/>
          <w:szCs w:val="18"/>
          <w:color w:val="auto"/>
        </w:rPr>
        <w:t xml:space="preserve">(x) with respect to any Borrower Loan Purchase pursuant to the Auction Procedures, at the time of the applicable Purchase Notice (as defined in </w:t>
      </w:r>
      <w:r>
        <w:rPr>
          <w:rFonts w:ascii="Arial" w:cs="Arial" w:eastAsia="Arial" w:hAnsi="Arial"/>
          <w:sz w:val="18"/>
          <w:szCs w:val="18"/>
          <w:u w:val="single" w:color="auto"/>
          <w:color w:val="auto"/>
        </w:rPr>
        <w:t>Exhibit N</w:t>
      </w:r>
      <w:r>
        <w:rPr>
          <w:rFonts w:ascii="Arial" w:cs="Arial" w:eastAsia="Arial" w:hAnsi="Arial"/>
          <w:sz w:val="18"/>
          <w:szCs w:val="18"/>
          <w:color w:val="auto"/>
        </w:rPr>
        <w:t>), no Event of Default under Section 11.01(a) 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88" w:lineRule="exact"/>
        <w:rPr>
          <w:rFonts w:ascii="Arial" w:cs="Arial" w:eastAsia="Arial" w:hAnsi="Arial"/>
          <w:sz w:val="18"/>
          <w:szCs w:val="18"/>
          <w:color w:val="auto"/>
        </w:rPr>
      </w:pPr>
    </w:p>
    <w:p>
      <w:pPr>
        <w:jc w:val="both"/>
        <w:ind w:left="660" w:firstLine="888"/>
        <w:spacing w:after="0" w:line="321" w:lineRule="auto"/>
        <w:tabs>
          <w:tab w:leader="none" w:pos="2163" w:val="left"/>
        </w:tabs>
        <w:numPr>
          <w:ilvl w:val="1"/>
          <w:numId w:val="614"/>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7" w:lineRule="exact"/>
        <w:rPr>
          <w:rFonts w:ascii="Arial" w:cs="Arial" w:eastAsia="Arial" w:hAnsi="Arial"/>
          <w:sz w:val="17"/>
          <w:szCs w:val="17"/>
          <w:color w:val="auto"/>
        </w:rPr>
      </w:pPr>
    </w:p>
    <w:p>
      <w:pPr>
        <w:jc w:val="both"/>
        <w:ind w:left="660" w:firstLine="888"/>
        <w:spacing w:after="0" w:line="306" w:lineRule="auto"/>
        <w:tabs>
          <w:tab w:leader="none" w:pos="2213" w:val="left"/>
        </w:tabs>
        <w:numPr>
          <w:ilvl w:val="1"/>
          <w:numId w:val="614"/>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6" w:lineRule="exact"/>
        <w:rPr>
          <w:rFonts w:ascii="Arial" w:cs="Arial" w:eastAsia="Arial" w:hAnsi="Arial"/>
          <w:sz w:val="18"/>
          <w:szCs w:val="18"/>
          <w:color w:val="auto"/>
        </w:rPr>
      </w:pPr>
    </w:p>
    <w:p>
      <w:pPr>
        <w:jc w:val="both"/>
        <w:ind w:left="660" w:firstLine="888"/>
        <w:spacing w:after="0" w:line="329" w:lineRule="auto"/>
        <w:tabs>
          <w:tab w:leader="none" w:pos="2203" w:val="left"/>
        </w:tabs>
        <w:numPr>
          <w:ilvl w:val="1"/>
          <w:numId w:val="614"/>
        </w:numPr>
        <w:rPr>
          <w:rFonts w:ascii="Arial" w:cs="Arial" w:eastAsia="Arial" w:hAnsi="Arial"/>
          <w:sz w:val="17"/>
          <w:szCs w:val="17"/>
          <w:color w:val="auto"/>
        </w:rPr>
      </w:pPr>
      <w:r>
        <w:rPr>
          <w:rFonts w:ascii="Arial" w:cs="Arial" w:eastAsia="Arial" w:hAnsi="Arial"/>
          <w:sz w:val="17"/>
          <w:szCs w:val="17"/>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w:t>
      </w:r>
    </w:p>
    <w:p>
      <w:pPr>
        <w:sectPr>
          <w:pgSz w:w="11900" w:h="16838" w:orient="portrait"/>
          <w:cols w:equalWidth="0" w:num="1">
            <w:col w:w="11420"/>
          </w:cols>
          <w:pgMar w:left="240" w:top="368" w:right="239" w:bottom="1440" w:gutter="0" w:footer="0" w:header="0"/>
        </w:sectPr>
      </w:pPr>
    </w:p>
    <w:bookmarkStart w:id="492" w:name="page493"/>
    <w:bookmarkEnd w:id="492"/>
    <w:p>
      <w:pPr>
        <w:ind w:left="660"/>
        <w:spacing w:after="0" w:line="324" w:lineRule="auto"/>
        <w:rPr>
          <w:sz w:val="20"/>
          <w:szCs w:val="20"/>
          <w:color w:val="auto"/>
        </w:rPr>
      </w:pPr>
      <w:r>
        <w:rPr>
          <w:rFonts w:ascii="Arial" w:cs="Arial" w:eastAsia="Arial" w:hAnsi="Arial"/>
          <w:sz w:val="18"/>
          <w:szCs w:val="18"/>
          <w:color w:val="auto"/>
        </w:rPr>
        <w:t>Borrower for such Revolving Loans, deposit cash collateral in an account with the Administrative Agent pursuant to Section 2.16 in the amount of any such excess L/C Liabilities;</w:t>
      </w:r>
    </w:p>
    <w:p>
      <w:pPr>
        <w:spacing w:after="0" w:line="170" w:lineRule="exact"/>
        <w:rPr>
          <w:sz w:val="20"/>
          <w:szCs w:val="20"/>
          <w:color w:val="auto"/>
        </w:rPr>
      </w:pPr>
    </w:p>
    <w:p>
      <w:pPr>
        <w:ind w:left="660" w:firstLine="888"/>
        <w:spacing w:after="0" w:line="297" w:lineRule="auto"/>
        <w:tabs>
          <w:tab w:leader="none" w:pos="2153" w:val="left"/>
        </w:tabs>
        <w:numPr>
          <w:ilvl w:val="0"/>
          <w:numId w:val="615"/>
        </w:numPr>
        <w:rPr>
          <w:rFonts w:ascii="Arial" w:cs="Arial" w:eastAsia="Arial" w:hAnsi="Arial"/>
          <w:sz w:val="18"/>
          <w:szCs w:val="18"/>
          <w:color w:val="auto"/>
        </w:rPr>
      </w:pPr>
      <w:r>
        <w:rPr>
          <w:rFonts w:ascii="Arial" w:cs="Arial" w:eastAsia="Arial" w:hAnsi="Arial"/>
          <w:sz w:val="18"/>
          <w:szCs w:val="18"/>
          <w:color w:val="auto"/>
        </w:rPr>
        <w:t>open market purchases of Term Loans by Borrower and its Subsidiaries shall not in the aggregate exceed 25% of the sum of the initial aggregate principal amount of the Term Loans on the Closing Date; and</w:t>
      </w:r>
    </w:p>
    <w:p>
      <w:pPr>
        <w:ind w:left="2200" w:hanging="652"/>
        <w:spacing w:after="0"/>
        <w:tabs>
          <w:tab w:leader="none" w:pos="220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Borrower may not use the proceeds of any Revolving Loan to fund the purchase of outstanding Loans pursuant to this Section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13.05(d).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assignment fee set forth in Section 13.05(b) shall not be applicable to any Borrower Loan Purchase consummated pursuant to this Section 13.05(d).</w:t>
      </w:r>
    </w:p>
    <w:p>
      <w:pPr>
        <w:spacing w:after="0" w:line="243" w:lineRule="exact"/>
        <w:rPr>
          <w:sz w:val="20"/>
          <w:szCs w:val="20"/>
          <w:color w:val="auto"/>
        </w:rPr>
      </w:pPr>
    </w:p>
    <w:p>
      <w:pPr>
        <w:jc w:val="both"/>
        <w:ind w:firstLine="8"/>
        <w:spacing w:after="0" w:line="269" w:lineRule="auto"/>
        <w:tabs>
          <w:tab w:leader="none" w:pos="392" w:val="left"/>
        </w:tabs>
        <w:numPr>
          <w:ilvl w:val="0"/>
          <w:numId w:val="616"/>
        </w:numPr>
        <w:rPr>
          <w:rFonts w:ascii="Arial" w:cs="Arial" w:eastAsia="Arial" w:hAnsi="Arial"/>
          <w:sz w:val="17"/>
          <w:szCs w:val="17"/>
          <w:color w:val="auto"/>
        </w:rPr>
      </w:pPr>
      <w:r>
        <w:rPr>
          <w:rFonts w:ascii="Arial" w:cs="Arial" w:eastAsia="Arial" w:hAnsi="Arial"/>
          <w:sz w:val="17"/>
          <w:szCs w:val="17"/>
          <w:color w:val="auto"/>
        </w:rPr>
        <w:t>Each Lender who is an Affiliate of Borrower (excluding (x) Borrower and its Subsidiaries and (y) any Debt Fund Affiliate Lenders) (each, an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it being understood that (x) neither Borrower nor any of its Subsidiaries may be Affiliate Lenders and (y) Debt Fund Affiliate Lenders and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 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80" w:lineRule="exact"/>
        <w:rPr>
          <w:rFonts w:ascii="Arial" w:cs="Arial" w:eastAsia="Arial" w:hAnsi="Arial"/>
          <w:sz w:val="17"/>
          <w:szCs w:val="17"/>
          <w:color w:val="auto"/>
        </w:rPr>
      </w:pPr>
    </w:p>
    <w:p>
      <w:pPr>
        <w:jc w:val="both"/>
        <w:ind w:firstLine="8"/>
        <w:spacing w:after="0" w:line="270" w:lineRule="auto"/>
        <w:tabs>
          <w:tab w:leader="none" w:pos="387" w:val="left"/>
        </w:tabs>
        <w:numPr>
          <w:ilvl w:val="0"/>
          <w:numId w:val="61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 (ii) 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 Sections 5.01, 5.05, 5.06, 13.03 and 13.20, the obligations of each Guarantor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ectPr>
          <w:pgSz w:w="11900" w:h="16838" w:orient="portrait"/>
          <w:cols w:equalWidth="0" w:num="1">
            <w:col w:w="11420"/>
          </w:cols>
          <w:pgMar w:left="240" w:top="395" w:right="239" w:bottom="1440" w:gutter="0" w:footer="0" w:header="0"/>
        </w:sectPr>
      </w:pPr>
    </w:p>
    <w:bookmarkStart w:id="493" w:name="page494"/>
    <w:bookmarkEnd w:id="493"/>
    <w:p>
      <w:pPr>
        <w:jc w:val="both"/>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intended to affect the interpretation of any provision of this Agreement.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 on</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6" w:lineRule="auto"/>
        <w:tabs>
          <w:tab w:leader="none" w:pos="380"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 DISPUTES,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7" w:lineRule="exact"/>
        <w:rPr>
          <w:rFonts w:ascii="Arial" w:cs="Arial" w:eastAsia="Arial" w:hAnsi="Arial"/>
          <w:sz w:val="18"/>
          <w:szCs w:val="18"/>
          <w:color w:val="auto"/>
        </w:rPr>
      </w:pPr>
    </w:p>
    <w:p>
      <w:pPr>
        <w:jc w:val="both"/>
        <w:ind w:firstLine="8"/>
        <w:spacing w:after="0" w:line="266" w:lineRule="auto"/>
        <w:tabs>
          <w:tab w:leader="none" w:pos="498" w:val="left"/>
        </w:tabs>
        <w:numPr>
          <w:ilvl w:val="0"/>
          <w:numId w:val="617"/>
        </w:numPr>
        <w:rPr>
          <w:rFonts w:ascii="Arial" w:cs="Arial" w:eastAsia="Arial" w:hAnsi="Arial"/>
          <w:sz w:val="17"/>
          <w:szCs w:val="17"/>
          <w:color w:val="auto"/>
        </w:rPr>
      </w:pPr>
      <w:r>
        <w:rPr>
          <w:rFonts w:ascii="Arial" w:cs="Arial" w:eastAsia="Arial" w:hAnsi="Arial"/>
          <w:sz w:val="17"/>
          <w:szCs w:val="17"/>
          <w:b w:val="1"/>
          <w:bCs w:val="1"/>
          <w:color w:val="auto"/>
        </w:rPr>
        <w:t>SUBMISSION TO JURISDICTION</w:t>
      </w:r>
      <w:r>
        <w:rPr>
          <w:rFonts w:ascii="Arial" w:cs="Arial" w:eastAsia="Arial" w:hAnsi="Arial"/>
          <w:sz w:val="17"/>
          <w:szCs w:val="17"/>
          <w:color w:val="auto"/>
        </w:rPr>
        <w:t>. EACH CREDIT PARTY IRREVOCABLY AND UNCONDITIONALLY AGREES THAT IT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9" w:lineRule="exact"/>
        <w:rPr>
          <w:rFonts w:ascii="Arial" w:cs="Arial" w:eastAsia="Arial" w:hAnsi="Arial"/>
          <w:sz w:val="17"/>
          <w:szCs w:val="17"/>
          <w:color w:val="auto"/>
        </w:rPr>
      </w:pPr>
    </w:p>
    <w:p>
      <w:pPr>
        <w:jc w:val="both"/>
        <w:ind w:firstLine="8"/>
        <w:spacing w:after="0" w:line="253" w:lineRule="auto"/>
        <w:tabs>
          <w:tab w:leader="none" w:pos="394"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w:t>
      </w:r>
    </w:p>
    <w:p>
      <w:pPr>
        <w:sectPr>
          <w:pgSz w:w="11900" w:h="16838" w:orient="portrait"/>
          <w:cols w:equalWidth="0" w:num="1">
            <w:col w:w="11420"/>
          </w:cols>
          <w:pgMar w:left="240" w:top="364" w:right="23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color w:val="auto"/>
        </w:rPr>
        <w:t>OF AN INCONVENIENT FORUM TO THE MAINTENANCE OF SUCH ACTION OR PROCEEDING IN ANY SUCH COURT.</w:t>
      </w:r>
    </w:p>
    <w:p>
      <w:pPr>
        <w:spacing w:after="0" w:line="221" w:lineRule="exact"/>
        <w:rPr>
          <w:sz w:val="20"/>
          <w:szCs w:val="20"/>
          <w:color w:val="auto"/>
        </w:rPr>
      </w:pPr>
    </w:p>
    <w:p>
      <w:pPr>
        <w:jc w:val="both"/>
        <w:ind w:firstLine="8"/>
        <w:spacing w:after="0" w:line="266" w:lineRule="auto"/>
        <w:tabs>
          <w:tab w:leader="none" w:pos="444"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NOTICES IN SECTION 13.02. NOTHING IN THIS AGREEMENT WILL AFFECT THE RIGHT OF ANY PARTY HERETO TO SERVE PROCESS IN ANY OTHER MANNER PERMITTED BY APPLICABLE LAW.</w:t>
      </w:r>
    </w:p>
    <w:p>
      <w:pPr>
        <w:spacing w:after="0" w:line="176" w:lineRule="exact"/>
        <w:rPr>
          <w:rFonts w:ascii="Arial" w:cs="Arial" w:eastAsia="Arial" w:hAnsi="Arial"/>
          <w:sz w:val="18"/>
          <w:szCs w:val="18"/>
          <w:color w:val="auto"/>
        </w:rPr>
      </w:pPr>
    </w:p>
    <w:p>
      <w:pPr>
        <w:jc w:val="both"/>
        <w:ind w:firstLine="8"/>
        <w:spacing w:after="0" w:line="255" w:lineRule="auto"/>
        <w:tabs>
          <w:tab w:leader="none" w:pos="477"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PARTY HERETO HEREBY IRREVOCABLY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SECTION 13.10. Confidentiality</w:t>
      </w:r>
      <w:r>
        <w:rPr>
          <w:rFonts w:ascii="Arial" w:cs="Arial" w:eastAsia="Arial" w:hAnsi="Arial"/>
          <w:sz w:val="16"/>
          <w:szCs w:val="16"/>
          <w:color w:val="auto"/>
        </w:rPr>
        <w:t>. Each Agent and each Lender agrees to keep information obtained by it pursuant to the Credit Documents confidential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 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w:t>
      </w:r>
    </w:p>
    <w:p>
      <w:pPr>
        <w:spacing w:after="0" w:line="2" w:lineRule="exact"/>
        <w:rPr>
          <w:sz w:val="20"/>
          <w:szCs w:val="20"/>
          <w:color w:val="auto"/>
        </w:rPr>
      </w:pPr>
    </w:p>
    <w:p>
      <w:pPr>
        <w:jc w:val="both"/>
        <w:ind w:firstLine="8"/>
        <w:spacing w:after="0" w:line="287" w:lineRule="auto"/>
        <w:tabs>
          <w:tab w:leader="none" w:pos="248" w:val="left"/>
        </w:tabs>
        <w:numPr>
          <w:ilvl w:val="0"/>
          <w:numId w:val="619"/>
        </w:numPr>
        <w:rPr>
          <w:rFonts w:ascii="Arial" w:cs="Arial" w:eastAsia="Arial" w:hAnsi="Arial"/>
          <w:sz w:val="16"/>
          <w:szCs w:val="16"/>
          <w:color w:val="auto"/>
        </w:rPr>
      </w:pPr>
      <w:r>
        <w:rPr>
          <w:rFonts w:ascii="Arial" w:cs="Arial" w:eastAsia="Arial" w:hAnsi="Arial"/>
          <w:sz w:val="16"/>
          <w:szCs w:val="16"/>
          <w:color w:val="auto"/>
        </w:rPr>
        <w:t>to the extent disclosure is required by any Law, subpoena or judicial order or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ectPr>
          <w:pgSz w:w="11900" w:h="16838" w:orient="portrait"/>
          <w:cols w:equalWidth="0" w:num="1">
            <w:col w:w="11420"/>
          </w:cols>
          <w:pgMar w:left="240" w:top="368" w:right="239" w:bottom="1440" w:gutter="0" w:footer="0" w:header="0"/>
        </w:sectPr>
      </w:pPr>
    </w:p>
    <w:bookmarkStart w:id="495" w:name="page496"/>
    <w:bookmarkEnd w:id="495"/>
    <w:p>
      <w:pPr>
        <w:jc w:val="both"/>
        <w:spacing w:after="0" w:line="289" w:lineRule="auto"/>
        <w:rPr>
          <w:sz w:val="20"/>
          <w:szCs w:val="20"/>
          <w:color w:val="auto"/>
        </w:rPr>
      </w:pPr>
      <w:r>
        <w:rPr>
          <w:rFonts w:ascii="Arial" w:cs="Arial" w:eastAsia="Arial" w:hAnsi="Arial"/>
          <w:sz w:val="17"/>
          <w:szCs w:val="17"/>
          <w:b w:val="1"/>
          <w:bCs w:val="1"/>
          <w:color w:val="auto"/>
        </w:rPr>
        <w:t>SECTION 13.12. Severability</w:t>
      </w:r>
      <w:r>
        <w:rPr>
          <w:rFonts w:ascii="Arial" w:cs="Arial" w:eastAsia="Arial" w:hAnsi="Arial"/>
          <w:sz w:val="17"/>
          <w:szCs w:val="17"/>
          <w:color w:val="auto"/>
        </w:rPr>
        <w:t>. Wherever possible, each provision of this Agreement shall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5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70" w:lineRule="auto"/>
        <w:tabs>
          <w:tab w:leader="none" w:pos="406" w:val="left"/>
        </w:tabs>
        <w:numPr>
          <w:ilvl w:val="0"/>
          <w:numId w:val="62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7"/>
          <w:szCs w:val="17"/>
          <w:b w:val="1"/>
          <w:bCs w:val="1"/>
          <w:color w:val="auto"/>
        </w:rPr>
        <w:t>Liquor Laws</w:t>
      </w:r>
      <w:r>
        <w:rPr>
          <w:rFonts w:ascii="Arial" w:cs="Arial" w:eastAsia="Arial" w:hAnsi="Arial"/>
          <w:sz w:val="17"/>
          <w:szCs w:val="17"/>
          <w:color w:val="auto"/>
        </w:rPr>
        <w:t>”). Without limiting the foregoing, Administrative Agent, each other Agent, each Lender and each participant acknowledges that (i) it is the subject of being called forward by any Gaming Authority or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1" w:lineRule="exact"/>
        <w:rPr>
          <w:rFonts w:ascii="Arial" w:cs="Arial" w:eastAsia="Arial" w:hAnsi="Arial"/>
          <w:sz w:val="17"/>
          <w:szCs w:val="17"/>
          <w:color w:val="auto"/>
        </w:rPr>
      </w:pPr>
    </w:p>
    <w:p>
      <w:pPr>
        <w:jc w:val="both"/>
        <w:ind w:firstLine="8"/>
        <w:spacing w:after="0" w:line="257" w:lineRule="auto"/>
        <w:tabs>
          <w:tab w:leader="none" w:pos="475"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188" w:lineRule="exact"/>
        <w:rPr>
          <w:rFonts w:ascii="Arial" w:cs="Arial" w:eastAsia="Arial" w:hAnsi="Arial"/>
          <w:sz w:val="18"/>
          <w:szCs w:val="18"/>
          <w:color w:val="auto"/>
        </w:rPr>
      </w:pPr>
    </w:p>
    <w:p>
      <w:pPr>
        <w:jc w:val="both"/>
        <w:ind w:firstLine="8"/>
        <w:spacing w:after="0" w:line="255" w:lineRule="auto"/>
        <w:tabs>
          <w:tab w:leader="none" w:pos="416"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93"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Judgment Currency</w:t>
      </w:r>
      <w:r>
        <w:rPr>
          <w:rFonts w:ascii="Arial" w:cs="Arial" w:eastAsia="Arial" w:hAnsi="Arial"/>
          <w:sz w:val="16"/>
          <w:szCs w:val="16"/>
          <w:color w:val="auto"/>
        </w:rPr>
        <w:t>.</w:t>
      </w:r>
    </w:p>
    <w:p>
      <w:pPr>
        <w:spacing w:after="0" w:line="207" w:lineRule="exact"/>
        <w:rPr>
          <w:sz w:val="20"/>
          <w:szCs w:val="20"/>
          <w:color w:val="auto"/>
        </w:rPr>
      </w:pPr>
    </w:p>
    <w:p>
      <w:pPr>
        <w:jc w:val="both"/>
        <w:ind w:firstLine="8"/>
        <w:spacing w:after="0" w:line="258" w:lineRule="auto"/>
        <w:tabs>
          <w:tab w:leader="none" w:pos="48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Borrower’s obligations hereunder and under the other Credit Documents to make payments in Dollars (the “</w:t>
      </w:r>
      <w:r>
        <w:rPr>
          <w:rFonts w:ascii="Arial" w:cs="Arial" w:eastAsia="Arial" w:hAnsi="Arial"/>
          <w:sz w:val="18"/>
          <w:szCs w:val="18"/>
          <w:b w:val="1"/>
          <w:bCs w:val="1"/>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w:t>
      </w:r>
    </w:p>
    <w:p>
      <w:pPr>
        <w:sectPr>
          <w:pgSz w:w="11900" w:h="16838" w:orient="portrait"/>
          <w:cols w:equalWidth="0" w:num="1">
            <w:col w:w="11420"/>
          </w:cols>
          <w:pgMar w:left="240" w:top="364" w:right="239" w:bottom="1440" w:gutter="0" w:footer="0" w:header="0"/>
        </w:sectPr>
      </w:pPr>
    </w:p>
    <w:bookmarkStart w:id="496" w:name="page497"/>
    <w:bookmarkEnd w:id="496"/>
    <w:p>
      <w:pPr>
        <w:jc w:val="both"/>
        <w:spacing w:after="0" w:line="255" w:lineRule="auto"/>
        <w:rPr>
          <w:sz w:val="20"/>
          <w:szCs w:val="20"/>
          <w:color w:val="auto"/>
        </w:rPr>
      </w:pPr>
      <w:r>
        <w:rPr>
          <w:rFonts w:ascii="Arial" w:cs="Arial" w:eastAsia="Arial" w:hAnsi="Arial"/>
          <w:sz w:val="18"/>
          <w:szCs w:val="18"/>
          <w:color w:val="auto"/>
        </w:rPr>
        <w:t>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93" w:lineRule="exact"/>
        <w:rPr>
          <w:sz w:val="20"/>
          <w:szCs w:val="20"/>
          <w:color w:val="auto"/>
        </w:rPr>
      </w:pPr>
    </w:p>
    <w:p>
      <w:pPr>
        <w:jc w:val="both"/>
        <w:ind w:firstLine="8"/>
        <w:spacing w:after="0" w:line="257" w:lineRule="auto"/>
        <w:tabs>
          <w:tab w:leader="none" w:pos="406"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8" w:lineRule="exact"/>
        <w:rPr>
          <w:rFonts w:ascii="Arial" w:cs="Arial" w:eastAsia="Arial" w:hAnsi="Arial"/>
          <w:sz w:val="18"/>
          <w:szCs w:val="18"/>
          <w:color w:val="auto"/>
        </w:rPr>
      </w:pPr>
    </w:p>
    <w:p>
      <w:pPr>
        <w:ind w:right="20" w:firstLine="8"/>
        <w:spacing w:after="0" w:line="277" w:lineRule="auto"/>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13.16. Waiver of Claims</w:t>
      </w:r>
      <w:r>
        <w:rPr>
          <w:rFonts w:ascii="Arial" w:cs="Arial" w:eastAsia="Arial" w:hAnsi="Arial"/>
          <w:sz w:val="17"/>
          <w:szCs w:val="17"/>
          <w:color w:val="auto"/>
        </w:rPr>
        <w:t>. Notwithstanding anything in this Agreement or the other Credit Documents to the contrary, the Credit Parties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2" w:lineRule="exact"/>
        <w:rPr>
          <w:sz w:val="20"/>
          <w:szCs w:val="20"/>
          <w:color w:val="auto"/>
        </w:rPr>
      </w:pPr>
    </w:p>
    <w:p>
      <w:pPr>
        <w:jc w:val="both"/>
        <w:ind w:firstLine="8"/>
        <w:spacing w:after="0" w:line="285" w:lineRule="auto"/>
        <w:tabs>
          <w:tab w:leader="none" w:pos="325" w:val="left"/>
        </w:tabs>
        <w:numPr>
          <w:ilvl w:val="0"/>
          <w:numId w:val="623"/>
        </w:numPr>
        <w:rPr>
          <w:rFonts w:ascii="Arial" w:cs="Arial" w:eastAsia="Arial" w:hAnsi="Arial"/>
          <w:sz w:val="16"/>
          <w:szCs w:val="16"/>
          <w:color w:val="auto"/>
        </w:rPr>
      </w:pPr>
      <w:r>
        <w:rPr>
          <w:rFonts w:ascii="Arial" w:cs="Arial" w:eastAsia="Arial" w:hAnsi="Arial"/>
          <w:sz w:val="16"/>
          <w:szCs w:val="16"/>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w:t>
      </w:r>
    </w:p>
    <w:p>
      <w:pPr>
        <w:sectPr>
          <w:pgSz w:w="11900" w:h="16838" w:orient="portrait"/>
          <w:cols w:equalWidth="0" w:num="1">
            <w:col w:w="11420"/>
          </w:cols>
          <w:pgMar w:left="240" w:top="368" w:right="239" w:bottom="1440" w:gutter="0" w:footer="0" w:header="0"/>
        </w:sectPr>
      </w:pPr>
    </w:p>
    <w:bookmarkStart w:id="497" w:name="page498"/>
    <w:bookmarkEnd w:id="497"/>
    <w:p>
      <w:pPr>
        <w:jc w:val="both"/>
        <w:spacing w:after="0" w:line="272" w:lineRule="auto"/>
        <w:rPr>
          <w:sz w:val="20"/>
          <w:szCs w:val="20"/>
          <w:color w:val="auto"/>
        </w:rPr>
      </w:pPr>
      <w:r>
        <w:rPr>
          <w:rFonts w:ascii="Arial" w:cs="Arial" w:eastAsia="Arial" w:hAnsi="Arial"/>
          <w:sz w:val="17"/>
          <w:szCs w:val="17"/>
          <w:color w:val="auto"/>
        </w:rPr>
        <w:t>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13.19. Interest Rate Limitation</w:t>
      </w:r>
      <w:r>
        <w:rPr>
          <w:rFonts w:ascii="Arial" w:cs="Arial" w:eastAsia="Arial" w:hAnsi="Arial"/>
          <w:sz w:val="16"/>
          <w:szCs w:val="16"/>
          <w:color w:val="auto"/>
        </w:rPr>
        <w:t>. Notwithstanding anything to the contrary contained in any Credit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Credit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any L/C Lender or any Lender,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w:t>
      </w:r>
    </w:p>
    <w:p>
      <w:pPr>
        <w:sectPr>
          <w:pgSz w:w="11900" w:h="16838" w:orient="portrait"/>
          <w:cols w:equalWidth="0" w:num="1">
            <w:col w:w="11420"/>
          </w:cols>
          <w:pgMar w:left="240" w:top="367" w:right="239" w:bottom="1440" w:gutter="0" w:footer="0" w:header="0"/>
        </w:sectPr>
      </w:pPr>
    </w:p>
    <w:bookmarkStart w:id="498" w:name="page499"/>
    <w:bookmarkEnd w:id="498"/>
    <w:p>
      <w:pPr>
        <w:jc w:val="both"/>
        <w:spacing w:after="0" w:line="254" w:lineRule="auto"/>
        <w:rPr>
          <w:sz w:val="20"/>
          <w:szCs w:val="20"/>
          <w:color w:val="auto"/>
        </w:rPr>
      </w:pPr>
      <w:r>
        <w:rPr>
          <w:rFonts w:ascii="Arial" w:cs="Arial" w:eastAsia="Arial" w:hAnsi="Arial"/>
          <w:sz w:val="18"/>
          <w:szCs w:val="18"/>
          <w:color w:val="auto"/>
        </w:rPr>
        <w:t xml:space="preserve">recovered from or repaid by any Agent or L/C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[Signature Page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0000FF"/>
        </w:rPr>
        <w:t>|LA\4300174.5||</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AMERICA,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 for Borrower and each Subsidiary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Guarantor:</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SUBSIDIARY GUARANTORS: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►►[TO BE UPDATED AS APPROPRIATE]</w:t>
      </w:r>
    </w:p>
    <w:p>
      <w:pPr>
        <w:sectPr>
          <w:pgSz w:w="11900" w:h="16838" w:orient="portrait"/>
          <w:cols w:equalWidth="0" w:num="1">
            <w:col w:w="11420"/>
          </w:cols>
          <w:pgMar w:left="240" w:top="368" w:right="239" w:bottom="1440" w:gutter="0" w:footer="0" w:header="0"/>
        </w:sectPr>
      </w:pPr>
    </w:p>
    <w:bookmarkStart w:id="499" w:name="page500"/>
    <w:bookmarkEnd w:id="499"/>
    <w:p>
      <w:pPr>
        <w:ind w:left="2700"/>
        <w:spacing w:after="0"/>
        <w:rPr>
          <w:sz w:val="20"/>
          <w:szCs w:val="20"/>
          <w:color w:val="auto"/>
        </w:rPr>
      </w:pPr>
      <w:r>
        <w:rPr>
          <w:rFonts w:ascii="Arial" w:cs="Arial" w:eastAsia="Arial" w:hAnsi="Arial"/>
          <w:sz w:val="18"/>
          <w:szCs w:val="18"/>
          <w:color w:val="auto"/>
        </w:rPr>
        <w:t>For each of the foregoing entities:</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Administrative Agent</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ectPr>
          <w:pgSz w:w="11900" w:h="16838" w:orient="portrait"/>
          <w:cols w:equalWidth="0" w:num="1">
            <w:col w:w="9019"/>
          </w:cols>
          <w:pgMar w:left="1440" w:top="585" w:right="1440" w:bottom="1440" w:gutter="0" w:footer="0" w:header="0"/>
        </w:sectPr>
      </w:pPr>
    </w:p>
    <w:bookmarkStart w:id="500" w:name="page501"/>
    <w:bookmarkEnd w:id="500"/>
    <w:p>
      <w:pPr>
        <w:ind w:left="2700"/>
        <w:spacing w:after="0"/>
        <w:rPr>
          <w:sz w:val="20"/>
          <w:szCs w:val="20"/>
          <w:color w:val="auto"/>
        </w:rPr>
      </w:pPr>
      <w:r>
        <w:rPr>
          <w:rFonts w:ascii="Arial" w:cs="Arial" w:eastAsia="Arial" w:hAnsi="Arial"/>
          <w:sz w:val="18"/>
          <w:szCs w:val="18"/>
          <w:color w:val="auto"/>
        </w:rPr>
        <w:t>Facsimile No.:</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L/C Lender</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as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151765</wp:posOffset>
            </wp:positionV>
            <wp:extent cx="4763"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u w:val="single" w:color="auto"/>
          <w:color w:val="FF0000"/>
          <w:strike w:val="1"/>
        </w:rPr>
        <w:t>ANNEX A-1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240665</wp:posOffset>
            </wp:positionV>
            <wp:extent cx="6757670" cy="13633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57670" cy="1363345"/>
                    </a:xfrm>
                    <a:prstGeom prst="rect">
                      <a:avLst/>
                    </a:prstGeom>
                    <a:noFill/>
                  </pic:spPr>
                </pic:pic>
              </a:graphicData>
            </a:graphic>
          </wp:anchor>
        </w:drawing>
      </w:r>
    </w:p>
    <w:p>
      <w:pPr>
        <w:spacing w:after="0" w:line="381" w:lineRule="exact"/>
        <w:rPr>
          <w:sz w:val="20"/>
          <w:szCs w:val="20"/>
          <w:color w:val="auto"/>
        </w:rPr>
      </w:pPr>
    </w:p>
    <w:tbl>
      <w:tblPr>
        <w:tblLayout w:type="fixed"/>
        <w:tblInd w:w="38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FF0000"/>
                <w:strike w:val="1"/>
              </w:rPr>
              <w:t>Lender</w:t>
            </w:r>
          </w:p>
        </w:tc>
        <w:tc>
          <w:tcPr>
            <w:tcW w:w="3900" w:type="dxa"/>
            <w:vAlign w:val="bottom"/>
          </w:tcPr>
          <w:p>
            <w:pPr>
              <w:ind w:left="2060"/>
              <w:spacing w:after="0"/>
              <w:rPr>
                <w:sz w:val="20"/>
                <w:szCs w:val="20"/>
                <w:color w:val="auto"/>
              </w:rPr>
            </w:pPr>
            <w:r>
              <w:rPr>
                <w:rFonts w:ascii="Arial" w:cs="Arial" w:eastAsia="Arial" w:hAnsi="Arial"/>
                <w:sz w:val="18"/>
                <w:szCs w:val="18"/>
                <w:b w:val="1"/>
                <w:bCs w:val="1"/>
                <w:color w:val="FF0000"/>
                <w:strike w:val="1"/>
                <w:w w:val="90"/>
              </w:rPr>
              <w:t>Revolving Commitment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FF0000"/>
                <w:strike w:val="1"/>
              </w:rPr>
              <w:t>Total Revolving Commitments:</w:t>
            </w:r>
          </w:p>
        </w:tc>
        <w:tc>
          <w:tcPr>
            <w:tcW w:w="4180" w:type="dxa"/>
            <w:vAlign w:val="bottom"/>
          </w:tcPr>
          <w:p>
            <w:pPr>
              <w:jc w:val="right"/>
              <w:spacing w:after="0"/>
              <w:rPr>
                <w:sz w:val="20"/>
                <w:szCs w:val="20"/>
                <w:color w:val="auto"/>
              </w:rPr>
            </w:pPr>
            <w:r>
              <w:rPr>
                <w:rFonts w:ascii="Arial" w:cs="Arial" w:eastAsia="Arial" w:hAnsi="Arial"/>
                <w:sz w:val="18"/>
                <w:szCs w:val="18"/>
                <w:b w:val="1"/>
                <w:bCs w:val="1"/>
                <w:color w:val="FF0000"/>
                <w:strike w:val="1"/>
              </w:rPr>
              <w:t>$375,000,000.00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763"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strike w:val="1"/>
        </w:rPr>
        <w:t>| LA\3747366.12||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92075</wp:posOffset>
            </wp:positionV>
            <wp:extent cx="25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1052830</wp:posOffset>
            </wp:positionV>
            <wp:extent cx="25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FF0000"/>
          <w:strike w:val="1"/>
        </w:rPr>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TERM FACILITY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240665</wp:posOffset>
            </wp:positionV>
            <wp:extent cx="6774815" cy="1363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4815" cy="1363345"/>
                    </a:xfrm>
                    <a:prstGeom prst="rect">
                      <a:avLst/>
                    </a:prstGeom>
                    <a:noFill/>
                  </pic:spPr>
                </pic:pic>
              </a:graphicData>
            </a:graphic>
          </wp:anchor>
        </w:drawing>
      </w:r>
    </w:p>
    <w:p>
      <w:pPr>
        <w:spacing w:after="0" w:line="381" w:lineRule="exact"/>
        <w:rPr>
          <w:sz w:val="20"/>
          <w:szCs w:val="20"/>
          <w:color w:val="auto"/>
        </w:rPr>
      </w:pPr>
    </w:p>
    <w:tbl>
      <w:tblPr>
        <w:tblLayout w:type="fixed"/>
        <w:tblInd w:w="36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FF0000"/>
                <w:strike w:val="1"/>
              </w:rPr>
              <w:t>Lender</w:t>
            </w:r>
          </w:p>
        </w:tc>
        <w:tc>
          <w:tcPr>
            <w:tcW w:w="4100" w:type="dxa"/>
            <w:vAlign w:val="bottom"/>
          </w:tcPr>
          <w:p>
            <w:pPr>
              <w:ind w:left="2000"/>
              <w:spacing w:after="0"/>
              <w:rPr>
                <w:sz w:val="20"/>
                <w:szCs w:val="20"/>
                <w:color w:val="auto"/>
              </w:rPr>
            </w:pPr>
            <w:r>
              <w:rPr>
                <w:rFonts w:ascii="Arial" w:cs="Arial" w:eastAsia="Arial" w:hAnsi="Arial"/>
                <w:sz w:val="18"/>
                <w:szCs w:val="18"/>
                <w:b w:val="1"/>
                <w:bCs w:val="1"/>
                <w:color w:val="FF0000"/>
                <w:strike w:val="1"/>
                <w:w w:val="91"/>
              </w:rPr>
              <w:t>Term Facility Commitment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FF0000"/>
                <w:strike w:val="1"/>
              </w:rPr>
              <w:t>Total Term Facility Commitments:</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FF0000"/>
                <w:strike w:val="1"/>
              </w:rPr>
              <w:t>$875,000,000.00</w:t>
            </w:r>
          </w:p>
        </w:tc>
      </w:tr>
    </w:tbl>
    <w:p>
      <w:pPr>
        <w:spacing w:after="0" w:line="22" w:lineRule="exact"/>
        <w:rPr>
          <w:sz w:val="20"/>
          <w:szCs w:val="20"/>
          <w:color w:val="auto"/>
        </w:rPr>
      </w:pPr>
    </w:p>
    <w:p>
      <w:pPr>
        <w:ind w:left="10620"/>
        <w:spacing w:after="0"/>
        <w:rPr>
          <w:sz w:val="20"/>
          <w:szCs w:val="20"/>
          <w:color w:val="auto"/>
        </w:rPr>
      </w:pPr>
      <w:r>
        <w:rPr>
          <w:rFonts w:ascii="Arial" w:cs="Arial" w:eastAsia="Arial" w:hAnsi="Arial"/>
          <w:sz w:val="17"/>
          <w:szCs w:val="17"/>
          <w:b w:val="1"/>
          <w:bCs w:val="1"/>
          <w:u w:val="single" w:color="auto"/>
          <w:color w:val="FF0000"/>
          <w:strike w:val="1"/>
        </w:rPr>
        <w:t>ANNEX B</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AMORTIZATION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FF0000"/>
          <w:strike w:val="1"/>
        </w:rPr>
        <w:t>TERM FACILITY LOANS</w:t>
      </w:r>
    </w:p>
    <w:p>
      <w:pPr>
        <w:sectPr>
          <w:pgSz w:w="11900" w:h="16838" w:orient="portrait"/>
          <w:cols w:equalWidth="0" w:num="1">
            <w:col w:w="11420"/>
          </w:cols>
          <w:pgMar w:left="240" w:top="1228" w:right="239" w:bottom="1440" w:gutter="0" w:footer="0" w:header="0"/>
        </w:sectPr>
      </w:pPr>
    </w:p>
    <w:bookmarkStart w:id="502" w:name="page503"/>
    <w:bookmarkEnd w:id="502"/>
    <w:tbl>
      <w:tblPr>
        <w:tblLayout w:type="fixed"/>
        <w:tblInd w:w="0" w:type="dxa"/>
        <w:tblCellMar>
          <w:top w:w="0" w:type="dxa"/>
          <w:left w:w="0" w:type="dxa"/>
          <w:bottom w:w="0" w:type="dxa"/>
          <w:right w:w="0" w:type="dxa"/>
        </w:tblCellMar>
      </w:tblPr>
      <w:tr>
        <w:trPr>
          <w:trHeight w:val="287"/>
        </w:trPr>
        <w:tc>
          <w:tcPr>
            <w:tcW w:w="8280" w:type="dxa"/>
            <w:vAlign w:val="bottom"/>
          </w:tcPr>
          <w:p>
            <w:pPr>
              <w:spacing w:after="0"/>
              <w:rPr>
                <w:sz w:val="20"/>
                <w:szCs w:val="20"/>
                <w:color w:val="auto"/>
              </w:rPr>
            </w:pPr>
            <w:r>
              <w:rPr>
                <w:rFonts w:ascii="Arial" w:cs="Arial" w:eastAsia="Arial" w:hAnsi="Arial"/>
                <w:sz w:val="18"/>
                <w:szCs w:val="18"/>
                <w:b w:val="1"/>
                <w:bCs w:val="1"/>
                <w:color w:val="FF0000"/>
                <w:strike w:val="1"/>
                <w:w w:val="95"/>
              </w:rPr>
              <w:t>DATE</w:t>
            </w:r>
            <w:r>
              <w:rPr>
                <w:rFonts w:ascii="Arial" w:cs="Arial" w:eastAsia="Arial" w:hAnsi="Arial"/>
                <w:sz w:val="25"/>
                <w:szCs w:val="25"/>
                <w:b w:val="1"/>
                <w:bCs w:val="1"/>
                <w:color w:val="FF0000"/>
                <w:strike w:val="1"/>
                <w:w w:val="95"/>
                <w:vertAlign w:val="superscript"/>
              </w:rPr>
              <w:t>11</w:t>
            </w:r>
            <w:r>
              <w:rPr>
                <w:rFonts w:ascii="Arial" w:cs="Arial" w:eastAsia="Arial" w:hAnsi="Arial"/>
                <w:sz w:val="18"/>
                <w:szCs w:val="18"/>
                <w:b w:val="1"/>
                <w:bCs w:val="1"/>
                <w:color w:val="FF0000"/>
                <w:w w:val="95"/>
              </w:rPr>
              <w:t xml:space="preserve"> </w:t>
            </w:r>
            <w:r>
              <w:rPr>
                <w:rFonts w:ascii="Arial" w:cs="Arial" w:eastAsia="Arial" w:hAnsi="Arial"/>
                <w:sz w:val="16"/>
                <w:szCs w:val="16"/>
                <w:b w:val="1"/>
                <w:bCs w:val="1"/>
                <w:color w:val="FF0000"/>
                <w:w w:val="95"/>
              </w:rPr>
              <w:t>If such date is not a Business Day, then the date shall be the next succeeding Business Day unless such</w:t>
            </w:r>
          </w:p>
        </w:tc>
        <w:tc>
          <w:tcPr>
            <w:tcW w:w="2440" w:type="dxa"/>
            <w:vAlign w:val="bottom"/>
            <w:vMerge w:val="restart"/>
          </w:tcPr>
          <w:p>
            <w:pPr>
              <w:ind w:left="580"/>
              <w:spacing w:after="0"/>
              <w:rPr>
                <w:sz w:val="20"/>
                <w:szCs w:val="20"/>
                <w:color w:val="auto"/>
              </w:rPr>
            </w:pPr>
            <w:r>
              <w:rPr>
                <w:rFonts w:ascii="Arial" w:cs="Arial" w:eastAsia="Arial" w:hAnsi="Arial"/>
                <w:sz w:val="18"/>
                <w:szCs w:val="18"/>
                <w:b w:val="1"/>
                <w:bCs w:val="1"/>
                <w:color w:val="FF0000"/>
                <w:strike w:val="1"/>
              </w:rPr>
              <w:t>PRINCIPAL AMOUNT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6"/>
                <w:szCs w:val="16"/>
                <w:b w:val="1"/>
                <w:bCs w:val="1"/>
                <w:color w:val="FF0000"/>
                <w:strike w:val="1"/>
                <w:w w:val="95"/>
              </w:rPr>
              <w:t>Business Day falls in another calendar month, in which case such date shall be the next preceding Business Day.</w:t>
            </w: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20"/>
          </w:cols>
          <w:pgMar w:left="280" w:top="473" w:right="89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7778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7778115"/>
                    </a:xfrm>
                    <a:prstGeom prst="rect">
                      <a:avLst/>
                    </a:prstGeom>
                    <a:noFill/>
                  </pic:spPr>
                </pic:pic>
              </a:graphicData>
            </a:graphic>
          </wp:anchor>
        </w:drawing>
      </w:r>
    </w:p>
    <w:bookmarkStart w:id="503" w:name="page504"/>
    <w:bookmarkEnd w:id="5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3173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The date that is the sixth anniversary of the Closing Date</w:t>
      </w:r>
    </w:p>
    <w:p>
      <w:pPr>
        <w:sectPr>
          <w:pgSz w:w="11900" w:h="16838" w:orient="portrait"/>
          <w:cols w:equalWidth="0" w:num="1">
            <w:col w:w="10179"/>
          </w:cols>
          <w:pgMar w:left="280" w:top="1440" w:right="1440" w:bottom="1440" w:gutter="0" w:footer="0" w:header="0"/>
        </w:sectPr>
      </w:pPr>
    </w:p>
    <w:bookmarkStart w:id="504" w:name="page505"/>
    <w:bookmarkEnd w:id="504"/>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BORROWING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both"/>
        <w:ind w:left="400" w:hanging="404"/>
        <w:spacing w:after="0" w:line="246" w:lineRule="auto"/>
        <w:rPr>
          <w:sz w:val="20"/>
          <w:szCs w:val="20"/>
          <w:color w:val="auto"/>
        </w:rPr>
      </w:pPr>
      <w:r>
        <w:rPr>
          <w:rFonts w:ascii="Arial" w:cs="Arial" w:eastAsia="Arial" w:hAnsi="Arial"/>
          <w:sz w:val="20"/>
          <w:szCs w:val="20"/>
          <w:color w:val="auto"/>
        </w:rPr>
        <w:t>To: Administrative Agent under the Credit Agreement, dated as of November 20, 2014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among Wynn America, LLC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New York Branch, as Administrative Agent and as Collateral Agent, and the other parties party thereto.</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undersigned Borrower refers to the Credit Agreement (the terms defined therein, being used herein as defined therein), hereby gives you [irrevocable] notice pursuant to 2.02, [2.03(e)] and 4.05 of the Credit Agreement that Borrower desires to make a borrowing (the “</w:t>
      </w:r>
      <w:r>
        <w:rPr>
          <w:rFonts w:ascii="Arial" w:cs="Arial" w:eastAsia="Arial" w:hAnsi="Arial"/>
          <w:sz w:val="20"/>
          <w:szCs w:val="20"/>
          <w:b w:val="1"/>
          <w:bCs w:val="1"/>
          <w:color w:val="auto"/>
        </w:rPr>
        <w:t>Proposed Borrowing</w:t>
      </w:r>
      <w:r>
        <w:rPr>
          <w:rFonts w:ascii="Arial" w:cs="Arial" w:eastAsia="Arial" w:hAnsi="Arial"/>
          <w:sz w:val="20"/>
          <w:szCs w:val="20"/>
          <w:color w:val="auto"/>
        </w:rPr>
        <w:t>”) under the Credit Agreement, and in that connection sets forth below the information relating to the Proposed Borrowing:</w:t>
      </w:r>
    </w:p>
    <w:p>
      <w:pPr>
        <w:spacing w:after="0" w:line="192" w:lineRule="exact"/>
        <w:rPr>
          <w:sz w:val="20"/>
          <w:szCs w:val="20"/>
          <w:color w:val="auto"/>
        </w:rPr>
      </w:pPr>
    </w:p>
    <w:p>
      <w:pPr>
        <w:ind w:left="480" w:hanging="472"/>
        <w:spacing w:after="0"/>
        <w:tabs>
          <w:tab w:leader="none" w:pos="480" w:val="left"/>
        </w:tabs>
        <w:numPr>
          <w:ilvl w:val="0"/>
          <w:numId w:val="624"/>
        </w:numPr>
        <w:rPr>
          <w:rFonts w:ascii="Arial" w:cs="Arial" w:eastAsia="Arial" w:hAnsi="Arial"/>
          <w:sz w:val="20"/>
          <w:szCs w:val="20"/>
          <w:color w:val="auto"/>
        </w:rPr>
      </w:pPr>
      <w:r>
        <w:rPr>
          <w:rFonts w:ascii="Arial" w:cs="Arial" w:eastAsia="Arial" w:hAnsi="Arial"/>
          <w:sz w:val="20"/>
          <w:szCs w:val="20"/>
          <w:color w:val="auto"/>
        </w:rPr>
        <w:t>Proposed Borrowing:</w:t>
      </w:r>
    </w:p>
    <w:tbl>
      <w:tblPr>
        <w:tblLayout w:type="fixed"/>
        <w:tblInd w:w="1300" w:type="dxa"/>
        <w:tblCellMar>
          <w:top w:w="0" w:type="dxa"/>
          <w:left w:w="0" w:type="dxa"/>
          <w:bottom w:w="0" w:type="dxa"/>
          <w:right w:w="0" w:type="dxa"/>
        </w:tblCellMar>
      </w:tblPr>
      <w:tr>
        <w:trPr>
          <w:trHeight w:val="206"/>
        </w:trPr>
        <w:tc>
          <w:tcPr>
            <w:tcW w:w="320" w:type="dxa"/>
            <w:vAlign w:val="bottom"/>
          </w:tcPr>
          <w:p>
            <w:pPr>
              <w:spacing w:after="0" w:line="206" w:lineRule="exact"/>
              <w:rPr>
                <w:sz w:val="20"/>
                <w:szCs w:val="20"/>
                <w:color w:val="auto"/>
              </w:rPr>
            </w:pPr>
            <w:r>
              <w:rPr>
                <w:rFonts w:ascii="Arial" w:cs="Arial" w:eastAsia="Arial" w:hAnsi="Arial"/>
                <w:sz w:val="20"/>
                <w:szCs w:val="20"/>
                <w:color w:val="auto"/>
              </w:rPr>
              <w:t>(i)</w:t>
            </w:r>
          </w:p>
        </w:tc>
        <w:tc>
          <w:tcPr>
            <w:tcW w:w="4000" w:type="dxa"/>
            <w:vAlign w:val="bottom"/>
          </w:tcPr>
          <w:p>
            <w:pPr>
              <w:ind w:left="60"/>
              <w:spacing w:after="0" w:line="206" w:lineRule="exact"/>
              <w:rPr>
                <w:sz w:val="20"/>
                <w:szCs w:val="20"/>
                <w:color w:val="auto"/>
              </w:rPr>
            </w:pPr>
            <w:r>
              <w:rPr>
                <w:rFonts w:ascii="Arial" w:cs="Arial" w:eastAsia="Arial" w:hAnsi="Arial"/>
                <w:sz w:val="20"/>
                <w:szCs w:val="20"/>
                <w:color w:val="auto"/>
                <w:w w:val="89"/>
              </w:rPr>
              <w:t>The Business Day of the Proposed Borrowing is [</w:t>
            </w:r>
          </w:p>
        </w:tc>
        <w:tc>
          <w:tcPr>
            <w:tcW w:w="440" w:type="dxa"/>
            <w:vAlign w:val="bottom"/>
            <w:tcBorders>
              <w:bottom w:val="single" w:sz="8" w:color="auto"/>
            </w:tcBorders>
          </w:tcPr>
          <w:p>
            <w:pPr>
              <w:spacing w:after="0"/>
              <w:rPr>
                <w:sz w:val="17"/>
                <w:szCs w:val="17"/>
                <w:color w:val="auto"/>
              </w:rPr>
            </w:pPr>
          </w:p>
        </w:tc>
        <w:tc>
          <w:tcPr>
            <w:tcW w:w="780" w:type="dxa"/>
            <w:vAlign w:val="bottom"/>
            <w:gridSpan w:val="2"/>
          </w:tcPr>
          <w:p>
            <w:pPr>
              <w:jc w:val="right"/>
              <w:ind w:right="660"/>
              <w:spacing w:after="0" w:line="206" w:lineRule="exact"/>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7"/>
                <w:szCs w:val="17"/>
                <w:color w:val="auto"/>
              </w:rPr>
            </w:pPr>
          </w:p>
        </w:tc>
      </w:tr>
      <w:tr>
        <w:trPr>
          <w:trHeight w:val="439"/>
        </w:trPr>
        <w:tc>
          <w:tcPr>
            <w:tcW w:w="320" w:type="dxa"/>
            <w:vAlign w:val="bottom"/>
          </w:tcPr>
          <w:p>
            <w:pPr>
              <w:spacing w:after="0"/>
              <w:rPr>
                <w:sz w:val="20"/>
                <w:szCs w:val="20"/>
                <w:color w:val="auto"/>
              </w:rPr>
            </w:pPr>
            <w:r>
              <w:rPr>
                <w:rFonts w:ascii="Arial" w:cs="Arial" w:eastAsia="Arial" w:hAnsi="Arial"/>
                <w:sz w:val="20"/>
                <w:szCs w:val="20"/>
                <w:color w:val="auto"/>
              </w:rPr>
              <w:t>(ii)</w:t>
            </w:r>
          </w:p>
        </w:tc>
        <w:tc>
          <w:tcPr>
            <w:tcW w:w="5220" w:type="dxa"/>
            <w:vAlign w:val="bottom"/>
            <w:gridSpan w:val="4"/>
          </w:tcPr>
          <w:p>
            <w:pPr>
              <w:jc w:val="right"/>
              <w:ind w:right="740"/>
              <w:spacing w:after="0"/>
              <w:rPr>
                <w:sz w:val="20"/>
                <w:szCs w:val="20"/>
                <w:color w:val="auto"/>
              </w:rPr>
            </w:pPr>
            <w:r>
              <w:rPr>
                <w:rFonts w:ascii="Arial" w:cs="Arial" w:eastAsia="Arial" w:hAnsi="Arial"/>
                <w:sz w:val="20"/>
                <w:szCs w:val="20"/>
                <w:color w:val="auto"/>
                <w:w w:val="91"/>
              </w:rPr>
              <w:t>The aggregate amount of the Proposed Borrowing is $[</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The Proposed Borrowing shall consist of:</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Revolving Loan, which shall initially be [an ABR Loan][a LIBOR Loan]; [The amount of Revolving Loans</w:t>
      </w:r>
    </w:p>
    <w:p>
      <w:pPr>
        <w:spacing w:after="0" w:line="39" w:lineRule="exact"/>
        <w:rPr>
          <w:sz w:val="20"/>
          <w:szCs w:val="20"/>
          <w:color w:val="auto"/>
        </w:rPr>
      </w:pPr>
    </w:p>
    <w:p>
      <w:pPr>
        <w:ind w:left="1300"/>
        <w:spacing w:after="0"/>
        <w:tabs>
          <w:tab w:leader="none" w:pos="8920" w:val="left"/>
        </w:tabs>
        <w:rPr>
          <w:sz w:val="20"/>
          <w:szCs w:val="20"/>
          <w:color w:val="auto"/>
        </w:rPr>
      </w:pPr>
      <w:r>
        <w:rPr>
          <w:rFonts w:ascii="Arial" w:cs="Arial" w:eastAsia="Arial" w:hAnsi="Arial"/>
          <w:sz w:val="18"/>
          <w:szCs w:val="18"/>
          <w:color w:val="auto"/>
        </w:rPr>
        <w:t>that are requested to be LIBOR Loans are requested to have the following Interest Period(s): [</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-24765</wp:posOffset>
            </wp:positionV>
            <wp:extent cx="125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A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B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 Term Facility Loan made from the Tranche C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-29845</wp:posOffset>
            </wp:positionV>
            <wp:extent cx="1568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85" w:lineRule="exact"/>
        <w:rPr>
          <w:sz w:val="20"/>
          <w:szCs w:val="20"/>
          <w:color w:val="auto"/>
        </w:rPr>
      </w:pPr>
    </w:p>
    <w:p>
      <w:pPr>
        <w:ind w:left="1300" w:right="100" w:firstLine="5"/>
        <w:spacing w:after="0" w:line="260" w:lineRule="auto"/>
        <w:tabs>
          <w:tab w:leader="none" w:pos="1780" w:val="left"/>
        </w:tabs>
        <w:numPr>
          <w:ilvl w:val="0"/>
          <w:numId w:val="625"/>
        </w:numPr>
        <w:rPr>
          <w:rFonts w:ascii="Arial" w:cs="Arial" w:eastAsia="Arial" w:hAnsi="Arial"/>
          <w:sz w:val="20"/>
          <w:szCs w:val="20"/>
          <w:color w:val="auto"/>
        </w:rPr>
      </w:pPr>
      <w:r>
        <w:rPr>
          <w:rFonts w:ascii="Arial" w:cs="Arial" w:eastAsia="Arial" w:hAnsi="Arial"/>
          <w:sz w:val="20"/>
          <w:szCs w:val="20"/>
          <w:color w:val="auto"/>
        </w:rPr>
        <w:t>The proceeds of the Proposed Borrowing are to be deposited into the account or accounts described in the letter attached hereto and in the respective amounts set forth therein.</w:t>
      </w:r>
    </w:p>
    <w:p>
      <w:pPr>
        <w:sectPr>
          <w:pgSz w:w="11900" w:h="16838" w:orient="portrait"/>
          <w:cols w:equalWidth="0" w:num="1">
            <w:col w:w="11420"/>
          </w:cols>
          <w:pgMar w:left="240" w:top="360" w:right="239" w:bottom="1440" w:gutter="0" w:footer="0" w:header="0"/>
        </w:sectPr>
      </w:pPr>
    </w:p>
    <w:bookmarkStart w:id="505" w:name="page506"/>
    <w:bookmarkEnd w:id="505"/>
    <w:p>
      <w:pPr>
        <w:ind w:firstLine="8"/>
        <w:spacing w:after="0" w:line="260" w:lineRule="auto"/>
        <w:tabs>
          <w:tab w:leader="none" w:pos="521" w:val="left"/>
        </w:tabs>
        <w:numPr>
          <w:ilvl w:val="0"/>
          <w:numId w:val="626"/>
        </w:numPr>
        <w:rPr>
          <w:rFonts w:ascii="Arial" w:cs="Arial" w:eastAsia="Arial" w:hAnsi="Arial"/>
          <w:sz w:val="20"/>
          <w:szCs w:val="20"/>
          <w:color w:val="auto"/>
        </w:rPr>
      </w:pPr>
      <w:r>
        <w:rPr>
          <w:rFonts w:ascii="Arial" w:cs="Arial" w:eastAsia="Arial" w:hAnsi="Arial"/>
          <w:sz w:val="20"/>
          <w:szCs w:val="20"/>
          <w:color w:val="auto"/>
        </w:rPr>
        <w:t>Borrower hereby represents and warrants that both immediately before and immediately after giving effect to the Proposed Borrowing and the intended use thereof:</w:t>
      </w:r>
    </w:p>
    <w:p>
      <w:pPr>
        <w:spacing w:after="0" w:line="190" w:lineRule="exact"/>
        <w:rPr>
          <w:rFonts w:ascii="Arial" w:cs="Arial" w:eastAsia="Arial" w:hAnsi="Arial"/>
          <w:sz w:val="20"/>
          <w:szCs w:val="20"/>
          <w:color w:val="auto"/>
        </w:rPr>
      </w:pPr>
    </w:p>
    <w:p>
      <w:pPr>
        <w:ind w:left="1300" w:right="200" w:firstLine="5"/>
        <w:spacing w:after="0" w:line="316" w:lineRule="auto"/>
        <w:tabs>
          <w:tab w:leader="none" w:pos="1685" w:val="left"/>
        </w:tabs>
        <w:numPr>
          <w:ilvl w:val="1"/>
          <w:numId w:val="626"/>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Credit Parties in Article VIII of the Credit Agreement and by each Credit Party in each other Credit Document to which it is a party is true and correct in all material respects on and as of the date of the making of such Proposed Borrowing with the same force and effect as if made on and as of such date (it being understood and agreed that any such representation or warranty which by its terms is made as of an earlier date is true and correct in all material respects only as such earlier date, and that any representation and warranty that is qualified as to “materiality,” “Material Adverse Effect” or similar language is true and correct in all respects on the applicable date); and]</w:t>
      </w:r>
    </w:p>
    <w:p>
      <w:pPr>
        <w:spacing w:after="0" w:line="153" w:lineRule="exact"/>
        <w:rPr>
          <w:rFonts w:ascii="Arial" w:cs="Arial" w:eastAsia="Arial" w:hAnsi="Arial"/>
          <w:sz w:val="16"/>
          <w:szCs w:val="16"/>
          <w:color w:val="auto"/>
        </w:rPr>
      </w:pPr>
    </w:p>
    <w:p>
      <w:pPr>
        <w:ind w:left="1740" w:hanging="435"/>
        <w:spacing w:after="0"/>
        <w:tabs>
          <w:tab w:leader="none" w:pos="1740" w:val="left"/>
        </w:tabs>
        <w:numPr>
          <w:ilvl w:val="1"/>
          <w:numId w:val="626"/>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29" w:lineRule="exact"/>
        <w:rPr>
          <w:rFonts w:ascii="Arial" w:cs="Arial" w:eastAsia="Arial" w:hAnsi="Arial"/>
          <w:sz w:val="20"/>
          <w:szCs w:val="20"/>
          <w:color w:val="auto"/>
        </w:rPr>
      </w:pPr>
    </w:p>
    <w:p>
      <w:pPr>
        <w:ind w:left="1300" w:right="20" w:firstLine="5"/>
        <w:spacing w:after="0" w:line="260" w:lineRule="auto"/>
        <w:tabs>
          <w:tab w:leader="none" w:pos="1844" w:val="left"/>
        </w:tabs>
        <w:numPr>
          <w:ilvl w:val="1"/>
          <w:numId w:val="626"/>
        </w:numPr>
        <w:rPr>
          <w:rFonts w:ascii="Arial" w:cs="Arial" w:eastAsia="Arial" w:hAnsi="Arial"/>
          <w:sz w:val="20"/>
          <w:szCs w:val="20"/>
          <w:color w:val="auto"/>
        </w:rPr>
      </w:pPr>
      <w:r>
        <w:rPr>
          <w:rFonts w:ascii="Arial" w:cs="Arial" w:eastAsia="Arial" w:hAnsi="Arial"/>
          <w:sz w:val="20"/>
          <w:szCs w:val="20"/>
          <w:color w:val="auto"/>
        </w:rPr>
        <w:t>[the aggregate amount of all Revolving Loans outstanding (after giving effect to the requested Revolving Loan) does not exceed the amount of the Equity Contributions made on or prior to the date hereof; and]</w:t>
      </w:r>
    </w:p>
    <w:p>
      <w:pPr>
        <w:spacing w:after="0" w:line="190" w:lineRule="exact"/>
        <w:rPr>
          <w:rFonts w:ascii="Arial" w:cs="Arial" w:eastAsia="Arial" w:hAnsi="Arial"/>
          <w:sz w:val="20"/>
          <w:szCs w:val="20"/>
          <w:color w:val="auto"/>
        </w:rPr>
      </w:pPr>
    </w:p>
    <w:p>
      <w:pPr>
        <w:ind w:left="1300" w:right="380" w:firstLine="5"/>
        <w:spacing w:after="0" w:line="260" w:lineRule="auto"/>
        <w:tabs>
          <w:tab w:leader="none" w:pos="1780" w:val="left"/>
        </w:tabs>
        <w:numPr>
          <w:ilvl w:val="1"/>
          <w:numId w:val="626"/>
        </w:numPr>
        <w:rPr>
          <w:rFonts w:ascii="Arial" w:cs="Arial" w:eastAsia="Arial" w:hAnsi="Arial"/>
          <w:sz w:val="20"/>
          <w:szCs w:val="20"/>
          <w:color w:val="auto"/>
        </w:rPr>
      </w:pPr>
      <w:r>
        <w:rPr>
          <w:rFonts w:ascii="Arial" w:cs="Arial" w:eastAsia="Arial" w:hAnsi="Arial"/>
          <w:sz w:val="20"/>
          <w:szCs w:val="20"/>
          <w:color w:val="auto"/>
        </w:rPr>
        <w:t xml:space="preserve">The sum of the aggregate amount of the outstanding Revolving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aggregate outstanding L/C Liabilities does not exceed the Total Revolving Commitments then in effect.</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This Notice of Borrowing is conditioned upon [_____].]</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420"/>
          </w:cols>
          <w:pgMar w:left="240" w:top="365" w:right="239" w:bottom="1440" w:gutter="0" w:footer="0" w:header="0"/>
        </w:sectPr>
      </w:pPr>
    </w:p>
    <w:bookmarkStart w:id="506" w:name="page507"/>
    <w:bookmarkEnd w:id="506"/>
    <w:p>
      <w:pPr>
        <w:ind w:left="2700"/>
        <w:spacing w:after="0"/>
        <w:rPr>
          <w:sz w:val="20"/>
          <w:szCs w:val="20"/>
          <w:color w:val="auto"/>
        </w:rPr>
      </w:pPr>
      <w:r>
        <w:rPr>
          <w:rFonts w:ascii="Arial" w:cs="Arial" w:eastAsia="Arial" w:hAnsi="Arial"/>
          <w:sz w:val="19"/>
          <w:szCs w:val="19"/>
          <w:color w:val="auto"/>
        </w:rPr>
        <w:t>WYNN AMERICA, LLC</w:t>
      </w:r>
    </w:p>
    <w:p>
      <w:pPr>
        <w:spacing w:after="0" w:line="22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251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ind w:left="27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366" w:right="1440" w:bottom="1440" w:gutter="0" w:footer="0" w:header="0"/>
        </w:sectPr>
      </w:pPr>
    </w:p>
    <w:bookmarkStart w:id="507" w:name="page508"/>
    <w:bookmarkEnd w:id="507"/>
    <w:p>
      <w:pPr>
        <w:jc w:val="right"/>
        <w:spacing w:after="0"/>
        <w:rPr>
          <w:sz w:val="20"/>
          <w:szCs w:val="20"/>
          <w:color w:val="auto"/>
        </w:rPr>
      </w:pPr>
      <w:r>
        <w:rPr>
          <w:rFonts w:ascii="Arial" w:cs="Arial" w:eastAsia="Arial" w:hAnsi="Arial"/>
          <w:sz w:val="20"/>
          <w:szCs w:val="20"/>
          <w:b w:val="1"/>
          <w:bCs w:val="1"/>
          <w:color w:val="auto"/>
        </w:rPr>
        <w:t>ANNEX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LENDER AGREEMENT AND CONSENT – CONSENTING LENDERS</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Reference is hereby made to the First Amendment to Credit Agreement, dated as of November 5, 2015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herein and not otherwise defined herein shall have the respective meanings given to them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Agreement), by and among Wynn America, LLC, a Nevada limited liability company, the Guarantors party thereto and Deutsche Bank AG New York Branch, as Administrative Agent for (and on behalf of) the Lenders under the Existing Credit Agreement referred to below and, after giving effect to the Amendment Agreement, the Amended Credit Agreement and as Collateral Agent for the Secured Parties (as defined under the Existing Credit Agreement and, after giving effect to the Amendment Agreement, the Amended Credit Agreement).</w:t>
      </w:r>
    </w:p>
    <w:p>
      <w:pPr>
        <w:spacing w:after="0" w:line="38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By its signature below, the undersigned hereby (a) consents and agrees to the terms and conditions of the Amendment Agreement (including the amendments to the Existing Credit Agreement attached to the Amendment Agreement as the Amended Credit Agreement), (b) authorizes Administrative Agent to execute the Amendment Agreement and to execute the other amendments, modifications, supplements, instruments or agreements entered into in accordance with the Amendment Agreement; and (c) represents that it is a Lender under the Existing Credit Agreement. [Further, by its signature below, the undersigned hereby agrees that the Term Facility Availability Period with respect to such Lender’s Term Facility Commitments as in effect immediately prior to the Agreement Effective Date shall be (please check the applicable box):</w:t>
      </w:r>
    </w:p>
    <w:p>
      <w:pPr>
        <w:spacing w:after="0" w:line="200" w:lineRule="exact"/>
        <w:rPr>
          <w:sz w:val="20"/>
          <w:szCs w:val="20"/>
          <w:color w:val="auto"/>
        </w:rPr>
      </w:pPr>
    </w:p>
    <w:p>
      <w:pPr>
        <w:spacing w:after="0" w:line="20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u w:val="single" w:color="auto"/>
          <w:color w:val="auto"/>
        </w:rPr>
        <w:t>Extension Option 1</w:t>
      </w:r>
      <w:r>
        <w:rPr>
          <w:rFonts w:ascii="Arial" w:cs="Arial" w:eastAsia="Arial" w:hAnsi="Arial"/>
          <w:sz w:val="20"/>
          <w:szCs w:val="20"/>
          <w:color w:val="auto"/>
        </w:rPr>
        <w:t>: the period from and including the Closing Date through and including the earlier of March 30, 2016 and the date of termination of the Tranche B Term Facility Commitments.</w:t>
      </w:r>
    </w:p>
    <w:p>
      <w:pPr>
        <w:spacing w:after="0" w:line="3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u w:val="single" w:color="auto"/>
          <w:color w:val="auto"/>
        </w:rPr>
        <w:t>Extension Option 2</w:t>
      </w:r>
      <w:r>
        <w:rPr>
          <w:rFonts w:ascii="Arial" w:cs="Arial" w:eastAsia="Arial" w:hAnsi="Arial"/>
          <w:sz w:val="20"/>
          <w:szCs w:val="20"/>
          <w:color w:val="auto"/>
        </w:rPr>
        <w:t>: the period from and including the Closing Date through and including the earlier of June 30, 2016 and the date of termination of the Tranche C Term Facility Commitments.]</w:t>
      </w:r>
    </w:p>
    <w:p>
      <w:pPr>
        <w:spacing w:after="0" w:line="3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The undersigned hereby agrees that this Consenting Lender Agreement and the Amended Credit Agreement (which shall be deemed to have been executed by the undersigned as if it were a direct party thereto) shall be binding upon the undersigned and each of its successors and any participants and assigns of its Loans or Commitments under the Existing Credit Agreement (it being understood that any such participation or assignment shall be made in accordance with Section 13.05 of the Existing Credit Agreement), and may not be revoked or withdrawn. The undersigned agrees that it shall notify any potential successor or any participant or assignee of any of its Loans or Commitments under the Existing Credit Agreement of the effectiveness of this Consenting Lender Agreement prior to consummating any such transfer, assignment or participation, subject to Section 13.10 of the Existing Credit Agreement. This Consenting Lender Agreement shall be irrevocable and remain in full force and effect until the Agreement Effective Date shall have occurred.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this page intentionally left blank]</w:t>
      </w:r>
    </w:p>
    <w:p>
      <w:pPr>
        <w:sectPr>
          <w:pgSz w:w="11900" w:h="16838" w:orient="portrait"/>
          <w:cols w:equalWidth="0" w:num="1">
            <w:col w:w="11420"/>
          </w:cols>
          <w:pgMar w:left="240" w:top="805" w:right="239" w:bottom="1440" w:gutter="0" w:footer="0" w:header="0"/>
        </w:sectPr>
      </w:pPr>
    </w:p>
    <w:bookmarkStart w:id="508" w:name="page509"/>
    <w:bookmarkEnd w:id="508"/>
    <w:p>
      <w:pPr>
        <w:ind w:left="3340"/>
        <w:spacing w:after="0"/>
        <w:rPr>
          <w:sz w:val="20"/>
          <w:szCs w:val="20"/>
          <w:color w:val="auto"/>
        </w:rPr>
      </w:pPr>
      <w:r>
        <w:rPr>
          <w:rFonts w:ascii="Arial" w:cs="Arial" w:eastAsia="Arial" w:hAnsi="Arial"/>
          <w:sz w:val="18"/>
          <w:szCs w:val="18"/>
          <w:color w:val="auto"/>
        </w:rPr>
        <w:t>[NAME OF INSTITUTION], as a Consenting Lender</w:t>
      </w: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3771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w:t>
      </w:r>
    </w:p>
    <w:p>
      <w:pPr>
        <w:ind w:left="3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[If a second signature is necessary: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3771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w:t>
      </w:r>
    </w:p>
    <w:p>
      <w:pPr>
        <w:ind w:left="3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LA\4299489.6</w:t>
      </w:r>
    </w:p>
    <w:p>
      <w:pPr>
        <w:sectPr>
          <w:pgSz w:w="11900" w:h="16838" w:orient="portrait"/>
          <w:cols w:equalWidth="0" w:num="1">
            <w:col w:w="9019"/>
          </w:cols>
          <w:pgMar w:left="1440" w:top="1284" w:right="1440"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6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6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6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510" w:name="page511"/>
    <w:bookmarkEnd w:id="5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6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6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6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511" w:name="page512"/>
    <w:bookmarkEnd w:id="51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2015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6, 2015</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6, 2015</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3B8C4E"/>
    <w:multiLevelType w:val="hybridMultilevel"/>
    <w:lvl w:ilvl="0">
      <w:lvlJc w:val="left"/>
      <w:lvlText w:val="x"/>
      <w:numFmt w:val="bullet"/>
      <w:start w:val="1"/>
    </w:lvl>
  </w:abstractNum>
  <w:abstractNum w:abstractNumId="1">
    <w:nsid w:val="4CFB8D32"/>
    <w:multiLevelType w:val="hybridMultilevel"/>
    <w:lvl w:ilvl="0">
      <w:lvlJc w:val="left"/>
      <w:lvlText w:val="☐"/>
      <w:numFmt w:val="bullet"/>
      <w:start w:val="1"/>
    </w:lvl>
  </w:abstractNum>
  <w:abstractNum w:abstractNumId="2">
    <w:nsid w:val="62A5D5BD"/>
    <w:multiLevelType w:val="hybridMultilevel"/>
    <w:lvl w:ilvl="0">
      <w:lvlJc w:val="left"/>
      <w:lvlText w:val="(%1)"/>
      <w:numFmt w:val="decimal"/>
      <w:start w:val="3"/>
    </w:lvl>
  </w:abstractNum>
  <w:abstractNum w:abstractNumId="3">
    <w:nsid w:val="718FABF9"/>
    <w:multiLevelType w:val="hybridMultilevel"/>
    <w:lvl w:ilvl="0">
      <w:lvlJc w:val="left"/>
      <w:lvlText w:val="(%1)"/>
      <w:numFmt w:val="decimal"/>
      <w:start w:val="3"/>
    </w:lvl>
  </w:abstractNum>
  <w:abstractNum w:abstractNumId="4">
    <w:nsid w:val="7775797C"/>
    <w:multiLevelType w:val="hybridMultilevel"/>
    <w:lvl w:ilvl="0">
      <w:lvlJc w:val="left"/>
      <w:lvlText w:val="(%1)"/>
      <w:numFmt w:val="decimal"/>
      <w:start w:val="1"/>
    </w:lvl>
  </w:abstractNum>
  <w:abstractNum w:abstractNumId="5">
    <w:nsid w:val="1626FB8C"/>
    <w:multiLevelType w:val="hybridMultilevel"/>
    <w:lvl w:ilvl="0">
      <w:lvlJc w:val="left"/>
      <w:lvlText w:val="•"/>
      <w:numFmt w:val="bullet"/>
      <w:start w:val="1"/>
    </w:lvl>
  </w:abstractNum>
  <w:abstractNum w:abstractNumId="6">
    <w:nsid w:val="3957756A"/>
    <w:multiLevelType w:val="hybridMultilevel"/>
    <w:lvl w:ilvl="0">
      <w:lvlJc w:val="left"/>
      <w:lvlText w:val="•"/>
      <w:numFmt w:val="bullet"/>
      <w:start w:val="1"/>
    </w:lvl>
  </w:abstractNum>
  <w:abstractNum w:abstractNumId="7">
    <w:nsid w:val="3E6DA1C7"/>
    <w:multiLevelType w:val="hybridMultilevel"/>
    <w:lvl w:ilvl="0">
      <w:lvlJc w:val="left"/>
      <w:lvlText w:val="•"/>
      <w:numFmt w:val="bullet"/>
      <w:start w:val="1"/>
    </w:lvl>
  </w:abstractNum>
  <w:abstractNum w:abstractNumId="8">
    <w:nsid w:val="65CA235B"/>
    <w:multiLevelType w:val="hybridMultilevel"/>
    <w:lvl w:ilvl="0">
      <w:lvlJc w:val="left"/>
      <w:lvlText w:val="•"/>
      <w:numFmt w:val="bullet"/>
      <w:start w:val="1"/>
    </w:lvl>
  </w:abstractNum>
  <w:abstractNum w:abstractNumId="9">
    <w:nsid w:val="51CB0DA4"/>
    <w:multiLevelType w:val="hybridMultilevel"/>
    <w:lvl w:ilvl="0">
      <w:lvlJc w:val="left"/>
      <w:lvlText w:val="•"/>
      <w:numFmt w:val="bullet"/>
      <w:start w:val="1"/>
    </w:lvl>
  </w:abstractNum>
  <w:abstractNum w:abstractNumId="10">
    <w:nsid w:val="7B9B743C"/>
    <w:multiLevelType w:val="hybridMultilevel"/>
    <w:lvl w:ilvl="0">
      <w:lvlJc w:val="left"/>
      <w:lvlText w:val="•"/>
      <w:numFmt w:val="bullet"/>
      <w:start w:val="1"/>
    </w:lvl>
  </w:abstractNum>
  <w:abstractNum w:abstractNumId="11">
    <w:nsid w:val="13E21002"/>
    <w:multiLevelType w:val="hybridMultilevel"/>
    <w:lvl w:ilvl="0">
      <w:lvlJc w:val="left"/>
      <w:lvlText w:val="(%1)"/>
      <w:numFmt w:val="lowerLetter"/>
      <w:start w:val="1"/>
    </w:lvl>
  </w:abstractNum>
  <w:abstractNum w:abstractNumId="12">
    <w:nsid w:val="257D63F4"/>
    <w:multiLevelType w:val="hybridMultilevel"/>
    <w:lvl w:ilvl="0">
      <w:lvlJc w:val="left"/>
      <w:lvlText w:val="(%1)"/>
      <w:numFmt w:val="lowerLetter"/>
      <w:start w:val="1"/>
    </w:lvl>
  </w:abstractNum>
  <w:abstractNum w:abstractNumId="13">
    <w:nsid w:val="70EC11B2"/>
    <w:multiLevelType w:val="hybridMultilevel"/>
    <w:lvl w:ilvl="0">
      <w:lvlJc w:val="left"/>
      <w:lvlText w:val="*"/>
      <w:numFmt w:val="bullet"/>
      <w:start w:val="1"/>
    </w:lvl>
  </w:abstractNum>
  <w:abstractNum w:abstractNumId="14">
    <w:nsid w:val="2EDA00ED"/>
    <w:multiLevelType w:val="hybridMultilevel"/>
    <w:lvl w:ilvl="0">
      <w:lvlJc w:val="left"/>
      <w:lvlText w:val="(%1)"/>
      <w:numFmt w:val="lowerLetter"/>
      <w:start w:val="1"/>
    </w:lvl>
  </w:abstractNum>
  <w:abstractNum w:abstractNumId="15">
    <w:nsid w:val="73209072"/>
    <w:multiLevelType w:val="hybridMultilevel"/>
    <w:lvl w:ilvl="0">
      <w:lvlJc w:val="left"/>
      <w:lvlText w:val="%1"/>
      <w:numFmt w:val="lowerLetter"/>
      <w:start w:val="1"/>
    </w:lvl>
    <w:lvl w:ilvl="1">
      <w:lvlJc w:val="left"/>
      <w:lvlText w:val="(%2)"/>
      <w:numFmt w:val="lowerLetter"/>
      <w:start w:val="1"/>
    </w:lvl>
  </w:abstractNum>
  <w:abstractNum w:abstractNumId="16">
    <w:nsid w:val="5FB29816"/>
    <w:multiLevelType w:val="hybridMultilevel"/>
    <w:lvl w:ilvl="0">
      <w:lvlJc w:val="left"/>
      <w:lvlText w:val="(%1)"/>
      <w:numFmt w:val="lowerLetter"/>
      <w:start w:val="35"/>
    </w:lvl>
    <w:lvl w:ilvl="1">
      <w:lvlJc w:val="left"/>
      <w:lvlText w:val="(%2)"/>
      <w:numFmt w:val="lowerLetter"/>
      <w:start w:val="4"/>
    </w:lvl>
  </w:abstractNum>
  <w:abstractNum w:abstractNumId="17">
    <w:nsid w:val="3CE732EC"/>
    <w:multiLevelType w:val="hybridMultilevel"/>
    <w:lvl w:ilvl="0">
      <w:lvlJc w:val="left"/>
      <w:lvlText w:val="(%1)"/>
      <w:numFmt w:val="lowerLetter"/>
      <w:start w:val="5"/>
    </w:lvl>
  </w:abstractNum>
  <w:abstractNum w:abstractNumId="18">
    <w:nsid w:val="22F13DF3"/>
    <w:multiLevelType w:val="hybridMultilevel"/>
    <w:lvl w:ilvl="0">
      <w:lvlJc w:val="left"/>
      <w:lvlText w:val="(%1)"/>
      <w:numFmt w:val="lowerLetter"/>
      <w:start w:val="1"/>
    </w:lvl>
  </w:abstractNum>
  <w:abstractNum w:abstractNumId="19">
    <w:nsid w:val="792B8401"/>
    <w:multiLevelType w:val="hybridMultilevel"/>
    <w:lvl w:ilvl="0">
      <w:lvlJc w:val="left"/>
      <w:lvlText w:val="(%1)"/>
      <w:numFmt w:val="lowerLetter"/>
      <w:start w:val="1"/>
    </w:lvl>
  </w:abstractNum>
  <w:abstractNum w:abstractNumId="20">
    <w:nsid w:val="FA85F4D"/>
    <w:multiLevelType w:val="hybridMultilevel"/>
    <w:lvl w:ilvl="0">
      <w:lvlJc w:val="left"/>
      <w:lvlText w:val="(%1)"/>
      <w:numFmt w:val="lowerLetter"/>
      <w:start w:val="1"/>
    </w:lvl>
    <w:lvl w:ilvl="1">
      <w:lvlJc w:val="left"/>
      <w:lvlText w:val="(%2)"/>
      <w:numFmt w:val="lowerLetter"/>
      <w:start w:val="9"/>
    </w:lvl>
  </w:abstractNum>
  <w:abstractNum w:abstractNumId="21">
    <w:nsid w:val="6ECE91F0"/>
    <w:multiLevelType w:val="hybridMultilevel"/>
    <w:lvl w:ilvl="0">
      <w:lvlJc w:val="left"/>
      <w:lvlText w:val="%1"/>
      <w:numFmt w:val="lowerLetter"/>
      <w:start w:val="1"/>
    </w:lvl>
    <w:lvl w:ilvl="1">
      <w:lvlJc w:val="left"/>
      <w:lvlText w:val="(%2)"/>
      <w:numFmt w:val="lowerRoman"/>
      <w:start w:val="2"/>
    </w:lvl>
  </w:abstractNum>
  <w:abstractNum w:abstractNumId="22">
    <w:nsid w:val="4FC4D600"/>
    <w:multiLevelType w:val="hybridMultilevel"/>
    <w:lvl w:ilvl="0">
      <w:lvlJc w:val="left"/>
      <w:lvlText w:val="(%1)"/>
      <w:numFmt w:val="lowerLetter"/>
      <w:start w:val="7"/>
    </w:lvl>
    <w:lvl w:ilvl="1">
      <w:lvlJc w:val="left"/>
      <w:lvlText w:val="%2"/>
      <w:numFmt w:val="lowerRoman"/>
      <w:start w:val="1"/>
    </w:lvl>
  </w:abstractNum>
  <w:abstractNum w:abstractNumId="23">
    <w:nsid w:val="5BFD4210"/>
    <w:multiLevelType w:val="hybridMultilevel"/>
    <w:lvl w:ilvl="0">
      <w:lvlJc w:val="left"/>
      <w:lvlText w:val="(%1)"/>
      <w:numFmt w:val="lowerLetter"/>
      <w:start w:val="1"/>
    </w:lvl>
  </w:abstractNum>
  <w:abstractNum w:abstractNumId="24">
    <w:nsid w:val="76574F8B"/>
    <w:multiLevelType w:val="hybridMultilevel"/>
    <w:lvl w:ilvl="0">
      <w:lvlJc w:val="left"/>
      <w:lvlText w:val="(%1)"/>
      <w:numFmt w:val="lowerLetter"/>
      <w:start w:val="2"/>
    </w:lvl>
  </w:abstractNum>
  <w:abstractNum w:abstractNumId="25">
    <w:nsid w:val="178F7B67"/>
    <w:multiLevelType w:val="hybridMultilevel"/>
    <w:lvl w:ilvl="0">
      <w:lvlJc w:val="left"/>
      <w:lvlText w:val="(%1)"/>
      <w:numFmt w:val="lowerLetter"/>
      <w:start w:val="1"/>
    </w:lvl>
    <w:lvl w:ilvl="1">
      <w:lvlJc w:val="left"/>
      <w:lvlText w:val="(%2)"/>
      <w:numFmt w:val="lowerRoman"/>
      <w:start w:val="1"/>
    </w:lvl>
  </w:abstractNum>
  <w:abstractNum w:abstractNumId="26">
    <w:nsid w:val="2421DFCF"/>
    <w:multiLevelType w:val="hybridMultilevel"/>
    <w:lvl w:ilvl="0">
      <w:lvlJc w:val="left"/>
      <w:lvlText w:val="%1"/>
      <w:numFmt w:val="lowerLetter"/>
      <w:start w:val="1"/>
    </w:lvl>
    <w:lvl w:ilvl="1">
      <w:lvlJc w:val="left"/>
      <w:lvlText w:val="(%2)"/>
      <w:numFmt w:val="lowerLetter"/>
      <w:start w:val="22"/>
    </w:lvl>
  </w:abstractNum>
  <w:abstractNum w:abstractNumId="27">
    <w:nsid w:val="1565AC99"/>
    <w:multiLevelType w:val="hybridMultilevel"/>
    <w:lvl w:ilvl="0">
      <w:lvlJc w:val="left"/>
      <w:lvlText w:val="(%1)"/>
      <w:numFmt w:val="lowerLetter"/>
      <w:start w:val="2"/>
    </w:lvl>
    <w:lvl w:ilvl="1">
      <w:lvlJc w:val="left"/>
      <w:lvlText w:val="%2"/>
      <w:numFmt w:val="lowerLetter"/>
      <w:start w:val="1"/>
    </w:lvl>
  </w:abstractNum>
  <w:abstractNum w:abstractNumId="28">
    <w:nsid w:val="19FB2650"/>
    <w:multiLevelType w:val="hybridMultilevel"/>
    <w:lvl w:ilvl="0">
      <w:lvlJc w:val="left"/>
      <w:lvlText w:val="(%1)"/>
      <w:numFmt w:val="lowerLetter"/>
      <w:start w:val="4"/>
    </w:lvl>
  </w:abstractNum>
  <w:abstractNum w:abstractNumId="29">
    <w:nsid w:val="5024DE5B"/>
    <w:multiLevelType w:val="hybridMultilevel"/>
    <w:lvl w:ilvl="0">
      <w:lvlJc w:val="left"/>
      <w:lvlText w:val="(%1)"/>
      <w:numFmt w:val="lowerLetter"/>
      <w:start w:val="1"/>
    </w:lvl>
  </w:abstractNum>
  <w:abstractNum w:abstractNumId="30">
    <w:nsid w:val="168EFE17"/>
    <w:multiLevelType w:val="hybridMultilevel"/>
    <w:lvl w:ilvl="0">
      <w:lvlJc w:val="left"/>
      <w:lvlText w:val="(%1)"/>
      <w:numFmt w:val="lowerLetter"/>
      <w:start w:val="1"/>
    </w:lvl>
  </w:abstractNum>
  <w:abstractNum w:abstractNumId="31">
    <w:nsid w:val="1036B29F"/>
    <w:multiLevelType w:val="hybridMultilevel"/>
    <w:lvl w:ilvl="0">
      <w:lvlJc w:val="left"/>
      <w:lvlText w:val="(%1)"/>
      <w:numFmt w:val="lowerLetter"/>
      <w:start w:val="2"/>
    </w:lvl>
  </w:abstractNum>
  <w:abstractNum w:abstractNumId="32">
    <w:nsid w:val="1D206B8E"/>
    <w:multiLevelType w:val="hybridMultilevel"/>
    <w:lvl w:ilvl="0">
      <w:lvlJc w:val="left"/>
      <w:lvlText w:val="(%1)"/>
      <w:numFmt w:val="lowerLetter"/>
      <w:start w:val="1"/>
    </w:lvl>
  </w:abstractNum>
  <w:abstractNum w:abstractNumId="33">
    <w:nsid w:val="7934D3D4"/>
    <w:multiLevelType w:val="hybridMultilevel"/>
    <w:lvl w:ilvl="0">
      <w:lvlJc w:val="left"/>
      <w:lvlText w:val="(%1)"/>
      <w:numFmt w:val="lowerLetter"/>
      <w:start w:val="1"/>
    </w:lvl>
  </w:abstractNum>
  <w:abstractNum w:abstractNumId="34">
    <w:nsid w:val="1C65E98"/>
    <w:multiLevelType w:val="hybridMultilevel"/>
    <w:lvl w:ilvl="0">
      <w:lvlJc w:val="left"/>
      <w:lvlText w:val="(%1)"/>
      <w:numFmt w:val="lowerLetter"/>
      <w:start w:val="2"/>
    </w:lvl>
  </w:abstractNum>
  <w:abstractNum w:abstractNumId="35">
    <w:nsid w:val="1495E50A"/>
    <w:multiLevelType w:val="hybridMultilevel"/>
    <w:lvl w:ilvl="0">
      <w:lvlJc w:val="left"/>
      <w:lvlText w:val="(%1)"/>
      <w:numFmt w:val="lowerLetter"/>
      <w:start w:val="1"/>
    </w:lvl>
  </w:abstractNum>
  <w:abstractNum w:abstractNumId="36">
    <w:nsid w:val="F5BCF61"/>
    <w:multiLevelType w:val="hybridMultilevel"/>
    <w:lvl w:ilvl="0">
      <w:lvlJc w:val="left"/>
      <w:lvlText w:val="(%1)"/>
      <w:numFmt w:val="lowerLetter"/>
      <w:start w:val="2"/>
    </w:lvl>
  </w:abstractNum>
  <w:abstractNum w:abstractNumId="37">
    <w:nsid w:val="3B1DD403"/>
    <w:multiLevelType w:val="hybridMultilevel"/>
    <w:lvl w:ilvl="0">
      <w:lvlJc w:val="left"/>
      <w:lvlText w:val="(%1)"/>
      <w:numFmt w:val="lowerLetter"/>
      <w:start w:val="1"/>
    </w:lvl>
    <w:lvl w:ilvl="1">
      <w:lvlJc w:val="left"/>
      <w:lvlText w:val="(%2)"/>
      <w:numFmt w:val="lowerRoman"/>
      <w:start w:val="1"/>
    </w:lvl>
  </w:abstractNum>
  <w:abstractNum w:abstractNumId="38">
    <w:nsid w:val="530386D1"/>
    <w:multiLevelType w:val="hybridMultilevel"/>
    <w:lvl w:ilvl="0">
      <w:lvlJc w:val="left"/>
      <w:lvlText w:val="%1"/>
      <w:numFmt w:val="lowerLetter"/>
      <w:start w:val="1"/>
    </w:lvl>
    <w:lvl w:ilvl="1">
      <w:lvlJc w:val="left"/>
      <w:lvlText w:val="(%2)"/>
      <w:numFmt w:val="lowerRoman"/>
      <w:start w:val="3"/>
    </w:lvl>
  </w:abstractNum>
  <w:abstractNum w:abstractNumId="39">
    <w:nsid w:val="7525F2BC"/>
    <w:multiLevelType w:val="hybridMultilevel"/>
    <w:lvl w:ilvl="0">
      <w:lvlJc w:val="left"/>
      <w:lvlText w:val="(%1)"/>
      <w:numFmt w:val="lowerLetter"/>
      <w:start w:val="2"/>
    </w:lvl>
    <w:lvl w:ilvl="1">
      <w:lvlJc w:val="left"/>
      <w:lvlText w:val="%2"/>
      <w:numFmt w:val="lowerRoman"/>
      <w:start w:val="1"/>
    </w:lvl>
  </w:abstractNum>
  <w:abstractNum w:abstractNumId="40">
    <w:nsid w:val="CE8E1A7"/>
    <w:multiLevelType w:val="hybridMultilevel"/>
    <w:lvl w:ilvl="0">
      <w:lvlJc w:val="left"/>
      <w:lvlText w:val="(%1)"/>
      <w:numFmt w:val="lowerLetter"/>
      <w:start w:val="1"/>
    </w:lvl>
  </w:abstractNum>
  <w:abstractNum w:abstractNumId="41">
    <w:nsid w:val="4E9EFB0D"/>
    <w:multiLevelType w:val="hybridMultilevel"/>
    <w:lvl w:ilvl="0">
      <w:lvlJc w:val="left"/>
      <w:lvlText w:val="%1."/>
      <w:numFmt w:val="decimal"/>
      <w:start w:val="12"/>
    </w:lvl>
  </w:abstractNum>
  <w:abstractNum w:abstractNumId="42">
    <w:nsid w:val="90802BE"/>
    <w:multiLevelType w:val="hybridMultilevel"/>
    <w:lvl w:ilvl="0">
      <w:lvlJc w:val="left"/>
      <w:lvlText w:val="(%1)"/>
      <w:numFmt w:val="decimal"/>
      <w:start w:val="1"/>
    </w:lvl>
  </w:abstractNum>
  <w:abstractNum w:abstractNumId="43">
    <w:nsid w:val="3266459B"/>
    <w:multiLevelType w:val="hybridMultilevel"/>
    <w:lvl w:ilvl="0">
      <w:lvlJc w:val="left"/>
      <w:lvlText w:val="(%1)"/>
      <w:numFmt w:val="decimal"/>
      <w:start w:val="1"/>
    </w:lvl>
  </w:abstractNum>
  <w:abstractNum w:abstractNumId="44">
    <w:nsid w:val="3F8B0CBF"/>
    <w:multiLevelType w:val="hybridMultilevel"/>
    <w:lvl w:ilvl="0">
      <w:lvlJc w:val="left"/>
      <w:lvlText w:val="(%1)"/>
      <w:numFmt w:val="decimal"/>
      <w:start w:val="16"/>
    </w:lvl>
  </w:abstractNum>
  <w:abstractNum w:abstractNumId="45">
    <w:nsid w:val="37E203AB"/>
    <w:multiLevelType w:val="hybridMultilevel"/>
    <w:lvl w:ilvl="0">
      <w:lvlJc w:val="left"/>
      <w:lvlText w:val="(%1)"/>
      <w:numFmt w:val="upperLetter"/>
      <w:start w:val="1"/>
    </w:lvl>
  </w:abstractNum>
  <w:abstractNum w:abstractNumId="46">
    <w:nsid w:val="2586D60E"/>
    <w:multiLevelType w:val="hybridMultilevel"/>
    <w:lvl w:ilvl="0">
      <w:lvlJc w:val="left"/>
      <w:lvlText w:val="%1."/>
      <w:numFmt w:val="decimal"/>
      <w:start w:val="1"/>
    </w:lvl>
  </w:abstractNum>
  <w:abstractNum w:abstractNumId="47">
    <w:nsid w:val="1F3DA4D5"/>
    <w:multiLevelType w:val="hybridMultilevel"/>
    <w:lvl w:ilvl="0">
      <w:lvlJc w:val="left"/>
      <w:lvlText w:val="(%1)"/>
      <w:numFmt w:val="lowerRoman"/>
      <w:start w:val="1"/>
    </w:lvl>
  </w:abstractNum>
  <w:abstractNum w:abstractNumId="48">
    <w:nsid w:val="74C93698"/>
    <w:multiLevelType w:val="hybridMultilevel"/>
    <w:lvl w:ilvl="0">
      <w:lvlJc w:val="left"/>
      <w:lvlText w:val="(%1)"/>
      <w:numFmt w:val="lowerRoman"/>
      <w:start w:val="1"/>
    </w:lvl>
  </w:abstractNum>
  <w:abstractNum w:abstractNumId="49">
    <w:nsid w:val="48781401"/>
    <w:multiLevelType w:val="hybridMultilevel"/>
    <w:lvl w:ilvl="0">
      <w:lvlJc w:val="left"/>
      <w:lvlText w:val="(%1)"/>
      <w:numFmt w:val="lowerRoman"/>
      <w:start w:val="1"/>
    </w:lvl>
  </w:abstractNum>
  <w:abstractNum w:abstractNumId="50">
    <w:nsid w:val="186928D6"/>
    <w:multiLevelType w:val="hybridMultilevel"/>
    <w:lvl w:ilvl="0">
      <w:lvlJc w:val="left"/>
      <w:lvlText w:val="(%1)"/>
      <w:numFmt w:val="lowerRoman"/>
      <w:start w:val="1"/>
    </w:lvl>
  </w:abstractNum>
  <w:abstractNum w:abstractNumId="51">
    <w:nsid w:val="47195E5"/>
    <w:multiLevelType w:val="hybridMultilevel"/>
    <w:lvl w:ilvl="0">
      <w:lvlJc w:val="left"/>
      <w:lvlText w:val="(%1)"/>
      <w:numFmt w:val="lowerRoman"/>
      <w:start w:val="2"/>
    </w:lvl>
  </w:abstractNum>
  <w:abstractNum w:abstractNumId="52">
    <w:nsid w:val="3746A5F2"/>
    <w:multiLevelType w:val="hybridMultilevel"/>
    <w:lvl w:ilvl="0">
      <w:lvlJc w:val="left"/>
      <w:lvlText w:val="(%1)"/>
      <w:numFmt w:val="lowerRoman"/>
      <w:start w:val="1"/>
    </w:lvl>
  </w:abstractNum>
  <w:abstractNum w:abstractNumId="53">
    <w:nsid w:val="682DFED6"/>
    <w:multiLevelType w:val="hybridMultilevel"/>
    <w:lvl w:ilvl="0">
      <w:lvlJc w:val="left"/>
      <w:lvlText w:val="(%1)"/>
      <w:numFmt w:val="lowerRoman"/>
      <w:start w:val="1"/>
    </w:lvl>
  </w:abstractNum>
  <w:abstractNum w:abstractNumId="54">
    <w:nsid w:val="606ED7F6"/>
    <w:multiLevelType w:val="hybridMultilevel"/>
    <w:lvl w:ilvl="0">
      <w:lvlJc w:val="left"/>
      <w:lvlText w:val="(%1)"/>
      <w:numFmt w:val="lowerLetter"/>
      <w:start w:val="10"/>
    </w:lvl>
  </w:abstractNum>
  <w:abstractNum w:abstractNumId="55">
    <w:nsid w:val="2D9DF57D"/>
    <w:multiLevelType w:val="hybridMultilevel"/>
    <w:lvl w:ilvl="0">
      <w:lvlJc w:val="left"/>
      <w:lvlText w:val="(%1)"/>
      <w:numFmt w:val="lowerLetter"/>
      <w:start w:val="9"/>
    </w:lvl>
  </w:abstractNum>
  <w:abstractNum w:abstractNumId="56">
    <w:nsid w:val="7FBD7A3E"/>
    <w:multiLevelType w:val="hybridMultilevel"/>
    <w:lvl w:ilvl="0">
      <w:lvlJc w:val="left"/>
      <w:lvlText w:val="%1"/>
      <w:numFmt w:val="decimal"/>
      <w:start w:val="1"/>
    </w:lvl>
    <w:lvl w:ilvl="1">
      <w:lvlJc w:val="left"/>
      <w:lvlText w:val="(%2)"/>
      <w:numFmt w:val="lowerLetter"/>
      <w:start w:val="14"/>
    </w:lvl>
  </w:abstractNum>
  <w:abstractNum w:abstractNumId="57">
    <w:nsid w:val="490B7C5"/>
    <w:multiLevelType w:val="hybridMultilevel"/>
    <w:lvl w:ilvl="0">
      <w:lvlJc w:val="left"/>
      <w:lvlText w:val="%1."/>
      <w:numFmt w:val="decimal"/>
      <w:start w:val="2"/>
    </w:lvl>
    <w:lvl w:ilvl="1">
      <w:lvlJc w:val="left"/>
      <w:lvlText w:val="%2"/>
      <w:numFmt w:val="lowerLetter"/>
      <w:start w:val="1"/>
    </w:lvl>
  </w:abstractNum>
  <w:abstractNum w:abstractNumId="58">
    <w:nsid w:val="4303A216"/>
    <w:multiLevelType w:val="hybridMultilevel"/>
    <w:lvl w:ilvl="0">
      <w:lvlJc w:val="left"/>
      <w:lvlText w:val="%1."/>
      <w:numFmt w:val="decimal"/>
      <w:start w:val="3"/>
    </w:lvl>
  </w:abstractNum>
  <w:abstractNum w:abstractNumId="59">
    <w:nsid w:val="19B8A08E"/>
    <w:multiLevelType w:val="hybridMultilevel"/>
    <w:lvl w:ilvl="0">
      <w:lvlJc w:val="left"/>
      <w:lvlText w:val="%1."/>
      <w:numFmt w:val="decimal"/>
      <w:start w:val="5"/>
    </w:lvl>
  </w:abstractNum>
  <w:abstractNum w:abstractNumId="60">
    <w:nsid w:val="54B59621"/>
    <w:multiLevelType w:val="hybridMultilevel"/>
    <w:lvl w:ilvl="0">
      <w:lvlJc w:val="left"/>
      <w:lvlText w:val="(%1)"/>
      <w:numFmt w:val="lowerLetter"/>
      <w:start w:val="9"/>
    </w:lvl>
  </w:abstractNum>
  <w:abstractNum w:abstractNumId="61">
    <w:nsid w:val="5992A02E"/>
    <w:multiLevelType w:val="hybridMultilevel"/>
    <w:lvl w:ilvl="0">
      <w:lvlJc w:val="left"/>
      <w:lvlText w:val="(%1)"/>
      <w:numFmt w:val="lowerLetter"/>
      <w:start w:val="1"/>
    </w:lvl>
  </w:abstractNum>
  <w:abstractNum w:abstractNumId="62">
    <w:nsid w:val="29EF532D"/>
    <w:multiLevelType w:val="hybridMultilevel"/>
    <w:lvl w:ilvl="0">
      <w:lvlJc w:val="left"/>
      <w:lvlText w:val="%1"/>
      <w:numFmt w:val="decimal"/>
      <w:start w:val="1"/>
    </w:lvl>
    <w:lvl w:ilvl="1">
      <w:lvlJc w:val="left"/>
      <w:lvlText w:val="(%2)"/>
      <w:numFmt w:val="lowerLetter"/>
      <w:start w:val="1"/>
    </w:lvl>
  </w:abstractNum>
  <w:abstractNum w:abstractNumId="63">
    <w:nsid w:val="71D601AF"/>
    <w:multiLevelType w:val="hybridMultilevel"/>
    <w:lvl w:ilvl="0">
      <w:lvlJc w:val="left"/>
      <w:lvlText w:val="%1."/>
      <w:numFmt w:val="decimal"/>
      <w:start w:val="6"/>
    </w:lvl>
    <w:lvl w:ilvl="1">
      <w:lvlJc w:val="left"/>
      <w:lvlText w:val="%2"/>
      <w:numFmt w:val="lowerLetter"/>
      <w:start w:val="1"/>
    </w:lvl>
  </w:abstractNum>
  <w:abstractNum w:abstractNumId="64">
    <w:nsid w:val="52C77402"/>
    <w:multiLevelType w:val="hybridMultilevel"/>
    <w:lvl w:ilvl="0">
      <w:lvlJc w:val="left"/>
      <w:lvlText w:val="%1."/>
      <w:numFmt w:val="decimal"/>
      <w:start w:val="7"/>
    </w:lvl>
  </w:abstractNum>
  <w:abstractNum w:abstractNumId="65">
    <w:nsid w:val="2BB5B1C6"/>
    <w:multiLevelType w:val="hybridMultilevel"/>
    <w:lvl w:ilvl="0">
      <w:lvlJc w:val="left"/>
      <w:lvlText w:val="%1."/>
      <w:numFmt w:val="decimal"/>
      <w:start w:val="8"/>
    </w:lvl>
    <w:lvl w:ilvl="1">
      <w:lvlJc w:val="left"/>
      <w:lvlText w:val="(%2)"/>
      <w:numFmt w:val="lowerLetter"/>
      <w:start w:val="1"/>
    </w:lvl>
  </w:abstractNum>
  <w:abstractNum w:abstractNumId="66">
    <w:nsid w:val="66BE6B9"/>
    <w:multiLevelType w:val="hybridMultilevel"/>
    <w:lvl w:ilvl="0">
      <w:lvlJc w:val="left"/>
      <w:lvlText w:val="%1."/>
      <w:numFmt w:val="decimal"/>
      <w:start w:val="10"/>
    </w:lvl>
  </w:abstractNum>
  <w:abstractNum w:abstractNumId="67">
    <w:nsid w:val="6223436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8">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9">
    <w:nsid w:val="596F6D8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0">
    <w:nsid w:val="5749361F"/>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71">
    <w:nsid w:val="73BC67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280E68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3">
    <w:nsid w:val="605138D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
    <w:nsid w:val="2622AD0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5">
    <w:nsid w:val="67997556"/>
    <w:multiLevelType w:val="hybridMultilevel"/>
    <w:lvl w:ilvl="0">
      <w:lvlJc w:val="left"/>
      <w:lvlText w:val="%1"/>
      <w:numFmt w:val="decimal"/>
      <w:start w:val="1"/>
    </w:lvl>
    <w:lvl w:ilvl="1">
      <w:lvlJc w:val="left"/>
      <w:lvlText w:val="(%2)"/>
      <w:numFmt w:val="lowerLetter"/>
      <w:start w:val="1"/>
    </w:lvl>
  </w:abstractNum>
  <w:abstractNum w:abstractNumId="76">
    <w:nsid w:val="18333C89"/>
    <w:multiLevelType w:val="hybridMultilevel"/>
    <w:lvl w:ilvl="0">
      <w:lvlJc w:val="left"/>
      <w:lvlText w:val="%1."/>
      <w:numFmt w:val="decimal"/>
      <w:start w:val="4"/>
    </w:lvl>
    <w:lvl w:ilvl="1">
      <w:lvlJc w:val="left"/>
      <w:lvlText w:val="(%2)"/>
      <w:numFmt w:val="lowerLetter"/>
      <w:start w:val="1"/>
    </w:lvl>
  </w:abstractNum>
  <w:abstractNum w:abstractNumId="77">
    <w:nsid w:val="4BA9831A"/>
    <w:multiLevelType w:val="hybridMultilevel"/>
    <w:lvl w:ilvl="0">
      <w:lvlJc w:val="left"/>
      <w:lvlText w:val="%1."/>
      <w:numFmt w:val="decimal"/>
      <w:start w:val="5"/>
    </w:lvl>
    <w:lvl w:ilvl="1">
      <w:lvlJc w:val="left"/>
      <w:lvlText w:val="(%2)"/>
      <w:numFmt w:val="lowerLetter"/>
      <w:start w:val="1"/>
    </w:lvl>
  </w:abstractNum>
  <w:abstractNum w:abstractNumId="78">
    <w:nsid w:val="6D71A2B"/>
    <w:multiLevelType w:val="hybridMultilevel"/>
    <w:lvl w:ilvl="0">
      <w:lvlJc w:val="left"/>
      <w:lvlText w:val="(%1)"/>
      <w:numFmt w:val="lowerLetter"/>
      <w:start w:val="3"/>
    </w:lvl>
    <w:lvl w:ilvl="1">
      <w:lvlJc w:val="left"/>
      <w:lvlText w:val="(%2)"/>
      <w:numFmt w:val="lowerRoman"/>
      <w:start w:val="1"/>
    </w:lvl>
  </w:abstractNum>
  <w:abstractNum w:abstractNumId="79">
    <w:nsid w:val="CFC7321"/>
    <w:multiLevelType w:val="hybridMultilevel"/>
    <w:lvl w:ilvl="0">
      <w:lvlJc w:val="left"/>
      <w:lvlText w:val="(%1)"/>
      <w:numFmt w:val="lowerLetter"/>
      <w:start w:val="4"/>
    </w:lvl>
    <w:lvl w:ilvl="1">
      <w:lvlJc w:val="left"/>
      <w:lvlText w:val="(%2)"/>
      <w:numFmt w:val="lowerRoman"/>
      <w:start w:val="1"/>
    </w:lvl>
  </w:abstractNum>
  <w:abstractNum w:abstractNumId="80">
    <w:nsid w:val="1421971B"/>
    <w:multiLevelType w:val="hybridMultilevel"/>
    <w:lvl w:ilvl="0">
      <w:lvlJc w:val="left"/>
      <w:lvlText w:val="%1."/>
      <w:numFmt w:val="decimal"/>
      <w:start w:val="1"/>
    </w:lvl>
  </w:abstractNum>
  <w:abstractNum w:abstractNumId="81">
    <w:nsid w:val="1F404301"/>
    <w:multiLevelType w:val="hybridMultilevel"/>
    <w:lvl w:ilvl="0">
      <w:lvlJc w:val="left"/>
      <w:lvlText w:val="%1."/>
      <w:numFmt w:val="decimal"/>
      <w:start w:val="8"/>
    </w:lvl>
  </w:abstractNum>
  <w:abstractNum w:abstractNumId="82">
    <w:nsid w:val="116E0907"/>
    <w:multiLevelType w:val="hybridMultilevel"/>
    <w:lvl w:ilvl="0">
      <w:lvlJc w:val="left"/>
      <w:lvlText w:val="%1."/>
      <w:numFmt w:val="decimal"/>
      <w:start w:val="17"/>
    </w:lvl>
  </w:abstractNum>
  <w:abstractNum w:abstractNumId="83">
    <w:nsid w:val="4B683D0D"/>
    <w:multiLevelType w:val="hybridMultilevel"/>
    <w:lvl w:ilvl="0">
      <w:lvlJc w:val="left"/>
      <w:lvlText w:val="%1."/>
      <w:numFmt w:val="decimal"/>
      <w:start w:val="21"/>
    </w:lvl>
  </w:abstractNum>
  <w:abstractNum w:abstractNumId="84">
    <w:nsid w:val="76E41D8"/>
    <w:multiLevelType w:val="hybridMultilevel"/>
    <w:lvl w:ilvl="0">
      <w:lvlJc w:val="left"/>
      <w:lvlText w:val="%1."/>
      <w:numFmt w:val="decimal"/>
      <w:start w:val="25"/>
    </w:lvl>
  </w:abstractNum>
  <w:abstractNum w:abstractNumId="85">
    <w:nsid w:val="71DCE0FD"/>
    <w:multiLevelType w:val="hybridMultilevel"/>
    <w:lvl w:ilvl="0">
      <w:lvlJc w:val="left"/>
      <w:lvlText w:val="(%1)"/>
      <w:numFmt w:val="decimal"/>
      <w:start w:val="1"/>
    </w:lvl>
  </w:abstractNum>
  <w:abstractNum w:abstractNumId="86">
    <w:nsid w:val="7906328B"/>
    <w:multiLevelType w:val="hybridMultilevel"/>
    <w:lvl w:ilvl="0">
      <w:lvlJc w:val="left"/>
      <w:lvlText w:val="(%1)"/>
      <w:numFmt w:val="upperLetter"/>
      <w:start w:val="1"/>
    </w:lvl>
  </w:abstractNum>
  <w:abstractNum w:abstractNumId="87">
    <w:nsid w:val="72BBC16"/>
    <w:multiLevelType w:val="hybridMultilevel"/>
    <w:lvl w:ilvl="0">
      <w:lvlJc w:val="left"/>
      <w:lvlText w:val="%1."/>
      <w:numFmt w:val="decimal"/>
      <w:start w:val="1"/>
    </w:lvl>
  </w:abstractNum>
  <w:abstractNum w:abstractNumId="88">
    <w:nsid w:val="766D98C2"/>
    <w:multiLevelType w:val="hybridMultilevel"/>
    <w:lvl w:ilvl="0">
      <w:lvlJc w:val="left"/>
      <w:lvlText w:val="(%1)"/>
      <w:numFmt w:val="lowerLetter"/>
      <w:start w:val="1"/>
    </w:lvl>
    <w:lvl w:ilvl="1">
      <w:lvlJc w:val="left"/>
      <w:lvlText w:val="(%2)"/>
      <w:numFmt w:val="lowerRoman"/>
      <w:start w:val="1"/>
    </w:lvl>
  </w:abstractNum>
  <w:abstractNum w:abstractNumId="89">
    <w:nsid w:val="3C09D4A1"/>
    <w:multiLevelType w:val="hybridMultilevel"/>
    <w:lvl w:ilvl="0">
      <w:lvlJc w:val="left"/>
      <w:lvlText w:val="(%1)"/>
      <w:numFmt w:val="lowerLetter"/>
      <w:start w:val="1"/>
    </w:lvl>
  </w:abstractNum>
  <w:abstractNum w:abstractNumId="90">
    <w:nsid w:val="20E45CA4"/>
    <w:multiLevelType w:val="hybridMultilevel"/>
    <w:lvl w:ilvl="0">
      <w:lvlJc w:val="left"/>
      <w:lvlText w:val="(%1)"/>
      <w:numFmt w:val="lowerLetter"/>
      <w:start w:val="1"/>
    </w:lvl>
  </w:abstractNum>
  <w:abstractNum w:abstractNumId="91">
    <w:nsid w:val="4B232EE3"/>
    <w:multiLevelType w:val="hybridMultilevel"/>
    <w:lvl w:ilvl="0">
      <w:lvlJc w:val="left"/>
      <w:lvlText w:val="(%1)"/>
      <w:numFmt w:val="lowerRoman"/>
      <w:start w:val="1"/>
    </w:lvl>
  </w:abstractNum>
  <w:abstractNum w:abstractNumId="92">
    <w:nsid w:val="159C74CF"/>
    <w:multiLevelType w:val="hybridMultilevel"/>
    <w:lvl w:ilvl="0">
      <w:lvlJc w:val="left"/>
      <w:lvlText w:val="(%1)"/>
      <w:numFmt w:val="lowerLetter"/>
      <w:start w:val="2"/>
    </w:lvl>
  </w:abstractNum>
  <w:abstractNum w:abstractNumId="93">
    <w:nsid w:val="4AD3AFD2"/>
    <w:multiLevelType w:val="hybridMultilevel"/>
    <w:lvl w:ilvl="0">
      <w:lvlJc w:val="left"/>
      <w:lvlText w:val="(%1)"/>
      <w:numFmt w:val="lowerLetter"/>
      <w:start w:val="1"/>
    </w:lvl>
  </w:abstractNum>
  <w:abstractNum w:abstractNumId="94">
    <w:nsid w:val="3CF93092"/>
    <w:multiLevelType w:val="hybridMultilevel"/>
    <w:lvl w:ilvl="0">
      <w:lvlJc w:val="left"/>
      <w:lvlText w:val="(%1)"/>
      <w:numFmt w:val="lowerLetter"/>
      <w:start w:val="1"/>
    </w:lvl>
  </w:abstractNum>
  <w:abstractNum w:abstractNumId="95">
    <w:nsid w:val="6863E8D2"/>
    <w:multiLevelType w:val="hybridMultilevel"/>
    <w:lvl w:ilvl="0">
      <w:lvlJc w:val="left"/>
      <w:lvlText w:val="(%1)"/>
      <w:numFmt w:val="lowerLetter"/>
      <w:start w:val="1"/>
    </w:lvl>
  </w:abstractNum>
  <w:abstractNum w:abstractNumId="96">
    <w:nsid w:val="76896198"/>
    <w:multiLevelType w:val="hybridMultilevel"/>
    <w:lvl w:ilvl="0">
      <w:lvlJc w:val="left"/>
      <w:lvlText w:val="(%1)"/>
      <w:numFmt w:val="lowerLetter"/>
      <w:start w:val="1"/>
    </w:lvl>
  </w:abstractNum>
  <w:abstractNum w:abstractNumId="97">
    <w:nsid w:val="4365174B"/>
    <w:multiLevelType w:val="hybridMultilevel"/>
    <w:lvl w:ilvl="0">
      <w:lvlJc w:val="left"/>
      <w:lvlText w:val="(%1)"/>
      <w:numFmt w:val="lowerLetter"/>
      <w:start w:val="1"/>
    </w:lvl>
  </w:abstractNum>
  <w:abstractNum w:abstractNumId="98">
    <w:nsid w:val="4A872C35"/>
    <w:multiLevelType w:val="hybridMultilevel"/>
    <w:lvl w:ilvl="0">
      <w:lvlJc w:val="left"/>
      <w:lvlText w:val="(%1)"/>
      <w:numFmt w:val="lowerLetter"/>
      <w:start w:val="2"/>
    </w:lvl>
  </w:abstractNum>
  <w:abstractNum w:abstractNumId="99">
    <w:nsid w:val="5D5CE761"/>
    <w:multiLevelType w:val="hybridMultilevel"/>
    <w:lvl w:ilvl="0">
      <w:lvlJc w:val="left"/>
      <w:lvlText w:val="(%1)"/>
      <w:numFmt w:val="lowerLetter"/>
      <w:start w:val="1"/>
    </w:lvl>
  </w:abstractNum>
  <w:abstractNum w:abstractNumId="100">
    <w:nsid w:val="1CD484D5"/>
    <w:multiLevelType w:val="hybridMultilevel"/>
    <w:lvl w:ilvl="0">
      <w:lvlJc w:val="left"/>
      <w:lvlText w:val="(%1)"/>
      <w:numFmt w:val="lowerLetter"/>
      <w:start w:val="3"/>
    </w:lvl>
  </w:abstractNum>
  <w:abstractNum w:abstractNumId="101">
    <w:nsid w:val="21D06255"/>
    <w:multiLevelType w:val="hybridMultilevel"/>
    <w:lvl w:ilvl="0">
      <w:lvlJc w:val="left"/>
      <w:lvlText w:val="(%1)"/>
      <w:numFmt w:val="lowerLetter"/>
      <w:start w:val="1"/>
    </w:lvl>
  </w:abstractNum>
  <w:abstractNum w:abstractNumId="102">
    <w:nsid w:val="51194ED1"/>
    <w:multiLevelType w:val="hybridMultilevel"/>
    <w:lvl w:ilvl="0">
      <w:lvlJc w:val="left"/>
      <w:lvlText w:val="(%1)"/>
      <w:numFmt w:val="lowerLetter"/>
      <w:start w:val="1"/>
    </w:lvl>
  </w:abstractNum>
  <w:abstractNum w:abstractNumId="103">
    <w:nsid w:val="44E2ED6C"/>
    <w:multiLevelType w:val="hybridMultilevel"/>
    <w:lvl w:ilvl="0">
      <w:lvlJc w:val="left"/>
      <w:lvlText w:val="(%1)"/>
      <w:numFmt w:val="lowerLetter"/>
      <w:start w:val="1"/>
    </w:lvl>
  </w:abstractNum>
  <w:abstractNum w:abstractNumId="104">
    <w:nsid w:val="2219B33"/>
    <w:multiLevelType w:val="hybridMultilevel"/>
    <w:lvl w:ilvl="0">
      <w:lvlJc w:val="left"/>
      <w:lvlText w:val="(%1)"/>
      <w:numFmt w:val="lowerLetter"/>
      <w:start w:val="1"/>
    </w:lvl>
  </w:abstractNum>
  <w:abstractNum w:abstractNumId="105">
    <w:nsid w:val="773BFBDD"/>
    <w:multiLevelType w:val="hybridMultilevel"/>
    <w:lvl w:ilvl="0">
      <w:lvlJc w:val="left"/>
      <w:lvlText w:val="(%1)"/>
      <w:numFmt w:val="lowerLetter"/>
      <w:start w:val="1"/>
    </w:lvl>
  </w:abstractNum>
  <w:abstractNum w:abstractNumId="106">
    <w:nsid w:val="2C7C62C2"/>
    <w:multiLevelType w:val="hybridMultilevel"/>
    <w:lvl w:ilvl="0">
      <w:lvlJc w:val="left"/>
      <w:lvlText w:val="(%1)"/>
      <w:numFmt w:val="lowerLetter"/>
      <w:start w:val="1"/>
    </w:lvl>
  </w:abstractNum>
  <w:abstractNum w:abstractNumId="107">
    <w:nsid w:val="1A54D7BC"/>
    <w:multiLevelType w:val="hybridMultilevel"/>
    <w:lvl w:ilvl="0">
      <w:lvlJc w:val="left"/>
      <w:lvlText w:val="(%1)"/>
      <w:numFmt w:val="lowerLetter"/>
      <w:start w:val="1"/>
    </w:lvl>
    <w:lvl w:ilvl="1">
      <w:lvlJc w:val="left"/>
      <w:lvlText w:val="(%2)"/>
      <w:numFmt w:val="lowerRoman"/>
      <w:start w:val="1"/>
    </w:lvl>
  </w:abstractNum>
  <w:abstractNum w:abstractNumId="108">
    <w:nsid w:val="42E57EF7"/>
    <w:multiLevelType w:val="hybridMultilevel"/>
    <w:lvl w:ilvl="0">
      <w:lvlJc w:val="left"/>
      <w:lvlText w:val="(%1)"/>
      <w:numFmt w:val="lowerRoman"/>
      <w:start w:val="2"/>
    </w:lvl>
  </w:abstractNum>
  <w:abstractNum w:abstractNumId="109">
    <w:nsid w:val="33537CED"/>
    <w:multiLevelType w:val="hybridMultilevel"/>
    <w:lvl w:ilvl="0">
      <w:lvlJc w:val="left"/>
      <w:lvlText w:val="(%1)"/>
      <w:numFmt w:val="lowerLetter"/>
      <w:start w:val="1"/>
    </w:lvl>
  </w:abstractNum>
  <w:abstractNum w:abstractNumId="110">
    <w:nsid w:val="27514ADE"/>
    <w:multiLevelType w:val="hybridMultilevel"/>
    <w:lvl w:ilvl="0">
      <w:lvlJc w:val="left"/>
      <w:lvlText w:val="(%1)"/>
      <w:numFmt w:val="lowerLetter"/>
      <w:start w:val="1"/>
    </w:lvl>
  </w:abstractNum>
  <w:abstractNum w:abstractNumId="111">
    <w:nsid w:val="57071613"/>
    <w:multiLevelType w:val="hybridMultilevel"/>
    <w:lvl w:ilvl="0">
      <w:lvlJc w:val="left"/>
      <w:lvlText w:val="(%1)"/>
      <w:numFmt w:val="lowerLetter"/>
      <w:start w:val="5"/>
    </w:lvl>
  </w:abstractNum>
  <w:abstractNum w:abstractNumId="112">
    <w:nsid w:val="5293BFEF"/>
    <w:multiLevelType w:val="hybridMultilevel"/>
    <w:lvl w:ilvl="0">
      <w:lvlJc w:val="left"/>
      <w:lvlText w:val="(%1)"/>
      <w:numFmt w:val="lowerLetter"/>
      <w:start w:val="14"/>
    </w:lvl>
  </w:abstractNum>
  <w:abstractNum w:abstractNumId="113">
    <w:nsid w:val="38BF53E5"/>
    <w:multiLevelType w:val="hybridMultilevel"/>
    <w:lvl w:ilvl="0">
      <w:lvlJc w:val="left"/>
      <w:lvlText w:val="(%1)"/>
      <w:numFmt w:val="lowerLetter"/>
      <w:start w:val="1"/>
    </w:lvl>
  </w:abstractNum>
  <w:abstractNum w:abstractNumId="114">
    <w:nsid w:val="226F5320"/>
    <w:multiLevelType w:val="hybridMultilevel"/>
    <w:lvl w:ilvl="0">
      <w:lvlJc w:val="left"/>
      <w:lvlText w:val="(%1)"/>
      <w:numFmt w:val="lowerLetter"/>
      <w:start w:val="1"/>
    </w:lvl>
  </w:abstractNum>
  <w:abstractNum w:abstractNumId="115">
    <w:nsid w:val="5A0201C7"/>
    <w:multiLevelType w:val="hybridMultilevel"/>
    <w:lvl w:ilvl="0">
      <w:lvlJc w:val="left"/>
      <w:lvlText w:val="(%1)"/>
      <w:numFmt w:val="lowerLetter"/>
      <w:start w:val="1"/>
    </w:lvl>
  </w:abstractNum>
  <w:abstractNum w:abstractNumId="116">
    <w:nsid w:val="2A9C34E2"/>
    <w:multiLevelType w:val="hybridMultilevel"/>
    <w:lvl w:ilvl="0">
      <w:lvlJc w:val="left"/>
      <w:lvlText w:val="(%1)"/>
      <w:numFmt w:val="lowerLetter"/>
      <w:start w:val="1"/>
    </w:lvl>
  </w:abstractNum>
  <w:abstractNum w:abstractNumId="117">
    <w:nsid w:val="1B7585AB"/>
    <w:multiLevelType w:val="hybridMultilevel"/>
    <w:lvl w:ilvl="0">
      <w:lvlJc w:val="left"/>
      <w:lvlText w:val="(%1)"/>
      <w:numFmt w:val="lowerLetter"/>
      <w:start w:val="2"/>
    </w:lvl>
  </w:abstractNum>
  <w:abstractNum w:abstractNumId="118">
    <w:nsid w:val="612DBDDD"/>
    <w:multiLevelType w:val="hybridMultilevel"/>
    <w:lvl w:ilvl="0">
      <w:lvlJc w:val="left"/>
      <w:lvlText w:val="(%1)"/>
      <w:numFmt w:val="lowerLetter"/>
      <w:start w:val="1"/>
    </w:lvl>
  </w:abstractNum>
  <w:abstractNum w:abstractNumId="119">
    <w:nsid w:val="2109CDA4"/>
    <w:multiLevelType w:val="hybridMultilevel"/>
    <w:lvl w:ilvl="0">
      <w:lvlJc w:val="left"/>
      <w:lvlText w:val="(%1)"/>
      <w:numFmt w:val="lowerLetter"/>
      <w:start w:val="1"/>
    </w:lvl>
  </w:abstractNum>
  <w:abstractNum w:abstractNumId="120">
    <w:nsid w:val="577F5A4D"/>
    <w:multiLevelType w:val="hybridMultilevel"/>
    <w:lvl w:ilvl="0">
      <w:lvlJc w:val="left"/>
      <w:lvlText w:val="(%1)"/>
      <w:numFmt w:val="lowerLetter"/>
      <w:start w:val="1"/>
    </w:lvl>
  </w:abstractNum>
  <w:abstractNum w:abstractNumId="121">
    <w:nsid w:val="2121A81"/>
    <w:multiLevelType w:val="hybridMultilevel"/>
    <w:lvl w:ilvl="0">
      <w:lvlJc w:val="left"/>
      <w:lvlText w:val="(%1)"/>
      <w:numFmt w:val="lowerLetter"/>
      <w:start w:val="1"/>
    </w:lvl>
  </w:abstractNum>
  <w:abstractNum w:abstractNumId="122">
    <w:nsid w:val="6C2CFC88"/>
    <w:multiLevelType w:val="hybridMultilevel"/>
    <w:lvl w:ilvl="0">
      <w:lvlJc w:val="left"/>
      <w:lvlText w:val="(%1)"/>
      <w:numFmt w:val="lowerLetter"/>
      <w:start w:val="2"/>
    </w:lvl>
  </w:abstractNum>
  <w:abstractNum w:abstractNumId="123">
    <w:nsid w:val="6D1BCF1C"/>
    <w:multiLevelType w:val="hybridMultilevel"/>
    <w:lvl w:ilvl="0">
      <w:lvlJc w:val="left"/>
      <w:lvlText w:val="(%1)"/>
      <w:numFmt w:val="lowerLetter"/>
      <w:start w:val="1"/>
    </w:lvl>
  </w:abstractNum>
  <w:abstractNum w:abstractNumId="124">
    <w:nsid w:val="4CE5CA53"/>
    <w:multiLevelType w:val="hybridMultilevel"/>
    <w:lvl w:ilvl="0">
      <w:lvlJc w:val="left"/>
      <w:lvlText w:val="(%1)"/>
      <w:numFmt w:val="lowerLetter"/>
      <w:start w:val="5"/>
    </w:lvl>
  </w:abstractNum>
  <w:abstractNum w:abstractNumId="125">
    <w:nsid w:val="29262D1A"/>
    <w:multiLevelType w:val="hybridMultilevel"/>
    <w:lvl w:ilvl="0">
      <w:lvlJc w:val="left"/>
      <w:lvlText w:val="(%1)"/>
      <w:numFmt w:val="lowerLetter"/>
      <w:start w:val="1"/>
    </w:lvl>
  </w:abstractNum>
  <w:abstractNum w:abstractNumId="126">
    <w:nsid w:val="557FB7EE"/>
    <w:multiLevelType w:val="hybridMultilevel"/>
    <w:lvl w:ilvl="0">
      <w:lvlJc w:val="left"/>
      <w:lvlText w:val="(%1)"/>
      <w:numFmt w:val="lowerRoman"/>
      <w:start w:val="1"/>
    </w:lvl>
  </w:abstractNum>
  <w:abstractNum w:abstractNumId="127">
    <w:nsid w:val="436F2BEB"/>
    <w:multiLevelType w:val="hybridMultilevel"/>
    <w:lvl w:ilvl="0">
      <w:lvlJc w:val="left"/>
      <w:lvlText w:val="(%1)"/>
      <w:numFmt w:val="lowerRoman"/>
      <w:start w:val="2"/>
    </w:lvl>
    <w:lvl w:ilvl="1">
      <w:lvlJc w:val="left"/>
      <w:lvlText w:val="(%2)"/>
      <w:numFmt w:val="upperLetter"/>
      <w:start w:val="1"/>
    </w:lvl>
  </w:abstractNum>
  <w:abstractNum w:abstractNumId="128">
    <w:nsid w:val="6C8B4466"/>
    <w:multiLevelType w:val="hybridMultilevel"/>
    <w:lvl w:ilvl="0">
      <w:lvlJc w:val="left"/>
      <w:lvlText w:val="(%1)"/>
      <w:numFmt w:val="lowerLetter"/>
      <w:start w:val="1"/>
    </w:lvl>
  </w:abstractNum>
  <w:abstractNum w:abstractNumId="129">
    <w:nsid w:val="2006E424"/>
    <w:multiLevelType w:val="hybridMultilevel"/>
    <w:lvl w:ilvl="0">
      <w:lvlJc w:val="left"/>
      <w:lvlText w:val="(%1)"/>
      <w:numFmt w:val="lowerRoman"/>
      <w:start w:val="1"/>
    </w:lvl>
  </w:abstractNum>
  <w:abstractNum w:abstractNumId="130">
    <w:nsid w:val="20CC134C"/>
    <w:multiLevelType w:val="hybridMultilevel"/>
    <w:lvl w:ilvl="0">
      <w:lvlJc w:val="left"/>
      <w:lvlText w:val="(%1)"/>
      <w:numFmt w:val="lowerLetter"/>
      <w:start w:val="1"/>
    </w:lvl>
  </w:abstractNum>
  <w:abstractNum w:abstractNumId="131">
    <w:nsid w:val="95FC93B"/>
    <w:multiLevelType w:val="hybridMultilevel"/>
    <w:lvl w:ilvl="0">
      <w:lvlJc w:val="left"/>
      <w:lvlText w:val="(%1)"/>
      <w:numFmt w:val="lowerLetter"/>
      <w:start w:val="1"/>
    </w:lvl>
  </w:abstractNum>
  <w:abstractNum w:abstractNumId="132">
    <w:nsid w:val="41D74679"/>
    <w:multiLevelType w:val="hybridMultilevel"/>
    <w:lvl w:ilvl="0">
      <w:lvlJc w:val="left"/>
      <w:lvlText w:val="(%1)"/>
      <w:numFmt w:val="lowerLetter"/>
      <w:start w:val="1"/>
    </w:lvl>
  </w:abstractNum>
  <w:abstractNum w:abstractNumId="133">
    <w:nsid w:val="71E5621E"/>
    <w:multiLevelType w:val="hybridMultilevel"/>
    <w:lvl w:ilvl="0">
      <w:lvlJc w:val="left"/>
      <w:lvlText w:val="(%1)"/>
      <w:numFmt w:val="lowerLetter"/>
      <w:start w:val="4"/>
    </w:lvl>
    <w:lvl w:ilvl="1">
      <w:lvlJc w:val="left"/>
      <w:lvlText w:val="(%2)"/>
      <w:numFmt w:val="decimal"/>
      <w:start w:val="2"/>
    </w:lvl>
  </w:abstractNum>
  <w:abstractNum w:abstractNumId="134">
    <w:nsid w:val="4E42B6A8"/>
    <w:multiLevelType w:val="hybridMultilevel"/>
    <w:lvl w:ilvl="0">
      <w:lvlJc w:val="left"/>
      <w:lvlText w:val="(%1)"/>
      <w:numFmt w:val="lowerLetter"/>
      <w:start w:val="1"/>
    </w:lvl>
  </w:abstractNum>
  <w:abstractNum w:abstractNumId="135">
    <w:nsid w:val="43F8E1AC"/>
    <w:multiLevelType w:val="hybridMultilevel"/>
    <w:lvl w:ilvl="0">
      <w:lvlJc w:val="left"/>
      <w:lvlText w:val="(%1)"/>
      <w:numFmt w:val="lowerLetter"/>
      <w:start w:val="1"/>
    </w:lvl>
  </w:abstractNum>
  <w:abstractNum w:abstractNumId="136">
    <w:nsid w:val="69215DFB"/>
    <w:multiLevelType w:val="hybridMultilevel"/>
    <w:lvl w:ilvl="0">
      <w:lvlJc w:val="left"/>
      <w:lvlText w:val="(%1)"/>
      <w:numFmt w:val="lowerLetter"/>
      <w:start w:val="1"/>
    </w:lvl>
  </w:abstractNum>
  <w:abstractNum w:abstractNumId="137">
    <w:nsid w:val="7ABF196A"/>
    <w:multiLevelType w:val="hybridMultilevel"/>
    <w:lvl w:ilvl="0">
      <w:lvlJc w:val="left"/>
      <w:lvlText w:val="(%1)"/>
      <w:numFmt w:val="lowerLetter"/>
      <w:start w:val="1"/>
    </w:lvl>
  </w:abstractNum>
  <w:abstractNum w:abstractNumId="138">
    <w:nsid w:val="5E4DB968"/>
    <w:multiLevelType w:val="hybridMultilevel"/>
    <w:lvl w:ilvl="0">
      <w:lvlJc w:val="left"/>
      <w:lvlText w:val="(%1)"/>
      <w:numFmt w:val="lowerLetter"/>
      <w:start w:val="5"/>
    </w:lvl>
  </w:abstractNum>
  <w:abstractNum w:abstractNumId="139">
    <w:nsid w:val="2C06DCF3"/>
    <w:multiLevelType w:val="hybridMultilevel"/>
    <w:lvl w:ilvl="0">
      <w:lvlJc w:val="left"/>
      <w:lvlText w:val="(%1)"/>
      <w:numFmt w:val="lowerLetter"/>
      <w:start w:val="1"/>
    </w:lvl>
  </w:abstractNum>
  <w:abstractNum w:abstractNumId="140">
    <w:nsid w:val="2E129658"/>
    <w:multiLevelType w:val="hybridMultilevel"/>
    <w:lvl w:ilvl="0">
      <w:lvlJc w:val="left"/>
      <w:lvlText w:val="(%1)"/>
      <w:numFmt w:val="lowerLetter"/>
      <w:start w:val="4"/>
    </w:lvl>
  </w:abstractNum>
  <w:abstractNum w:abstractNumId="141">
    <w:nsid w:val="59F0446"/>
    <w:multiLevelType w:val="hybridMultilevel"/>
    <w:lvl w:ilvl="0">
      <w:lvlJc w:val="left"/>
      <w:lvlText w:val="(%1)"/>
      <w:numFmt w:val="lowerLetter"/>
      <w:start w:val="1"/>
    </w:lvl>
  </w:abstractNum>
  <w:abstractNum w:abstractNumId="142">
    <w:nsid w:val="30DF306"/>
    <w:multiLevelType w:val="hybridMultilevel"/>
    <w:lvl w:ilvl="0">
      <w:lvlJc w:val="left"/>
      <w:lvlText w:val="(%1)"/>
      <w:numFmt w:val="lowerLetter"/>
      <w:start w:val="4"/>
    </w:lvl>
  </w:abstractNum>
  <w:abstractNum w:abstractNumId="143">
    <w:nsid w:val="A65647"/>
    <w:multiLevelType w:val="hybridMultilevel"/>
    <w:lvl w:ilvl="0">
      <w:lvlJc w:val="left"/>
      <w:lvlText w:val="(%1)"/>
      <w:numFmt w:val="lowerRoman"/>
      <w:start w:val="1"/>
    </w:lvl>
  </w:abstractNum>
  <w:abstractNum w:abstractNumId="144">
    <w:nsid w:val="3E5E582B"/>
    <w:multiLevelType w:val="hybridMultilevel"/>
    <w:lvl w:ilvl="0">
      <w:lvlJc w:val="left"/>
      <w:lvlText w:val="(%1)"/>
      <w:numFmt w:val="lowerLetter"/>
      <w:start w:val="1"/>
    </w:lvl>
  </w:abstractNum>
  <w:abstractNum w:abstractNumId="145">
    <w:nsid w:val="257D4626"/>
    <w:multiLevelType w:val="hybridMultilevel"/>
    <w:lvl w:ilvl="0">
      <w:lvlJc w:val="left"/>
      <w:lvlText w:val="(%1)"/>
      <w:numFmt w:val="lowerLetter"/>
      <w:start w:val="1"/>
    </w:lvl>
    <w:lvl w:ilvl="1">
      <w:lvlJc w:val="left"/>
      <w:lvlText w:val="(%2)"/>
      <w:numFmt w:val="lowerRoman"/>
      <w:start w:val="1"/>
    </w:lvl>
  </w:abstractNum>
  <w:abstractNum w:abstractNumId="146">
    <w:nsid w:val="5AA8580E"/>
    <w:multiLevelType w:val="hybridMultilevel"/>
    <w:lvl w:ilvl="0">
      <w:lvlJc w:val="left"/>
      <w:lvlText w:val="%1"/>
      <w:numFmt w:val="lowerLetter"/>
      <w:start w:val="1"/>
    </w:lvl>
    <w:lvl w:ilvl="1">
      <w:lvlJc w:val="left"/>
      <w:lvlText w:val="(%2)"/>
      <w:numFmt w:val="lowerLetter"/>
      <w:start w:val="35"/>
    </w:lvl>
  </w:abstractNum>
  <w:abstractNum w:abstractNumId="147">
    <w:nsid w:val="68FA8D0D"/>
    <w:multiLevelType w:val="hybridMultilevel"/>
    <w:lvl w:ilvl="0">
      <w:lvlJc w:val="left"/>
      <w:lvlText w:val="(%1)"/>
      <w:numFmt w:val="lowerLetter"/>
      <w:start w:val="6"/>
    </w:lvl>
    <w:lvl w:ilvl="1">
      <w:lvlJc w:val="left"/>
      <w:lvlText w:val="%2"/>
      <w:numFmt w:val="lowerLetter"/>
      <w:start w:val="1"/>
    </w:lvl>
  </w:abstractNum>
  <w:abstractNum w:abstractNumId="148">
    <w:nsid w:val="40F2CBD2"/>
    <w:multiLevelType w:val="hybridMultilevel"/>
    <w:lvl w:ilvl="0">
      <w:lvlJc w:val="left"/>
      <w:lvlText w:val="(%1)"/>
      <w:numFmt w:val="lowerLetter"/>
      <w:start w:val="1"/>
    </w:lvl>
  </w:abstractNum>
  <w:abstractNum w:abstractNumId="149">
    <w:nsid w:val="3BD615EB"/>
    <w:multiLevelType w:val="hybridMultilevel"/>
    <w:lvl w:ilvl="0">
      <w:lvlJc w:val="left"/>
      <w:lvlText w:val="(%1)"/>
      <w:numFmt w:val="lowerLetter"/>
      <w:start w:val="7"/>
    </w:lvl>
  </w:abstractNum>
  <w:abstractNum w:abstractNumId="150">
    <w:nsid w:val="A045AB2"/>
    <w:multiLevelType w:val="hybridMultilevel"/>
    <w:lvl w:ilvl="0">
      <w:lvlJc w:val="left"/>
      <w:lvlText w:val="(%1)"/>
      <w:numFmt w:val="lowerLetter"/>
      <w:start w:val="1"/>
    </w:lvl>
  </w:abstractNum>
  <w:abstractNum w:abstractNumId="151">
    <w:nsid w:val="1872261F"/>
    <w:multiLevelType w:val="hybridMultilevel"/>
    <w:lvl w:ilvl="0">
      <w:lvlJc w:val="left"/>
      <w:lvlText w:val="(%1)"/>
      <w:numFmt w:val="lowerLetter"/>
      <w:start w:val="1"/>
    </w:lvl>
  </w:abstractNum>
  <w:abstractNum w:abstractNumId="152">
    <w:nsid w:val="3DE8306C"/>
    <w:multiLevelType w:val="hybridMultilevel"/>
    <w:lvl w:ilvl="0">
      <w:lvlJc w:val="left"/>
      <w:lvlText w:val="(%1)"/>
      <w:numFmt w:val="lowerLetter"/>
      <w:start w:val="1"/>
    </w:lvl>
  </w:abstractNum>
  <w:abstractNum w:abstractNumId="153">
    <w:nsid w:val="7631573A"/>
    <w:multiLevelType w:val="hybridMultilevel"/>
    <w:lvl w:ilvl="0">
      <w:lvlJc w:val="left"/>
      <w:lvlText w:val="(%1)"/>
      <w:numFmt w:val="lowerLetter"/>
      <w:start w:val="1"/>
    </w:lvl>
  </w:abstractNum>
  <w:abstractNum w:abstractNumId="154">
    <w:nsid w:val="58DF53B"/>
    <w:multiLevelType w:val="hybridMultilevel"/>
    <w:lvl w:ilvl="0">
      <w:lvlJc w:val="left"/>
      <w:lvlText w:val="(%1)"/>
      <w:numFmt w:val="lowerLetter"/>
      <w:start w:val="6"/>
    </w:lvl>
  </w:abstractNum>
  <w:abstractNum w:abstractNumId="155">
    <w:nsid w:val="ACDFAC0"/>
    <w:multiLevelType w:val="hybridMultilevel"/>
    <w:lvl w:ilvl="0">
      <w:lvlJc w:val="left"/>
      <w:lvlText w:val="(%1)"/>
      <w:numFmt w:val="lowerLetter"/>
      <w:start w:val="1"/>
    </w:lvl>
  </w:abstractNum>
  <w:abstractNum w:abstractNumId="156">
    <w:nsid w:val="1F578454"/>
    <w:multiLevelType w:val="hybridMultilevel"/>
    <w:lvl w:ilvl="0">
      <w:lvlJc w:val="left"/>
      <w:lvlText w:val="(%1)"/>
      <w:numFmt w:val="lowerLetter"/>
      <w:start w:val="1"/>
    </w:lvl>
  </w:abstractNum>
  <w:abstractNum w:abstractNumId="157">
    <w:nsid w:val="5B0DAD2A"/>
    <w:multiLevelType w:val="hybridMultilevel"/>
    <w:lvl w:ilvl="0">
      <w:lvlJc w:val="left"/>
      <w:lvlText w:val="(%1)"/>
      <w:numFmt w:val="lowerRoman"/>
      <w:start w:val="1"/>
    </w:lvl>
  </w:abstractNum>
  <w:abstractNum w:abstractNumId="158">
    <w:nsid w:val="4E3D26AB"/>
    <w:multiLevelType w:val="hybridMultilevel"/>
    <w:lvl w:ilvl="0">
      <w:lvlJc w:val="left"/>
      <w:lvlText w:val="(%1)"/>
      <w:numFmt w:val="lowerRoman"/>
      <w:start w:val="3"/>
    </w:lvl>
  </w:abstractNum>
  <w:abstractNum w:abstractNumId="159">
    <w:nsid w:val="BE2C8BA"/>
    <w:multiLevelType w:val="hybridMultilevel"/>
    <w:lvl w:ilvl="0">
      <w:lvlJc w:val="left"/>
      <w:lvlText w:val="(%1)"/>
      <w:numFmt w:val="lowerLetter"/>
      <w:start w:val="1"/>
    </w:lvl>
  </w:abstractNum>
  <w:abstractNum w:abstractNumId="160">
    <w:nsid w:val="7B14914E"/>
    <w:multiLevelType w:val="hybridMultilevel"/>
    <w:lvl w:ilvl="0">
      <w:lvlJc w:val="left"/>
      <w:lvlText w:val="(%1)"/>
      <w:numFmt w:val="lowerLetter"/>
      <w:start w:val="8"/>
    </w:lvl>
  </w:abstractNum>
  <w:abstractNum w:abstractNumId="161">
    <w:nsid w:val="6F0939F8"/>
    <w:multiLevelType w:val="hybridMultilevel"/>
    <w:lvl w:ilvl="0">
      <w:lvlJc w:val="left"/>
      <w:lvlText w:val="(%1)"/>
      <w:numFmt w:val="lowerLetter"/>
      <w:start w:val="1"/>
    </w:lvl>
  </w:abstractNum>
  <w:abstractNum w:abstractNumId="162">
    <w:nsid w:val="154291F6"/>
    <w:multiLevelType w:val="hybridMultilevel"/>
    <w:lvl w:ilvl="0">
      <w:lvlJc w:val="left"/>
      <w:lvlText w:val="(%1)"/>
      <w:numFmt w:val="lowerLetter"/>
      <w:start w:val="1"/>
    </w:lvl>
  </w:abstractNum>
  <w:abstractNum w:abstractNumId="163">
    <w:nsid w:val="3CEBD7C7"/>
    <w:multiLevelType w:val="hybridMultilevel"/>
    <w:lvl w:ilvl="0">
      <w:lvlJc w:val="left"/>
      <w:lvlText w:val="(%1)"/>
      <w:numFmt w:val="lowerLetter"/>
      <w:start w:val="1"/>
    </w:lvl>
  </w:abstractNum>
  <w:abstractNum w:abstractNumId="164">
    <w:nsid w:val="60EE9C16"/>
    <w:multiLevelType w:val="hybridMultilevel"/>
    <w:lvl w:ilvl="0">
      <w:lvlJc w:val="left"/>
      <w:lvlText w:val="(%1)"/>
      <w:numFmt w:val="lowerLetter"/>
      <w:start w:val="1"/>
    </w:lvl>
  </w:abstractNum>
  <w:abstractNum w:abstractNumId="165">
    <w:nsid w:val="6385489E"/>
    <w:multiLevelType w:val="hybridMultilevel"/>
    <w:lvl w:ilvl="0">
      <w:lvlJc w:val="left"/>
      <w:lvlText w:val="(%1)"/>
      <w:numFmt w:val="lowerLetter"/>
      <w:start w:val="1"/>
    </w:lvl>
  </w:abstractNum>
  <w:abstractNum w:abstractNumId="166">
    <w:nsid w:val="E4B973"/>
    <w:multiLevelType w:val="hybridMultilevel"/>
    <w:lvl w:ilvl="0">
      <w:lvlJc w:val="left"/>
      <w:lvlText w:val="(%1)"/>
      <w:numFmt w:val="lowerLetter"/>
      <w:start w:val="1"/>
    </w:lvl>
    <w:lvl w:ilvl="1">
      <w:lvlJc w:val="left"/>
      <w:lvlText w:val="(%2)"/>
      <w:numFmt w:val="lowerRoman"/>
      <w:start w:val="1"/>
    </w:lvl>
  </w:abstractNum>
  <w:abstractNum w:abstractNumId="167">
    <w:nsid w:val="4A0FFA11"/>
    <w:multiLevelType w:val="hybridMultilevel"/>
    <w:lvl w:ilvl="0">
      <w:lvlJc w:val="left"/>
      <w:lvlText w:val="(%1)"/>
      <w:numFmt w:val="lowerLetter"/>
      <w:start w:val="1"/>
    </w:lvl>
  </w:abstractNum>
  <w:abstractNum w:abstractNumId="168">
    <w:nsid w:val="5E446208"/>
    <w:multiLevelType w:val="hybridMultilevel"/>
    <w:lvl w:ilvl="0">
      <w:lvlJc w:val="left"/>
      <w:lvlText w:val="(%1)"/>
      <w:numFmt w:val="lowerLetter"/>
      <w:start w:val="1"/>
    </w:lvl>
  </w:abstractNum>
  <w:abstractNum w:abstractNumId="169">
    <w:nsid w:val="5F3272DB"/>
    <w:multiLevelType w:val="hybridMultilevel"/>
    <w:lvl w:ilvl="0">
      <w:lvlJc w:val="left"/>
      <w:lvlText w:val="(%1)"/>
      <w:numFmt w:val="lowerLetter"/>
      <w:start w:val="1"/>
    </w:lvl>
  </w:abstractNum>
  <w:abstractNum w:abstractNumId="170">
    <w:nsid w:val="7616D704"/>
    <w:multiLevelType w:val="hybridMultilevel"/>
    <w:lvl w:ilvl="0">
      <w:lvlJc w:val="left"/>
      <w:lvlText w:val="(%1)"/>
      <w:numFmt w:val="lowerLetter"/>
      <w:start w:val="4"/>
    </w:lvl>
  </w:abstractNum>
  <w:abstractNum w:abstractNumId="171">
    <w:nsid w:val="C56F860"/>
    <w:multiLevelType w:val="hybridMultilevel"/>
    <w:lvl w:ilvl="0">
      <w:lvlJc w:val="left"/>
      <w:lvlText w:val="(%1)"/>
      <w:numFmt w:val="lowerLetter"/>
      <w:start w:val="27"/>
    </w:lvl>
  </w:abstractNum>
  <w:abstractNum w:abstractNumId="172">
    <w:nsid w:val="64D17722"/>
    <w:multiLevelType w:val="hybridMultilevel"/>
    <w:lvl w:ilvl="0">
      <w:lvlJc w:val="left"/>
      <w:lvlText w:val="(%1)"/>
      <w:numFmt w:val="lowerLetter"/>
      <w:start w:val="29"/>
    </w:lvl>
  </w:abstractNum>
  <w:abstractNum w:abstractNumId="173">
    <w:nsid w:val="7924CA0A"/>
    <w:multiLevelType w:val="hybridMultilevel"/>
    <w:lvl w:ilvl="0">
      <w:lvlJc w:val="left"/>
      <w:lvlText w:val="(%1)"/>
      <w:numFmt w:val="lowerLetter"/>
      <w:start w:val="1"/>
    </w:lvl>
  </w:abstractNum>
  <w:abstractNum w:abstractNumId="174">
    <w:nsid w:val="CFD4EA7"/>
    <w:multiLevelType w:val="hybridMultilevel"/>
    <w:lvl w:ilvl="0">
      <w:lvlJc w:val="left"/>
      <w:lvlText w:val="(%1)"/>
      <w:numFmt w:val="lowerLetter"/>
      <w:start w:val="1"/>
    </w:lvl>
  </w:abstractNum>
  <w:abstractNum w:abstractNumId="175">
    <w:nsid w:val="232FCF4D"/>
    <w:multiLevelType w:val="hybridMultilevel"/>
    <w:lvl w:ilvl="0">
      <w:lvlJc w:val="left"/>
      <w:lvlText w:val="(%1)"/>
      <w:numFmt w:val="lowerLetter"/>
      <w:start w:val="1"/>
    </w:lvl>
    <w:lvl w:ilvl="1">
      <w:lvlJc w:val="left"/>
      <w:lvlText w:val="(%2)"/>
      <w:numFmt w:val="lowerRoman"/>
      <w:start w:val="1"/>
    </w:lvl>
  </w:abstractNum>
  <w:abstractNum w:abstractNumId="176">
    <w:nsid w:val="1EA21031"/>
    <w:multiLevelType w:val="hybridMultilevel"/>
    <w:lvl w:ilvl="0">
      <w:lvlJc w:val="left"/>
      <w:lvlText w:val="(%1)"/>
      <w:numFmt w:val="lowerLetter"/>
      <w:start w:val="1"/>
    </w:lvl>
  </w:abstractNum>
  <w:abstractNum w:abstractNumId="177">
    <w:nsid w:val="67A5A6B5"/>
    <w:multiLevelType w:val="hybridMultilevel"/>
    <w:lvl w:ilvl="0">
      <w:lvlJc w:val="left"/>
      <w:lvlText w:val="(%1)"/>
      <w:numFmt w:val="lowerLetter"/>
      <w:start w:val="2"/>
    </w:lvl>
  </w:abstractNum>
  <w:abstractNum w:abstractNumId="178">
    <w:nsid w:val="C2A5C5B"/>
    <w:multiLevelType w:val="hybridMultilevel"/>
    <w:lvl w:ilvl="0">
      <w:lvlJc w:val="left"/>
      <w:lvlText w:val="(%1)"/>
      <w:numFmt w:val="lowerLetter"/>
      <w:start w:val="1"/>
    </w:lvl>
  </w:abstractNum>
  <w:abstractNum w:abstractNumId="179">
    <w:nsid w:val="5F94DC03"/>
    <w:multiLevelType w:val="hybridMultilevel"/>
    <w:lvl w:ilvl="0">
      <w:lvlJc w:val="left"/>
      <w:lvlText w:val="(%1)"/>
      <w:numFmt w:val="lowerLetter"/>
      <w:start w:val="1"/>
    </w:lvl>
  </w:abstractNum>
  <w:abstractNum w:abstractNumId="180">
    <w:nsid w:val="237BBCA0"/>
    <w:multiLevelType w:val="hybridMultilevel"/>
    <w:lvl w:ilvl="0">
      <w:lvlJc w:val="left"/>
      <w:lvlText w:val="(%1)"/>
      <w:numFmt w:val="lowerLetter"/>
      <w:start w:val="1"/>
    </w:lvl>
  </w:abstractNum>
  <w:abstractNum w:abstractNumId="181">
    <w:nsid w:val="162EB70D"/>
    <w:multiLevelType w:val="hybridMultilevel"/>
    <w:lvl w:ilvl="0">
      <w:lvlJc w:val="left"/>
      <w:lvlText w:val="(%1)"/>
      <w:numFmt w:val="lowerLetter"/>
      <w:start w:val="1"/>
    </w:lvl>
  </w:abstractNum>
  <w:abstractNum w:abstractNumId="182">
    <w:nsid w:val="78070222"/>
    <w:multiLevelType w:val="hybridMultilevel"/>
    <w:lvl w:ilvl="0">
      <w:lvlJc w:val="left"/>
      <w:lvlText w:val="(%1)"/>
      <w:numFmt w:val="lowerLetter"/>
      <w:start w:val="1"/>
    </w:lvl>
  </w:abstractNum>
  <w:abstractNum w:abstractNumId="183">
    <w:nsid w:val="6163ED0D"/>
    <w:multiLevelType w:val="hybridMultilevel"/>
    <w:lvl w:ilvl="0">
      <w:lvlJc w:val="left"/>
      <w:lvlText w:val="(%1)"/>
      <w:numFmt w:val="lowerLetter"/>
      <w:start w:val="3"/>
    </w:lvl>
  </w:abstractNum>
  <w:abstractNum w:abstractNumId="184">
    <w:nsid w:val="C600E47"/>
    <w:multiLevelType w:val="hybridMultilevel"/>
    <w:lvl w:ilvl="0">
      <w:lvlJc w:val="left"/>
      <w:lvlText w:val="%1."/>
      <w:numFmt w:val="decimal"/>
      <w:start w:val="2"/>
    </w:lvl>
  </w:abstractNum>
  <w:abstractNum w:abstractNumId="185">
    <w:nsid w:val="7D94F75D"/>
    <w:multiLevelType w:val="hybridMultilevel"/>
    <w:lvl w:ilvl="0">
      <w:lvlJc w:val="left"/>
      <w:lvlText w:val="%1."/>
      <w:numFmt w:val="decimal"/>
      <w:start w:val="3"/>
    </w:lvl>
  </w:abstractNum>
  <w:abstractNum w:abstractNumId="186">
    <w:nsid w:val="6C31E7CD"/>
    <w:multiLevelType w:val="hybridMultilevel"/>
    <w:lvl w:ilvl="0">
      <w:lvlJc w:val="left"/>
      <w:lvlText w:val="(%1)"/>
      <w:numFmt w:val="lowerLetter"/>
      <w:start w:val="1"/>
    </w:lvl>
  </w:abstractNum>
  <w:abstractNum w:abstractNumId="187">
    <w:nsid w:val="2BB7929B"/>
    <w:multiLevelType w:val="hybridMultilevel"/>
    <w:lvl w:ilvl="0">
      <w:lvlJc w:val="left"/>
      <w:lvlText w:val="(%1)"/>
      <w:numFmt w:val="lowerLetter"/>
      <w:start w:val="1"/>
    </w:lvl>
  </w:abstractNum>
  <w:abstractNum w:abstractNumId="188">
    <w:nsid w:val="58A2A487"/>
    <w:multiLevelType w:val="hybridMultilevel"/>
    <w:lvl w:ilvl="0">
      <w:lvlJc w:val="left"/>
      <w:lvlText w:val="(%1)"/>
      <w:numFmt w:val="lowerLetter"/>
      <w:start w:val="1"/>
    </w:lvl>
  </w:abstractNum>
  <w:abstractNum w:abstractNumId="189">
    <w:nsid w:val="3A6F0E78"/>
    <w:multiLevelType w:val="hybridMultilevel"/>
    <w:lvl w:ilvl="0">
      <w:lvlJc w:val="left"/>
      <w:lvlText w:val="(%1)"/>
      <w:numFmt w:val="lowerLetter"/>
      <w:start w:val="1"/>
    </w:lvl>
  </w:abstractNum>
  <w:abstractNum w:abstractNumId="190">
    <w:nsid w:val="379A5B56"/>
    <w:multiLevelType w:val="hybridMultilevel"/>
    <w:lvl w:ilvl="0">
      <w:lvlJc w:val="left"/>
      <w:lvlText w:val="%1."/>
      <w:numFmt w:val="decimal"/>
      <w:start w:val="4"/>
    </w:lvl>
  </w:abstractNum>
  <w:abstractNum w:abstractNumId="191">
    <w:nsid w:val="53B735D5"/>
    <w:multiLevelType w:val="hybridMultilevel"/>
    <w:lvl w:ilvl="0">
      <w:lvlJc w:val="left"/>
      <w:lvlText w:val="%1"/>
      <w:numFmt w:val="decimal"/>
      <w:start w:val="1"/>
    </w:lvl>
    <w:lvl w:ilvl="1">
      <w:lvlJc w:val="left"/>
      <w:lvlText w:val="(%2)"/>
      <w:numFmt w:val="lowerLetter"/>
      <w:start w:val="2"/>
    </w:lvl>
  </w:abstractNum>
  <w:abstractNum w:abstractNumId="192">
    <w:nsid w:val="29784870"/>
    <w:multiLevelType w:val="hybridMultilevel"/>
    <w:lvl w:ilvl="0">
      <w:lvlJc w:val="left"/>
      <w:lvlText w:val="%1."/>
      <w:numFmt w:val="decimal"/>
      <w:start w:val="5"/>
    </w:lvl>
    <w:lvl w:ilvl="1">
      <w:lvlJc w:val="left"/>
      <w:lvlText w:val="%2"/>
      <w:numFmt w:val="lowerLetter"/>
      <w:start w:val="1"/>
    </w:lvl>
  </w:abstractNum>
  <w:abstractNum w:abstractNumId="193">
    <w:nsid w:val="4CDCED4C"/>
    <w:multiLevelType w:val="hybridMultilevel"/>
    <w:lvl w:ilvl="0">
      <w:lvlJc w:val="left"/>
      <w:lvlText w:val="%1."/>
      <w:numFmt w:val="decimal"/>
      <w:start w:val="6"/>
    </w:lvl>
    <w:lvl w:ilvl="1">
      <w:lvlJc w:val="left"/>
      <w:lvlText w:val="(%2)"/>
      <w:numFmt w:val="lowerLetter"/>
      <w:start w:val="1"/>
    </w:lvl>
  </w:abstractNum>
  <w:abstractNum w:abstractNumId="194">
    <w:nsid w:val="10A30D9C"/>
    <w:multiLevelType w:val="hybridMultilevel"/>
    <w:lvl w:ilvl="0">
      <w:lvlJc w:val="left"/>
      <w:lvlText w:val="(%1)"/>
      <w:numFmt w:val="lowerLetter"/>
      <w:start w:val="1"/>
    </w:lvl>
  </w:abstractNum>
  <w:abstractNum w:abstractNumId="195">
    <w:nsid w:val="A66E486"/>
    <w:multiLevelType w:val="hybridMultilevel"/>
    <w:lvl w:ilvl="0">
      <w:lvlJc w:val="left"/>
      <w:lvlText w:val="(%1)"/>
      <w:numFmt w:val="lowerLetter"/>
      <w:start w:val="1"/>
    </w:lvl>
  </w:abstractNum>
  <w:abstractNum w:abstractNumId="196">
    <w:nsid w:val="306235EA"/>
    <w:multiLevelType w:val="hybridMultilevel"/>
    <w:lvl w:ilvl="0">
      <w:lvlJc w:val="left"/>
      <w:lvlText w:val="(%1)"/>
      <w:numFmt w:val="lowerLetter"/>
      <w:start w:val="1"/>
    </w:lvl>
  </w:abstractNum>
  <w:abstractNum w:abstractNumId="197">
    <w:nsid w:val="1187C70F"/>
    <w:multiLevelType w:val="hybridMultilevel"/>
    <w:lvl w:ilvl="0">
      <w:lvlJc w:val="left"/>
      <w:lvlText w:val="(%1)"/>
      <w:numFmt w:val="lowerRoman"/>
      <w:start w:val="1"/>
    </w:lvl>
  </w:abstractNum>
  <w:abstractNum w:abstractNumId="198">
    <w:nsid w:val="5476DE98"/>
    <w:multiLevelType w:val="hybridMultilevel"/>
    <w:lvl w:ilvl="0">
      <w:lvlJc w:val="left"/>
      <w:lvlText w:val="(%1)"/>
      <w:numFmt w:val="lowerLetter"/>
      <w:start w:val="1"/>
    </w:lvl>
  </w:abstractNum>
  <w:abstractNum w:abstractNumId="199">
    <w:nsid w:val="EA697F2"/>
    <w:multiLevelType w:val="hybridMultilevel"/>
    <w:lvl w:ilvl="0">
      <w:lvlJc w:val="left"/>
      <w:lvlText w:val="(%1)"/>
      <w:numFmt w:val="lowerLetter"/>
      <w:start w:val="1"/>
    </w:lvl>
  </w:abstractNum>
  <w:abstractNum w:abstractNumId="200">
    <w:nsid w:val="70BA39EB"/>
    <w:multiLevelType w:val="hybridMultilevel"/>
    <w:lvl w:ilvl="0">
      <w:lvlJc w:val="left"/>
      <w:lvlText w:val="(%1)"/>
      <w:numFmt w:val="lowerLetter"/>
      <w:start w:val="2"/>
    </w:lvl>
  </w:abstractNum>
  <w:abstractNum w:abstractNumId="201">
    <w:nsid w:val="4A8DB59C"/>
    <w:multiLevelType w:val="hybridMultilevel"/>
    <w:lvl w:ilvl="0">
      <w:lvlJc w:val="left"/>
      <w:lvlText w:val="(%1)"/>
      <w:numFmt w:val="lowerLetter"/>
      <w:start w:val="1"/>
    </w:lvl>
  </w:abstractNum>
  <w:abstractNum w:abstractNumId="202">
    <w:nsid w:val="1AFD90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3">
    <w:nsid w:val="558BB10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4">
    <w:nsid w:val="43B27FA7"/>
    <w:multiLevelType w:val="hybridMultilevel"/>
    <w:lvl w:ilvl="0">
      <w:lvlJc w:val="left"/>
      <w:lvlText w:val="(%1)"/>
      <w:numFmt w:val="lowerLetter"/>
      <w:start w:val="1"/>
    </w:lvl>
  </w:abstractNum>
  <w:abstractNum w:abstractNumId="205">
    <w:nsid w:val="27FADEFA"/>
    <w:multiLevelType w:val="hybridMultilevel"/>
    <w:lvl w:ilvl="0">
      <w:lvlJc w:val="left"/>
      <w:lvlText w:val="(%1)"/>
      <w:numFmt w:val="lowerLetter"/>
      <w:start w:val="1"/>
    </w:lvl>
  </w:abstractNum>
  <w:abstractNum w:abstractNumId="206">
    <w:nsid w:val="78BB805A"/>
    <w:multiLevelType w:val="hybridMultilevel"/>
    <w:lvl w:ilvl="0">
      <w:lvlJc w:val="left"/>
      <w:lvlText w:val="(%1)"/>
      <w:numFmt w:val="lowerLetter"/>
      <w:start w:val="1"/>
    </w:lvl>
  </w:abstractNum>
  <w:abstractNum w:abstractNumId="207">
    <w:nsid w:val="62548FD8"/>
    <w:multiLevelType w:val="hybridMultilevel"/>
    <w:lvl w:ilvl="0">
      <w:lvlJc w:val="left"/>
      <w:lvlText w:val="%1."/>
      <w:numFmt w:val="decimal"/>
      <w:start w:val="10"/>
    </w:lvl>
  </w:abstractNum>
  <w:abstractNum w:abstractNumId="208">
    <w:nsid w:val="FA085B0"/>
    <w:multiLevelType w:val="hybridMultilevel"/>
    <w:lvl w:ilvl="0">
      <w:lvlJc w:val="left"/>
      <w:lvlText w:val="(%1)"/>
      <w:numFmt w:val="lowerLetter"/>
      <w:start w:val="4"/>
    </w:lvl>
    <w:lvl w:ilvl="1">
      <w:lvlJc w:val="left"/>
      <w:lvlText w:val="(%2)"/>
      <w:numFmt w:val="lowerRoman"/>
      <w:start w:val="1"/>
    </w:lvl>
  </w:abstractNum>
  <w:abstractNum w:abstractNumId="209">
    <w:nsid w:val="4E5DCB5"/>
    <w:multiLevelType w:val="hybridMultilevel"/>
    <w:lvl w:ilvl="0">
      <w:lvlJc w:val="left"/>
      <w:lvlText w:val="%1."/>
      <w:numFmt w:val="decimal"/>
      <w:start w:val="11"/>
    </w:lvl>
  </w:abstractNum>
  <w:abstractNum w:abstractNumId="210">
    <w:nsid w:val="41E96BDB"/>
    <w:multiLevelType w:val="hybridMultilevel"/>
    <w:lvl w:ilvl="0">
      <w:lvlJc w:val="left"/>
      <w:lvlText w:val="(%1)"/>
      <w:numFmt w:val="lowerLetter"/>
      <w:start w:val="3"/>
    </w:lvl>
    <w:lvl w:ilvl="1">
      <w:lvlJc w:val="left"/>
      <w:lvlText w:val="(%2)"/>
      <w:numFmt w:val="lowerRoman"/>
      <w:start w:val="1"/>
    </w:lvl>
  </w:abstractNum>
  <w:abstractNum w:abstractNumId="211">
    <w:nsid w:val="331C4250"/>
    <w:multiLevelType w:val="hybridMultilevel"/>
    <w:lvl w:ilvl="0">
      <w:lvlJc w:val="left"/>
      <w:lvlText w:val="(%1)"/>
      <w:numFmt w:val="lowerLetter"/>
      <w:start w:val="4"/>
    </w:lvl>
  </w:abstractNum>
  <w:abstractNum w:abstractNumId="212">
    <w:nsid w:val="1B1493C2"/>
    <w:multiLevelType w:val="hybridMultilevel"/>
    <w:lvl w:ilvl="0">
      <w:lvlJc w:val="left"/>
      <w:lvlText w:val="%1."/>
      <w:numFmt w:val="decimal"/>
      <w:start w:val="12"/>
    </w:lvl>
  </w:abstractNum>
  <w:abstractNum w:abstractNumId="213">
    <w:nsid w:val="39F06DFD"/>
    <w:multiLevelType w:val="hybridMultilevel"/>
    <w:lvl w:ilvl="0">
      <w:lvlJc w:val="left"/>
      <w:lvlText w:val="(%1)"/>
      <w:numFmt w:val="lowerLetter"/>
      <w:start w:val="3"/>
    </w:lvl>
  </w:abstractNum>
  <w:abstractNum w:abstractNumId="214">
    <w:nsid w:val="14802F5D"/>
    <w:multiLevelType w:val="hybridMultilevel"/>
    <w:lvl w:ilvl="0">
      <w:lvlJc w:val="left"/>
      <w:lvlText w:val="(%1)"/>
      <w:numFmt w:val="lowerLetter"/>
      <w:start w:val="1"/>
    </w:lvl>
    <w:lvl w:ilvl="1">
      <w:lvlJc w:val="left"/>
      <w:lvlText w:val="(%2)"/>
      <w:numFmt w:val="lowerRoman"/>
      <w:start w:val="3"/>
    </w:lvl>
  </w:abstractNum>
  <w:abstractNum w:abstractNumId="215">
    <w:nsid w:val="2774A209"/>
    <w:multiLevelType w:val="hybridMultilevel"/>
    <w:lvl w:ilvl="0">
      <w:lvlJc w:val="left"/>
      <w:lvlText w:val="(%1)"/>
      <w:numFmt w:val="lowerRoman"/>
      <w:start w:val="5"/>
    </w:lvl>
  </w:abstractNum>
  <w:abstractNum w:abstractNumId="216">
    <w:nsid w:val="3785655A"/>
    <w:multiLevelType w:val="hybridMultilevel"/>
    <w:lvl w:ilvl="0">
      <w:lvlJc w:val="left"/>
      <w:lvlText w:val="(%1)"/>
      <w:numFmt w:val="lowerLetter"/>
      <w:start w:val="2"/>
    </w:lvl>
    <w:lvl w:ilvl="1">
      <w:lvlJc w:val="left"/>
      <w:lvlText w:val="(%2)"/>
      <w:numFmt w:val="lowerRoman"/>
      <w:start w:val="1"/>
    </w:lvl>
  </w:abstractNum>
  <w:abstractNum w:abstractNumId="217">
    <w:nsid w:val="B2172A"/>
    <w:multiLevelType w:val="hybridMultilevel"/>
    <w:lvl w:ilvl="0">
      <w:lvlJc w:val="left"/>
      <w:lvlText w:val="%1."/>
      <w:numFmt w:val="decimal"/>
      <w:start w:val="13"/>
    </w:lvl>
  </w:abstractNum>
  <w:abstractNum w:abstractNumId="218">
    <w:nsid w:val="532C34A5"/>
    <w:multiLevelType w:val="hybridMultilevel"/>
    <w:lvl w:ilvl="0">
      <w:lvlJc w:val="left"/>
      <w:lvlText w:val="%1."/>
      <w:numFmt w:val="decimal"/>
      <w:start w:val="14"/>
    </w:lvl>
    <w:lvl w:ilvl="1">
      <w:lvlJc w:val="left"/>
      <w:lvlText w:val="(%2)"/>
      <w:numFmt w:val="lowerLetter"/>
      <w:start w:val="1"/>
    </w:lvl>
  </w:abstractNum>
  <w:abstractNum w:abstractNumId="219">
    <w:nsid w:val="102809E2"/>
    <w:multiLevelType w:val="hybridMultilevel"/>
    <w:lvl w:ilvl="0">
      <w:lvlJc w:val="left"/>
      <w:lvlText w:val="%1."/>
      <w:numFmt w:val="decimal"/>
      <w:start w:val="16"/>
    </w:lvl>
  </w:abstractNum>
  <w:abstractNum w:abstractNumId="220">
    <w:nsid w:val="3B2125A3"/>
    <w:multiLevelType w:val="hybridMultilevel"/>
    <w:lvl w:ilvl="0">
      <w:lvlJc w:val="left"/>
      <w:lvlText w:val="%1."/>
      <w:numFmt w:val="decimal"/>
      <w:start w:val="17"/>
    </w:lvl>
  </w:abstractNum>
  <w:abstractNum w:abstractNumId="221">
    <w:nsid w:val="AC68FFB"/>
    <w:multiLevelType w:val="hybridMultilevel"/>
    <w:lvl w:ilvl="0">
      <w:lvlJc w:val="left"/>
      <w:lvlText w:val="%1."/>
      <w:numFmt w:val="decimal"/>
      <w:start w:val="18"/>
    </w:lvl>
  </w:abstractNum>
  <w:abstractNum w:abstractNumId="222">
    <w:nsid w:val="63DF3FB7"/>
    <w:multiLevelType w:val="hybridMultilevel"/>
    <w:lvl w:ilvl="0">
      <w:lvlJc w:val="left"/>
      <w:lvlText w:val="5"/>
      <w:numFmt w:val="bullet"/>
      <w:start w:val="1"/>
    </w:lvl>
  </w:abstractNum>
  <w:abstractNum w:abstractNumId="223">
    <w:nsid w:val="64996E13"/>
    <w:multiLevelType w:val="hybridMultilevel"/>
    <w:lvl w:ilvl="0">
      <w:lvlJc w:val="left"/>
      <w:lvlText w:val="(%1)"/>
      <w:numFmt w:val="lowerLetter"/>
      <w:start w:val="3"/>
    </w:lvl>
  </w:abstractNum>
  <w:abstractNum w:abstractNumId="224">
    <w:nsid w:val="57A37D47"/>
    <w:multiLevelType w:val="hybridMultilevel"/>
    <w:lvl w:ilvl="0">
      <w:lvlJc w:val="left"/>
      <w:lvlText w:val="%1."/>
      <w:numFmt w:val="decimal"/>
      <w:start w:val="19"/>
    </w:lvl>
  </w:abstractNum>
  <w:abstractNum w:abstractNumId="225">
    <w:nsid w:val="74824D54"/>
    <w:multiLevelType w:val="hybridMultilevel"/>
    <w:lvl w:ilvl="0">
      <w:lvlJc w:val="left"/>
      <w:lvlText w:val="%1."/>
      <w:numFmt w:val="decimal"/>
      <w:start w:val="20"/>
    </w:lvl>
  </w:abstractNum>
  <w:abstractNum w:abstractNumId="226">
    <w:nsid w:val="6F00529A"/>
    <w:multiLevelType w:val="hybridMultilevel"/>
    <w:lvl w:ilvl="0">
      <w:lvlJc w:val="left"/>
      <w:lvlText w:val="(%1)"/>
      <w:numFmt w:val="lowerLetter"/>
      <w:start w:val="3"/>
    </w:lvl>
  </w:abstractNum>
  <w:abstractNum w:abstractNumId="227">
    <w:nsid w:val="805B331"/>
    <w:multiLevelType w:val="hybridMultilevel"/>
    <w:lvl w:ilvl="0">
      <w:lvlJc w:val="left"/>
      <w:lvlText w:val="(%1)"/>
      <w:numFmt w:val="lowerRoman"/>
      <w:start w:val="1"/>
    </w:lvl>
  </w:abstractNum>
  <w:abstractNum w:abstractNumId="228">
    <w:nsid w:val="60A1463"/>
    <w:multiLevelType w:val="hybridMultilevel"/>
    <w:lvl w:ilvl="0">
      <w:lvlJc w:val="left"/>
      <w:lvlText w:val="(%1)"/>
      <w:numFmt w:val="lowerLetter"/>
      <w:start w:val="1"/>
    </w:lvl>
  </w:abstractNum>
  <w:abstractNum w:abstractNumId="229">
    <w:nsid w:val="43773132"/>
    <w:multiLevelType w:val="hybridMultilevel"/>
    <w:lvl w:ilvl="0">
      <w:lvlJc w:val="left"/>
      <w:lvlText w:val="(%1)"/>
      <w:numFmt w:val="lowerLetter"/>
      <w:start w:val="1"/>
    </w:lvl>
  </w:abstractNum>
  <w:abstractNum w:abstractNumId="230">
    <w:nsid w:val="16AC4B23"/>
    <w:multiLevelType w:val="hybridMultilevel"/>
    <w:lvl w:ilvl="0">
      <w:lvlJc w:val="left"/>
      <w:lvlText w:val="(%1)"/>
      <w:numFmt w:val="lowerLetter"/>
      <w:start w:val="1"/>
    </w:lvl>
  </w:abstractNum>
  <w:abstractNum w:abstractNumId="231">
    <w:nsid w:val="76C44E4E"/>
    <w:multiLevelType w:val="hybridMultilevel"/>
    <w:lvl w:ilvl="0">
      <w:lvlJc w:val="left"/>
      <w:lvlText w:val="(%1)"/>
      <w:numFmt w:val="lowerLetter"/>
      <w:start w:val="1"/>
    </w:lvl>
    <w:lvl w:ilvl="1">
      <w:lvlJc w:val="left"/>
      <w:lvlText w:val="(%2)"/>
      <w:numFmt w:val="lowerRoman"/>
      <w:start w:val="2"/>
    </w:lvl>
  </w:abstractNum>
  <w:abstractNum w:abstractNumId="232">
    <w:nsid w:val="E04E6CE"/>
    <w:multiLevelType w:val="hybridMultilevel"/>
    <w:lvl w:ilvl="0">
      <w:lvlJc w:val="left"/>
      <w:lvlText w:val="%1."/>
      <w:numFmt w:val="decimal"/>
      <w:start w:val="22"/>
    </w:lvl>
  </w:abstractNum>
  <w:abstractNum w:abstractNumId="233">
    <w:nsid w:val="31A9DB76"/>
    <w:multiLevelType w:val="hybridMultilevel"/>
    <w:lvl w:ilvl="0">
      <w:lvlJc w:val="left"/>
      <w:lvlText w:val="(%1)"/>
      <w:numFmt w:val="lowerLetter"/>
      <w:start w:val="1"/>
    </w:lvl>
  </w:abstractNum>
  <w:abstractNum w:abstractNumId="234">
    <w:nsid w:val="4C4FFF5B"/>
    <w:multiLevelType w:val="hybridMultilevel"/>
    <w:lvl w:ilvl="0">
      <w:lvlJc w:val="left"/>
      <w:lvlText w:val="%1."/>
      <w:numFmt w:val="decimal"/>
      <w:start w:val="23"/>
    </w:lvl>
  </w:abstractNum>
  <w:abstractNum w:abstractNumId="235">
    <w:nsid w:val="51B76675"/>
    <w:multiLevelType w:val="hybridMultilevel"/>
    <w:lvl w:ilvl="0">
      <w:lvlJc w:val="left"/>
      <w:lvlText w:val="(%1)"/>
      <w:numFmt w:val="lowerLetter"/>
      <w:start w:val="6"/>
    </w:lvl>
  </w:abstractNum>
  <w:abstractNum w:abstractNumId="236">
    <w:nsid w:val="59A4BA71"/>
    <w:multiLevelType w:val="hybridMultilevel"/>
    <w:lvl w:ilvl="0">
      <w:lvlJc w:val="left"/>
      <w:lvlText w:val="(%1)"/>
      <w:numFmt w:val="lowerLetter"/>
      <w:start w:val="1"/>
    </w:lvl>
  </w:abstractNum>
  <w:abstractNum w:abstractNumId="237">
    <w:nsid w:val="450B7FB6"/>
    <w:multiLevelType w:val="hybridMultilevel"/>
    <w:lvl w:ilvl="0">
      <w:lvlJc w:val="left"/>
      <w:lvlText w:val="(%1)"/>
      <w:numFmt w:val="lowerLetter"/>
      <w:start w:val="2"/>
    </w:lvl>
  </w:abstractNum>
  <w:abstractNum w:abstractNumId="238">
    <w:nsid w:val="340BF64D"/>
    <w:multiLevelType w:val="hybridMultilevel"/>
    <w:lvl w:ilvl="0">
      <w:lvlJc w:val="left"/>
      <w:lvlText w:val="(%1)"/>
      <w:numFmt w:val="lowerLetter"/>
      <w:start w:val="1"/>
    </w:lvl>
  </w:abstractNum>
  <w:abstractNum w:abstractNumId="239">
    <w:nsid w:val="69454021"/>
    <w:multiLevelType w:val="hybridMultilevel"/>
    <w:lvl w:ilvl="0">
      <w:lvlJc w:val="left"/>
      <w:lvlText w:val="%1."/>
      <w:numFmt w:val="decimal"/>
      <w:start w:val="24"/>
    </w:lvl>
  </w:abstractNum>
  <w:abstractNum w:abstractNumId="240">
    <w:nsid w:val="49F15C6B"/>
    <w:multiLevelType w:val="hybridMultilevel"/>
    <w:lvl w:ilvl="0">
      <w:lvlJc w:val="left"/>
      <w:lvlText w:val="%1."/>
      <w:numFmt w:val="decimal"/>
      <w:start w:val="26"/>
    </w:lvl>
  </w:abstractNum>
  <w:abstractNum w:abstractNumId="241">
    <w:nsid w:val="75F56228"/>
    <w:multiLevelType w:val="hybridMultilevel"/>
    <w:lvl w:ilvl="0">
      <w:lvlJc w:val="left"/>
      <w:lvlText w:val="(%1)"/>
      <w:numFmt w:val="lowerLetter"/>
      <w:start w:val="7"/>
    </w:lvl>
  </w:abstractNum>
  <w:abstractNum w:abstractNumId="242">
    <w:nsid w:val="1C618271"/>
    <w:multiLevelType w:val="hybridMultilevel"/>
    <w:lvl w:ilvl="0">
      <w:lvlJc w:val="left"/>
      <w:lvlText w:val="(%1)"/>
      <w:numFmt w:val="lowerLetter"/>
      <w:start w:val="1"/>
    </w:lvl>
  </w:abstractNum>
  <w:abstractNum w:abstractNumId="243">
    <w:nsid w:val="6505F02E"/>
    <w:multiLevelType w:val="hybridMultilevel"/>
    <w:lvl w:ilvl="0">
      <w:lvlJc w:val="left"/>
      <w:lvlText w:val="%1."/>
      <w:numFmt w:val="decimal"/>
      <w:start w:val="27"/>
    </w:lvl>
  </w:abstractNum>
  <w:abstractNum w:abstractNumId="244">
    <w:nsid w:val="2FE5D025"/>
    <w:multiLevelType w:val="hybridMultilevel"/>
    <w:lvl w:ilvl="0">
      <w:lvlJc w:val="left"/>
      <w:lvlText w:val="%1."/>
      <w:numFmt w:val="decimal"/>
      <w:start w:val="29"/>
    </w:lvl>
  </w:abstractNum>
  <w:abstractNum w:abstractNumId="245">
    <w:nsid w:val="30E1B1CF"/>
    <w:multiLevelType w:val="hybridMultilevel"/>
    <w:lvl w:ilvl="0">
      <w:lvlJc w:val="left"/>
      <w:lvlText w:val="(%1)"/>
      <w:numFmt w:val="lowerLetter"/>
      <w:start w:val="1"/>
    </w:lvl>
  </w:abstractNum>
  <w:abstractNum w:abstractNumId="246">
    <w:nsid w:val="C7A9237"/>
    <w:multiLevelType w:val="hybridMultilevel"/>
    <w:lvl w:ilvl="0">
      <w:lvlJc w:val="left"/>
      <w:lvlText w:val="(%1)"/>
      <w:numFmt w:val="lowerLetter"/>
      <w:start w:val="1"/>
    </w:lvl>
  </w:abstractNum>
  <w:abstractNum w:abstractNumId="247">
    <w:nsid w:val="676B3580"/>
    <w:multiLevelType w:val="hybridMultilevel"/>
    <w:lvl w:ilvl="0">
      <w:lvlJc w:val="left"/>
      <w:lvlText w:val="%1."/>
      <w:numFmt w:val="decimal"/>
      <w:start w:val="30"/>
    </w:lvl>
  </w:abstractNum>
  <w:abstractNum w:abstractNumId="248">
    <w:nsid w:val="3193C8F9"/>
    <w:multiLevelType w:val="hybridMultilevel"/>
    <w:lvl w:ilvl="0">
      <w:lvlJc w:val="left"/>
      <w:lvlText w:val="%1."/>
      <w:numFmt w:val="decimal"/>
      <w:start w:val="31"/>
    </w:lvl>
  </w:abstractNum>
  <w:abstractNum w:abstractNumId="249">
    <w:nsid w:val="5FA6C6DC"/>
    <w:multiLevelType w:val="hybridMultilevel"/>
    <w:lvl w:ilvl="0">
      <w:lvlJc w:val="left"/>
      <w:lvlText w:val="(%1)"/>
      <w:numFmt w:val="lowerRoman"/>
      <w:start w:val="1"/>
    </w:lvl>
  </w:abstractNum>
  <w:abstractNum w:abstractNumId="250">
    <w:nsid w:val="77933F62"/>
    <w:multiLevelType w:val="hybridMultilevel"/>
    <w:lvl w:ilvl="0">
      <w:lvlJc w:val="left"/>
      <w:lvlText w:val="(%1)"/>
      <w:numFmt w:val="lowerRoman"/>
      <w:start w:val="4"/>
    </w:lvl>
  </w:abstractNum>
  <w:abstractNum w:abstractNumId="251">
    <w:nsid w:val="6CB4EE9C"/>
    <w:multiLevelType w:val="hybridMultilevel"/>
    <w:lvl w:ilvl="0">
      <w:lvlJc w:val="left"/>
      <w:lvlText w:val="(%1)"/>
      <w:numFmt w:val="lowerRoman"/>
      <w:start w:val="8"/>
    </w:lvl>
  </w:abstractNum>
  <w:abstractNum w:abstractNumId="252">
    <w:nsid w:val="6A6D56D7"/>
    <w:multiLevelType w:val="hybridMultilevel"/>
    <w:lvl w:ilvl="0">
      <w:lvlJc w:val="left"/>
      <w:lvlText w:val="%1."/>
      <w:numFmt w:val="decimal"/>
      <w:start w:val="34"/>
    </w:lvl>
  </w:abstractNum>
  <w:abstractNum w:abstractNumId="253">
    <w:nsid w:val="5B727F19"/>
    <w:multiLevelType w:val="hybridMultilevel"/>
    <w:lvl w:ilvl="0">
      <w:lvlJc w:val="left"/>
      <w:lvlText w:val="(%1)"/>
      <w:numFmt w:val="lowerLetter"/>
      <w:start w:val="1"/>
    </w:lvl>
  </w:abstractNum>
  <w:abstractNum w:abstractNumId="254">
    <w:nsid w:val="514E5CB0"/>
    <w:multiLevelType w:val="hybridMultilevel"/>
    <w:lvl w:ilvl="0">
      <w:lvlJc w:val="left"/>
      <w:lvlText w:val="%1."/>
      <w:numFmt w:val="decimal"/>
      <w:start w:val="35"/>
    </w:lvl>
  </w:abstractNum>
  <w:abstractNum w:abstractNumId="255">
    <w:nsid w:val="4210D41E"/>
    <w:multiLevelType w:val="hybridMultilevel"/>
    <w:lvl w:ilvl="0">
      <w:lvlJc w:val="left"/>
      <w:lvlText w:val="%1."/>
      <w:numFmt w:val="decimal"/>
      <w:start w:val="36"/>
    </w:lvl>
  </w:abstractNum>
  <w:abstractNum w:abstractNumId="256">
    <w:nsid w:val="4FF4CC6D"/>
    <w:multiLevelType w:val="hybridMultilevel"/>
    <w:lvl w:ilvl="0">
      <w:lvlJc w:val="left"/>
      <w:lvlText w:val="%1."/>
      <w:numFmt w:val="decimal"/>
      <w:start w:val="39"/>
    </w:lvl>
    <w:lvl w:ilvl="1">
      <w:lvlJc w:val="left"/>
      <w:lvlText w:val="(%2)"/>
      <w:numFmt w:val="lowerLetter"/>
      <w:start w:val="1"/>
    </w:lvl>
  </w:abstractNum>
  <w:abstractNum w:abstractNumId="257">
    <w:nsid w:val="404EAF4A"/>
    <w:multiLevelType w:val="hybridMultilevel"/>
    <w:lvl w:ilvl="0">
      <w:lvlJc w:val="left"/>
      <w:lvlText w:val="(%1)"/>
      <w:numFmt w:val="lowerLetter"/>
      <w:start w:val="10"/>
    </w:lvl>
  </w:abstractNum>
  <w:abstractNum w:abstractNumId="258">
    <w:nsid w:val="4A16874F"/>
    <w:multiLevelType w:val="hybridMultilevel"/>
    <w:lvl w:ilvl="0">
      <w:lvlJc w:val="left"/>
      <w:lvlText w:val="%1"/>
      <w:numFmt w:val="decimal"/>
      <w:start w:val="1"/>
    </w:lvl>
    <w:lvl w:ilvl="1">
      <w:lvlJc w:val="left"/>
      <w:lvlText w:val="(%2)"/>
      <w:numFmt w:val="upperLetter"/>
      <w:start w:val="1"/>
    </w:lvl>
  </w:abstractNum>
  <w:abstractNum w:abstractNumId="259">
    <w:nsid w:val="55FEE0D1"/>
    <w:multiLevelType w:val="hybridMultilevel"/>
    <w:lvl w:ilvl="0">
      <w:lvlJc w:val="left"/>
      <w:lvlText w:val="%1."/>
      <w:numFmt w:val="decimal"/>
      <w:start w:val="40"/>
    </w:lvl>
    <w:lvl w:ilvl="1">
      <w:lvlJc w:val="left"/>
      <w:lvlText w:val="%2"/>
      <w:numFmt w:val="upperLetter"/>
      <w:start w:val="1"/>
    </w:lvl>
  </w:abstractNum>
  <w:abstractNum w:abstractNumId="260">
    <w:nsid w:val="3C5E07C"/>
    <w:multiLevelType w:val="hybridMultilevel"/>
    <w:lvl w:ilvl="0">
      <w:lvlJc w:val="left"/>
      <w:lvlText w:val="(%1)"/>
      <w:numFmt w:val="lowerLetter"/>
      <w:start w:val="5"/>
    </w:lvl>
  </w:abstractNum>
  <w:abstractNum w:abstractNumId="261">
    <w:nsid w:val="60C2D273"/>
    <w:multiLevelType w:val="hybridMultilevel"/>
    <w:lvl w:ilvl="0">
      <w:lvlJc w:val="left"/>
      <w:lvlText w:val="(%1)"/>
      <w:numFmt w:val="upperLetter"/>
      <w:start w:val="9"/>
    </w:lvl>
  </w:abstractNum>
  <w:abstractNum w:abstractNumId="262">
    <w:nsid w:val="4CC32F1F"/>
    <w:multiLevelType w:val="hybridMultilevel"/>
    <w:lvl w:ilvl="0">
      <w:lvlJc w:val="left"/>
      <w:lvlText w:val="(%1)"/>
      <w:numFmt w:val="upperLetter"/>
      <w:start w:val="35"/>
    </w:lvl>
  </w:abstractNum>
  <w:abstractNum w:abstractNumId="263">
    <w:nsid w:val="11CAC74A"/>
    <w:multiLevelType w:val="hybridMultilevel"/>
    <w:lvl w:ilvl="0">
      <w:lvlJc w:val="left"/>
      <w:lvlText w:val="%1."/>
      <w:numFmt w:val="decimal"/>
      <w:start w:val="1"/>
    </w:lvl>
    <w:lvl w:ilvl="1">
      <w:lvlJc w:val="left"/>
      <w:lvlText w:val="(%2)"/>
      <w:numFmt w:val="lowerLetter"/>
      <w:start w:val="1"/>
    </w:lvl>
  </w:abstractNum>
  <w:abstractNum w:abstractNumId="264">
    <w:nsid w:val="126CA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5">
    <w:nsid w:val="19132E7B"/>
    <w:multiLevelType w:val="hybridMultilevel"/>
    <w:lvl w:ilvl="0">
      <w:lvlJc w:val="left"/>
      <w:lvlText w:val="(%1)"/>
      <w:numFmt w:val="lowerRoman"/>
      <w:start w:val="6"/>
    </w:lvl>
  </w:abstractNum>
  <w:abstractNum w:abstractNumId="266">
    <w:nsid w:val="63822DC0"/>
    <w:multiLevelType w:val="hybridMultilevel"/>
    <w:lvl w:ilvl="0">
      <w:lvlJc w:val="left"/>
      <w:lvlText w:val="%1"/>
      <w:numFmt w:val="decimal"/>
      <w:start w:val="1"/>
    </w:lvl>
    <w:lvl w:ilvl="1">
      <w:lvlJc w:val="left"/>
      <w:lvlText w:val="(%2)"/>
      <w:numFmt w:val="lowerLetter"/>
      <w:start w:val="2"/>
    </w:lvl>
  </w:abstractNum>
  <w:abstractNum w:abstractNumId="267">
    <w:nsid w:val="6C11685A"/>
    <w:multiLevelType w:val="hybridMultilevel"/>
    <w:lvl w:ilvl="0">
      <w:lvlJc w:val="left"/>
      <w:lvlText w:val="%1."/>
      <w:numFmt w:val="decimal"/>
      <w:start w:val="4"/>
    </w:lvl>
    <w:lvl w:ilvl="1">
      <w:lvlJc w:val="left"/>
      <w:lvlText w:val="(%2)"/>
      <w:numFmt w:val="lowerLetter"/>
      <w:start w:val="1"/>
    </w:lvl>
  </w:abstractNum>
  <w:abstractNum w:abstractNumId="268">
    <w:nsid w:val="5E1EAE31"/>
    <w:multiLevelType w:val="hybridMultilevel"/>
    <w:lvl w:ilvl="0">
      <w:lvlJc w:val="left"/>
      <w:lvlText w:val="%1."/>
      <w:numFmt w:val="decimal"/>
      <w:start w:val="6"/>
    </w:lvl>
    <w:lvl w:ilvl="1">
      <w:lvlJc w:val="left"/>
      <w:lvlText w:val="(%2)"/>
      <w:numFmt w:val="lowerLetter"/>
      <w:start w:val="1"/>
    </w:lvl>
  </w:abstractNum>
  <w:abstractNum w:abstractNumId="269">
    <w:nsid w:val="178E240D"/>
    <w:multiLevelType w:val="hybridMultilevel"/>
    <w:lvl w:ilvl="0">
      <w:lvlJc w:val="left"/>
      <w:lvlText w:val="(%1)"/>
      <w:numFmt w:val="lowerLetter"/>
      <w:start w:val="2"/>
    </w:lvl>
  </w:abstractNum>
  <w:abstractNum w:abstractNumId="270">
    <w:nsid w:val="5556A87B"/>
    <w:multiLevelType w:val="hybridMultilevel"/>
    <w:lvl w:ilvl="0">
      <w:lvlJc w:val="left"/>
      <w:lvlText w:val="["/>
      <w:numFmt w:val="bullet"/>
      <w:start w:val="1"/>
    </w:lvl>
  </w:abstractNum>
  <w:abstractNum w:abstractNumId="271">
    <w:nsid w:val="28100A9C"/>
    <w:multiLevelType w:val="hybridMultilevel"/>
    <w:lvl w:ilvl="0">
      <w:lvlJc w:val="left"/>
      <w:lvlText w:val="%1."/>
      <w:numFmt w:val="decimal"/>
      <w:start w:val="1"/>
    </w:lvl>
    <w:lvl w:ilvl="1">
      <w:lvlJc w:val="left"/>
      <w:lvlText w:val="(%2)"/>
      <w:numFmt w:val="lowerRoman"/>
      <w:start w:val="1"/>
    </w:lvl>
  </w:abstractNum>
  <w:abstractNum w:abstractNumId="272">
    <w:nsid w:val="D838636"/>
    <w:multiLevelType w:val="hybridMultilevel"/>
    <w:lvl w:ilvl="0">
      <w:lvlJc w:val="left"/>
      <w:lvlText w:val="%1."/>
      <w:numFmt w:val="decimal"/>
      <w:start w:val="1"/>
    </w:lvl>
    <w:lvl w:ilvl="1">
      <w:lvlJc w:val="left"/>
      <w:lvlText w:val="(%2)"/>
      <w:numFmt w:val="lowerLetter"/>
      <w:start w:val="1"/>
    </w:lvl>
  </w:abstractNum>
  <w:abstractNum w:abstractNumId="273">
    <w:nsid w:val="71B82AED"/>
    <w:multiLevelType w:val="hybridMultilevel"/>
    <w:lvl w:ilvl="0">
      <w:lvlJc w:val="left"/>
      <w:lvlText w:val="(%1)"/>
      <w:numFmt w:val="lowerLetter"/>
      <w:start w:val="1"/>
    </w:lvl>
  </w:abstractNum>
  <w:abstractNum w:abstractNumId="274">
    <w:nsid w:val="D15FACA"/>
    <w:multiLevelType w:val="hybridMultilevel"/>
    <w:lvl w:ilvl="0">
      <w:lvlJc w:val="left"/>
      <w:lvlText w:val="%1."/>
      <w:numFmt w:val="decimal"/>
      <w:start w:val="3"/>
    </w:lvl>
  </w:abstractNum>
  <w:abstractNum w:abstractNumId="275">
    <w:nsid w:val="3D69565B"/>
    <w:multiLevelType w:val="hybridMultilevel"/>
    <w:lvl w:ilvl="0">
      <w:lvlJc w:val="left"/>
      <w:lvlText w:val="%1."/>
      <w:numFmt w:val="decimal"/>
      <w:start w:val="4"/>
    </w:lvl>
  </w:abstractNum>
  <w:abstractNum w:abstractNumId="276">
    <w:nsid w:val="2299DCBC"/>
    <w:multiLevelType w:val="hybridMultilevel"/>
    <w:lvl w:ilvl="0">
      <w:lvlJc w:val="left"/>
      <w:lvlText w:val="%1."/>
      <w:numFmt w:val="decimal"/>
      <w:start w:val="5"/>
    </w:lvl>
  </w:abstractNum>
  <w:abstractNum w:abstractNumId="277">
    <w:nsid w:val="19908D02"/>
    <w:multiLevelType w:val="hybridMultilevel"/>
    <w:lvl w:ilvl="0">
      <w:lvlJc w:val="left"/>
      <w:lvlText w:val="(%1)"/>
      <w:numFmt w:val="lowerLetter"/>
      <w:start w:val="1"/>
    </w:lvl>
  </w:abstractNum>
  <w:abstractNum w:abstractNumId="278">
    <w:nsid w:val="24D48BDB"/>
    <w:multiLevelType w:val="hybridMultilevel"/>
    <w:lvl w:ilvl="0">
      <w:lvlJc w:val="left"/>
      <w:lvlText w:val="%1."/>
      <w:numFmt w:val="decimal"/>
      <w:start w:val="9"/>
    </w:lvl>
  </w:abstractNum>
  <w:abstractNum w:abstractNumId="279">
    <w:nsid w:val="542DA5B5"/>
    <w:multiLevelType w:val="hybridMultilevel"/>
    <w:lvl w:ilvl="0">
      <w:lvlJc w:val="left"/>
      <w:lvlText w:val="%1."/>
      <w:numFmt w:val="decimal"/>
      <w:start w:val="10"/>
    </w:lvl>
  </w:abstractNum>
  <w:abstractNum w:abstractNumId="280">
    <w:nsid w:val="793753DE"/>
    <w:multiLevelType w:val="hybridMultilevel"/>
    <w:lvl w:ilvl="0">
      <w:lvlJc w:val="left"/>
      <w:lvlText w:val="%1."/>
      <w:numFmt w:val="decimal"/>
      <w:start w:val="11"/>
    </w:lvl>
  </w:abstractNum>
  <w:abstractNum w:abstractNumId="281">
    <w:nsid w:val="1C67CB3D"/>
    <w:multiLevelType w:val="hybridMultilevel"/>
    <w:lvl w:ilvl="0">
      <w:lvlJc w:val="left"/>
      <w:lvlText w:val="(%1)"/>
      <w:numFmt w:val="lowerLetter"/>
      <w:start w:val="1"/>
    </w:lvl>
  </w:abstractNum>
  <w:abstractNum w:abstractNumId="282">
    <w:nsid w:val="40E29452"/>
    <w:multiLevelType w:val="hybridMultilevel"/>
    <w:lvl w:ilvl="0">
      <w:lvlJc w:val="left"/>
      <w:lvlText w:val="%1."/>
      <w:numFmt w:val="decimal"/>
      <w:start w:val="13"/>
    </w:lvl>
  </w:abstractNum>
  <w:abstractNum w:abstractNumId="283">
    <w:nsid w:val="63A4AAB6"/>
    <w:multiLevelType w:val="hybridMultilevel"/>
    <w:lvl w:ilvl="0">
      <w:lvlJc w:val="left"/>
      <w:lvlText w:val="%1."/>
      <w:numFmt w:val="decimal"/>
      <w:start w:val="17"/>
    </w:lvl>
    <w:lvl w:ilvl="1">
      <w:lvlJc w:val="left"/>
      <w:lvlText w:val="(%2)"/>
      <w:numFmt w:val="lowerLetter"/>
      <w:start w:val="1"/>
    </w:lvl>
  </w:abstractNum>
  <w:abstractNum w:abstractNumId="284">
    <w:nsid w:val="77DA4A57"/>
    <w:multiLevelType w:val="hybridMultilevel"/>
    <w:lvl w:ilvl="0">
      <w:lvlJc w:val="left"/>
      <w:lvlText w:val="(%1)"/>
      <w:numFmt w:val="lowerLetter"/>
      <w:start w:val="1"/>
    </w:lvl>
  </w:abstractNum>
  <w:abstractNum w:abstractNumId="285">
    <w:nsid w:val="1230F102"/>
    <w:multiLevelType w:val="hybridMultilevel"/>
    <w:lvl w:ilvl="0">
      <w:lvlJc w:val="left"/>
      <w:lvlText w:val="%1."/>
      <w:numFmt w:val="decimal"/>
      <w:start w:val="22"/>
    </w:lvl>
  </w:abstractNum>
  <w:abstractNum w:abstractNumId="286">
    <w:nsid w:val="25B57ED4"/>
    <w:multiLevelType w:val="hybridMultilevel"/>
    <w:lvl w:ilvl="0">
      <w:lvlJc w:val="left"/>
      <w:lvlText w:val="%1."/>
      <w:numFmt w:val="decimal"/>
      <w:start w:val="23"/>
    </w:lvl>
    <w:lvl w:ilvl="1">
      <w:lvlJc w:val="left"/>
      <w:lvlText w:val="(%2)"/>
      <w:numFmt w:val="lowerLetter"/>
      <w:start w:val="1"/>
    </w:lvl>
  </w:abstractNum>
  <w:abstractNum w:abstractNumId="287">
    <w:nsid w:val="47CF16C4"/>
    <w:multiLevelType w:val="hybridMultilevel"/>
    <w:lvl w:ilvl="0">
      <w:lvlJc w:val="left"/>
      <w:lvlText w:val="%1."/>
      <w:numFmt w:val="decimal"/>
      <w:start w:val="28"/>
    </w:lvl>
  </w:abstractNum>
  <w:abstractNum w:abstractNumId="288">
    <w:nsid w:val="527FA04C"/>
    <w:multiLevelType w:val="hybridMultilevel"/>
    <w:lvl w:ilvl="0">
      <w:lvlJc w:val="left"/>
      <w:lvlText w:val="%1."/>
      <w:numFmt w:val="decimal"/>
      <w:start w:val="29"/>
    </w:lvl>
    <w:lvl w:ilvl="1">
      <w:lvlJc w:val="left"/>
      <w:lvlText w:val="(%2)"/>
      <w:numFmt w:val="lowerLetter"/>
      <w:start w:val="1"/>
    </w:lvl>
  </w:abstractNum>
  <w:abstractNum w:abstractNumId="289">
    <w:nsid w:val="6FCC0624"/>
    <w:multiLevelType w:val="hybridMultilevel"/>
    <w:lvl w:ilvl="0">
      <w:lvlJc w:val="left"/>
      <w:lvlText w:val="%1."/>
      <w:numFmt w:val="decimal"/>
      <w:start w:val="37"/>
    </w:lvl>
  </w:abstractNum>
  <w:abstractNum w:abstractNumId="290">
    <w:nsid w:val="1DCDF795"/>
    <w:multiLevelType w:val="hybridMultilevel"/>
    <w:lvl w:ilvl="0">
      <w:lvlJc w:val="left"/>
      <w:lvlText w:val="%1."/>
      <w:numFmt w:val="decimal"/>
      <w:start w:val="1"/>
    </w:lvl>
    <w:lvl w:ilvl="1">
      <w:lvlJc w:val="left"/>
      <w:lvlText w:val="(%2)"/>
      <w:numFmt w:val="lowerLetter"/>
      <w:start w:val="1"/>
    </w:lvl>
  </w:abstractNum>
  <w:abstractNum w:abstractNumId="291">
    <w:nsid w:val="564580C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2">
    <w:nsid w:val="508ED8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3">
    <w:nsid w:val="6A9126B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4">
    <w:nsid w:val="6810481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5">
    <w:nsid w:val="62FB8680"/>
    <w:multiLevelType w:val="hybridMultilevel"/>
    <w:lvl w:ilvl="0">
      <w:lvlJc w:val="left"/>
      <w:lvlText w:val="%1."/>
      <w:numFmt w:val="decimal"/>
      <w:start w:val="8"/>
    </w:lvl>
    <w:lvl w:ilvl="1">
      <w:lvlJc w:val="left"/>
      <w:lvlText w:val="(%2)"/>
      <w:numFmt w:val="lowerLetter"/>
      <w:start w:val="1"/>
    </w:lvl>
  </w:abstractNum>
  <w:abstractNum w:abstractNumId="296">
    <w:nsid w:val="3A45530"/>
    <w:multiLevelType w:val="hybridMultilevel"/>
    <w:lvl w:ilvl="0">
      <w:lvlJc w:val="left"/>
      <w:lvlText w:val="(%1)"/>
      <w:numFmt w:val="lowerLetter"/>
      <w:start w:val="1"/>
    </w:lvl>
  </w:abstractNum>
  <w:abstractNum w:abstractNumId="297">
    <w:nsid w:val="4B9275D2"/>
    <w:multiLevelType w:val="hybridMultilevel"/>
    <w:lvl w:ilvl="0">
      <w:lvlJc w:val="left"/>
      <w:lvlText w:val="(%1)"/>
      <w:numFmt w:val="lowerLetter"/>
      <w:start w:val="4"/>
    </w:lvl>
  </w:abstractNum>
  <w:abstractNum w:abstractNumId="298">
    <w:nsid w:val="4F0CEEDB"/>
    <w:multiLevelType w:val="hybridMultilevel"/>
    <w:lvl w:ilvl="0">
      <w:lvlJc w:val="left"/>
      <w:lvlText w:val="(%1)"/>
      <w:numFmt w:val="lowerLetter"/>
      <w:start w:val="1"/>
    </w:lvl>
    <w:lvl w:ilvl="1">
      <w:lvlJc w:val="left"/>
      <w:lvlText w:val="(%2)"/>
      <w:numFmt w:val="lowerRoman"/>
      <w:start w:val="1"/>
    </w:lvl>
  </w:abstractNum>
  <w:abstractNum w:abstractNumId="299">
    <w:nsid w:val="61C30361"/>
    <w:multiLevelType w:val="hybridMultilevel"/>
    <w:lvl w:ilvl="0">
      <w:lvlJc w:val="left"/>
      <w:lvlText w:val="(%1)"/>
      <w:numFmt w:val="lowerLetter"/>
      <w:start w:val="4"/>
    </w:lvl>
  </w:abstractNum>
  <w:abstractNum w:abstractNumId="300">
    <w:nsid w:val="632099E0"/>
    <w:multiLevelType w:val="hybridMultilevel"/>
    <w:lvl w:ilvl="0">
      <w:lvlJc w:val="left"/>
      <w:lvlText w:val="(%1)"/>
      <w:numFmt w:val="lowerLetter"/>
      <w:start w:val="1"/>
    </w:lvl>
  </w:abstractNum>
  <w:abstractNum w:abstractNumId="301">
    <w:nsid w:val="24639756"/>
    <w:multiLevelType w:val="hybridMultilevel"/>
    <w:lvl w:ilvl="0">
      <w:lvlJc w:val="left"/>
      <w:lvlText w:val="%1"/>
      <w:numFmt w:val="decimal"/>
      <w:start w:val="1"/>
    </w:lvl>
    <w:lvl w:ilvl="1">
      <w:lvlJc w:val="left"/>
      <w:lvlText w:val="(%2)"/>
      <w:numFmt w:val="lowerLetter"/>
      <w:start w:val="1"/>
    </w:lvl>
  </w:abstractNum>
  <w:abstractNum w:abstractNumId="302">
    <w:nsid w:val="9D30DFD"/>
    <w:multiLevelType w:val="hybridMultilevel"/>
    <w:lvl w:ilvl="0">
      <w:lvlJc w:val="left"/>
      <w:lvlText w:val="%1."/>
      <w:numFmt w:val="decimal"/>
      <w:start w:val="11"/>
    </w:lvl>
    <w:lvl w:ilvl="1">
      <w:lvlJc w:val="left"/>
      <w:lvlText w:val="(%2)"/>
      <w:numFmt w:val="lowerLetter"/>
      <w:start w:val="6"/>
    </w:lvl>
  </w:abstractNum>
  <w:abstractNum w:abstractNumId="303">
    <w:nsid w:val="70A42016"/>
    <w:multiLevelType w:val="hybridMultilevel"/>
    <w:lvl w:ilvl="0">
      <w:lvlJc w:val="left"/>
      <w:lvlText w:val="%1"/>
      <w:numFmt w:val="decimal"/>
      <w:start w:val="1"/>
    </w:lvl>
    <w:lvl w:ilvl="1">
      <w:lvlJc w:val="left"/>
      <w:lvlText w:val="(%2)"/>
      <w:numFmt w:val="lowerLetter"/>
      <w:start w:val="8"/>
    </w:lvl>
  </w:abstractNum>
  <w:abstractNum w:abstractNumId="304">
    <w:nsid w:val="161BC243"/>
    <w:multiLevelType w:val="hybridMultilevel"/>
    <w:lvl w:ilvl="0">
      <w:lvlJc w:val="left"/>
      <w:lvlText w:val="%1."/>
      <w:numFmt w:val="decimal"/>
      <w:start w:val="12"/>
    </w:lvl>
    <w:lvl w:ilvl="1">
      <w:lvlJc w:val="left"/>
      <w:lvlText w:val="(%2)"/>
      <w:numFmt w:val="lowerLetter"/>
      <w:start w:val="1"/>
    </w:lvl>
  </w:abstractNum>
  <w:abstractNum w:abstractNumId="305">
    <w:nsid w:val="16E908C8"/>
    <w:multiLevelType w:val="hybridMultilevel"/>
    <w:lvl w:ilvl="0">
      <w:lvlJc w:val="left"/>
      <w:lvlText w:val="%1"/>
      <w:numFmt w:val="lowerLetter"/>
      <w:start w:val="1"/>
    </w:lvl>
    <w:lvl w:ilvl="1">
      <w:lvlJc w:val="left"/>
      <w:lvlText w:val="(%2)"/>
      <w:numFmt w:val="lowerRoman"/>
      <w:start w:val="1"/>
    </w:lvl>
  </w:abstractNum>
  <w:abstractNum w:abstractNumId="306">
    <w:nsid w:val="2E0D7671"/>
    <w:multiLevelType w:val="hybridMultilevel"/>
    <w:lvl w:ilvl="0">
      <w:lvlJc w:val="left"/>
      <w:lvlText w:val="(%1)"/>
      <w:numFmt w:val="lowerLetter"/>
      <w:start w:val="10"/>
    </w:lvl>
    <w:lvl w:ilvl="1">
      <w:lvlJc w:val="left"/>
      <w:lvlText w:val="%2"/>
      <w:numFmt w:val="lowerRoman"/>
      <w:start w:val="1"/>
    </w:lvl>
  </w:abstractNum>
  <w:abstractNum w:abstractNumId="307">
    <w:nsid w:val="38B59EFF"/>
    <w:multiLevelType w:val="hybridMultilevel"/>
    <w:lvl w:ilvl="0">
      <w:lvlJc w:val="left"/>
      <w:lvlText w:val="(%1)"/>
      <w:numFmt w:val="lowerLetter"/>
      <w:start w:val="12"/>
    </w:lvl>
  </w:abstractNum>
  <w:abstractNum w:abstractNumId="308">
    <w:nsid w:val="307995CA"/>
    <w:multiLevelType w:val="hybridMultilevel"/>
    <w:lvl w:ilvl="0">
      <w:lvlJc w:val="left"/>
      <w:lvlText w:val="%1."/>
      <w:numFmt w:val="decimal"/>
      <w:start w:val="13"/>
    </w:lvl>
  </w:abstractNum>
  <w:abstractNum w:abstractNumId="309">
    <w:nsid w:val="52E2024D"/>
    <w:multiLevelType w:val="hybridMultilevel"/>
    <w:lvl w:ilvl="0">
      <w:lvlJc w:val="left"/>
      <w:lvlText w:val="%1."/>
      <w:numFmt w:val="decimal"/>
      <w:start w:val="14"/>
    </w:lvl>
  </w:abstractNum>
  <w:abstractNum w:abstractNumId="310">
    <w:nsid w:val="CE344B5"/>
    <w:multiLevelType w:val="hybridMultilevel"/>
    <w:lvl w:ilvl="0">
      <w:lvlJc w:val="left"/>
      <w:lvlText w:val="(%1)"/>
      <w:numFmt w:val="lowerLetter"/>
      <w:start w:val="1"/>
    </w:lvl>
  </w:abstractNum>
  <w:abstractNum w:abstractNumId="311">
    <w:nsid w:val="29B0E9A8"/>
    <w:multiLevelType w:val="hybridMultilevel"/>
    <w:lvl w:ilvl="0">
      <w:lvlJc w:val="left"/>
      <w:lvlText w:val="(%1)"/>
      <w:numFmt w:val="lowerRoman"/>
      <w:start w:val="1"/>
    </w:lvl>
  </w:abstractNum>
  <w:abstractNum w:abstractNumId="312">
    <w:nsid w:val="6F49CD8A"/>
    <w:multiLevelType w:val="hybridMultilevel"/>
    <w:lvl w:ilvl="0">
      <w:lvlJc w:val="left"/>
      <w:lvlText w:val="(%1)"/>
      <w:numFmt w:val="lowerRoman"/>
      <w:start w:val="1"/>
    </w:lvl>
  </w:abstractNum>
  <w:abstractNum w:abstractNumId="313">
    <w:nsid w:val="4DC5D907"/>
    <w:multiLevelType w:val="hybridMultilevel"/>
    <w:lvl w:ilvl="0">
      <w:lvlJc w:val="left"/>
      <w:lvlText w:val="(%1)"/>
      <w:numFmt w:val="lowerRoman"/>
      <w:start w:val="4"/>
    </w:lvl>
  </w:abstractNum>
  <w:abstractNum w:abstractNumId="314">
    <w:nsid w:val="D55945E"/>
    <w:multiLevelType w:val="hybridMultilevel"/>
    <w:lvl w:ilvl="0">
      <w:lvlJc w:val="left"/>
      <w:lvlText w:val="%1."/>
      <w:numFmt w:val="decimal"/>
      <w:start w:val="16"/>
    </w:lvl>
  </w:abstractNum>
  <w:abstractNum w:abstractNumId="315">
    <w:nsid w:val="672417E1"/>
    <w:multiLevelType w:val="hybridMultilevel"/>
    <w:lvl w:ilvl="0">
      <w:lvlJc w:val="left"/>
      <w:lvlText w:val="%1."/>
      <w:numFmt w:val="decimal"/>
      <w:start w:val="17"/>
    </w:lvl>
  </w:abstractNum>
  <w:abstractNum w:abstractNumId="316">
    <w:nsid w:val="5FF6CA09"/>
    <w:multiLevelType w:val="hybridMultilevel"/>
    <w:lvl w:ilvl="0">
      <w:lvlJc w:val="left"/>
      <w:lvlText w:val="%1."/>
      <w:numFmt w:val="decimal"/>
      <w:start w:val="18"/>
    </w:lvl>
  </w:abstractNum>
  <w:abstractNum w:abstractNumId="317">
    <w:nsid w:val="330B1333"/>
    <w:multiLevelType w:val="hybridMultilevel"/>
    <w:lvl w:ilvl="0">
      <w:lvlJc w:val="left"/>
      <w:lvlText w:val="%1."/>
      <w:numFmt w:val="decimal"/>
      <w:start w:val="20"/>
    </w:lvl>
    <w:lvl w:ilvl="1">
      <w:lvlJc w:val="left"/>
      <w:lvlText w:val="(%2)"/>
      <w:numFmt w:val="lowerLetter"/>
      <w:start w:val="1"/>
    </w:lvl>
  </w:abstractNum>
  <w:abstractNum w:abstractNumId="318">
    <w:nsid w:val="2EF32EA6"/>
    <w:multiLevelType w:val="hybridMultilevel"/>
    <w:lvl w:ilvl="0">
      <w:lvlJc w:val="left"/>
      <w:lvlText w:val="%1."/>
      <w:numFmt w:val="decimal"/>
      <w:start w:val="23"/>
    </w:lvl>
    <w:lvl w:ilvl="1">
      <w:lvlJc w:val="left"/>
      <w:lvlText w:val="(%2)"/>
      <w:numFmt w:val="lowerLetter"/>
      <w:start w:val="1"/>
    </w:lvl>
  </w:abstractNum>
  <w:abstractNum w:abstractNumId="319">
    <w:nsid w:val="32766A55"/>
    <w:multiLevelType w:val="hybridMultilevel"/>
    <w:lvl w:ilvl="0">
      <w:lvlJc w:val="left"/>
      <w:lvlText w:val="%1."/>
      <w:numFmt w:val="decimal"/>
      <w:start w:val="25"/>
    </w:lvl>
  </w:abstractNum>
  <w:abstractNum w:abstractNumId="320">
    <w:nsid w:val="22D71957"/>
    <w:multiLevelType w:val="hybridMultilevel"/>
    <w:lvl w:ilvl="0">
      <w:lvlJc w:val="left"/>
      <w:lvlText w:val="(%1)"/>
      <w:numFmt w:val="lowerLetter"/>
      <w:start w:val="1"/>
    </w:lvl>
  </w:abstractNum>
  <w:abstractNum w:abstractNumId="321">
    <w:nsid w:val="4CC1263B"/>
    <w:multiLevelType w:val="hybridMultilevel"/>
    <w:lvl w:ilvl="0">
      <w:lvlJc w:val="left"/>
      <w:lvlText w:val="(%1)"/>
      <w:numFmt w:val="lowerRoman"/>
      <w:start w:val="1"/>
    </w:lvl>
  </w:abstractNum>
  <w:abstractNum w:abstractNumId="322">
    <w:nsid w:val="8BBEB1D"/>
    <w:multiLevelType w:val="hybridMultilevel"/>
    <w:lvl w:ilvl="0">
      <w:lvlJc w:val="left"/>
      <w:lvlText w:val="%1."/>
      <w:numFmt w:val="decimal"/>
      <w:start w:val="28"/>
    </w:lvl>
  </w:abstractNum>
  <w:abstractNum w:abstractNumId="323">
    <w:nsid w:val="7365F1EE"/>
    <w:multiLevelType w:val="hybridMultilevel"/>
    <w:lvl w:ilvl="0">
      <w:lvlJc w:val="left"/>
      <w:lvlText w:val="%1."/>
      <w:numFmt w:val="decimal"/>
      <w:start w:val="29"/>
    </w:lvl>
  </w:abstractNum>
  <w:abstractNum w:abstractNumId="324">
    <w:nsid w:val="37524CF0"/>
    <w:multiLevelType w:val="hybridMultilevel"/>
    <w:lvl w:ilvl="0">
      <w:lvlJc w:val="left"/>
      <w:lvlText w:val="(%1)"/>
      <w:numFmt w:val="lowerLetter"/>
      <w:start w:val="1"/>
    </w:lvl>
  </w:abstractNum>
  <w:abstractNum w:abstractNumId="325">
    <w:nsid w:val="70CC332F"/>
    <w:multiLevelType w:val="hybridMultilevel"/>
    <w:lvl w:ilvl="0">
      <w:lvlJc w:val="left"/>
      <w:lvlText w:val="(%1)"/>
      <w:numFmt w:val="lowerRoman"/>
      <w:start w:val="1"/>
    </w:lvl>
  </w:abstractNum>
  <w:abstractNum w:abstractNumId="326">
    <w:nsid w:val="5661786E"/>
    <w:multiLevelType w:val="hybridMultilevel"/>
    <w:lvl w:ilvl="0">
      <w:lvlJc w:val="left"/>
      <w:lvlText w:val="(%1)"/>
      <w:numFmt w:val="lowerLetter"/>
      <w:start w:val="1"/>
    </w:lvl>
  </w:abstractNum>
  <w:abstractNum w:abstractNumId="327">
    <w:nsid w:val="3AF6A220"/>
    <w:multiLevelType w:val="hybridMultilevel"/>
    <w:lvl w:ilvl="0">
      <w:lvlJc w:val="left"/>
      <w:lvlText w:val="%1."/>
      <w:numFmt w:val="decimal"/>
      <w:start w:val="32"/>
    </w:lvl>
  </w:abstractNum>
  <w:abstractNum w:abstractNumId="328">
    <w:nsid w:val="3C5EA902"/>
    <w:multiLevelType w:val="hybridMultilevel"/>
    <w:lvl w:ilvl="0">
      <w:lvlJc w:val="left"/>
      <w:lvlText w:val="(%1)"/>
      <w:numFmt w:val="lowerLetter"/>
      <w:start w:val="1"/>
    </w:lvl>
  </w:abstractNum>
  <w:abstractNum w:abstractNumId="329">
    <w:nsid w:val="256E6749"/>
    <w:multiLevelType w:val="hybridMultilevel"/>
    <w:lvl w:ilvl="0">
      <w:lvlJc w:val="left"/>
      <w:lvlText w:val="(%1)"/>
      <w:numFmt w:val="lowerLetter"/>
      <w:start w:val="1"/>
    </w:lvl>
  </w:abstractNum>
  <w:abstractNum w:abstractNumId="330">
    <w:nsid w:val="1CB9A581"/>
    <w:multiLevelType w:val="hybridMultilevel"/>
    <w:lvl w:ilvl="0">
      <w:lvlJc w:val="left"/>
      <w:lvlText w:val="%1."/>
      <w:numFmt w:val="decimal"/>
      <w:start w:val="33"/>
    </w:lvl>
  </w:abstractNum>
  <w:abstractNum w:abstractNumId="331">
    <w:nsid w:val="1F7F42E2"/>
    <w:multiLevelType w:val="hybridMultilevel"/>
    <w:lvl w:ilvl="0">
      <w:lvlJc w:val="left"/>
      <w:lvlText w:val="(%1)"/>
      <w:numFmt w:val="lowerLetter"/>
      <w:start w:val="3"/>
    </w:lvl>
  </w:abstractNum>
  <w:abstractNum w:abstractNumId="332">
    <w:nsid w:val="49D1FEA0"/>
    <w:multiLevelType w:val="hybridMultilevel"/>
    <w:lvl w:ilvl="0">
      <w:lvlJc w:val="left"/>
      <w:lvlText w:val="(%1)"/>
      <w:numFmt w:val="lowerLetter"/>
      <w:start w:val="4"/>
    </w:lvl>
  </w:abstractNum>
  <w:abstractNum w:abstractNumId="333">
    <w:nsid w:val="268CB37F"/>
    <w:multiLevelType w:val="hybridMultilevel"/>
    <w:lvl w:ilvl="0">
      <w:lvlJc w:val="left"/>
      <w:lvlText w:val="%1."/>
      <w:numFmt w:val="decimal"/>
      <w:start w:val="34"/>
    </w:lvl>
  </w:abstractNum>
  <w:abstractNum w:abstractNumId="334">
    <w:nsid w:val="102362F8"/>
    <w:multiLevelType w:val="hybridMultilevel"/>
    <w:lvl w:ilvl="0">
      <w:lvlJc w:val="left"/>
      <w:lvlText w:val="(%1)"/>
      <w:numFmt w:val="lowerLetter"/>
      <w:start w:val="3"/>
    </w:lvl>
  </w:abstractNum>
  <w:abstractNum w:abstractNumId="335">
    <w:nsid w:val="5FEDC0E3"/>
    <w:multiLevelType w:val="hybridMultilevel"/>
    <w:lvl w:ilvl="0">
      <w:lvlJc w:val="left"/>
      <w:lvlText w:val="(%1)"/>
      <w:numFmt w:val="lowerLetter"/>
      <w:start w:val="1"/>
    </w:lvl>
  </w:abstractNum>
  <w:abstractNum w:abstractNumId="336">
    <w:nsid w:val="3D75BC47"/>
    <w:multiLevelType w:val="hybridMultilevel"/>
    <w:lvl w:ilvl="0">
      <w:lvlJc w:val="left"/>
      <w:lvlText w:val="%1."/>
      <w:numFmt w:val="decimal"/>
      <w:start w:val="1"/>
    </w:lvl>
    <w:lvl w:ilvl="1">
      <w:lvlJc w:val="left"/>
      <w:lvlText w:val="(%2)"/>
      <w:numFmt w:val="lowerLetter"/>
      <w:start w:val="1"/>
    </w:lvl>
  </w:abstractNum>
  <w:abstractNum w:abstractNumId="337">
    <w:nsid w:val="3E30D969"/>
    <w:multiLevelType w:val="hybridMultilevel"/>
    <w:lvl w:ilvl="0">
      <w:lvlJc w:val="left"/>
      <w:lvlText w:val="%1"/>
      <w:numFmt w:val="decimal"/>
      <w:start w:val="1"/>
    </w:lvl>
    <w:lvl w:ilvl="1">
      <w:lvlJc w:val="left"/>
      <w:lvlText w:val="(%2)"/>
      <w:numFmt w:val="lowerLetter"/>
      <w:start w:val="2"/>
    </w:lvl>
  </w:abstractNum>
  <w:abstractNum w:abstractNumId="338">
    <w:nsid w:val="18A35FE3"/>
    <w:multiLevelType w:val="hybridMultilevel"/>
    <w:lvl w:ilvl="0">
      <w:lvlJc w:val="left"/>
      <w:lvlText w:val="%1."/>
      <w:numFmt w:val="decimal"/>
      <w:start w:val="2"/>
    </w:lvl>
    <w:lvl w:ilvl="1">
      <w:lvlJc w:val="left"/>
      <w:lvlText w:val="%2"/>
      <w:numFmt w:val="lowerLetter"/>
      <w:start w:val="1"/>
    </w:lvl>
  </w:abstractNum>
  <w:abstractNum w:abstractNumId="339">
    <w:nsid w:val="6DEF5211"/>
    <w:multiLevelType w:val="hybridMultilevel"/>
    <w:lvl w:ilvl="0">
      <w:lvlJc w:val="left"/>
      <w:lvlText w:val="(%1)"/>
      <w:numFmt w:val="lowerLetter"/>
      <w:start w:val="1"/>
    </w:lvl>
    <w:lvl w:ilvl="1">
      <w:lvlJc w:val="left"/>
      <w:lvlText w:val="(%2)"/>
      <w:numFmt w:val="lowerRoman"/>
      <w:start w:val="1"/>
    </w:lvl>
  </w:abstractNum>
  <w:abstractNum w:abstractNumId="340">
    <w:nsid w:val="1112DBB6"/>
    <w:multiLevelType w:val="hybridMultilevel"/>
    <w:lvl w:ilvl="0">
      <w:lvlJc w:val="left"/>
      <w:lvlText w:val="%1"/>
      <w:numFmt w:val="lowerLetter"/>
      <w:start w:val="1"/>
    </w:lvl>
    <w:lvl w:ilvl="1">
      <w:lvlJc w:val="left"/>
      <w:lvlText w:val="(%2)"/>
      <w:numFmt w:val="lowerLetter"/>
      <w:start w:val="61"/>
    </w:lvl>
  </w:abstractNum>
  <w:abstractNum w:abstractNumId="341">
    <w:nsid w:val="2586A498"/>
    <w:multiLevelType w:val="hybridMultilevel"/>
    <w:lvl w:ilvl="0">
      <w:lvlJc w:val="left"/>
      <w:lvlText w:val="(%1)"/>
      <w:numFmt w:val="lowerLetter"/>
      <w:start w:val="7"/>
    </w:lvl>
    <w:lvl w:ilvl="1">
      <w:lvlJc w:val="left"/>
      <w:lvlText w:val="(%2)"/>
      <w:numFmt w:val="lowerLetter"/>
      <w:start w:val="22"/>
    </w:lvl>
  </w:abstractNum>
  <w:abstractNum w:abstractNumId="342">
    <w:nsid w:val="17A03BB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43">
    <w:nsid w:val="5CA9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4">
    <w:nsid w:val="734C7D9F"/>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345">
    <w:nsid w:val="24F5D0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6">
    <w:nsid w:val="6780C122"/>
    <w:multiLevelType w:val="hybridMultilevel"/>
    <w:lvl w:ilvl="0">
      <w:lvlJc w:val="left"/>
      <w:lvlText w:val="(%1)"/>
      <w:numFmt w:val="lowerLetter"/>
      <w:start w:val="5"/>
    </w:lvl>
  </w:abstractNum>
  <w:abstractNum w:abstractNumId="347">
    <w:nsid w:val="534347A8"/>
    <w:multiLevelType w:val="hybridMultilevel"/>
    <w:lvl w:ilvl="0">
      <w:lvlJc w:val="left"/>
      <w:lvlText w:val="%1."/>
      <w:numFmt w:val="decimal"/>
      <w:start w:val="6"/>
    </w:lvl>
  </w:abstractNum>
  <w:abstractNum w:abstractNumId="348">
    <w:nsid w:val="5800E34B"/>
    <w:multiLevelType w:val="hybridMultilevel"/>
    <w:lvl w:ilvl="0">
      <w:lvlJc w:val="left"/>
      <w:lvlText w:val="(%1)"/>
      <w:numFmt w:val="lowerLetter"/>
      <w:start w:val="1"/>
    </w:lvl>
  </w:abstractNum>
  <w:abstractNum w:abstractNumId="349">
    <w:nsid w:val="1673EFC8"/>
    <w:multiLevelType w:val="hybridMultilevel"/>
    <w:lvl w:ilvl="0">
      <w:lvlJc w:val="left"/>
      <w:lvlText w:val="(%1)"/>
      <w:numFmt w:val="lowerLetter"/>
      <w:start w:val="1"/>
    </w:lvl>
  </w:abstractNum>
  <w:abstractNum w:abstractNumId="350">
    <w:nsid w:val="5B9B1FD"/>
    <w:multiLevelType w:val="hybridMultilevel"/>
    <w:lvl w:ilvl="0">
      <w:lvlJc w:val="left"/>
      <w:lvlText w:val="(%1)"/>
      <w:numFmt w:val="lowerRoman"/>
      <w:start w:val="1"/>
    </w:lvl>
  </w:abstractNum>
  <w:abstractNum w:abstractNumId="351">
    <w:nsid w:val="7AD7FCA2"/>
    <w:multiLevelType w:val="hybridMultilevel"/>
    <w:lvl w:ilvl="0">
      <w:lvlJc w:val="left"/>
      <w:lvlText w:val="(%1)"/>
      <w:numFmt w:val="lowerRoman"/>
      <w:start w:val="1"/>
    </w:lvl>
  </w:abstractNum>
  <w:abstractNum w:abstractNumId="352">
    <w:nsid w:val="63351604"/>
    <w:multiLevelType w:val="hybridMultilevel"/>
    <w:lvl w:ilvl="0">
      <w:lvlJc w:val="left"/>
      <w:lvlText w:val="%1."/>
      <w:numFmt w:val="decimal"/>
      <w:start w:val="7"/>
    </w:lvl>
  </w:abstractNum>
  <w:abstractNum w:abstractNumId="353">
    <w:nsid w:val="E759D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4">
    <w:nsid w:val="6E3DEE9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55">
    <w:nsid w:val="1A8762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56">
    <w:nsid w:val="7F41D04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57">
    <w:nsid w:val="449F66F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58">
    <w:nsid w:val="557E0515"/>
    <w:multiLevelType w:val="hybridMultilevel"/>
    <w:lvl w:ilvl="0">
      <w:lvlJc w:val="left"/>
      <w:lvlText w:val="%1"/>
      <w:numFmt w:val="decimal"/>
      <w:start w:val="1"/>
    </w:lvl>
    <w:lvl w:ilvl="1">
      <w:lvlJc w:val="left"/>
      <w:lvlText w:val="(%2)"/>
      <w:numFmt w:val="lowerLetter"/>
      <w:start w:val="1"/>
    </w:lvl>
  </w:abstractNum>
  <w:abstractNum w:abstractNumId="359">
    <w:nsid w:val="3BA0794B"/>
    <w:multiLevelType w:val="hybridMultilevel"/>
    <w:lvl w:ilvl="0">
      <w:lvlJc w:val="left"/>
      <w:lvlText w:val="%1."/>
      <w:numFmt w:val="decimal"/>
      <w:start w:val="16"/>
    </w:lvl>
    <w:lvl w:ilvl="1">
      <w:lvlJc w:val="left"/>
      <w:lvlText w:val="(%2)"/>
      <w:numFmt w:val="lowerLetter"/>
      <w:start w:val="1"/>
    </w:lvl>
  </w:abstractNum>
  <w:abstractNum w:abstractNumId="360">
    <w:nsid w:val="6A0DCE48"/>
    <w:multiLevelType w:val="hybridMultilevel"/>
    <w:lvl w:ilvl="0">
      <w:lvlJc w:val="left"/>
      <w:lvlText w:val="%1."/>
      <w:numFmt w:val="decimal"/>
      <w:start w:val="18"/>
    </w:lvl>
  </w:abstractNum>
  <w:abstractNum w:abstractNumId="361">
    <w:nsid w:val="7237AA96"/>
    <w:multiLevelType w:val="hybridMultilevel"/>
    <w:lvl w:ilvl="0">
      <w:lvlJc w:val="left"/>
      <w:lvlText w:val="%1."/>
      <w:numFmt w:val="decimal"/>
      <w:start w:val="25"/>
    </w:lvl>
  </w:abstractNum>
  <w:abstractNum w:abstractNumId="362">
    <w:nsid w:val="5B1FBC2D"/>
    <w:multiLevelType w:val="hybridMultilevel"/>
    <w:lvl w:ilvl="0">
      <w:lvlJc w:val="left"/>
      <w:lvlText w:val="%1."/>
      <w:numFmt w:val="decimal"/>
      <w:start w:val="1"/>
    </w:lvl>
  </w:abstractNum>
  <w:abstractNum w:abstractNumId="363">
    <w:nsid w:val="33DFCCE8"/>
    <w:multiLevelType w:val="hybridMultilevel"/>
    <w:lvl w:ilvl="0">
      <w:lvlJc w:val="left"/>
      <w:lvlText w:val="(%1)"/>
      <w:numFmt w:val="lowerLetter"/>
      <w:start w:val="1"/>
    </w:lvl>
    <w:lvl w:ilvl="1">
      <w:lvlJc w:val="left"/>
      <w:lvlText w:val="(%2)"/>
      <w:numFmt w:val="lowerRoman"/>
      <w:start w:val="1"/>
    </w:lvl>
  </w:abstractNum>
  <w:abstractNum w:abstractNumId="364">
    <w:nsid w:val="18C45E15"/>
    <w:multiLevelType w:val="hybridMultilevel"/>
    <w:lvl w:ilvl="0">
      <w:lvlJc w:val="left"/>
      <w:lvlText w:val="(%1)"/>
      <w:numFmt w:val="lowerRoman"/>
      <w:start w:val="4"/>
    </w:lvl>
  </w:abstractNum>
  <w:abstractNum w:abstractNumId="365">
    <w:nsid w:val="6B431F25"/>
    <w:multiLevelType w:val="hybridMultilevel"/>
    <w:lvl w:ilvl="0">
      <w:lvlJc w:val="left"/>
      <w:lvlText w:val="(%1)"/>
      <w:numFmt w:val="lowerLetter"/>
      <w:start w:val="2"/>
    </w:lvl>
  </w:abstractNum>
  <w:abstractNum w:abstractNumId="366">
    <w:nsid w:val="13CD8DCB"/>
    <w:multiLevelType w:val="hybridMultilevel"/>
    <w:lvl w:ilvl="0">
      <w:lvlJc w:val="left"/>
      <w:lvlText w:val="(%1)"/>
      <w:numFmt w:val="lowerLetter"/>
      <w:start w:val="1"/>
    </w:lvl>
  </w:abstractNum>
  <w:abstractNum w:abstractNumId="367">
    <w:nsid w:val="563A1A5C"/>
    <w:multiLevelType w:val="hybridMultilevel"/>
    <w:lvl w:ilvl="0">
      <w:lvlJc w:val="left"/>
      <w:lvlText w:val="(%1)"/>
      <w:numFmt w:val="lowerRoman"/>
      <w:start w:val="1"/>
    </w:lvl>
  </w:abstractNum>
  <w:abstractNum w:abstractNumId="368">
    <w:nsid w:val="2973F88F"/>
    <w:multiLevelType w:val="hybridMultilevel"/>
    <w:lvl w:ilvl="0">
      <w:lvlJc w:val="left"/>
      <w:lvlText w:val="%1."/>
      <w:numFmt w:val="decimal"/>
      <w:start w:val="2"/>
    </w:lvl>
  </w:abstractNum>
  <w:abstractNum w:abstractNumId="369">
    <w:nsid w:val="2C70EDAE"/>
    <w:multiLevelType w:val="hybridMultilevel"/>
    <w:lvl w:ilvl="0">
      <w:lvlJc w:val="left"/>
      <w:lvlText w:val="(%1)"/>
      <w:numFmt w:val="lowerLetter"/>
      <w:start w:val="1"/>
    </w:lvl>
  </w:abstractNum>
  <w:abstractNum w:abstractNumId="370">
    <w:nsid w:val="44296C6D"/>
    <w:multiLevelType w:val="hybridMultilevel"/>
    <w:lvl w:ilvl="0">
      <w:lvlJc w:val="left"/>
      <w:lvlText w:val="%1."/>
      <w:numFmt w:val="decimal"/>
      <w:start w:val="3"/>
    </w:lvl>
  </w:abstractNum>
  <w:abstractNum w:abstractNumId="371">
    <w:nsid w:val="3A86D445"/>
    <w:multiLevelType w:val="hybridMultilevel"/>
    <w:lvl w:ilvl="0">
      <w:lvlJc w:val="left"/>
      <w:lvlText w:val="(%1)"/>
      <w:numFmt w:val="lowerRoman"/>
      <w:start w:val="1"/>
    </w:lvl>
  </w:abstractNum>
  <w:abstractNum w:abstractNumId="372">
    <w:nsid w:val="51F79246"/>
    <w:multiLevelType w:val="hybridMultilevel"/>
    <w:lvl w:ilvl="0">
      <w:lvlJc w:val="left"/>
      <w:lvlText w:val="(%1)"/>
      <w:numFmt w:val="lowerLetter"/>
      <w:start w:val="1"/>
    </w:lvl>
  </w:abstractNum>
  <w:abstractNum w:abstractNumId="373">
    <w:nsid w:val="5BC9A827"/>
    <w:multiLevelType w:val="hybridMultilevel"/>
    <w:lvl w:ilvl="0">
      <w:lvlJc w:val="left"/>
      <w:lvlText w:val="(%1)"/>
      <w:numFmt w:val="lowerLetter"/>
      <w:start w:val="1"/>
    </w:lvl>
  </w:abstractNum>
  <w:abstractNum w:abstractNumId="374">
    <w:nsid w:val="3AE37D86"/>
    <w:multiLevelType w:val="hybridMultilevel"/>
    <w:lvl w:ilvl="0">
      <w:lvlJc w:val="left"/>
      <w:lvlText w:val="%1."/>
      <w:numFmt w:val="decimal"/>
      <w:start w:val="1"/>
    </w:lvl>
    <w:lvl w:ilvl="1">
      <w:lvlJc w:val="left"/>
      <w:lvlText w:val="(%2)"/>
      <w:numFmt w:val="lowerLetter"/>
      <w:start w:val="2"/>
    </w:lvl>
  </w:abstractNum>
  <w:abstractNum w:abstractNumId="375">
    <w:nsid w:val="45440FE5"/>
    <w:multiLevelType w:val="hybridMultilevel"/>
    <w:lvl w:ilvl="0">
      <w:lvlJc w:val="left"/>
      <w:lvlText w:val="%1."/>
      <w:numFmt w:val="decimal"/>
      <w:start w:val="2"/>
    </w:lvl>
    <w:lvl w:ilvl="1">
      <w:lvlJc w:val="left"/>
      <w:lvlText w:val="(%2)"/>
      <w:numFmt w:val="lowerLetter"/>
      <w:start w:val="1"/>
    </w:lvl>
  </w:abstractNum>
  <w:abstractNum w:abstractNumId="376">
    <w:nsid w:val="BF783F"/>
    <w:multiLevelType w:val="hybridMultilevel"/>
    <w:lvl w:ilvl="0">
      <w:lvlJc w:val="left"/>
      <w:lvlText w:val="%1."/>
      <w:numFmt w:val="decimal"/>
      <w:start w:val="7"/>
    </w:lvl>
    <w:lvl w:ilvl="1">
      <w:lvlJc w:val="left"/>
      <w:lvlText w:val="(%2)"/>
      <w:numFmt w:val="lowerLetter"/>
      <w:start w:val="1"/>
    </w:lvl>
  </w:abstractNum>
  <w:abstractNum w:abstractNumId="377">
    <w:nsid w:val="22643EA9"/>
    <w:multiLevelType w:val="hybridMultilevel"/>
    <w:lvl w:ilvl="0">
      <w:lvlJc w:val="left"/>
      <w:lvlText w:val="(%1)"/>
      <w:numFmt w:val="lowerLetter"/>
      <w:start w:val="1"/>
    </w:lvl>
  </w:abstractNum>
  <w:abstractNum w:abstractNumId="378">
    <w:nsid w:val="1887578D"/>
    <w:multiLevelType w:val="hybridMultilevel"/>
    <w:lvl w:ilvl="0">
      <w:lvlJc w:val="left"/>
      <w:lvlText w:val="(%1)"/>
      <w:numFmt w:val="lowerRoman"/>
      <w:start w:val="1"/>
    </w:lvl>
    <w:lvl w:ilvl="1">
      <w:lvlJc w:val="left"/>
      <w:lvlText w:val="(%2)"/>
      <w:numFmt w:val="upperLetter"/>
      <w:start w:val="1"/>
    </w:lvl>
  </w:abstractNum>
  <w:abstractNum w:abstractNumId="379">
    <w:nsid w:val="58C05B8A"/>
    <w:multiLevelType w:val="hybridMultilevel"/>
    <w:lvl w:ilvl="0">
      <w:lvlJc w:val="left"/>
      <w:lvlText w:val="%1"/>
      <w:numFmt w:val="decimal"/>
      <w:start w:val="1"/>
    </w:lvl>
    <w:lvl w:ilvl="1">
      <w:lvlJc w:val="left"/>
      <w:lvlText w:val="(%2)"/>
      <w:numFmt w:val="lowerRoman"/>
      <w:start w:val="2"/>
    </w:lvl>
  </w:abstractNum>
  <w:abstractNum w:abstractNumId="380">
    <w:nsid w:val="38D82E71"/>
    <w:multiLevelType w:val="hybridMultilevel"/>
    <w:lvl w:ilvl="0">
      <w:lvlJc w:val="left"/>
      <w:lvlText w:val="%1."/>
      <w:numFmt w:val="decimal"/>
      <w:start w:val="11"/>
    </w:lvl>
    <w:lvl w:ilvl="1">
      <w:lvlJc w:val="left"/>
      <w:lvlText w:val="%2"/>
      <w:numFmt w:val="lowerRoman"/>
      <w:start w:val="1"/>
    </w:lvl>
  </w:abstractNum>
  <w:abstractNum w:abstractNumId="381">
    <w:nsid w:val="1E41098A"/>
    <w:multiLevelType w:val="hybridMultilevel"/>
    <w:lvl w:ilvl="0">
      <w:lvlJc w:val="left"/>
      <w:lvlText w:val="%1."/>
      <w:numFmt w:val="decimal"/>
      <w:start w:val="2"/>
    </w:lvl>
    <w:lvl w:ilvl="1">
      <w:lvlJc w:val="left"/>
      <w:lvlText w:val="(%2)"/>
      <w:numFmt w:val="lowerLetter"/>
      <w:start w:val="1"/>
    </w:lvl>
  </w:abstractNum>
  <w:abstractNum w:abstractNumId="382">
    <w:nsid w:val="5398582C"/>
    <w:multiLevelType w:val="hybridMultilevel"/>
    <w:lvl w:ilvl="0">
      <w:lvlJc w:val="left"/>
      <w:lvlText w:val="%1."/>
      <w:numFmt w:val="decimal"/>
      <w:start w:val="5"/>
    </w:lvl>
    <w:lvl w:ilvl="1">
      <w:lvlJc w:val="left"/>
      <w:lvlText w:val="(%2)"/>
      <w:numFmt w:val="lowerLetter"/>
      <w:start w:val="1"/>
    </w:lvl>
  </w:abstractNum>
  <w:abstractNum w:abstractNumId="383">
    <w:nsid w:val="1C0D4475"/>
    <w:multiLevelType w:val="hybridMultilevel"/>
    <w:lvl w:ilvl="0">
      <w:lvlJc w:val="left"/>
      <w:lvlText w:val="%1."/>
      <w:numFmt w:val="decimal"/>
      <w:start w:val="6"/>
    </w:lvl>
    <w:lvl w:ilvl="1">
      <w:lvlJc w:val="left"/>
      <w:lvlText w:val="(%2)"/>
      <w:numFmt w:val="lowerLetter"/>
      <w:start w:val="1"/>
    </w:lvl>
  </w:abstractNum>
  <w:abstractNum w:abstractNumId="384">
    <w:nsid w:val="2CB6A6A4"/>
    <w:multiLevelType w:val="hybridMultilevel"/>
    <w:lvl w:ilvl="0">
      <w:lvlJc w:val="left"/>
      <w:lvlText w:val="(%1)"/>
      <w:numFmt w:val="lowerLetter"/>
      <w:start w:val="1"/>
    </w:lvl>
  </w:abstractNum>
  <w:abstractNum w:abstractNumId="385">
    <w:nsid w:val="41D646BC"/>
    <w:multiLevelType w:val="hybridMultilevel"/>
    <w:lvl w:ilvl="0">
      <w:lvlJc w:val="left"/>
      <w:lvlText w:val="%1."/>
      <w:numFmt w:val="decimal"/>
      <w:start w:val="7"/>
    </w:lvl>
  </w:abstractNum>
  <w:abstractNum w:abstractNumId="386">
    <w:nsid w:val="3694A76A"/>
    <w:multiLevelType w:val="hybridMultilevel"/>
    <w:lvl w:ilvl="0">
      <w:lvlJc w:val="left"/>
      <w:lvlText w:val="(%1)"/>
      <w:numFmt w:val="lowerLetter"/>
      <w:start w:val="1"/>
    </w:lvl>
    <w:lvl w:ilvl="1">
      <w:lvlJc w:val="left"/>
      <w:lvlText w:val="(%2)"/>
      <w:numFmt w:val="lowerRoman"/>
      <w:start w:val="1"/>
    </w:lvl>
  </w:abstractNum>
  <w:abstractNum w:abstractNumId="387">
    <w:nsid w:val="2BF876EE"/>
    <w:multiLevelType w:val="hybridMultilevel"/>
    <w:lvl w:ilvl="0">
      <w:lvlJc w:val="left"/>
      <w:lvlText w:val="(%1)"/>
      <w:numFmt w:val="lowerRoman"/>
      <w:start w:val="2"/>
    </w:lvl>
  </w:abstractNum>
  <w:abstractNum w:abstractNumId="388">
    <w:nsid w:val="675ADBA"/>
    <w:multiLevelType w:val="hybridMultilevel"/>
    <w:lvl w:ilvl="0">
      <w:lvlJc w:val="left"/>
      <w:lvlText w:val="(%1)"/>
      <w:numFmt w:val="lowerLetter"/>
      <w:start w:val="6"/>
    </w:lvl>
    <w:lvl w:ilvl="1">
      <w:lvlJc w:val="left"/>
      <w:lvlText w:val="(%2)"/>
      <w:numFmt w:val="lowerRoman"/>
      <w:start w:val="1"/>
    </w:lvl>
  </w:abstractNum>
  <w:abstractNum w:abstractNumId="389">
    <w:nsid w:val="C12AC7F"/>
    <w:multiLevelType w:val="hybridMultilevel"/>
    <w:lvl w:ilvl="0">
      <w:lvlJc w:val="left"/>
      <w:lvlText w:val="%1"/>
      <w:numFmt w:val="lowerLetter"/>
      <w:start w:val="1"/>
    </w:lvl>
    <w:lvl w:ilvl="1">
      <w:lvlJc w:val="left"/>
      <w:lvlText w:val="(%2)"/>
      <w:numFmt w:val="lowerRoman"/>
      <w:start w:val="5"/>
    </w:lvl>
  </w:abstractNum>
  <w:abstractNum w:abstractNumId="390">
    <w:nsid w:val="6798F039"/>
    <w:multiLevelType w:val="hybridMultilevel"/>
    <w:lvl w:ilvl="0">
      <w:lvlJc w:val="left"/>
      <w:lvlText w:val="(%1)"/>
      <w:numFmt w:val="lowerLetter"/>
      <w:start w:val="7"/>
    </w:lvl>
    <w:lvl w:ilvl="1">
      <w:lvlJc w:val="left"/>
      <w:lvlText w:val="%2"/>
      <w:numFmt w:val="lowerRoman"/>
      <w:start w:val="1"/>
    </w:lvl>
  </w:abstractNum>
  <w:abstractNum w:abstractNumId="391">
    <w:nsid w:val="70837C02"/>
    <w:multiLevelType w:val="hybridMultilevel"/>
    <w:lvl w:ilvl="0">
      <w:lvlJc w:val="left"/>
      <w:lvlText w:val="(%1)"/>
      <w:numFmt w:val="lowerLetter"/>
      <w:start w:val="10"/>
    </w:lvl>
    <w:lvl w:ilvl="1">
      <w:lvlJc w:val="left"/>
      <w:lvlText w:val="(%2)"/>
      <w:numFmt w:val="lowerRoman"/>
      <w:start w:val="1"/>
    </w:lvl>
  </w:abstractNum>
  <w:abstractNum w:abstractNumId="392">
    <w:nsid w:val="7E4A571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93">
    <w:nsid w:val="42B8AC67"/>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394">
    <w:nsid w:val="246348EA"/>
    <w:multiLevelType w:val="hybridMultilevel"/>
    <w:lvl w:ilvl="0">
      <w:lvlJc w:val="left"/>
      <w:lvlText w:val="(%1)"/>
      <w:numFmt w:val="lowerRoman"/>
      <w:start w:val="1"/>
    </w:lvl>
  </w:abstractNum>
  <w:abstractNum w:abstractNumId="395">
    <w:nsid w:val="170EB52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96">
    <w:nsid w:val="2DFBCB8C"/>
    <w:multiLevelType w:val="hybridMultilevel"/>
    <w:lvl w:ilvl="0">
      <w:lvlJc w:val="left"/>
      <w:lvlText w:val="(%1)"/>
      <w:numFmt w:val="lowerLetter"/>
      <w:start w:val="12"/>
    </w:lvl>
    <w:lvl w:ilvl="1">
      <w:lvlJc w:val="left"/>
      <w:lvlText w:val="%2"/>
      <w:numFmt w:val="upperLetter"/>
      <w:start w:val="1"/>
    </w:lvl>
    <w:lvl w:ilvl="2">
      <w:lvlJc w:val="left"/>
      <w:lvlText w:val="%3"/>
      <w:numFmt w:val="lowerRoman"/>
      <w:start w:val="1"/>
    </w:lvl>
  </w:abstractNum>
  <w:abstractNum w:abstractNumId="397">
    <w:nsid w:val="3830D6B6"/>
    <w:multiLevelType w:val="hybridMultilevel"/>
    <w:lvl w:ilvl="0">
      <w:lvlJc w:val="left"/>
      <w:lvlText w:val="(%1)"/>
      <w:numFmt w:val="lowerRoman"/>
      <w:start w:val="1"/>
    </w:lvl>
  </w:abstractNum>
  <w:abstractNum w:abstractNumId="398">
    <w:nsid w:val="6D48CF87"/>
    <w:multiLevelType w:val="hybridMultilevel"/>
    <w:lvl w:ilvl="0">
      <w:lvlJc w:val="left"/>
      <w:lvlText w:val="%1"/>
      <w:numFmt w:val="lowerLetter"/>
      <w:start w:val="1"/>
    </w:lvl>
    <w:lvl w:ilvl="1">
      <w:lvlJc w:val="left"/>
      <w:lvlText w:val="(%2)"/>
      <w:numFmt w:val="upperLetter"/>
      <w:start w:val="1"/>
    </w:lvl>
  </w:abstractNum>
  <w:abstractNum w:abstractNumId="399">
    <w:nsid w:val="576FC41B"/>
    <w:multiLevelType w:val="hybridMultilevel"/>
    <w:lvl w:ilvl="0">
      <w:lvlJc w:val="left"/>
      <w:lvlText w:val="(%1)"/>
      <w:numFmt w:val="lowerLetter"/>
      <w:start w:val="13"/>
    </w:lvl>
    <w:lvl w:ilvl="1">
      <w:lvlJc w:val="left"/>
      <w:lvlText w:val="%2"/>
      <w:numFmt w:val="upperLetter"/>
      <w:start w:val="1"/>
    </w:lvl>
  </w:abstractNum>
  <w:abstractNum w:abstractNumId="400">
    <w:nsid w:val="64A1C464"/>
    <w:multiLevelType w:val="hybridMultilevel"/>
    <w:lvl w:ilvl="0">
      <w:lvlJc w:val="left"/>
      <w:lvlText w:val="(%1)"/>
      <w:numFmt w:val="lowerLetter"/>
      <w:start w:val="24"/>
    </w:lvl>
  </w:abstractNum>
  <w:abstractNum w:abstractNumId="401">
    <w:nsid w:val="31723BF5"/>
    <w:multiLevelType w:val="hybridMultilevel"/>
    <w:lvl w:ilvl="0">
      <w:lvlJc w:val="left"/>
      <w:lvlText w:val="(%1)"/>
      <w:numFmt w:val="lowerLetter"/>
      <w:start w:val="27"/>
    </w:lvl>
  </w:abstractNum>
  <w:abstractNum w:abstractNumId="402">
    <w:nsid w:val="11F69861"/>
    <w:multiLevelType w:val="hybridMultilevel"/>
    <w:lvl w:ilvl="0">
      <w:lvlJc w:val="left"/>
      <w:lvlText w:val="%1."/>
      <w:numFmt w:val="decimal"/>
      <w:start w:val="1"/>
    </w:lvl>
  </w:abstractNum>
  <w:abstractNum w:abstractNumId="403">
    <w:nsid w:val="369956AB"/>
    <w:multiLevelType w:val="hybridMultilevel"/>
    <w:lvl w:ilvl="0">
      <w:lvlJc w:val="left"/>
      <w:lvlText w:val="%1."/>
      <w:numFmt w:val="decimal"/>
      <w:start w:val="6"/>
    </w:lvl>
    <w:lvl w:ilvl="1">
      <w:lvlJc w:val="left"/>
      <w:lvlText w:val="(%2)"/>
      <w:numFmt w:val="lowerLetter"/>
      <w:start w:val="5"/>
    </w:lvl>
  </w:abstractNum>
  <w:abstractNum w:abstractNumId="404">
    <w:nsid w:val="D3BE41C"/>
    <w:multiLevelType w:val="hybridMultilevel"/>
    <w:lvl w:ilvl="0">
      <w:lvlJc w:val="left"/>
      <w:lvlText w:val="%1."/>
      <w:numFmt w:val="decimal"/>
      <w:start w:val="1"/>
    </w:lvl>
  </w:abstractNum>
  <w:abstractNum w:abstractNumId="405">
    <w:nsid w:val="4CDA15E7"/>
    <w:multiLevelType w:val="hybridMultilevel"/>
    <w:lvl w:ilvl="0">
      <w:lvlJc w:val="left"/>
      <w:lvlText w:val="%1."/>
      <w:numFmt w:val="decimal"/>
      <w:start w:val="5"/>
    </w:lvl>
  </w:abstractNum>
  <w:abstractNum w:abstractNumId="406">
    <w:nsid w:val="7BDD6690"/>
    <w:multiLevelType w:val="hybridMultilevel"/>
    <w:lvl w:ilvl="0">
      <w:lvlJc w:val="left"/>
      <w:lvlText w:val="["/>
      <w:numFmt w:val="bullet"/>
      <w:start w:val="1"/>
    </w:lvl>
  </w:abstractNum>
  <w:abstractNum w:abstractNumId="407">
    <w:nsid w:val="DFB5C5B"/>
    <w:multiLevelType w:val="hybridMultilevel"/>
    <w:lvl w:ilvl="0">
      <w:lvlJc w:val="left"/>
      <w:lvlText w:val="*"/>
      <w:numFmt w:val="bullet"/>
      <w:start w:val="1"/>
    </w:lvl>
  </w:abstractNum>
  <w:abstractNum w:abstractNumId="408">
    <w:nsid w:val="6F3E5490"/>
    <w:multiLevelType w:val="hybridMultilevel"/>
    <w:lvl w:ilvl="0">
      <w:lvlJc w:val="left"/>
      <w:lvlText w:val="%1."/>
      <w:numFmt w:val="decimal"/>
      <w:start w:val="1"/>
    </w:lvl>
    <w:lvl w:ilvl="1">
      <w:lvlJc w:val="left"/>
      <w:lvlText w:val="(%2)"/>
      <w:numFmt w:val="lowerLetter"/>
      <w:start w:val="6"/>
    </w:lvl>
  </w:abstractNum>
  <w:abstractNum w:abstractNumId="409">
    <w:nsid w:val="1464BE1E"/>
    <w:multiLevelType w:val="hybridMultilevel"/>
    <w:lvl w:ilvl="0">
      <w:lvlJc w:val="left"/>
      <w:lvlText w:val="%1."/>
      <w:numFmt w:val="decimal"/>
      <w:start w:val="5"/>
    </w:lvl>
    <w:lvl w:ilvl="1">
      <w:lvlJc w:val="left"/>
      <w:lvlText w:val="(%2)"/>
      <w:numFmt w:val="lowerLetter"/>
      <w:start w:val="1"/>
    </w:lvl>
  </w:abstractNum>
  <w:abstractNum w:abstractNumId="410">
    <w:nsid w:val="66BBB7E5"/>
    <w:multiLevelType w:val="hybridMultilevel"/>
    <w:lvl w:ilvl="0">
      <w:lvlJc w:val="left"/>
      <w:lvlText w:val="%1."/>
      <w:numFmt w:val="decimal"/>
      <w:start w:val="10"/>
    </w:lvl>
    <w:lvl w:ilvl="1">
      <w:lvlJc w:val="left"/>
      <w:lvlText w:val="(%2)"/>
      <w:numFmt w:val="lowerLetter"/>
      <w:start w:val="1"/>
    </w:lvl>
  </w:abstractNum>
  <w:abstractNum w:abstractNumId="411">
    <w:nsid w:val="28168302"/>
    <w:multiLevelType w:val="hybridMultilevel"/>
    <w:lvl w:ilvl="0">
      <w:lvlJc w:val="left"/>
      <w:lvlText w:val="%1."/>
      <w:numFmt w:val="decimal"/>
      <w:start w:val="3"/>
    </w:lvl>
  </w:abstractNum>
  <w:abstractNum w:abstractNumId="412">
    <w:nsid w:val="32A5C7A8"/>
    <w:multiLevelType w:val="hybridMultilevel"/>
    <w:lvl w:ilvl="0">
      <w:lvlJc w:val="left"/>
      <w:lvlText w:val="(%1)"/>
      <w:numFmt w:val="decimal"/>
      <w:start w:val="1"/>
    </w:lvl>
  </w:abstractNum>
  <w:abstractNum w:abstractNumId="413">
    <w:nsid w:val="3A541011"/>
    <w:multiLevelType w:val="hybridMultilevel"/>
    <w:lvl w:ilvl="0">
      <w:lvlJc w:val="left"/>
      <w:lvlText w:val="(%1)"/>
      <w:numFmt w:val="upperLetter"/>
      <w:start w:val="1"/>
    </w:lvl>
  </w:abstractNum>
  <w:abstractNum w:abstractNumId="414">
    <w:nsid w:val="4423C777"/>
    <w:multiLevelType w:val="hybridMultilevel"/>
    <w:lvl w:ilvl="0">
      <w:lvlJc w:val="left"/>
      <w:lvlText w:val="%1."/>
      <w:numFmt w:val="decimal"/>
      <w:start w:val="1"/>
    </w:lvl>
  </w:abstractNum>
  <w:abstractNum w:abstractNumId="415">
    <w:nsid w:val="5F5C6E4D"/>
    <w:multiLevelType w:val="hybridMultilevel"/>
    <w:lvl w:ilvl="0">
      <w:lvlJc w:val="left"/>
      <w:lvlText w:val="%1."/>
      <w:numFmt w:val="decimal"/>
      <w:start w:val="1"/>
    </w:lvl>
  </w:abstractNum>
  <w:abstractNum w:abstractNumId="416">
    <w:nsid w:val="7C2A56CD"/>
    <w:multiLevelType w:val="hybridMultilevel"/>
    <w:lvl w:ilvl="0">
      <w:lvlJc w:val="left"/>
      <w:lvlText w:val="%1."/>
      <w:numFmt w:val="decimal"/>
      <w:start w:val="5"/>
    </w:lvl>
  </w:abstractNum>
  <w:abstractNum w:abstractNumId="417">
    <w:nsid w:val="7AB86EE1"/>
    <w:multiLevelType w:val="hybridMultilevel"/>
    <w:lvl w:ilvl="0">
      <w:lvlJc w:val="left"/>
      <w:lvlText w:val="%1."/>
      <w:numFmt w:val="decimal"/>
      <w:start w:val="11"/>
    </w:lvl>
  </w:abstractNum>
  <w:abstractNum w:abstractNumId="418">
    <w:nsid w:val="B54E53B"/>
    <w:multiLevelType w:val="hybridMultilevel"/>
    <w:lvl w:ilvl="0">
      <w:lvlJc w:val="left"/>
      <w:lvlText w:val="(%1)"/>
      <w:numFmt w:val="lowerLetter"/>
      <w:start w:val="1"/>
    </w:lvl>
  </w:abstractNum>
  <w:abstractNum w:abstractNumId="419">
    <w:nsid w:val="2A00487"/>
    <w:multiLevelType w:val="hybridMultilevel"/>
    <w:lvl w:ilvl="0">
      <w:lvlJc w:val="left"/>
      <w:lvlText w:val="(%1)"/>
      <w:numFmt w:val="lowerLetter"/>
      <w:start w:val="1"/>
    </w:lvl>
  </w:abstractNum>
  <w:abstractNum w:abstractNumId="420">
    <w:nsid w:val="6CB1B60"/>
    <w:multiLevelType w:val="hybridMultilevel"/>
    <w:lvl w:ilvl="0">
      <w:lvlJc w:val="left"/>
      <w:lvlText w:val="(%1)"/>
      <w:numFmt w:val="lowerLetter"/>
      <w:start w:val="1"/>
    </w:lvl>
  </w:abstractNum>
  <w:abstractNum w:abstractNumId="421">
    <w:nsid w:val="72EDD574"/>
    <w:multiLevelType w:val="hybridMultilevel"/>
    <w:lvl w:ilvl="0">
      <w:lvlJc w:val="left"/>
      <w:lvlText w:val="(%1)"/>
      <w:numFmt w:val="lowerLetter"/>
      <w:start w:val="2"/>
    </w:lvl>
  </w:abstractNum>
  <w:abstractNum w:abstractNumId="422">
    <w:nsid w:val="7323808A"/>
    <w:multiLevelType w:val="hybridMultilevel"/>
    <w:lvl w:ilvl="0">
      <w:lvlJc w:val="left"/>
      <w:lvlText w:val="(%1)"/>
      <w:numFmt w:val="lowerLetter"/>
      <w:start w:val="1"/>
    </w:lvl>
  </w:abstractNum>
  <w:abstractNum w:abstractNumId="423">
    <w:nsid w:val="5157276"/>
    <w:multiLevelType w:val="hybridMultilevel"/>
    <w:lvl w:ilvl="0">
      <w:lvlJc w:val="left"/>
      <w:lvlText w:val="(%1)"/>
      <w:numFmt w:val="lowerLetter"/>
      <w:start w:val="6"/>
    </w:lvl>
  </w:abstractNum>
  <w:abstractNum w:abstractNumId="424">
    <w:nsid w:val="35A681DB"/>
    <w:multiLevelType w:val="hybridMultilevel"/>
    <w:lvl w:ilvl="0">
      <w:lvlJc w:val="left"/>
      <w:lvlText w:val="(%1)"/>
      <w:numFmt w:val="decimal"/>
      <w:start w:val="1"/>
    </w:lvl>
  </w:abstractNum>
  <w:abstractNum w:abstractNumId="425">
    <w:nsid w:val="1786C974"/>
    <w:multiLevelType w:val="hybridMultilevel"/>
    <w:lvl w:ilvl="0">
      <w:lvlJc w:val="left"/>
      <w:lvlText w:val="(%1)"/>
      <w:numFmt w:val="upperLetter"/>
      <w:start w:val="1"/>
    </w:lvl>
  </w:abstractNum>
  <w:abstractNum w:abstractNumId="426">
    <w:nsid w:val="1C2427A1"/>
    <w:multiLevelType w:val="hybridMultilevel"/>
    <w:lvl w:ilvl="0">
      <w:lvlJc w:val="left"/>
      <w:lvlText w:val="%1."/>
      <w:numFmt w:val="decimal"/>
      <w:start w:val="1"/>
    </w:lvl>
  </w:abstractNum>
  <w:abstractNum w:abstractNumId="427">
    <w:nsid w:val="63A24D68"/>
    <w:multiLevelType w:val="hybridMultilevel"/>
    <w:lvl w:ilvl="0">
      <w:lvlJc w:val="left"/>
      <w:lvlText w:val="(%1)"/>
      <w:numFmt w:val="decimal"/>
      <w:start w:val="1"/>
    </w:lvl>
  </w:abstractNum>
  <w:abstractNum w:abstractNumId="428">
    <w:nsid w:val="4FB7A02A"/>
    <w:multiLevelType w:val="hybridMultilevel"/>
    <w:lvl w:ilvl="0">
      <w:lvlJc w:val="left"/>
      <w:lvlText w:val="(%1)"/>
      <w:numFmt w:val="lowerLetter"/>
      <w:start w:val="1"/>
    </w:lvl>
  </w:abstractNum>
  <w:abstractNum w:abstractNumId="429">
    <w:nsid w:val="96CF728"/>
    <w:multiLevelType w:val="hybridMultilevel"/>
    <w:lvl w:ilvl="0">
      <w:lvlJc w:val="left"/>
      <w:lvlText w:val="(%1)"/>
      <w:numFmt w:val="lowerLetter"/>
      <w:start w:val="1"/>
    </w:lvl>
  </w:abstractNum>
  <w:abstractNum w:abstractNumId="430">
    <w:nsid w:val="3B121183"/>
    <w:multiLevelType w:val="hybridMultilevel"/>
    <w:lvl w:ilvl="0">
      <w:lvlJc w:val="left"/>
      <w:lvlText w:val="(%1)"/>
      <w:numFmt w:val="lowerLetter"/>
      <w:start w:val="1"/>
    </w:lvl>
  </w:abstractNum>
  <w:abstractNum w:abstractNumId="431">
    <w:nsid w:val="3459648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32">
    <w:nsid w:val="3ADF331D"/>
    <w:multiLevelType w:val="hybridMultilevel"/>
    <w:lvl w:ilvl="0">
      <w:lvlJc w:val="left"/>
      <w:lvlText w:val="%1"/>
      <w:numFmt w:val="lowerLetter"/>
      <w:start w:val="1"/>
    </w:lvl>
    <w:lvl w:ilvl="1">
      <w:lvlJc w:val="left"/>
      <w:lvlText w:val="(%2)"/>
      <w:numFmt w:val="upperLetter"/>
      <w:start w:val="1"/>
    </w:lvl>
  </w:abstractNum>
  <w:abstractNum w:abstractNumId="433">
    <w:nsid w:val="4D08A9E4"/>
    <w:multiLevelType w:val="hybridMultilevel"/>
    <w:lvl w:ilvl="0">
      <w:lvlJc w:val="left"/>
      <w:lvlText w:val="(%1)"/>
      <w:numFmt w:val="lowerLetter"/>
      <w:start w:val="3"/>
    </w:lvl>
    <w:lvl w:ilvl="1">
      <w:lvlJc w:val="left"/>
      <w:lvlText w:val="%2"/>
      <w:numFmt w:val="upperLetter"/>
      <w:start w:val="1"/>
    </w:lvl>
  </w:abstractNum>
  <w:abstractNum w:abstractNumId="434">
    <w:nsid w:val="6AF2BB3A"/>
    <w:multiLevelType w:val="hybridMultilevel"/>
    <w:lvl w:ilvl="0">
      <w:lvlJc w:val="left"/>
      <w:lvlText w:val="(%1)"/>
      <w:numFmt w:val="lowerLetter"/>
      <w:start w:val="6"/>
    </w:lvl>
  </w:abstractNum>
  <w:abstractNum w:abstractNumId="435">
    <w:nsid w:val="481B1739"/>
    <w:multiLevelType w:val="hybridMultilevel"/>
    <w:lvl w:ilvl="0">
      <w:lvlJc w:val="left"/>
      <w:lvlText w:val="["/>
      <w:numFmt w:val="bullet"/>
      <w:start w:val="1"/>
    </w:lvl>
  </w:abstractNum>
  <w:abstractNum w:abstractNumId="436">
    <w:nsid w:val="19E2BFCC"/>
    <w:multiLevelType w:val="hybridMultilevel"/>
    <w:lvl w:ilvl="0">
      <w:lvlJc w:val="left"/>
      <w:lvlText w:val="%1."/>
      <w:numFmt w:val="decimal"/>
      <w:start w:val="1"/>
    </w:lvl>
  </w:abstractNum>
  <w:abstractNum w:abstractNumId="437">
    <w:nsid w:val="66D021CA"/>
    <w:multiLevelType w:val="hybridMultilevel"/>
    <w:lvl w:ilvl="0">
      <w:lvlJc w:val="left"/>
      <w:lvlText w:val="%1."/>
      <w:numFmt w:val="decimal"/>
      <w:start w:val="2"/>
    </w:lvl>
  </w:abstractNum>
  <w:abstractNum w:abstractNumId="438">
    <w:nsid w:val="56167394"/>
    <w:multiLevelType w:val="hybridMultilevel"/>
    <w:lvl w:ilvl="0">
      <w:lvlJc w:val="left"/>
      <w:lvlText w:val="%1."/>
      <w:numFmt w:val="decimal"/>
      <w:start w:val="5"/>
    </w:lvl>
  </w:abstractNum>
  <w:abstractNum w:abstractNumId="439">
    <w:nsid w:val="921145C"/>
    <w:multiLevelType w:val="hybridMultilevel"/>
    <w:lvl w:ilvl="0">
      <w:lvlJc w:val="left"/>
      <w:lvlText w:val="(%1)"/>
      <w:numFmt w:val="lowerLetter"/>
      <w:start w:val="1"/>
    </w:lvl>
  </w:abstractNum>
  <w:abstractNum w:abstractNumId="440">
    <w:nsid w:val="7B34DFE8"/>
    <w:multiLevelType w:val="hybridMultilevel"/>
    <w:lvl w:ilvl="0">
      <w:lvlJc w:val="left"/>
      <w:lvlText w:val="(%1)"/>
      <w:numFmt w:val="lowerLetter"/>
      <w:start w:val="2"/>
    </w:lvl>
  </w:abstractNum>
  <w:abstractNum w:abstractNumId="441">
    <w:nsid w:val="3CD22B79"/>
    <w:multiLevelType w:val="hybridMultilevel"/>
    <w:lvl w:ilvl="0">
      <w:lvlJc w:val="left"/>
      <w:lvlText w:val="(%1)"/>
      <w:numFmt w:val="lowerLetter"/>
      <w:start w:val="1"/>
    </w:lvl>
  </w:abstractNum>
  <w:abstractNum w:abstractNumId="442">
    <w:nsid w:val="3137975E"/>
    <w:multiLevelType w:val="hybridMultilevel"/>
    <w:lvl w:ilvl="0">
      <w:lvlJc w:val="left"/>
      <w:lvlText w:val="(%1)"/>
      <w:numFmt w:val="lowerLetter"/>
      <w:start w:val="1"/>
    </w:lvl>
  </w:abstractNum>
  <w:abstractNum w:abstractNumId="443">
    <w:nsid w:val="2DDAA791"/>
    <w:multiLevelType w:val="hybridMultilevel"/>
    <w:lvl w:ilvl="0">
      <w:lvlJc w:val="left"/>
      <w:lvlText w:val="(%1)"/>
      <w:numFmt w:val="lowerLetter"/>
      <w:start w:val="2"/>
    </w:lvl>
  </w:abstractNum>
  <w:abstractNum w:abstractNumId="444">
    <w:nsid w:val="77263B8A"/>
    <w:multiLevelType w:val="hybridMultilevel"/>
    <w:lvl w:ilvl="0">
      <w:lvlJc w:val="left"/>
      <w:lvlText w:val="(%1)"/>
      <w:numFmt w:val="lowerLetter"/>
      <w:start w:val="1"/>
    </w:lvl>
  </w:abstractNum>
  <w:abstractNum w:abstractNumId="445">
    <w:nsid w:val="755B5ED6"/>
    <w:multiLevelType w:val="hybridMultilevel"/>
    <w:lvl w:ilvl="0">
      <w:lvlJc w:val="left"/>
      <w:lvlText w:val="(%1)"/>
      <w:numFmt w:val="lowerLetter"/>
      <w:start w:val="4"/>
    </w:lvl>
  </w:abstractNum>
  <w:abstractNum w:abstractNumId="446">
    <w:nsid w:val="D3715DE"/>
    <w:multiLevelType w:val="hybridMultilevel"/>
    <w:lvl w:ilvl="0">
      <w:lvlJc w:val="left"/>
      <w:lvlText w:val="(%1)"/>
      <w:numFmt w:val="lowerLetter"/>
      <w:start w:val="1"/>
    </w:lvl>
  </w:abstractNum>
  <w:abstractNum w:abstractNumId="447">
    <w:nsid w:val="73509257"/>
    <w:multiLevelType w:val="hybridMultilevel"/>
    <w:lvl w:ilvl="0">
      <w:lvlJc w:val="left"/>
      <w:lvlText w:val="(%1)"/>
      <w:numFmt w:val="lowerLetter"/>
      <w:start w:val="8"/>
    </w:lvl>
  </w:abstractNum>
  <w:abstractNum w:abstractNumId="448">
    <w:nsid w:val="7013CDB7"/>
    <w:multiLevelType w:val="hybridMultilevel"/>
    <w:lvl w:ilvl="0">
      <w:lvlJc w:val="left"/>
      <w:lvlText w:val="(%1)"/>
      <w:numFmt w:val="lowerLetter"/>
      <w:start w:val="1"/>
    </w:lvl>
  </w:abstractNum>
  <w:abstractNum w:abstractNumId="449">
    <w:nsid w:val="188BFB19"/>
    <w:multiLevelType w:val="hybridMultilevel"/>
    <w:lvl w:ilvl="0">
      <w:lvlJc w:val="left"/>
      <w:lvlText w:val="(%1)"/>
      <w:numFmt w:val="lowerLetter"/>
      <w:start w:val="1"/>
    </w:lvl>
    <w:lvl w:ilvl="1">
      <w:lvlJc w:val="left"/>
      <w:lvlText w:val="(%2)"/>
      <w:numFmt w:val="lowerRoman"/>
      <w:start w:val="1"/>
    </w:lvl>
  </w:abstractNum>
  <w:abstractNum w:abstractNumId="450">
    <w:nsid w:val="75F096D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51">
    <w:nsid w:val="76DEE91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52">
    <w:nsid w:val="B79D08D"/>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453">
    <w:nsid w:val="69141769"/>
    <w:multiLevelType w:val="hybridMultilevel"/>
    <w:lvl w:ilvl="0">
      <w:lvlJc w:val="left"/>
      <w:lvlText w:val="(%1)"/>
      <w:numFmt w:val="lowerLetter"/>
      <w:start w:val="4"/>
    </w:lvl>
    <w:lvl w:ilvl="1">
      <w:lvlJc w:val="left"/>
      <w:lvlText w:val="(%2)"/>
      <w:numFmt w:val="lowerLetter"/>
      <w:start w:val="5"/>
    </w:lvl>
  </w:abstractNum>
  <w:abstractNum w:abstractNumId="454">
    <w:nsid w:val="7BF45B8E"/>
    <w:multiLevelType w:val="hybridMultilevel"/>
    <w:lvl w:ilvl="0">
      <w:lvlJc w:val="left"/>
      <w:lvlText w:val="(%1)"/>
      <w:numFmt w:val="upperLetter"/>
      <w:start w:val="1"/>
    </w:lvl>
  </w:abstractNum>
  <w:abstractNum w:abstractNumId="455">
    <w:nsid w:val="41205269"/>
    <w:multiLevelType w:val="hybridMultilevel"/>
    <w:lvl w:ilvl="0">
      <w:lvlJc w:val="left"/>
      <w:lvlText w:val="(%1)"/>
      <w:numFmt w:val="lowerLetter"/>
      <w:start w:val="1"/>
    </w:lvl>
  </w:abstractNum>
  <w:abstractNum w:abstractNumId="456">
    <w:nsid w:val="9AE0DD"/>
    <w:multiLevelType w:val="hybridMultilevel"/>
    <w:lvl w:ilvl="0">
      <w:lvlJc w:val="left"/>
      <w:lvlText w:val="(%1)"/>
      <w:numFmt w:val="lowerLetter"/>
      <w:start w:val="4"/>
    </w:lvl>
  </w:abstractNum>
  <w:abstractNum w:abstractNumId="457">
    <w:nsid w:val="1818832F"/>
    <w:multiLevelType w:val="hybridMultilevel"/>
    <w:lvl w:ilvl="0">
      <w:lvlJc w:val="left"/>
      <w:lvlText w:val="(%1)"/>
      <w:numFmt w:val="lowerRoman"/>
      <w:start w:val="10"/>
    </w:lvl>
  </w:abstractNum>
  <w:abstractNum w:abstractNumId="458">
    <w:nsid w:val="24C29FD1"/>
    <w:multiLevelType w:val="hybridMultilevel"/>
    <w:lvl w:ilvl="0">
      <w:lvlJc w:val="left"/>
      <w:lvlText w:val="(%1)"/>
      <w:numFmt w:val="lowerRoman"/>
      <w:start w:val="1"/>
    </w:lvl>
  </w:abstractNum>
  <w:abstractNum w:abstractNumId="459">
    <w:nsid w:val="50528108"/>
    <w:multiLevelType w:val="hybridMultilevel"/>
    <w:lvl w:ilvl="0">
      <w:lvlJc w:val="left"/>
      <w:lvlText w:val="(%1)"/>
      <w:numFmt w:val="lowerLetter"/>
      <w:start w:val="1"/>
    </w:lvl>
  </w:abstractNum>
  <w:abstractNum w:abstractNumId="460">
    <w:nsid w:val="21857A57"/>
    <w:multiLevelType w:val="hybridMultilevel"/>
    <w:lvl w:ilvl="0">
      <w:lvlJc w:val="left"/>
      <w:lvlText w:val="(%1)"/>
      <w:numFmt w:val="lowerLetter"/>
      <w:start w:val="2"/>
    </w:lvl>
  </w:abstractNum>
  <w:abstractNum w:abstractNumId="461">
    <w:nsid w:val="5FD4B154"/>
    <w:multiLevelType w:val="hybridMultilevel"/>
    <w:lvl w:ilvl="0">
      <w:lvlJc w:val="left"/>
      <w:lvlText w:val="(%1)"/>
      <w:numFmt w:val="lowerLetter"/>
      <w:start w:val="2"/>
    </w:lvl>
  </w:abstractNum>
  <w:abstractNum w:abstractNumId="462">
    <w:nsid w:val="4ABE597"/>
    <w:multiLevelType w:val="hybridMultilevel"/>
    <w:lvl w:ilvl="0">
      <w:lvlJc w:val="left"/>
      <w:lvlText w:val="(%1)"/>
      <w:numFmt w:val="lowerLetter"/>
      <w:start w:val="61"/>
    </w:lvl>
  </w:abstractNum>
  <w:abstractNum w:abstractNumId="463">
    <w:nsid w:val="5C64AD75"/>
    <w:multiLevelType w:val="hybridMultilevel"/>
    <w:lvl w:ilvl="0">
      <w:lvlJc w:val="left"/>
      <w:lvlText w:val="(%1)"/>
      <w:numFmt w:val="lowerLetter"/>
      <w:start w:val="1"/>
    </w:lvl>
  </w:abstractNum>
  <w:abstractNum w:abstractNumId="464">
    <w:nsid w:val="2CDD5B39"/>
    <w:multiLevelType w:val="hybridMultilevel"/>
    <w:lvl w:ilvl="0">
      <w:lvlJc w:val="left"/>
      <w:lvlText w:val="(%1)"/>
      <w:numFmt w:val="lowerRoman"/>
      <w:start w:val="1"/>
    </w:lvl>
  </w:abstractNum>
  <w:abstractNum w:abstractNumId="465">
    <w:nsid w:val="6F9EA0D1"/>
    <w:multiLevelType w:val="hybridMultilevel"/>
    <w:lvl w:ilvl="0">
      <w:lvlJc w:val="left"/>
      <w:lvlText w:val="%1"/>
      <w:numFmt w:val="upperLetter"/>
      <w:start w:val="1"/>
    </w:lvl>
    <w:lvl w:ilvl="1">
      <w:lvlJc w:val="left"/>
      <w:lvlText w:val="(%2)"/>
      <w:numFmt w:val="lowerRoman"/>
      <w:start w:val="1"/>
    </w:lvl>
  </w:abstractNum>
  <w:abstractNum w:abstractNumId="466">
    <w:nsid w:val="247FC4AE"/>
    <w:multiLevelType w:val="hybridMultilevel"/>
    <w:lvl w:ilvl="0">
      <w:lvlJc w:val="left"/>
      <w:lvlText w:val="(%1)"/>
      <w:numFmt w:val="upperLetter"/>
      <w:start w:val="2"/>
    </w:lvl>
    <w:lvl w:ilvl="1">
      <w:lvlJc w:val="left"/>
      <w:lvlText w:val="%2"/>
      <w:numFmt w:val="lowerRoman"/>
      <w:start w:val="1"/>
    </w:lvl>
  </w:abstractNum>
  <w:abstractNum w:abstractNumId="467">
    <w:nsid w:val="46C01B05"/>
    <w:multiLevelType w:val="hybridMultilevel"/>
    <w:lvl w:ilvl="0">
      <w:lvlJc w:val="left"/>
      <w:lvlText w:val="(%1)"/>
      <w:numFmt w:val="lowerRoman"/>
      <w:start w:val="3"/>
    </w:lvl>
  </w:abstractNum>
  <w:abstractNum w:abstractNumId="468">
    <w:nsid w:val="566EC29B"/>
    <w:multiLevelType w:val="hybridMultilevel"/>
    <w:lvl w:ilvl="0">
      <w:lvlJc w:val="left"/>
      <w:lvlText w:val="(%1)"/>
      <w:numFmt w:val="lowerLetter"/>
      <w:start w:val="1"/>
    </w:lvl>
  </w:abstractNum>
  <w:abstractNum w:abstractNumId="469">
    <w:nsid w:val="7A963843"/>
    <w:multiLevelType w:val="hybridMultilevel"/>
    <w:lvl w:ilvl="0">
      <w:lvlJc w:val="left"/>
      <w:lvlText w:val="(%1)"/>
      <w:numFmt w:val="lowerLetter"/>
      <w:start w:val="2"/>
    </w:lvl>
  </w:abstractNum>
  <w:abstractNum w:abstractNumId="470">
    <w:nsid w:val="4FE12F61"/>
    <w:multiLevelType w:val="hybridMultilevel"/>
    <w:lvl w:ilvl="0">
      <w:lvlJc w:val="left"/>
      <w:lvlText w:val="(%1)"/>
      <w:numFmt w:val="lowerLetter"/>
      <w:start w:val="3"/>
    </w:lvl>
  </w:abstractNum>
  <w:abstractNum w:abstractNumId="471">
    <w:nsid w:val="51A3A284"/>
    <w:multiLevelType w:val="hybridMultilevel"/>
    <w:lvl w:ilvl="0">
      <w:lvlJc w:val="left"/>
      <w:lvlText w:val="%1"/>
      <w:numFmt w:val="lowerLetter"/>
      <w:start w:val="1"/>
    </w:lvl>
    <w:lvl w:ilvl="1">
      <w:lvlJc w:val="left"/>
      <w:lvlText w:val="(%2)"/>
      <w:numFmt w:val="lowerLetter"/>
      <w:start w:val="1"/>
    </w:lvl>
  </w:abstractNum>
  <w:abstractNum w:abstractNumId="472">
    <w:nsid w:val="376863BC"/>
    <w:multiLevelType w:val="hybridMultilevel"/>
    <w:lvl w:ilvl="0">
      <w:lvlJc w:val="left"/>
      <w:lvlText w:val="(%1)"/>
      <w:numFmt w:val="lowerLetter"/>
      <w:start w:val="9"/>
    </w:lvl>
    <w:lvl w:ilvl="1">
      <w:lvlJc w:val="left"/>
      <w:lvlText w:val="(%2)"/>
      <w:numFmt w:val="lowerLetter"/>
      <w:start w:val="2"/>
    </w:lvl>
  </w:abstractNum>
  <w:abstractNum w:abstractNumId="473">
    <w:nsid w:val="118C6C0"/>
    <w:multiLevelType w:val="hybridMultilevel"/>
    <w:lvl w:ilvl="0">
      <w:lvlJc w:val="left"/>
      <w:lvlText w:val="(%1)"/>
      <w:numFmt w:val="lowerLetter"/>
      <w:start w:val="5"/>
    </w:lvl>
  </w:abstractNum>
  <w:abstractNum w:abstractNumId="474">
    <w:nsid w:val="7F7E4A15"/>
    <w:multiLevelType w:val="hybridMultilevel"/>
    <w:lvl w:ilvl="0">
      <w:lvlJc w:val="left"/>
      <w:lvlText w:val="(%1)"/>
      <w:numFmt w:val="lowerLetter"/>
      <w:start w:val="1"/>
    </w:lvl>
  </w:abstractNum>
  <w:abstractNum w:abstractNumId="475">
    <w:nsid w:val="2E8E9F47"/>
    <w:multiLevelType w:val="hybridMultilevel"/>
    <w:lvl w:ilvl="0">
      <w:lvlJc w:val="left"/>
      <w:lvlText w:val="(%1)"/>
      <w:numFmt w:val="lowerLetter"/>
      <w:start w:val="1"/>
    </w:lvl>
  </w:abstractNum>
  <w:abstractNum w:abstractNumId="476">
    <w:nsid w:val="76742596"/>
    <w:multiLevelType w:val="hybridMultilevel"/>
    <w:lvl w:ilvl="0">
      <w:lvlJc w:val="left"/>
      <w:lvlText w:val="(%1)"/>
      <w:numFmt w:val="lowerLetter"/>
      <w:start w:val="3"/>
    </w:lvl>
  </w:abstractNum>
  <w:abstractNum w:abstractNumId="477">
    <w:nsid w:val="CB55FF3"/>
    <w:multiLevelType w:val="hybridMultilevel"/>
    <w:lvl w:ilvl="0">
      <w:lvlJc w:val="left"/>
      <w:lvlText w:val="(%1)"/>
      <w:numFmt w:val="lowerLetter"/>
      <w:start w:val="1"/>
    </w:lvl>
  </w:abstractNum>
  <w:abstractNum w:abstractNumId="478">
    <w:nsid w:val="21DF319E"/>
    <w:multiLevelType w:val="hybridMultilevel"/>
    <w:lvl w:ilvl="0">
      <w:lvlJc w:val="left"/>
      <w:lvlText w:val="(%1)"/>
      <w:numFmt w:val="lowerLetter"/>
      <w:start w:val="2"/>
    </w:lvl>
    <w:lvl w:ilvl="1">
      <w:lvlJc w:val="left"/>
      <w:lvlText w:val="(%2)"/>
      <w:numFmt w:val="lowerRoman"/>
      <w:start w:val="1"/>
    </w:lvl>
  </w:abstractNum>
  <w:abstractNum w:abstractNumId="479">
    <w:nsid w:val="6687F34D"/>
    <w:multiLevelType w:val="hybridMultilevel"/>
    <w:lvl w:ilvl="0">
      <w:lvlJc w:val="left"/>
      <w:lvlText w:val="(%1)"/>
      <w:numFmt w:val="lowerLetter"/>
      <w:start w:val="3"/>
    </w:lvl>
    <w:lvl w:ilvl="1">
      <w:lvlJc w:val="left"/>
      <w:lvlText w:val="(%2)"/>
      <w:numFmt w:val="lowerRoman"/>
      <w:start w:val="1"/>
    </w:lvl>
  </w:abstractNum>
  <w:abstractNum w:abstractNumId="480">
    <w:nsid w:val="25415B0C"/>
    <w:multiLevelType w:val="hybridMultilevel"/>
    <w:lvl w:ilvl="0">
      <w:lvlJc w:val="left"/>
      <w:lvlText w:val="(%1)"/>
      <w:numFmt w:val="lowerLetter"/>
      <w:start w:val="1"/>
    </w:lvl>
    <w:lvl w:ilvl="1">
      <w:lvlJc w:val="left"/>
      <w:lvlText w:val="(%2)"/>
      <w:numFmt w:val="lowerRoman"/>
      <w:start w:val="1"/>
    </w:lvl>
  </w:abstractNum>
  <w:abstractNum w:abstractNumId="481">
    <w:nsid w:val="17CFC87D"/>
    <w:multiLevelType w:val="hybridMultilevel"/>
    <w:lvl w:ilvl="0">
      <w:lvlJc w:val="left"/>
      <w:lvlText w:val="(%1)"/>
      <w:numFmt w:val="lowerLetter"/>
      <w:start w:val="2"/>
    </w:lvl>
  </w:abstractNum>
  <w:abstractNum w:abstractNumId="482">
    <w:nsid w:val="5D66DC65"/>
    <w:multiLevelType w:val="hybridMultilevel"/>
    <w:lvl w:ilvl="0">
      <w:lvlJc w:val="left"/>
      <w:lvlText w:val="(%1)"/>
      <w:numFmt w:val="lowerLetter"/>
      <w:start w:val="4"/>
    </w:lvl>
  </w:abstractNum>
  <w:abstractNum w:abstractNumId="483">
    <w:nsid w:val="30BB2B99"/>
    <w:multiLevelType w:val="hybridMultilevel"/>
    <w:lvl w:ilvl="0">
      <w:lvlJc w:val="left"/>
      <w:lvlText w:val="(%1)"/>
      <w:numFmt w:val="lowerLetter"/>
      <w:start w:val="7"/>
    </w:lvl>
  </w:abstractNum>
  <w:abstractNum w:abstractNumId="484">
    <w:nsid w:val="E3DFE6"/>
    <w:multiLevelType w:val="hybridMultilevel"/>
    <w:lvl w:ilvl="0">
      <w:lvlJc w:val="left"/>
      <w:lvlText w:val="(%1)"/>
      <w:numFmt w:val="lowerLetter"/>
      <w:start w:val="10"/>
    </w:lvl>
    <w:lvl w:ilvl="1">
      <w:lvlJc w:val="left"/>
      <w:lvlText w:val="(%2)"/>
      <w:numFmt w:val="lowerRoman"/>
      <w:start w:val="1"/>
    </w:lvl>
  </w:abstractNum>
  <w:abstractNum w:abstractNumId="485">
    <w:nsid w:val="595B37F3"/>
    <w:multiLevelType w:val="hybridMultilevel"/>
    <w:lvl w:ilvl="0">
      <w:lvlJc w:val="left"/>
      <w:lvlText w:val="(%1)"/>
      <w:numFmt w:val="lowerRoman"/>
      <w:start w:val="5"/>
    </w:lvl>
  </w:abstractNum>
  <w:abstractNum w:abstractNumId="486">
    <w:nsid w:val="71DB7E02"/>
    <w:multiLevelType w:val="hybridMultilevel"/>
    <w:lvl w:ilvl="0">
      <w:lvlJc w:val="left"/>
      <w:lvlText w:val="(%1)"/>
      <w:numFmt w:val="lowerLetter"/>
      <w:start w:val="14"/>
    </w:lvl>
  </w:abstractNum>
  <w:abstractNum w:abstractNumId="487">
    <w:nsid w:val="17EC0C4"/>
    <w:multiLevelType w:val="hybridMultilevel"/>
    <w:lvl w:ilvl="0">
      <w:lvlJc w:val="left"/>
      <w:lvlText w:val="(%1)"/>
      <w:numFmt w:val="lowerLetter"/>
      <w:start w:val="16"/>
    </w:lvl>
  </w:abstractNum>
  <w:abstractNum w:abstractNumId="488">
    <w:nsid w:val="7173BB22"/>
    <w:multiLevelType w:val="hybridMultilevel"/>
    <w:lvl w:ilvl="0">
      <w:lvlJc w:val="left"/>
      <w:lvlText w:val="(%1)"/>
      <w:numFmt w:val="lowerLetter"/>
      <w:start w:val="1"/>
    </w:lvl>
    <w:lvl w:ilvl="1">
      <w:lvlJc w:val="left"/>
      <w:lvlText w:val="(%2)"/>
      <w:numFmt w:val="lowerLetter"/>
      <w:start w:val="35"/>
    </w:lvl>
  </w:abstractNum>
  <w:abstractNum w:abstractNumId="489">
    <w:nsid w:val="169E1DD3"/>
    <w:multiLevelType w:val="hybridMultilevel"/>
    <w:lvl w:ilvl="0">
      <w:lvlJc w:val="left"/>
      <w:lvlText w:val="(%1)"/>
      <w:numFmt w:val="lowerLetter"/>
      <w:start w:val="3"/>
    </w:lvl>
  </w:abstractNum>
  <w:abstractNum w:abstractNumId="490">
    <w:nsid w:val="51D141CC"/>
    <w:multiLevelType w:val="hybridMultilevel"/>
    <w:lvl w:ilvl="0">
      <w:lvlJc w:val="left"/>
      <w:lvlText w:val="(%1)"/>
      <w:numFmt w:val="lowerLetter"/>
      <w:start w:val="1"/>
    </w:lvl>
  </w:abstractNum>
  <w:abstractNum w:abstractNumId="491">
    <w:nsid w:val="12F9357A"/>
    <w:multiLevelType w:val="hybridMultilevel"/>
    <w:lvl w:ilvl="0">
      <w:lvlJc w:val="left"/>
      <w:lvlText w:val="(%1)"/>
      <w:numFmt w:val="lowerLetter"/>
      <w:start w:val="1"/>
    </w:lvl>
  </w:abstractNum>
  <w:abstractNum w:abstractNumId="492">
    <w:nsid w:val="7672CF28"/>
    <w:multiLevelType w:val="hybridMultilevel"/>
    <w:lvl w:ilvl="0">
      <w:lvlJc w:val="left"/>
      <w:lvlText w:val="(%1)"/>
      <w:numFmt w:val="lowerLetter"/>
      <w:start w:val="1"/>
    </w:lvl>
  </w:abstractNum>
  <w:abstractNum w:abstractNumId="493">
    <w:nsid w:val="567D2763"/>
    <w:multiLevelType w:val="hybridMultilevel"/>
    <w:lvl w:ilvl="0">
      <w:lvlJc w:val="left"/>
      <w:lvlText w:val="(%1)"/>
      <w:numFmt w:val="lowerLetter"/>
      <w:start w:val="2"/>
    </w:lvl>
    <w:lvl w:ilvl="1">
      <w:lvlJc w:val="left"/>
      <w:lvlText w:val="(%2)"/>
      <w:numFmt w:val="lowerRoman"/>
      <w:start w:val="1"/>
    </w:lvl>
  </w:abstractNum>
  <w:abstractNum w:abstractNumId="494">
    <w:nsid w:val="6F5DE2EF"/>
    <w:multiLevelType w:val="hybridMultilevel"/>
    <w:lvl w:ilvl="0">
      <w:lvlJc w:val="left"/>
      <w:lvlText w:val="(%1)"/>
      <w:numFmt w:val="lowerLetter"/>
      <w:start w:val="1"/>
    </w:lvl>
    <w:lvl w:ilvl="1">
      <w:lvlJc w:val="left"/>
      <w:lvlText w:val="(%2)"/>
      <w:numFmt w:val="lowerLetter"/>
      <w:start w:val="9"/>
    </w:lvl>
  </w:abstractNum>
  <w:abstractNum w:abstractNumId="495">
    <w:nsid w:val="23502A61"/>
    <w:multiLevelType w:val="hybridMultilevel"/>
    <w:lvl w:ilvl="0">
      <w:lvlJc w:val="left"/>
      <w:lvlText w:val="%1"/>
      <w:numFmt w:val="decimal"/>
      <w:start w:val="1"/>
    </w:lvl>
    <w:lvl w:ilvl="1">
      <w:lvlJc w:val="left"/>
      <w:lvlText w:val="(%2)"/>
      <w:numFmt w:val="lowerLetter"/>
      <w:start w:val="24"/>
    </w:lvl>
  </w:abstractNum>
  <w:abstractNum w:abstractNumId="496">
    <w:nsid w:val="461BC834"/>
    <w:multiLevelType w:val="hybridMultilevel"/>
    <w:lvl w:ilvl="0">
      <w:lvlJc w:val="left"/>
      <w:lvlText w:val="(%1)"/>
      <w:numFmt w:val="decimal"/>
      <w:start w:val="1"/>
    </w:lvl>
    <w:lvl w:ilvl="1">
      <w:lvlJc w:val="left"/>
      <w:lvlText w:val="(%2)"/>
      <w:numFmt w:val="lowerLetter"/>
      <w:start w:val="25"/>
    </w:lvl>
  </w:abstractNum>
  <w:abstractNum w:abstractNumId="497">
    <w:nsid w:val="13DDA79D"/>
    <w:multiLevelType w:val="hybridMultilevel"/>
    <w:lvl w:ilvl="0">
      <w:lvlJc w:val="left"/>
      <w:lvlText w:val="(%1)"/>
      <w:numFmt w:val="lowerRoman"/>
      <w:start w:val="2"/>
    </w:lvl>
    <w:lvl w:ilvl="1">
      <w:lvlJc w:val="left"/>
      <w:lvlText w:val="(%2)"/>
      <w:numFmt w:val="lowerLetter"/>
      <w:start w:val="24"/>
    </w:lvl>
  </w:abstractNum>
  <w:abstractNum w:abstractNumId="498">
    <w:nsid w:val="6A104566"/>
    <w:multiLevelType w:val="hybridMultilevel"/>
    <w:lvl w:ilvl="0">
      <w:lvlJc w:val="left"/>
      <w:lvlText w:val="%1"/>
      <w:numFmt w:val="lowerLetter"/>
      <w:start w:val="1"/>
    </w:lvl>
    <w:lvl w:ilvl="1">
      <w:lvlJc w:val="left"/>
      <w:lvlText w:val="(%2)"/>
      <w:numFmt w:val="lowerRoman"/>
      <w:start w:val="4"/>
    </w:lvl>
  </w:abstractNum>
  <w:abstractNum w:abstractNumId="499">
    <w:nsid w:val="1C8A8ACF"/>
    <w:multiLevelType w:val="hybridMultilevel"/>
    <w:lvl w:ilvl="0">
      <w:lvlJc w:val="left"/>
      <w:lvlText w:val="%1"/>
      <w:numFmt w:val="lowerLetter"/>
      <w:start w:val="1"/>
    </w:lvl>
    <w:lvl w:ilvl="1">
      <w:lvlJc w:val="left"/>
      <w:lvlText w:val="(%2)"/>
      <w:numFmt w:val="lowerRoman"/>
      <w:start w:val="1"/>
    </w:lvl>
  </w:abstractNum>
  <w:abstractNum w:abstractNumId="500">
    <w:nsid w:val="E73DFE0"/>
    <w:multiLevelType w:val="hybridMultilevel"/>
    <w:lvl w:ilvl="0">
      <w:lvlJc w:val="left"/>
      <w:lvlText w:val="%1"/>
      <w:numFmt w:val="lowerLetter"/>
      <w:start w:val="1"/>
    </w:lvl>
    <w:lvl w:ilvl="1">
      <w:lvlJc w:val="left"/>
      <w:lvlText w:val="(%2)"/>
      <w:numFmt w:val="lowerRoman"/>
      <w:start w:val="5"/>
    </w:lvl>
  </w:abstractNum>
  <w:abstractNum w:abstractNumId="501">
    <w:nsid w:val="39F174C7"/>
    <w:multiLevelType w:val="hybridMultilevel"/>
    <w:lvl w:ilvl="0">
      <w:lvlJc w:val="left"/>
      <w:lvlText w:val="(%1)"/>
      <w:numFmt w:val="lowerLetter"/>
      <w:start w:val="2"/>
    </w:lvl>
    <w:lvl w:ilvl="1">
      <w:lvlJc w:val="left"/>
      <w:lvlText w:val="(%2)"/>
      <w:numFmt w:val="lowerRoman"/>
      <w:start w:val="1"/>
    </w:lvl>
  </w:abstractNum>
  <w:abstractNum w:abstractNumId="502">
    <w:nsid w:val="6E2E2D53"/>
    <w:multiLevelType w:val="hybridMultilevel"/>
    <w:lvl w:ilvl="0">
      <w:lvlJc w:val="left"/>
      <w:lvlText w:val="(%1)"/>
      <w:numFmt w:val="lowerRoman"/>
      <w:start w:val="2"/>
    </w:lvl>
  </w:abstractNum>
  <w:abstractNum w:abstractNumId="503">
    <w:nsid w:val="45DC439D"/>
    <w:multiLevelType w:val="hybridMultilevel"/>
    <w:lvl w:ilvl="0">
      <w:lvlJc w:val="left"/>
      <w:lvlText w:val="(%1)"/>
      <w:numFmt w:val="lowerLetter"/>
      <w:start w:val="3"/>
    </w:lvl>
  </w:abstractNum>
  <w:abstractNum w:abstractNumId="504">
    <w:nsid w:val="3B0A3B87"/>
    <w:multiLevelType w:val="hybridMultilevel"/>
    <w:lvl w:ilvl="0">
      <w:lvlJc w:val="left"/>
      <w:lvlText w:val="(%1)"/>
      <w:numFmt w:val="lowerLetter"/>
      <w:start w:val="9"/>
    </w:lvl>
  </w:abstractNum>
  <w:abstractNum w:abstractNumId="505">
    <w:nsid w:val="6DAC7768"/>
    <w:multiLevelType w:val="hybridMultilevel"/>
    <w:lvl w:ilvl="0">
      <w:lvlJc w:val="left"/>
      <w:lvlText w:val="(%1)"/>
      <w:numFmt w:val="lowerLetter"/>
      <w:start w:val="1"/>
    </w:lvl>
  </w:abstractNum>
  <w:abstractNum w:abstractNumId="506">
    <w:nsid w:val="746AE2E4"/>
    <w:multiLevelType w:val="hybridMultilevel"/>
    <w:lvl w:ilvl="0">
      <w:lvlJc w:val="left"/>
      <w:lvlText w:val="(%1)"/>
      <w:numFmt w:val="lowerLetter"/>
      <w:start w:val="9"/>
    </w:lvl>
  </w:abstractNum>
  <w:abstractNum w:abstractNumId="507">
    <w:nsid w:val="317E611D"/>
    <w:multiLevelType w:val="hybridMultilevel"/>
    <w:lvl w:ilvl="0">
      <w:lvlJc w:val="left"/>
      <w:lvlText w:val="(%1)"/>
      <w:numFmt w:val="lowerLetter"/>
      <w:start w:val="2"/>
    </w:lvl>
  </w:abstractNum>
  <w:abstractNum w:abstractNumId="508">
    <w:nsid w:val="7A61D75B"/>
    <w:multiLevelType w:val="hybridMultilevel"/>
    <w:lvl w:ilvl="0">
      <w:lvlJc w:val="left"/>
      <w:lvlText w:val="(%1)"/>
      <w:numFmt w:val="lowerRoman"/>
      <w:start w:val="1"/>
    </w:lvl>
  </w:abstractNum>
  <w:abstractNum w:abstractNumId="509">
    <w:nsid w:val="164A1482"/>
    <w:multiLevelType w:val="hybridMultilevel"/>
    <w:lvl w:ilvl="0">
      <w:lvlJc w:val="left"/>
      <w:lvlText w:val="(%1)"/>
      <w:numFmt w:val="lowerLetter"/>
      <w:start w:val="1"/>
    </w:lvl>
  </w:abstractNum>
  <w:abstractNum w:abstractNumId="510">
    <w:nsid w:val="1806546B"/>
    <w:multiLevelType w:val="hybridMultilevel"/>
    <w:lvl w:ilvl="0">
      <w:lvlJc w:val="left"/>
      <w:lvlText w:val="(%1)"/>
      <w:numFmt w:val="lowerLetter"/>
      <w:start w:val="2"/>
    </w:lvl>
  </w:abstractNum>
  <w:abstractNum w:abstractNumId="511">
    <w:nsid w:val="1FA33267"/>
    <w:multiLevelType w:val="hybridMultilevel"/>
    <w:lvl w:ilvl="0">
      <w:lvlJc w:val="left"/>
      <w:lvlText w:val="(%1)"/>
      <w:numFmt w:val="lowerLetter"/>
      <w:start w:val="4"/>
    </w:lvl>
  </w:abstractNum>
  <w:abstractNum w:abstractNumId="512">
    <w:nsid w:val="2E19DD00"/>
    <w:multiLevelType w:val="hybridMultilevel"/>
    <w:lvl w:ilvl="0">
      <w:lvlJc w:val="left"/>
      <w:lvlText w:val="(%1)"/>
      <w:numFmt w:val="lowerLetter"/>
      <w:start w:val="1"/>
    </w:lvl>
    <w:lvl w:ilvl="1">
      <w:lvlJc w:val="left"/>
      <w:lvlText w:val="(%2)"/>
      <w:numFmt w:val="lowerRoman"/>
      <w:start w:val="1"/>
    </w:lvl>
  </w:abstractNum>
  <w:abstractNum w:abstractNumId="513">
    <w:nsid w:val="756D30D0"/>
    <w:multiLevelType w:val="hybridMultilevel"/>
    <w:lvl w:ilvl="0">
      <w:lvlJc w:val="left"/>
      <w:lvlText w:val="(%1)"/>
      <w:numFmt w:val="lowerLetter"/>
      <w:start w:val="2"/>
    </w:lvl>
  </w:abstractNum>
  <w:abstractNum w:abstractNumId="514">
    <w:nsid w:val="505E5E01"/>
    <w:multiLevelType w:val="hybridMultilevel"/>
    <w:lvl w:ilvl="0">
      <w:lvlJc w:val="left"/>
      <w:lvlText w:val="(%1)"/>
      <w:numFmt w:val="lowerLetter"/>
      <w:start w:val="24"/>
    </w:lvl>
  </w:abstractNum>
  <w:abstractNum w:abstractNumId="515">
    <w:nsid w:val="2EFDBCE6"/>
    <w:multiLevelType w:val="hybridMultilevel"/>
    <w:lvl w:ilvl="0">
      <w:lvlJc w:val="left"/>
      <w:lvlText w:val="(%1)"/>
      <w:numFmt w:val="lowerLetter"/>
      <w:start w:val="3"/>
    </w:lvl>
  </w:abstractNum>
  <w:abstractNum w:abstractNumId="516">
    <w:nsid w:val="4EC868C4"/>
    <w:multiLevelType w:val="hybridMultilevel"/>
    <w:lvl w:ilvl="0">
      <w:lvlJc w:val="left"/>
      <w:lvlText w:val="(%1)"/>
      <w:numFmt w:val="lowerLetter"/>
      <w:start w:val="1"/>
    </w:lvl>
  </w:abstractNum>
  <w:abstractNum w:abstractNumId="517">
    <w:nsid w:val="4239DC03"/>
    <w:multiLevelType w:val="hybridMultilevel"/>
    <w:lvl w:ilvl="0">
      <w:lvlJc w:val="left"/>
      <w:lvlText w:val="(%1)"/>
      <w:numFmt w:val="lowerRoman"/>
      <w:start w:val="4"/>
    </w:lvl>
  </w:abstractNum>
  <w:abstractNum w:abstractNumId="518">
    <w:nsid w:val="307C7DAA"/>
    <w:multiLevelType w:val="hybridMultilevel"/>
    <w:lvl w:ilvl="0">
      <w:lvlJc w:val="left"/>
      <w:lvlText w:val="(%1)"/>
      <w:numFmt w:val="lowerLetter"/>
      <w:start w:val="5"/>
    </w:lvl>
  </w:abstractNum>
  <w:abstractNum w:abstractNumId="519">
    <w:nsid w:val="403C23E6"/>
    <w:multiLevelType w:val="hybridMultilevel"/>
    <w:lvl w:ilvl="0">
      <w:lvlJc w:val="left"/>
      <w:lvlText w:val="(%1)"/>
      <w:numFmt w:val="lowerLetter"/>
      <w:start w:val="1"/>
    </w:lvl>
  </w:abstractNum>
  <w:abstractNum w:abstractNumId="520">
    <w:nsid w:val="58D7F9D7"/>
    <w:multiLevelType w:val="hybridMultilevel"/>
    <w:lvl w:ilvl="0">
      <w:lvlJc w:val="left"/>
      <w:lvlText w:val="(%1)"/>
      <w:numFmt w:val="lowerLetter"/>
      <w:start w:val="2"/>
    </w:lvl>
  </w:abstractNum>
  <w:abstractNum w:abstractNumId="521">
    <w:nsid w:val="24DBF76"/>
    <w:multiLevelType w:val="hybridMultilevel"/>
    <w:lvl w:ilvl="0">
      <w:lvlJc w:val="left"/>
      <w:lvlText w:val="(%1)"/>
      <w:numFmt w:val="lowerLetter"/>
      <w:start w:val="1"/>
    </w:lvl>
  </w:abstractNum>
  <w:abstractNum w:abstractNumId="522">
    <w:nsid w:val="53355960"/>
    <w:multiLevelType w:val="hybridMultilevel"/>
    <w:lvl w:ilvl="0">
      <w:lvlJc w:val="left"/>
      <w:lvlText w:val="(%1)"/>
      <w:numFmt w:val="lowerLetter"/>
      <w:start w:val="3"/>
    </w:lvl>
  </w:abstractNum>
  <w:abstractNum w:abstractNumId="523">
    <w:nsid w:val="4F4AC8FF"/>
    <w:multiLevelType w:val="hybridMultilevel"/>
    <w:lvl w:ilvl="0">
      <w:lvlJc w:val="left"/>
      <w:lvlText w:val="(%1)"/>
      <w:numFmt w:val="lowerLetter"/>
      <w:start w:val="1"/>
    </w:lvl>
    <w:lvl w:ilvl="1">
      <w:lvlJc w:val="left"/>
      <w:lvlText w:val="(%2)"/>
      <w:numFmt w:val="lowerRoman"/>
      <w:start w:val="1"/>
    </w:lvl>
  </w:abstractNum>
  <w:abstractNum w:abstractNumId="524">
    <w:nsid w:val="58CAE6D9"/>
    <w:multiLevelType w:val="hybridMultilevel"/>
    <w:lvl w:ilvl="0">
      <w:lvlJc w:val="left"/>
      <w:lvlText w:val="(%1)"/>
      <w:numFmt w:val="lowerLetter"/>
      <w:start w:val="1"/>
    </w:lvl>
  </w:abstractNum>
  <w:abstractNum w:abstractNumId="525">
    <w:nsid w:val="42933C4F"/>
    <w:multiLevelType w:val="hybridMultilevel"/>
    <w:lvl w:ilvl="0">
      <w:lvlJc w:val="left"/>
      <w:lvlText w:val="(%1)"/>
      <w:numFmt w:val="lowerLetter"/>
      <w:start w:val="2"/>
    </w:lvl>
  </w:abstractNum>
  <w:abstractNum w:abstractNumId="526">
    <w:nsid w:val="729AF360"/>
    <w:multiLevelType w:val="hybridMultilevel"/>
    <w:lvl w:ilvl="0">
      <w:lvlJc w:val="left"/>
      <w:lvlText w:val="(%1)"/>
      <w:numFmt w:val="lowerLetter"/>
      <w:start w:val="1"/>
    </w:lvl>
  </w:abstractNum>
  <w:abstractNum w:abstractNumId="527">
    <w:nsid w:val="1EE6AF0D"/>
    <w:multiLevelType w:val="hybridMultilevel"/>
    <w:lvl w:ilvl="0">
      <w:lvlJc w:val="left"/>
      <w:lvlText w:val="(%1)"/>
      <w:numFmt w:val="lowerLetter"/>
      <w:start w:val="2"/>
    </w:lvl>
  </w:abstractNum>
  <w:abstractNum w:abstractNumId="528">
    <w:nsid w:val="5670E3ED"/>
    <w:multiLevelType w:val="hybridMultilevel"/>
    <w:lvl w:ilvl="0">
      <w:lvlJc w:val="left"/>
      <w:lvlText w:val="(%1)"/>
      <w:numFmt w:val="lowerLetter"/>
      <w:start w:val="1"/>
    </w:lvl>
  </w:abstractNum>
  <w:abstractNum w:abstractNumId="529">
    <w:nsid w:val="5CAB38C6"/>
    <w:multiLevelType w:val="hybridMultilevel"/>
    <w:lvl w:ilvl="0">
      <w:lvlJc w:val="left"/>
      <w:lvlText w:val="(%1)"/>
      <w:numFmt w:val="lowerLetter"/>
      <w:start w:val="3"/>
    </w:lvl>
  </w:abstractNum>
  <w:abstractNum w:abstractNumId="530">
    <w:nsid w:val="3B7139DD"/>
    <w:multiLevelType w:val="hybridMultilevel"/>
    <w:lvl w:ilvl="0">
      <w:lvlJc w:val="left"/>
      <w:lvlText w:val="(%1)"/>
      <w:numFmt w:val="lowerLetter"/>
      <w:start w:val="1"/>
    </w:lvl>
    <w:lvl w:ilvl="1">
      <w:lvlJc w:val="left"/>
      <w:lvlText w:val="(%2)"/>
      <w:numFmt w:val="lowerRoman"/>
      <w:start w:val="1"/>
    </w:lvl>
  </w:abstractNum>
  <w:abstractNum w:abstractNumId="531">
    <w:nsid w:val="64E4C3CD"/>
    <w:multiLevelType w:val="hybridMultilevel"/>
    <w:lvl w:ilvl="0">
      <w:lvlJc w:val="left"/>
      <w:lvlText w:val="(%1)"/>
      <w:numFmt w:val="lowerLetter"/>
      <w:start w:val="2"/>
    </w:lvl>
  </w:abstractNum>
  <w:abstractNum w:abstractNumId="532">
    <w:nsid w:val="169CAD8D"/>
    <w:multiLevelType w:val="hybridMultilevel"/>
    <w:lvl w:ilvl="0">
      <w:lvlJc w:val="left"/>
      <w:lvlText w:val="(%1)"/>
      <w:numFmt w:val="lowerLetter"/>
      <w:start w:val="3"/>
    </w:lvl>
  </w:abstractNum>
  <w:abstractNum w:abstractNumId="533">
    <w:nsid w:val="299F6730"/>
    <w:multiLevelType w:val="hybridMultilevel"/>
    <w:lvl w:ilvl="0">
      <w:lvlJc w:val="left"/>
      <w:lvlText w:val="(%1)"/>
      <w:numFmt w:val="lowerRoman"/>
      <w:start w:val="1"/>
    </w:lvl>
  </w:abstractNum>
  <w:abstractNum w:abstractNumId="534">
    <w:nsid w:val="2AC1076A"/>
    <w:multiLevelType w:val="hybridMultilevel"/>
    <w:lvl w:ilvl="0">
      <w:lvlJc w:val="left"/>
      <w:lvlText w:val="(%1)"/>
      <w:numFmt w:val="lowerLetter"/>
      <w:start w:val="1"/>
    </w:lvl>
  </w:abstractNum>
  <w:abstractNum w:abstractNumId="535">
    <w:nsid w:val="51A6E915"/>
    <w:multiLevelType w:val="hybridMultilevel"/>
    <w:lvl w:ilvl="0">
      <w:lvlJc w:val="left"/>
      <w:lvlText w:val="(%1)"/>
      <w:numFmt w:val="lowerLetter"/>
      <w:start w:val="1"/>
    </w:lvl>
    <w:lvl w:ilvl="1">
      <w:lvlJc w:val="left"/>
      <w:lvlText w:val="(%2)"/>
      <w:numFmt w:val="lowerLetter"/>
      <w:start w:val="35"/>
    </w:lvl>
  </w:abstractNum>
  <w:abstractNum w:abstractNumId="536">
    <w:nsid w:val="174BDE99"/>
    <w:multiLevelType w:val="hybridMultilevel"/>
    <w:lvl w:ilvl="0">
      <w:lvlJc w:val="left"/>
      <w:lvlText w:val="(%1)"/>
      <w:numFmt w:val="decimal"/>
      <w:start w:val="3"/>
    </w:lvl>
  </w:abstractNum>
  <w:abstractNum w:abstractNumId="537">
    <w:nsid w:val="1F2BEA4E"/>
    <w:multiLevelType w:val="hybridMultilevel"/>
    <w:lvl w:ilvl="0">
      <w:lvlJc w:val="left"/>
      <w:lvlText w:val="(%1)"/>
      <w:numFmt w:val="lowerLetter"/>
      <w:start w:val="3"/>
    </w:lvl>
  </w:abstractNum>
  <w:abstractNum w:abstractNumId="538">
    <w:nsid w:val="3254A32"/>
    <w:multiLevelType w:val="hybridMultilevel"/>
    <w:lvl w:ilvl="0">
      <w:lvlJc w:val="left"/>
      <w:lvlText w:val="(%1)"/>
      <w:numFmt w:val="lowerRoman"/>
      <w:start w:val="1"/>
    </w:lvl>
  </w:abstractNum>
  <w:abstractNum w:abstractNumId="539">
    <w:nsid w:val="11ADB5F4"/>
    <w:multiLevelType w:val="hybridMultilevel"/>
    <w:lvl w:ilvl="0">
      <w:lvlJc w:val="left"/>
      <w:lvlText w:val="(%1)"/>
      <w:numFmt w:val="lowerLetter"/>
      <w:start w:val="1"/>
    </w:lvl>
    <w:lvl w:ilvl="1">
      <w:lvlJc w:val="left"/>
      <w:lvlText w:val="(%2)"/>
      <w:numFmt w:val="lowerRoman"/>
      <w:start w:val="1"/>
    </w:lvl>
  </w:abstractNum>
  <w:abstractNum w:abstractNumId="540">
    <w:nsid w:val="3575FED1"/>
    <w:multiLevelType w:val="hybridMultilevel"/>
    <w:lvl w:ilvl="0">
      <w:lvlJc w:val="left"/>
      <w:lvlText w:val="(%1)"/>
      <w:numFmt w:val="lowerLetter"/>
      <w:start w:val="8"/>
    </w:lvl>
  </w:abstractNum>
  <w:abstractNum w:abstractNumId="541">
    <w:nsid w:val="1B2B9E9D"/>
    <w:multiLevelType w:val="hybridMultilevel"/>
    <w:lvl w:ilvl="0">
      <w:lvlJc w:val="left"/>
      <w:lvlText w:val="(%1)"/>
      <w:numFmt w:val="lowerLetter"/>
      <w:start w:val="1"/>
    </w:lvl>
    <w:lvl w:ilvl="1">
      <w:lvlJc w:val="left"/>
      <w:lvlText w:val="(%2)"/>
      <w:numFmt w:val="lowerRoman"/>
      <w:start w:val="1"/>
    </w:lvl>
  </w:abstractNum>
  <w:abstractNum w:abstractNumId="542">
    <w:nsid w:val="3150E85C"/>
    <w:multiLevelType w:val="hybridMultilevel"/>
    <w:lvl w:ilvl="0">
      <w:lvlJc w:val="left"/>
      <w:lvlText w:val="(%1)"/>
      <w:numFmt w:val="lowerLetter"/>
      <w:start w:val="2"/>
    </w:lvl>
  </w:abstractNum>
  <w:abstractNum w:abstractNumId="543">
    <w:nsid w:val="638FDBD1"/>
    <w:multiLevelType w:val="hybridMultilevel"/>
    <w:lvl w:ilvl="0">
      <w:lvlJc w:val="left"/>
      <w:lvlText w:val="(%1)"/>
      <w:numFmt w:val="lowerLetter"/>
      <w:start w:val="1"/>
    </w:lvl>
  </w:abstractNum>
  <w:abstractNum w:abstractNumId="544">
    <w:nsid w:val="1098CF6E"/>
    <w:multiLevelType w:val="hybridMultilevel"/>
    <w:lvl w:ilvl="0">
      <w:lvlJc w:val="left"/>
      <w:lvlText w:val="(%1)"/>
      <w:numFmt w:val="lowerLetter"/>
      <w:start w:val="1"/>
    </w:lvl>
  </w:abstractNum>
  <w:abstractNum w:abstractNumId="545">
    <w:nsid w:val="1AF465D"/>
    <w:multiLevelType w:val="hybridMultilevel"/>
    <w:lvl w:ilvl="0">
      <w:lvlJc w:val="left"/>
      <w:lvlText w:val="%1"/>
      <w:numFmt w:val="lowerLetter"/>
      <w:start w:val="1"/>
    </w:lvl>
    <w:lvl w:ilvl="1">
      <w:lvlJc w:val="left"/>
      <w:lvlText w:val="(%2)"/>
      <w:numFmt w:val="lowerRoman"/>
      <w:start w:val="1"/>
    </w:lvl>
  </w:abstractNum>
  <w:abstractNum w:abstractNumId="546">
    <w:nsid w:val="128D98B7"/>
    <w:multiLevelType w:val="hybridMultilevel"/>
    <w:lvl w:ilvl="0">
      <w:lvlJc w:val="left"/>
      <w:lvlText w:val="(%1)"/>
      <w:numFmt w:val="lowerLetter"/>
      <w:start w:val="2"/>
    </w:lvl>
    <w:lvl w:ilvl="1">
      <w:lvlJc w:val="left"/>
      <w:lvlText w:val="%2"/>
      <w:numFmt w:val="lowerRoman"/>
      <w:start w:val="1"/>
    </w:lvl>
  </w:abstractNum>
  <w:abstractNum w:abstractNumId="547">
    <w:nsid w:val="5F613832"/>
    <w:multiLevelType w:val="hybridMultilevel"/>
    <w:lvl w:ilvl="0">
      <w:lvlJc w:val="left"/>
      <w:lvlText w:val="(%1)"/>
      <w:numFmt w:val="lowerLetter"/>
      <w:start w:val="1"/>
    </w:lvl>
  </w:abstractNum>
  <w:abstractNum w:abstractNumId="548">
    <w:nsid w:val="43E92260"/>
    <w:multiLevelType w:val="hybridMultilevel"/>
    <w:lvl w:ilvl="0">
      <w:lvlJc w:val="left"/>
      <w:lvlText w:val="(%1)"/>
      <w:numFmt w:val="lowerLetter"/>
      <w:start w:val="1"/>
    </w:lvl>
  </w:abstractNum>
  <w:abstractNum w:abstractNumId="549">
    <w:nsid w:val="430A1662"/>
    <w:multiLevelType w:val="hybridMultilevel"/>
    <w:lvl w:ilvl="0">
      <w:lvlJc w:val="left"/>
      <w:lvlText w:val="(%1)"/>
      <w:numFmt w:val="lowerLetter"/>
      <w:start w:val="1"/>
    </w:lvl>
    <w:lvl w:ilvl="1">
      <w:lvlJc w:val="left"/>
      <w:lvlText w:val="(%2)"/>
      <w:numFmt w:val="lowerRoman"/>
      <w:start w:val="1"/>
    </w:lvl>
  </w:abstractNum>
  <w:abstractNum w:abstractNumId="550">
    <w:nsid w:val="1F9D5C18"/>
    <w:multiLevelType w:val="hybridMultilevel"/>
    <w:lvl w:ilvl="0">
      <w:lvlJc w:val="left"/>
      <w:lvlText w:val="(%1)"/>
      <w:numFmt w:val="lowerLetter"/>
      <w:start w:val="1"/>
    </w:lvl>
  </w:abstractNum>
  <w:abstractNum w:abstractNumId="551">
    <w:nsid w:val="1CC11C37"/>
    <w:multiLevelType w:val="hybridMultilevel"/>
    <w:lvl w:ilvl="0">
      <w:lvlJc w:val="left"/>
      <w:lvlText w:val="(%1)"/>
      <w:numFmt w:val="lowerLetter"/>
      <w:start w:val="1"/>
    </w:lvl>
  </w:abstractNum>
  <w:abstractNum w:abstractNumId="552">
    <w:nsid w:val="4557D5D8"/>
    <w:multiLevelType w:val="hybridMultilevel"/>
    <w:lvl w:ilvl="0">
      <w:lvlJc w:val="left"/>
      <w:lvlText w:val="(%1)"/>
      <w:numFmt w:val="lowerLetter"/>
      <w:start w:val="2"/>
    </w:lvl>
  </w:abstractNum>
  <w:abstractNum w:abstractNumId="553">
    <w:nsid w:val="72D2B579"/>
    <w:multiLevelType w:val="hybridMultilevel"/>
    <w:lvl w:ilvl="0">
      <w:lvlJc w:val="left"/>
      <w:lvlText w:val="(%1)"/>
      <w:numFmt w:val="lowerLetter"/>
      <w:start w:val="1"/>
    </w:lvl>
  </w:abstractNum>
  <w:abstractNum w:abstractNumId="554">
    <w:nsid w:val="6C0BE536"/>
    <w:multiLevelType w:val="hybridMultilevel"/>
    <w:lvl w:ilvl="0">
      <w:lvlJc w:val="left"/>
      <w:lvlText w:val="(%1)"/>
      <w:numFmt w:val="lowerLetter"/>
      <w:start w:val="3"/>
    </w:lvl>
    <w:lvl w:ilvl="1">
      <w:lvlJc w:val="left"/>
      <w:lvlText w:val="(%2)"/>
      <w:numFmt w:val="lowerRoman"/>
      <w:start w:val="1"/>
    </w:lvl>
  </w:abstractNum>
  <w:abstractNum w:abstractNumId="555">
    <w:nsid w:val="1E22BCB2"/>
    <w:multiLevelType w:val="hybridMultilevel"/>
    <w:lvl w:ilvl="0">
      <w:lvlJc w:val="left"/>
      <w:lvlText w:val="(%1)"/>
      <w:numFmt w:val="lowerLetter"/>
      <w:start w:val="10"/>
    </w:lvl>
  </w:abstractNum>
  <w:abstractNum w:abstractNumId="556">
    <w:nsid w:val="3565F1C8"/>
    <w:multiLevelType w:val="hybridMultilevel"/>
    <w:lvl w:ilvl="0">
      <w:lvlJc w:val="left"/>
      <w:lvlText w:val="(%1)"/>
      <w:numFmt w:val="lowerLetter"/>
      <w:start w:val="1"/>
    </w:lvl>
    <w:lvl w:ilvl="1">
      <w:lvlJc w:val="left"/>
      <w:lvlText w:val="%2"/>
      <w:numFmt w:val="decimal"/>
      <w:start w:val="1"/>
    </w:lvl>
  </w:abstractNum>
  <w:abstractNum w:abstractNumId="557">
    <w:nsid w:val="5EA6D896"/>
    <w:multiLevelType w:val="hybridMultilevel"/>
    <w:lvl w:ilvl="0">
      <w:lvlJc w:val="left"/>
      <w:lvlText w:val="(%1)"/>
      <w:numFmt w:val="lowerLetter"/>
      <w:start w:val="5"/>
    </w:lvl>
    <w:lvl w:ilvl="1">
      <w:lvlJc w:val="left"/>
      <w:lvlText w:val="(%2)"/>
      <w:numFmt w:val="decimal"/>
      <w:start w:val="1"/>
    </w:lvl>
  </w:abstractNum>
  <w:abstractNum w:abstractNumId="558">
    <w:nsid w:val="3D096BBF"/>
    <w:multiLevelType w:val="hybridMultilevel"/>
    <w:lvl w:ilvl="0">
      <w:lvlJc w:val="left"/>
      <w:lvlText w:val="(%1)"/>
      <w:numFmt w:val="decimal"/>
      <w:start w:val="3"/>
    </w:lvl>
  </w:abstractNum>
  <w:abstractNum w:abstractNumId="559">
    <w:nsid w:val="BD6D5B5"/>
    <w:multiLevelType w:val="hybridMultilevel"/>
    <w:lvl w:ilvl="0">
      <w:lvlJc w:val="left"/>
      <w:lvlText w:val="(%1)"/>
      <w:numFmt w:val="lowerLetter"/>
      <w:start w:val="3"/>
    </w:lvl>
  </w:abstractNum>
  <w:abstractNum w:abstractNumId="560">
    <w:nsid w:val="3B52115C"/>
    <w:multiLevelType w:val="hybridMultilevel"/>
    <w:lvl w:ilvl="0">
      <w:lvlJc w:val="left"/>
      <w:lvlText w:val="(%1)"/>
      <w:numFmt w:val="lowerLetter"/>
      <w:start w:val="1"/>
    </w:lvl>
    <w:lvl w:ilvl="1">
      <w:lvlJc w:val="left"/>
      <w:lvlText w:val="(%2)"/>
      <w:numFmt w:val="lowerRoman"/>
      <w:start w:val="1"/>
    </w:lvl>
  </w:abstractNum>
  <w:abstractNum w:abstractNumId="561">
    <w:nsid w:val="787AA59C"/>
    <w:multiLevelType w:val="hybridMultilevel"/>
    <w:lvl w:ilvl="0">
      <w:lvlJc w:val="left"/>
      <w:lvlText w:val="(%1)"/>
      <w:numFmt w:val="lowerLetter"/>
      <w:start w:val="2"/>
    </w:lvl>
    <w:lvl w:ilvl="1">
      <w:lvlJc w:val="left"/>
      <w:lvlText w:val="(%2)"/>
      <w:numFmt w:val="lowerRoman"/>
      <w:start w:val="1"/>
    </w:lvl>
  </w:abstractNum>
  <w:abstractNum w:abstractNumId="562">
    <w:nsid w:val="70BB9983"/>
    <w:multiLevelType w:val="hybridMultilevel"/>
    <w:lvl w:ilvl="0">
      <w:lvlJc w:val="left"/>
      <w:lvlText w:val="(%1)"/>
      <w:numFmt w:val="lowerLetter"/>
      <w:start w:val="1"/>
    </w:lvl>
  </w:abstractNum>
  <w:abstractNum w:abstractNumId="563">
    <w:nsid w:val="51EEBEEA"/>
    <w:multiLevelType w:val="hybridMultilevel"/>
    <w:lvl w:ilvl="0">
      <w:lvlJc w:val="left"/>
      <w:lvlText w:val="(%1)"/>
      <w:numFmt w:val="lowerLetter"/>
      <w:start w:val="1"/>
    </w:lvl>
  </w:abstractNum>
  <w:abstractNum w:abstractNumId="564">
    <w:nsid w:val="221A0CCD"/>
    <w:multiLevelType w:val="hybridMultilevel"/>
    <w:lvl w:ilvl="0">
      <w:lvlJc w:val="left"/>
      <w:lvlText w:val="(%1)"/>
      <w:numFmt w:val="lowerLetter"/>
      <w:start w:val="6"/>
    </w:lvl>
  </w:abstractNum>
  <w:abstractNum w:abstractNumId="565">
    <w:nsid w:val="1B7CA0ED"/>
    <w:multiLevelType w:val="hybridMultilevel"/>
    <w:lvl w:ilvl="0">
      <w:lvlJc w:val="left"/>
      <w:lvlText w:val="(%1)"/>
      <w:numFmt w:val="lowerLetter"/>
      <w:start w:val="24"/>
    </w:lvl>
  </w:abstractNum>
  <w:abstractNum w:abstractNumId="566">
    <w:nsid w:val="2395A7FF"/>
    <w:multiLevelType w:val="hybridMultilevel"/>
    <w:lvl w:ilvl="0">
      <w:lvlJc w:val="left"/>
      <w:lvlText w:val="(%1)"/>
      <w:numFmt w:val="lowerLetter"/>
      <w:start w:val="14"/>
    </w:lvl>
  </w:abstractNum>
  <w:abstractNum w:abstractNumId="567">
    <w:nsid w:val="3965EB66"/>
    <w:multiLevelType w:val="hybridMultilevel"/>
    <w:lvl w:ilvl="0">
      <w:lvlJc w:val="left"/>
      <w:lvlText w:val="(%1)"/>
      <w:numFmt w:val="lowerLetter"/>
      <w:start w:val="35"/>
    </w:lvl>
  </w:abstractNum>
  <w:abstractNum w:abstractNumId="568">
    <w:nsid w:val="3AA88B3C"/>
    <w:multiLevelType w:val="hybridMultilevel"/>
    <w:lvl w:ilvl="0">
      <w:lvlJc w:val="left"/>
      <w:lvlText w:val="(%1)"/>
      <w:numFmt w:val="lowerLetter"/>
      <w:start w:val="1"/>
    </w:lvl>
  </w:abstractNum>
  <w:abstractNum w:abstractNumId="569">
    <w:nsid w:val="26BAF231"/>
    <w:multiLevelType w:val="hybridMultilevel"/>
    <w:lvl w:ilvl="0">
      <w:lvlJc w:val="left"/>
      <w:lvlText w:val="(%1)"/>
      <w:numFmt w:val="lowerLetter"/>
      <w:start w:val="7"/>
    </w:lvl>
  </w:abstractNum>
  <w:abstractNum w:abstractNumId="570">
    <w:nsid w:val="4B13A15A"/>
    <w:multiLevelType w:val="hybridMultilevel"/>
    <w:lvl w:ilvl="0">
      <w:lvlJc w:val="left"/>
      <w:lvlText w:val="(%1)"/>
      <w:numFmt w:val="lowerLetter"/>
      <w:start w:val="14"/>
    </w:lvl>
  </w:abstractNum>
  <w:abstractNum w:abstractNumId="571">
    <w:nsid w:val="701E8A0D"/>
    <w:multiLevelType w:val="hybridMultilevel"/>
    <w:lvl w:ilvl="0">
      <w:lvlJc w:val="left"/>
      <w:lvlText w:val="(%1)"/>
      <w:numFmt w:val="lowerLetter"/>
      <w:start w:val="27"/>
    </w:lvl>
  </w:abstractNum>
  <w:abstractNum w:abstractNumId="572">
    <w:nsid w:val="41E690CF"/>
    <w:multiLevelType w:val="hybridMultilevel"/>
    <w:lvl w:ilvl="0">
      <w:lvlJc w:val="left"/>
      <w:lvlText w:val="(%1)"/>
      <w:numFmt w:val="lowerLetter"/>
      <w:start w:val="30"/>
    </w:lvl>
  </w:abstractNum>
  <w:abstractNum w:abstractNumId="573">
    <w:nsid w:val="7C6489B6"/>
    <w:multiLevelType w:val="hybridMultilevel"/>
    <w:lvl w:ilvl="0">
      <w:lvlJc w:val="left"/>
      <w:lvlText w:val="(%1)"/>
      <w:numFmt w:val="lowerLetter"/>
      <w:start w:val="1"/>
    </w:lvl>
  </w:abstractNum>
  <w:abstractNum w:abstractNumId="574">
    <w:nsid w:val="53AE65DE"/>
    <w:multiLevelType w:val="hybridMultilevel"/>
    <w:lvl w:ilvl="0">
      <w:lvlJc w:val="left"/>
      <w:lvlText w:val="(%1)"/>
      <w:numFmt w:val="lowerLetter"/>
      <w:start w:val="4"/>
    </w:lvl>
  </w:abstractNum>
  <w:abstractNum w:abstractNumId="575">
    <w:nsid w:val="527F603D"/>
    <w:multiLevelType w:val="hybridMultilevel"/>
    <w:lvl w:ilvl="0">
      <w:lvlJc w:val="left"/>
      <w:lvlText w:val="(%1)"/>
      <w:numFmt w:val="lowerLetter"/>
      <w:start w:val="17"/>
    </w:lvl>
  </w:abstractNum>
  <w:abstractNum w:abstractNumId="576">
    <w:nsid w:val="7E13D013"/>
    <w:multiLevelType w:val="hybridMultilevel"/>
    <w:lvl w:ilvl="0">
      <w:lvlJc w:val="left"/>
      <w:lvlText w:val="(%1)"/>
      <w:numFmt w:val="lowerLetter"/>
      <w:start w:val="19"/>
    </w:lvl>
  </w:abstractNum>
  <w:abstractNum w:abstractNumId="577">
    <w:nsid w:val="663BFE95"/>
    <w:multiLevelType w:val="hybridMultilevel"/>
    <w:lvl w:ilvl="0">
      <w:lvlJc w:val="left"/>
      <w:lvlText w:val="(%1)"/>
      <w:numFmt w:val="lowerLetter"/>
      <w:start w:val="25"/>
    </w:lvl>
  </w:abstractNum>
  <w:abstractNum w:abstractNumId="578">
    <w:nsid w:val="31E0986F"/>
    <w:multiLevelType w:val="hybridMultilevel"/>
    <w:lvl w:ilvl="0">
      <w:lvlJc w:val="left"/>
      <w:lvlText w:val="(%1)"/>
      <w:numFmt w:val="lowerLetter"/>
      <w:start w:val="1"/>
    </w:lvl>
  </w:abstractNum>
  <w:abstractNum w:abstractNumId="579">
    <w:nsid w:val="41FCF274"/>
    <w:multiLevelType w:val="hybridMultilevel"/>
    <w:lvl w:ilvl="0">
      <w:lvlJc w:val="left"/>
      <w:lvlText w:val="(%1)"/>
      <w:numFmt w:val="lowerLetter"/>
      <w:start w:val="6"/>
    </w:lvl>
  </w:abstractNum>
  <w:abstractNum w:abstractNumId="580">
    <w:nsid w:val="294614F7"/>
    <w:multiLevelType w:val="hybridMultilevel"/>
    <w:lvl w:ilvl="0">
      <w:lvlJc w:val="left"/>
      <w:lvlText w:val="(%1)"/>
      <w:numFmt w:val="lowerLetter"/>
      <w:start w:val="1"/>
    </w:lvl>
  </w:abstractNum>
  <w:abstractNum w:abstractNumId="581">
    <w:nsid w:val="517DF487"/>
    <w:multiLevelType w:val="hybridMultilevel"/>
    <w:lvl w:ilvl="0">
      <w:lvlJc w:val="left"/>
      <w:lvlText w:val="(%1)"/>
      <w:numFmt w:val="lowerLetter"/>
      <w:start w:val="2"/>
    </w:lvl>
  </w:abstractNum>
  <w:abstractNum w:abstractNumId="582">
    <w:nsid w:val="5EBE0EAB"/>
    <w:multiLevelType w:val="hybridMultilevel"/>
    <w:lvl w:ilvl="0">
      <w:lvlJc w:val="left"/>
      <w:lvlText w:val="(%1)"/>
      <w:numFmt w:val="lowerLetter"/>
      <w:start w:val="5"/>
    </w:lvl>
  </w:abstractNum>
  <w:abstractNum w:abstractNumId="583">
    <w:nsid w:val="6E9DEAD0"/>
    <w:multiLevelType w:val="hybridMultilevel"/>
    <w:lvl w:ilvl="0">
      <w:lvlJc w:val="left"/>
      <w:lvlText w:val="(%1)"/>
      <w:numFmt w:val="lowerRoman"/>
      <w:start w:val="7"/>
    </w:lvl>
  </w:abstractNum>
  <w:abstractNum w:abstractNumId="584">
    <w:nsid w:val="4450AA00"/>
    <w:multiLevelType w:val="hybridMultilevel"/>
    <w:lvl w:ilvl="0">
      <w:lvlJc w:val="left"/>
      <w:lvlText w:val="(%1)"/>
      <w:numFmt w:val="lowerRoman"/>
      <w:start w:val="13"/>
    </w:lvl>
  </w:abstractNum>
  <w:abstractNum w:abstractNumId="585">
    <w:nsid w:val="4AC9F3E2"/>
    <w:multiLevelType w:val="hybridMultilevel"/>
    <w:lvl w:ilvl="0">
      <w:lvlJc w:val="left"/>
      <w:lvlText w:val="(%1)"/>
      <w:numFmt w:val="lowerLetter"/>
      <w:start w:val="1"/>
    </w:lvl>
  </w:abstractNum>
  <w:abstractNum w:abstractNumId="586">
    <w:nsid w:val="CC0A782"/>
    <w:multiLevelType w:val="hybridMultilevel"/>
    <w:lvl w:ilvl="0">
      <w:lvlJc w:val="left"/>
      <w:lvlText w:val="(%1)"/>
      <w:numFmt w:val="lowerLetter"/>
      <w:start w:val="8"/>
    </w:lvl>
  </w:abstractNum>
  <w:abstractNum w:abstractNumId="587">
    <w:nsid w:val="79B69BC9"/>
    <w:multiLevelType w:val="hybridMultilevel"/>
    <w:lvl w:ilvl="0">
      <w:lvlJc w:val="left"/>
      <w:lvlText w:val="(%1)"/>
      <w:numFmt w:val="lowerLetter"/>
      <w:start w:val="16"/>
    </w:lvl>
  </w:abstractNum>
  <w:abstractNum w:abstractNumId="588">
    <w:nsid w:val="2970CC78"/>
    <w:multiLevelType w:val="hybridMultilevel"/>
    <w:lvl w:ilvl="0">
      <w:lvlJc w:val="left"/>
      <w:lvlText w:val="(%1)"/>
      <w:numFmt w:val="lowerLetter"/>
      <w:start w:val="1"/>
    </w:lvl>
  </w:abstractNum>
  <w:abstractNum w:abstractNumId="589">
    <w:nsid w:val="49CA1341"/>
    <w:multiLevelType w:val="hybridMultilevel"/>
    <w:lvl w:ilvl="0">
      <w:lvlJc w:val="left"/>
      <w:lvlText w:val="(%1)"/>
      <w:numFmt w:val="lowerLetter"/>
      <w:start w:val="4"/>
    </w:lvl>
  </w:abstractNum>
  <w:abstractNum w:abstractNumId="590">
    <w:nsid w:val="58D717E"/>
    <w:multiLevelType w:val="hybridMultilevel"/>
    <w:lvl w:ilvl="0">
      <w:lvlJc w:val="left"/>
      <w:lvlText w:val="(%1)"/>
      <w:numFmt w:val="lowerLetter"/>
      <w:start w:val="1"/>
    </w:lvl>
  </w:abstractNum>
  <w:abstractNum w:abstractNumId="591">
    <w:nsid w:val="64C2DDD5"/>
    <w:multiLevelType w:val="hybridMultilevel"/>
    <w:lvl w:ilvl="0">
      <w:lvlJc w:val="left"/>
      <w:lvlText w:val="(%1)"/>
      <w:numFmt w:val="lowerLetter"/>
      <w:start w:val="1"/>
    </w:lvl>
  </w:abstractNum>
  <w:abstractNum w:abstractNumId="592">
    <w:nsid w:val="4244B8DE"/>
    <w:multiLevelType w:val="hybridMultilevel"/>
    <w:lvl w:ilvl="0">
      <w:lvlJc w:val="left"/>
      <w:lvlText w:val="%1"/>
      <w:numFmt w:val="lowerLetter"/>
      <w:start w:val="1"/>
    </w:lvl>
    <w:lvl w:ilvl="1">
      <w:lvlJc w:val="left"/>
      <w:lvlText w:val="(%2)"/>
      <w:numFmt w:val="lowerLetter"/>
      <w:start w:val="2"/>
    </w:lvl>
  </w:abstractNum>
  <w:abstractNum w:abstractNumId="593">
    <w:nsid w:val="76490B01"/>
    <w:multiLevelType w:val="hybridMultilevel"/>
    <w:lvl w:ilvl="0">
      <w:lvlJc w:val="left"/>
      <w:lvlText w:val="(%1)"/>
      <w:numFmt w:val="lowerLetter"/>
      <w:start w:val="3"/>
    </w:lvl>
    <w:lvl w:ilvl="1">
      <w:lvlJc w:val="left"/>
      <w:lvlText w:val="%2"/>
      <w:numFmt w:val="lowerLetter"/>
      <w:start w:val="1"/>
    </w:lvl>
  </w:abstractNum>
  <w:abstractNum w:abstractNumId="594">
    <w:nsid w:val="36B19CBF"/>
    <w:multiLevelType w:val="hybridMultilevel"/>
    <w:lvl w:ilvl="0">
      <w:lvlJc w:val="left"/>
      <w:lvlText w:val="(%1)"/>
      <w:numFmt w:val="lowerLetter"/>
      <w:start w:val="1"/>
    </w:lvl>
  </w:abstractNum>
  <w:abstractNum w:abstractNumId="595">
    <w:nsid w:val="645EC5AB"/>
    <w:multiLevelType w:val="hybridMultilevel"/>
    <w:lvl w:ilvl="0">
      <w:lvlJc w:val="left"/>
      <w:lvlText w:val="(%1)"/>
      <w:numFmt w:val="lowerLetter"/>
      <w:start w:val="1"/>
    </w:lvl>
  </w:abstractNum>
  <w:abstractNum w:abstractNumId="596">
    <w:nsid w:val="11C5ABEF"/>
    <w:multiLevelType w:val="hybridMultilevel"/>
    <w:lvl w:ilvl="0">
      <w:lvlJc w:val="left"/>
      <w:lvlText w:val="(%1)"/>
      <w:numFmt w:val="lowerLetter"/>
      <w:start w:val="1"/>
    </w:lvl>
  </w:abstractNum>
  <w:abstractNum w:abstractNumId="597">
    <w:nsid w:val="5A4744BE"/>
    <w:multiLevelType w:val="hybridMultilevel"/>
    <w:lvl w:ilvl="0">
      <w:lvlJc w:val="left"/>
      <w:lvlText w:val="(%1)"/>
      <w:numFmt w:val="lowerLetter"/>
      <w:start w:val="1"/>
    </w:lvl>
  </w:abstractNum>
  <w:abstractNum w:abstractNumId="598">
    <w:nsid w:val="1DC4B111"/>
    <w:multiLevelType w:val="hybridMultilevel"/>
    <w:lvl w:ilvl="0">
      <w:lvlJc w:val="left"/>
      <w:lvlText w:val="(%1)"/>
      <w:numFmt w:val="lowerRoman"/>
      <w:start w:val="1"/>
    </w:lvl>
  </w:abstractNum>
  <w:abstractNum w:abstractNumId="599">
    <w:nsid w:val="4C6E372B"/>
    <w:multiLevelType w:val="hybridMultilevel"/>
    <w:lvl w:ilvl="0">
      <w:lvlJc w:val="left"/>
      <w:lvlText w:val="(%1)"/>
      <w:numFmt w:val="lowerLetter"/>
      <w:start w:val="2"/>
    </w:lvl>
  </w:abstractNum>
  <w:abstractNum w:abstractNumId="600">
    <w:nsid w:val="10236EF"/>
    <w:multiLevelType w:val="hybridMultilevel"/>
    <w:lvl w:ilvl="0">
      <w:lvlJc w:val="left"/>
      <w:lvlText w:val="(%1)"/>
      <w:numFmt w:val="lowerLetter"/>
      <w:start w:val="3"/>
    </w:lvl>
  </w:abstractNum>
  <w:abstractNum w:abstractNumId="601">
    <w:nsid w:val="68D8526B"/>
    <w:multiLevelType w:val="hybridMultilevel"/>
    <w:lvl w:ilvl="0">
      <w:lvlJc w:val="left"/>
      <w:lvlText w:val="(%1)"/>
      <w:numFmt w:val="lowerLetter"/>
      <w:start w:val="1"/>
    </w:lvl>
    <w:lvl w:ilvl="1">
      <w:lvlJc w:val="left"/>
      <w:lvlText w:val="(%2)"/>
      <w:numFmt w:val="lowerRoman"/>
      <w:start w:val="1"/>
    </w:lvl>
  </w:abstractNum>
  <w:abstractNum w:abstractNumId="602">
    <w:nsid w:val="3C8CC138"/>
    <w:multiLevelType w:val="hybridMultilevel"/>
    <w:lvl w:ilvl="0">
      <w:lvlJc w:val="left"/>
      <w:lvlText w:val="(%1)"/>
      <w:numFmt w:val="lowerLetter"/>
      <w:start w:val="2"/>
    </w:lvl>
  </w:abstractNum>
  <w:abstractNum w:abstractNumId="603">
    <w:nsid w:val="42E8C7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4">
    <w:nsid w:val="653CDC2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605">
    <w:nsid w:val="103B2716"/>
    <w:multiLevelType w:val="hybridMultilevel"/>
    <w:lvl w:ilvl="0">
      <w:lvlJc w:val="left"/>
      <w:lvlText w:val="(%1)"/>
      <w:numFmt w:val="lowerRoman"/>
      <w:start w:val="6"/>
    </w:lvl>
  </w:abstractNum>
  <w:abstractNum w:abstractNumId="606">
    <w:nsid w:val="156827FB"/>
    <w:multiLevelType w:val="hybridMultilevel"/>
    <w:lvl w:ilvl="0">
      <w:lvlJc w:val="left"/>
      <w:lvlText w:val="(%1)"/>
      <w:numFmt w:val="lowerLetter"/>
      <w:start w:val="2"/>
    </w:lvl>
  </w:abstractNum>
  <w:abstractNum w:abstractNumId="607">
    <w:nsid w:val="6350AC35"/>
    <w:multiLevelType w:val="hybridMultilevel"/>
    <w:lvl w:ilvl="0">
      <w:lvlJc w:val="left"/>
      <w:lvlText w:val="(%1)"/>
      <w:numFmt w:val="upperLetter"/>
      <w:start w:val="1"/>
    </w:lvl>
  </w:abstractNum>
  <w:abstractNum w:abstractNumId="608">
    <w:nsid w:val="767725AB"/>
    <w:multiLevelType w:val="hybridMultilevel"/>
    <w:lvl w:ilvl="0">
      <w:lvlJc w:val="left"/>
      <w:lvlText w:val="(%1)"/>
      <w:numFmt w:val="upperLetter"/>
      <w:start w:val="1"/>
    </w:lvl>
    <w:lvl w:ilvl="1">
      <w:lvlJc w:val="left"/>
      <w:lvlText w:val="(%2)"/>
      <w:numFmt w:val="lowerLetter"/>
      <w:start w:val="3"/>
    </w:lvl>
  </w:abstractNum>
  <w:abstractNum w:abstractNumId="609">
    <w:nsid w:val="4748C06A"/>
    <w:multiLevelType w:val="hybridMultilevel"/>
    <w:lvl w:ilvl="0">
      <w:lvlJc w:val="left"/>
      <w:lvlText w:val="(%1)"/>
      <w:numFmt w:val="lowerLetter"/>
      <w:start w:val="4"/>
    </w:lvl>
  </w:abstractNum>
  <w:abstractNum w:abstractNumId="610">
    <w:nsid w:val="254D9EA9"/>
    <w:multiLevelType w:val="hybridMultilevel"/>
    <w:lvl w:ilvl="0">
      <w:lvlJc w:val="left"/>
      <w:lvlText w:val="(%1)"/>
      <w:numFmt w:val="lowerLetter"/>
      <w:start w:val="6"/>
    </w:lvl>
  </w:abstractNum>
  <w:abstractNum w:abstractNumId="611">
    <w:nsid w:val="1FBD3AA3"/>
    <w:multiLevelType w:val="hybridMultilevel"/>
    <w:lvl w:ilvl="0">
      <w:lvlJc w:val="left"/>
      <w:lvlText w:val="(%1)"/>
      <w:numFmt w:val="lowerLetter"/>
      <w:start w:val="1"/>
    </w:lvl>
  </w:abstractNum>
  <w:abstractNum w:abstractNumId="612">
    <w:nsid w:val="18C6B4F2"/>
    <w:multiLevelType w:val="hybridMultilevel"/>
    <w:lvl w:ilvl="0">
      <w:lvlJc w:val="left"/>
      <w:lvlText w:val="(%1)"/>
      <w:numFmt w:val="lowerLetter"/>
      <w:start w:val="2"/>
    </w:lvl>
  </w:abstractNum>
  <w:abstractNum w:abstractNumId="613">
    <w:nsid w:val="40BAD55"/>
    <w:multiLevelType w:val="hybridMultilevel"/>
    <w:lvl w:ilvl="0">
      <w:lvlJc w:val="left"/>
      <w:lvlText w:val="(%1)"/>
      <w:numFmt w:val="lowerLetter"/>
      <w:start w:val="3"/>
    </w:lvl>
    <w:lvl w:ilvl="1">
      <w:lvlJc w:val="left"/>
      <w:lvlText w:val="(%2)"/>
      <w:numFmt w:val="lowerRoman"/>
      <w:start w:val="1"/>
    </w:lvl>
  </w:abstractNum>
  <w:abstractNum w:abstractNumId="614">
    <w:nsid w:val="E5B2573"/>
    <w:multiLevelType w:val="hybridMultilevel"/>
    <w:lvl w:ilvl="0">
      <w:lvlJc w:val="left"/>
      <w:lvlText w:val="(%1)"/>
      <w:numFmt w:val="lowerRoman"/>
      <w:start w:val="5"/>
    </w:lvl>
  </w:abstractNum>
  <w:abstractNum w:abstractNumId="615">
    <w:nsid w:val="5D175EF2"/>
    <w:multiLevelType w:val="hybridMultilevel"/>
    <w:lvl w:ilvl="0">
      <w:lvlJc w:val="left"/>
      <w:lvlText w:val="(%1)"/>
      <w:numFmt w:val="lowerLetter"/>
      <w:start w:val="5"/>
    </w:lvl>
  </w:abstractNum>
  <w:abstractNum w:abstractNumId="616">
    <w:nsid w:val="4ED5A137"/>
    <w:multiLevelType w:val="hybridMultilevel"/>
    <w:lvl w:ilvl="0">
      <w:lvlJc w:val="left"/>
      <w:lvlText w:val="(%1)"/>
      <w:numFmt w:val="lowerLetter"/>
      <w:start w:val="1"/>
    </w:lvl>
  </w:abstractNum>
  <w:abstractNum w:abstractNumId="617">
    <w:nsid w:val="1B1BCCF5"/>
    <w:multiLevelType w:val="hybridMultilevel"/>
    <w:lvl w:ilvl="0">
      <w:lvlJc w:val="left"/>
      <w:lvlText w:val="(%1)"/>
      <w:numFmt w:val="lowerLetter"/>
      <w:start w:val="4"/>
    </w:lvl>
  </w:abstractNum>
  <w:abstractNum w:abstractNumId="618">
    <w:nsid w:val="56CDFABB"/>
    <w:multiLevelType w:val="hybridMultilevel"/>
    <w:lvl w:ilvl="0">
      <w:lvlJc w:val="left"/>
      <w:lvlText w:val="(%1)"/>
      <w:numFmt w:val="lowerLetter"/>
      <w:start w:val="3"/>
    </w:lvl>
  </w:abstractNum>
  <w:abstractNum w:abstractNumId="619">
    <w:nsid w:val="78466DAF"/>
    <w:multiLevelType w:val="hybridMultilevel"/>
    <w:lvl w:ilvl="0">
      <w:lvlJc w:val="left"/>
      <w:lvlText w:val="(%1)"/>
      <w:numFmt w:val="lowerLetter"/>
      <w:start w:val="1"/>
    </w:lvl>
  </w:abstractNum>
  <w:abstractNum w:abstractNumId="620">
    <w:nsid w:val="64E5E036"/>
    <w:multiLevelType w:val="hybridMultilevel"/>
    <w:lvl w:ilvl="0">
      <w:lvlJc w:val="left"/>
      <w:lvlText w:val="(%1)"/>
      <w:numFmt w:val="lowerLetter"/>
      <w:start w:val="1"/>
    </w:lvl>
  </w:abstractNum>
  <w:abstractNum w:abstractNumId="621">
    <w:nsid w:val="5C5B6C3A"/>
    <w:multiLevelType w:val="hybridMultilevel"/>
    <w:lvl w:ilvl="0">
      <w:lvlJc w:val="left"/>
      <w:lvlText w:val="(%1)"/>
      <w:numFmt w:val="lowerLetter"/>
      <w:start w:val="2"/>
    </w:lvl>
  </w:abstractNum>
  <w:abstractNum w:abstractNumId="622">
    <w:nsid w:val="5D094B84"/>
    <w:multiLevelType w:val="hybridMultilevel"/>
    <w:lvl w:ilvl="0">
      <w:lvlJc w:val="left"/>
      <w:lvlText w:val="(%1)"/>
      <w:numFmt w:val="upperLetter"/>
      <w:start w:val="3"/>
    </w:lvl>
  </w:abstractNum>
  <w:abstractNum w:abstractNumId="623">
    <w:nsid w:val="272A9914"/>
    <w:multiLevelType w:val="hybridMultilevel"/>
    <w:lvl w:ilvl="0">
      <w:lvlJc w:val="left"/>
      <w:lvlText w:val="(%1)"/>
      <w:numFmt w:val="upperLetter"/>
      <w:start w:val="1"/>
    </w:lvl>
  </w:abstractNum>
  <w:abstractNum w:abstractNumId="624">
    <w:nsid w:val="52A4773B"/>
    <w:multiLevelType w:val="hybridMultilevel"/>
    <w:lvl w:ilvl="0">
      <w:lvlJc w:val="left"/>
      <w:lvlText w:val="(%1)"/>
      <w:numFmt w:val="lowerRoman"/>
      <w:start w:val="4"/>
    </w:lvl>
  </w:abstractNum>
  <w:abstractNum w:abstractNumId="625">
    <w:nsid w:val="13BAE843"/>
    <w:multiLevelType w:val="hybridMultilevel"/>
    <w:lvl w:ilvl="0">
      <w:lvlJc w:val="left"/>
      <w:lvlText w:val="(%1)"/>
      <w:numFmt w:val="upperLetter"/>
      <w:start w:val="2"/>
    </w:lvl>
    <w:lvl w:ilvl="1">
      <w:lvlJc w:val="left"/>
      <w:lvlText w:val="(%2)"/>
      <w:numFmt w:val="lowerRoman"/>
      <w:start w:val="1"/>
    </w:lvl>
  </w:abstractNum>
  <w:abstractNum w:abstractNumId="626">
    <w:nsid w:val="B895EBF"/>
    <w:multiLevelType w:val="hybridMultilevel"/>
    <w:lvl w:ilvl="0">
      <w:lvlJc w:val="left"/>
      <w:lvlText w:val="%1."/>
      <w:numFmt w:val="decimal"/>
      <w:start w:val="1"/>
    </w:lvl>
    <w:lvl w:ilvl="1">
      <w:lvlJc w:val="left"/>
      <w:lvlText w:val="%2."/>
      <w:numFmt w:val="lowerLetter"/>
      <w:start w:val="1"/>
    </w:lvl>
  </w:abstractNum>
  <w:abstractNum w:abstractNumId="627">
    <w:nsid w:val="646A232A"/>
    <w:multiLevelType w:val="hybridMultilevel"/>
    <w:lvl w:ilvl="0">
      <w:lvlJc w:val="left"/>
      <w:lvlText w:val="%1."/>
      <w:numFmt w:val="decimal"/>
      <w:start w:val="1"/>
    </w:lvl>
    <w:lvl w:ilvl="1">
      <w:lvlJc w:val="left"/>
      <w:lvlText w:val="%2."/>
      <w:numFmt w:val="lowerLetter"/>
      <w:start w:val="1"/>
    </w:lvl>
  </w:abstractNum>
  <w:abstractNum w:abstractNumId="628">
    <w:nsid w:val="6E022D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2019-12-29T14:56:34Z</dcterms:created>
  <dcterms:modified xsi:type="dcterms:W3CDTF">2019-12-29T14:56:34Z</dcterms:modified>
</cp:coreProperties>
</file>