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MADDOX MATT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9716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7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$0.01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21,645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112.94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428,870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$0.01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28,355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113.42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400,515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$0.01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5,966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112.83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394,549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were effected by the reporting person, pursuant to their Rule 10b5-1 trading plan, adopted December 16,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$112.56 and $113.24. The reporting person, upon request by the staff of the SEC, of Wynn Resorts, Limited (the "Company") or by a security holder of the Company, undertakes to provide further information regarding the number of securities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$113.25 and $113.91. The reporting person, upon request by the staff of the SEC, the Company or by a security holder of the Company, undertakes to provide further information regarding the number of securities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December 31, 2020 and January 1, 2021, 32,071 and 15,000 restricted shares, respectively, of common stock, par value $0.01 per share, of the Company, vested in full. The transaction reported here represents shares withheld to satisfy tax withholding obligations upon the vesting of restricted stock on January 1, 2021.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95587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2021-01-04T18:18:44Z</dcterms:created>
  <dcterms:modified xsi:type="dcterms:W3CDTF">2021-01-04T18:18:44Z</dcterms:modified>
</cp:coreProperties>
</file>