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Wynn Resorts,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983134107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International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8,022,231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8,022,231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8,022,231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72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Wynn Resorts, Ltd.</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3131 Las Vegas Boulevard South, Las Vegas, NV 89109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right="678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International Investors</w:t>
      </w:r>
    </w:p>
    <w:p>
      <w:pPr>
        <w:spacing w:after="0" w:line="45" w:lineRule="exact"/>
        <w:rPr>
          <w:rFonts w:ascii="Times New Roman" w:cs="Times New Roman" w:eastAsia="Times New Roman" w:hAnsi="Times New Roman"/>
          <w:sz w:val="21"/>
          <w:szCs w:val="21"/>
          <w:b w:val="1"/>
          <w:bCs w:val="1"/>
          <w:color w:val="auto"/>
        </w:rPr>
      </w:pPr>
    </w:p>
    <w:p>
      <w:pPr>
        <w:ind w:left="1620" w:right="400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983134107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8,022,231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7.1%</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8,022,231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8,022,231</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400"/>
        <w:spacing w:after="0" w:line="259" w:lineRule="auto"/>
        <w:rPr>
          <w:sz w:val="20"/>
          <w:szCs w:val="20"/>
          <w:color w:val="auto"/>
        </w:rPr>
      </w:pPr>
      <w:r>
        <w:rPr>
          <w:rFonts w:ascii="Times New Roman" w:cs="Times New Roman" w:eastAsia="Times New Roman" w:hAnsi="Times New Roman"/>
          <w:sz w:val="22"/>
          <w:szCs w:val="22"/>
          <w:color w:val="auto"/>
        </w:rPr>
        <w:t>"Capital International Investors." CII is deemed to be the beneficial owner of 8,022,231 shares or 7.1% of the 113,313,591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Washington Mutual Investors Fund</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6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Jae Won Chung</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Jae Won Chung</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Vice President and Associate Counsel, Fund Business Management Group, Capital Research and Management Company</w:t>
      </w:r>
    </w:p>
    <w:sectPr>
      <w:pgSz w:w="11900" w:h="16838" w:orient="portrait"/>
      <w:cols w:equalWidth="0" w:num="1">
        <w:col w:w="9500"/>
      </w:cols>
      <w:pgMar w:left="1440" w:top="405"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2023-02-13T15:18:58Z</dcterms:created>
  <dcterms:modified xsi:type="dcterms:W3CDTF">2023-02-13T15:18:58Z</dcterms:modified>
</cp:coreProperties>
</file>