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w:t>
      </w:r>
    </w:p>
    <w:p>
      <w:pPr>
        <w:spacing w:after="0" w:line="20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September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7" w:lineRule="exact"/>
        <w:rPr>
          <w:sz w:val="24"/>
          <w:szCs w:val="24"/>
          <w:color w:val="auto"/>
        </w:rPr>
      </w:pPr>
    </w:p>
    <w:p>
      <w:pPr>
        <w:ind w:left="8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13d-1(b)</w:t>
      </w:r>
    </w:p>
    <w:p>
      <w:pPr>
        <w:spacing w:after="0" w:line="58"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XRule 13d-1(c)</w:t>
      </w:r>
    </w:p>
    <w:p>
      <w:pPr>
        <w:spacing w:after="0" w:line="7" w:lineRule="exact"/>
        <w:rPr>
          <w:sz w:val="24"/>
          <w:szCs w:val="24"/>
          <w:color w:val="auto"/>
        </w:rPr>
      </w:pPr>
    </w:p>
    <w:p>
      <w:pPr>
        <w:ind w:left="8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4"/>
          <w:szCs w:val="24"/>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869315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 w:name="page2"/>
    <w:bookmarkEnd w:id="1"/>
    <w:p>
      <w:pPr>
        <w:spacing w:after="0"/>
        <w:tabs>
          <w:tab w:leader="none" w:pos="5540" w:val="left"/>
          <w:tab w:leader="none" w:pos="10080" w:val="left"/>
        </w:tabs>
        <w:rPr>
          <w:sz w:val="20"/>
          <w:szCs w:val="20"/>
          <w:color w:val="auto"/>
        </w:rPr>
      </w:pPr>
      <w:r>
        <w:rPr>
          <w:rFonts w:ascii="Times New Roman" w:cs="Times New Roman" w:eastAsia="Times New Roman" w:hAnsi="Times New Roman"/>
          <w:sz w:val="18"/>
          <w:szCs w:val="18"/>
          <w:b w:val="1"/>
          <w:bCs w:val="1"/>
          <w:color w:val="auto"/>
        </w:rPr>
        <w:t>CUSIP No. 983134107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2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880" w:type="dxa"/>
            <w:vAlign w:val="bottom"/>
            <w:tcBorders>
              <w:top w:val="single" w:sz="8" w:color="auto"/>
              <w:left w:val="single" w:sz="8" w:color="auto"/>
              <w:right w:val="single" w:sz="8" w:color="auto"/>
            </w:tcBorders>
          </w:tcPr>
          <w:p>
            <w:pPr>
              <w:ind w:left="40"/>
              <w:spacing w:after="0" w:line="245" w:lineRule="exact"/>
              <w:rPr>
                <w:sz w:val="20"/>
                <w:szCs w:val="20"/>
                <w:color w:val="auto"/>
              </w:rPr>
            </w:pPr>
            <w:r>
              <w:rPr>
                <w:rFonts w:ascii="Times New Roman" w:cs="Times New Roman" w:eastAsia="Times New Roman" w:hAnsi="Times New Roman"/>
                <w:sz w:val="25"/>
                <w:szCs w:val="25"/>
                <w:b w:val="1"/>
                <w:bCs w:val="1"/>
                <w:color w:val="auto"/>
              </w:rPr>
              <w:t>1</w:t>
            </w:r>
          </w:p>
        </w:tc>
        <w:tc>
          <w:tcPr>
            <w:tcW w:w="8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880" w:type="dxa"/>
            <w:vAlign w:val="bottom"/>
            <w:tcBorders>
              <w:left w:val="single" w:sz="8" w:color="auto"/>
              <w:right w:val="single" w:sz="8" w:color="auto"/>
            </w:tcBorders>
          </w:tcPr>
          <w:p>
            <w:pPr>
              <w:spacing w:after="0"/>
              <w:rPr>
                <w:sz w:val="20"/>
                <w:szCs w:val="20"/>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Lone Pine Capital LLC</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8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gridSpan w:val="2"/>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Times New Roman" w:cs="Times New Roman" w:eastAsia="Times New Roman" w:hAnsi="Times New Roman"/>
                <w:sz w:val="25"/>
                <w:szCs w:val="25"/>
                <w:b w:val="1"/>
                <w:bCs w:val="1"/>
                <w:color w:val="auto"/>
              </w:rPr>
              <w:t>2</w:t>
            </w:r>
          </w:p>
        </w:tc>
        <w:tc>
          <w:tcPr>
            <w:tcW w:w="83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Borders>
              <w:right w:val="single" w:sz="8" w:color="auto"/>
            </w:tcBorders>
          </w:tcPr>
          <w:p>
            <w:pPr>
              <w:spacing w:after="0" w:line="23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7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5"/>
                <w:szCs w:val="25"/>
                <w:b w:val="1"/>
                <w:bCs w:val="1"/>
                <w:color w:val="auto"/>
              </w:rPr>
              <w:t>3</w:t>
            </w:r>
          </w:p>
        </w:tc>
        <w:tc>
          <w:tcPr>
            <w:tcW w:w="8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Times New Roman" w:cs="Times New Roman" w:eastAsia="Times New Roman" w:hAnsi="Times New Roman"/>
                <w:sz w:val="25"/>
                <w:szCs w:val="25"/>
                <w:b w:val="1"/>
                <w:bCs w:val="1"/>
                <w:color w:val="auto"/>
              </w:rPr>
              <w:t>4</w:t>
            </w: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22"/>
                <w:szCs w:val="22"/>
                <w:b w:val="1"/>
                <w:bCs w:val="1"/>
                <w:color w:val="auto"/>
              </w:rPr>
              <w:t>5</w:t>
            </w:r>
          </w:p>
        </w:tc>
        <w:tc>
          <w:tcPr>
            <w:tcW w:w="1340" w:type="dxa"/>
            <w:vAlign w:val="bottom"/>
            <w:tcBorders>
              <w:right w:val="single" w:sz="8" w:color="auto"/>
            </w:tcBorders>
          </w:tcPr>
          <w:p>
            <w:pPr>
              <w:spacing w:after="0"/>
              <w:rPr>
                <w:sz w:val="17"/>
                <w:szCs w:val="17"/>
                <w:color w:val="auto"/>
              </w:rPr>
            </w:pPr>
          </w:p>
        </w:tc>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880" w:type="dxa"/>
            <w:vAlign w:val="bottom"/>
            <w:tcBorders>
              <w:left w:val="single" w:sz="8" w:color="auto"/>
              <w:right w:val="single" w:sz="8" w:color="auto"/>
            </w:tcBorders>
            <w:vMerge w:val="continue"/>
          </w:tcPr>
          <w:p>
            <w:pPr>
              <w:spacing w:after="0"/>
              <w:rPr>
                <w:sz w:val="8"/>
                <w:szCs w:val="8"/>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25"/>
                <w:szCs w:val="25"/>
                <w:b w:val="1"/>
                <w:bCs w:val="1"/>
                <w:color w:val="auto"/>
              </w:rPr>
              <w:t>6</w:t>
            </w:r>
          </w:p>
        </w:tc>
        <w:tc>
          <w:tcPr>
            <w:tcW w:w="1340" w:type="dxa"/>
            <w:vAlign w:val="bottom"/>
            <w:tcBorders>
              <w:right w:val="single" w:sz="8" w:color="auto"/>
            </w:tcBorders>
          </w:tcPr>
          <w:p>
            <w:pPr>
              <w:spacing w:after="0"/>
              <w:rPr>
                <w:sz w:val="8"/>
                <w:szCs w:val="8"/>
                <w:color w:val="auto"/>
              </w:rPr>
            </w:pPr>
          </w:p>
        </w:tc>
        <w:tc>
          <w:tcPr>
            <w:tcW w:w="674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740" w:type="dxa"/>
            <w:vAlign w:val="bottom"/>
            <w:vMerge w:val="continue"/>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5,955,497 shares of Common Stock</w:t>
            </w: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74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Times New Roman" w:cs="Times New Roman" w:eastAsia="Times New Roman" w:hAnsi="Times New Roman"/>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880" w:type="dxa"/>
            <w:vAlign w:val="bottom"/>
            <w:tcBorders>
              <w:left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EACH</w:t>
            </w:r>
          </w:p>
        </w:tc>
        <w:tc>
          <w:tcPr>
            <w:tcW w:w="240" w:type="dxa"/>
            <w:vAlign w:val="bottom"/>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740" w:type="dxa"/>
            <w:vAlign w:val="bottom"/>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Times New Roman" w:cs="Times New Roman" w:eastAsia="Times New Roman" w:hAnsi="Times New Roman"/>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88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740" w:type="dxa"/>
            <w:vAlign w:val="bottom"/>
            <w:vMerge w:val="continue"/>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740" w:type="dxa"/>
            <w:vAlign w:val="bottom"/>
            <w:tcBorders>
              <w:bottom w:val="single" w:sz="8" w:color="auto"/>
            </w:tcBorders>
          </w:tcPr>
          <w:p>
            <w:pPr>
              <w:ind w:left="320"/>
              <w:spacing w:after="0" w:line="202" w:lineRule="exact"/>
              <w:rPr>
                <w:sz w:val="20"/>
                <w:szCs w:val="20"/>
                <w:color w:val="auto"/>
              </w:rPr>
            </w:pPr>
            <w:r>
              <w:rPr>
                <w:rFonts w:ascii="Times New Roman" w:cs="Times New Roman" w:eastAsia="Times New Roman" w:hAnsi="Times New Roman"/>
                <w:sz w:val="18"/>
                <w:szCs w:val="18"/>
                <w:color w:val="auto"/>
              </w:rPr>
              <w:t>5,955,497 shares of Common Stock</w:t>
            </w: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Times New Roman" w:cs="Times New Roman" w:eastAsia="Times New Roman" w:hAnsi="Times New Roman"/>
                <w:sz w:val="25"/>
                <w:szCs w:val="25"/>
                <w:b w:val="1"/>
                <w:bCs w:val="1"/>
                <w:color w:val="auto"/>
              </w:rPr>
              <w:t>9</w:t>
            </w: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5,955,497 shares of Common Stock</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8"/>
                <w:szCs w:val="18"/>
                <w:b w:val="1"/>
                <w:bCs w:val="1"/>
                <w:color w:val="auto"/>
              </w:rPr>
              <w:t>10</w:t>
            </w:r>
          </w:p>
        </w:tc>
        <w:tc>
          <w:tcPr>
            <w:tcW w:w="832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72"/>
        </w:trPr>
        <w:tc>
          <w:tcPr>
            <w:tcW w:w="1880" w:type="dxa"/>
            <w:vAlign w:val="bottom"/>
            <w:tcBorders>
              <w:left w:val="single" w:sz="8" w:color="auto"/>
              <w:right w:val="single" w:sz="8" w:color="auto"/>
            </w:tcBorders>
          </w:tcPr>
          <w:p>
            <w:pPr>
              <w:spacing w:after="0"/>
              <w:rPr>
                <w:sz w:val="6"/>
                <w:szCs w:val="6"/>
                <w:color w:val="auto"/>
              </w:rPr>
            </w:pPr>
          </w:p>
        </w:tc>
        <w:tc>
          <w:tcPr>
            <w:tcW w:w="8320" w:type="dxa"/>
            <w:vAlign w:val="bottom"/>
            <w:tcBorders>
              <w:right w:val="single" w:sz="8" w:color="auto"/>
            </w:tcBorders>
            <w:gridSpan w:val="3"/>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8320" w:type="dxa"/>
            <w:vAlign w:val="bottom"/>
            <w:tcBorders>
              <w:bottom w:val="single" w:sz="8" w:color="auto"/>
              <w:right w:val="single" w:sz="8" w:color="auto"/>
            </w:tcBorders>
            <w:gridSpan w:val="3"/>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Times New Roman" w:cs="Times New Roman" w:eastAsia="Times New Roman" w:hAnsi="Times New Roman"/>
                <w:sz w:val="25"/>
                <w:szCs w:val="25"/>
                <w:b w:val="1"/>
                <w:bCs w:val="1"/>
                <w:color w:val="auto"/>
              </w:rPr>
              <w:t>11</w:t>
            </w: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5.4%</w:t>
            </w:r>
          </w:p>
        </w:tc>
        <w:tc>
          <w:tcPr>
            <w:tcW w:w="67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Times New Roman" w:cs="Times New Roman" w:eastAsia="Times New Roman" w:hAnsi="Times New Roman"/>
                <w:sz w:val="23"/>
                <w:szCs w:val="23"/>
                <w:b w:val="1"/>
                <w:bCs w:val="1"/>
                <w:color w:val="auto"/>
              </w:rPr>
              <w:t>12</w:t>
            </w:r>
          </w:p>
        </w:tc>
        <w:tc>
          <w:tcPr>
            <w:tcW w:w="83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TYPE OF REPORTING PERSON</w:t>
            </w: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2" w:name="page3"/>
    <w:bookmarkEnd w:id="2"/>
    <w:p>
      <w:pPr>
        <w:spacing w:after="0"/>
        <w:tabs>
          <w:tab w:leader="none" w:pos="5540" w:val="left"/>
          <w:tab w:leader="none" w:pos="10080" w:val="left"/>
        </w:tabs>
        <w:rPr>
          <w:sz w:val="20"/>
          <w:szCs w:val="20"/>
          <w:color w:val="auto"/>
        </w:rPr>
      </w:pPr>
      <w:r>
        <w:rPr>
          <w:rFonts w:ascii="Times New Roman" w:cs="Times New Roman" w:eastAsia="Times New Roman" w:hAnsi="Times New Roman"/>
          <w:sz w:val="18"/>
          <w:szCs w:val="18"/>
          <w:b w:val="1"/>
          <w:bCs w:val="1"/>
          <w:color w:val="auto"/>
        </w:rPr>
        <w:t>CUSIP No. 983134107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880" w:type="dxa"/>
            <w:vAlign w:val="bottom"/>
            <w:tcBorders>
              <w:top w:val="single" w:sz="8" w:color="auto"/>
              <w:left w:val="single" w:sz="8" w:color="auto"/>
              <w:right w:val="single" w:sz="8" w:color="auto"/>
            </w:tcBorders>
          </w:tcPr>
          <w:p>
            <w:pPr>
              <w:ind w:left="40"/>
              <w:spacing w:after="0" w:line="245" w:lineRule="exact"/>
              <w:rPr>
                <w:sz w:val="20"/>
                <w:szCs w:val="20"/>
                <w:color w:val="auto"/>
              </w:rPr>
            </w:pPr>
            <w:r>
              <w:rPr>
                <w:rFonts w:ascii="Times New Roman" w:cs="Times New Roman" w:eastAsia="Times New Roman" w:hAnsi="Times New Roman"/>
                <w:sz w:val="25"/>
                <w:szCs w:val="25"/>
                <w:b w:val="1"/>
                <w:bCs w:val="1"/>
                <w:color w:val="auto"/>
              </w:rPr>
              <w:t>1</w:t>
            </w:r>
          </w:p>
        </w:tc>
        <w:tc>
          <w:tcPr>
            <w:tcW w:w="8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2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880" w:type="dxa"/>
            <w:vAlign w:val="bottom"/>
            <w:tcBorders>
              <w:left w:val="single" w:sz="8" w:color="auto"/>
              <w:right w:val="single" w:sz="8" w:color="auto"/>
            </w:tcBorders>
          </w:tcPr>
          <w:p>
            <w:pPr>
              <w:spacing w:after="0"/>
              <w:rPr>
                <w:sz w:val="20"/>
                <w:szCs w:val="20"/>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F. Mandel, Jr.</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80" w:type="dxa"/>
            <w:vAlign w:val="bottom"/>
            <w:tcBorders>
              <w:left w:val="single" w:sz="8" w:color="auto"/>
              <w:bottom w:val="single" w:sz="8" w:color="auto"/>
              <w:right w:val="single" w:sz="8" w:color="auto"/>
            </w:tcBorders>
          </w:tcPr>
          <w:p>
            <w:pPr>
              <w:spacing w:after="0"/>
              <w:rPr>
                <w:sz w:val="17"/>
                <w:szCs w:val="17"/>
                <w:color w:val="auto"/>
              </w:rPr>
            </w:pPr>
          </w:p>
        </w:tc>
        <w:tc>
          <w:tcPr>
            <w:tcW w:w="1580" w:type="dxa"/>
            <w:vAlign w:val="bottom"/>
            <w:tcBorders>
              <w:bottom w:val="single" w:sz="8" w:color="auto"/>
            </w:tcBorders>
            <w:gridSpan w:val="2"/>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880" w:type="dxa"/>
            <w:vAlign w:val="bottom"/>
            <w:tcBorders>
              <w:left w:val="single" w:sz="8" w:color="auto"/>
              <w:right w:val="single" w:sz="8" w:color="auto"/>
            </w:tcBorders>
          </w:tcPr>
          <w:p>
            <w:pPr>
              <w:ind w:left="40"/>
              <w:spacing w:after="0" w:line="233" w:lineRule="exact"/>
              <w:rPr>
                <w:sz w:val="20"/>
                <w:szCs w:val="20"/>
                <w:color w:val="auto"/>
              </w:rPr>
            </w:pPr>
            <w:r>
              <w:rPr>
                <w:rFonts w:ascii="Times New Roman" w:cs="Times New Roman" w:eastAsia="Times New Roman" w:hAnsi="Times New Roman"/>
                <w:sz w:val="25"/>
                <w:szCs w:val="25"/>
                <w:b w:val="1"/>
                <w:bCs w:val="1"/>
                <w:color w:val="auto"/>
              </w:rPr>
              <w:t>2</w:t>
            </w:r>
          </w:p>
        </w:tc>
        <w:tc>
          <w:tcPr>
            <w:tcW w:w="83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Borders>
              <w:right w:val="single" w:sz="8" w:color="auto"/>
            </w:tcBorders>
          </w:tcPr>
          <w:p>
            <w:pPr>
              <w:spacing w:after="0" w:line="23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68"/>
        </w:trPr>
        <w:tc>
          <w:tcPr>
            <w:tcW w:w="1880" w:type="dxa"/>
            <w:vAlign w:val="bottom"/>
            <w:tcBorders>
              <w:left w:val="single" w:sz="8" w:color="auto"/>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7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304"/>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5"/>
                <w:szCs w:val="25"/>
                <w:b w:val="1"/>
                <w:bCs w:val="1"/>
                <w:color w:val="auto"/>
              </w:rPr>
              <w:t>3</w:t>
            </w:r>
          </w:p>
        </w:tc>
        <w:tc>
          <w:tcPr>
            <w:tcW w:w="8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Times New Roman" w:cs="Times New Roman" w:eastAsia="Times New Roman" w:hAnsi="Times New Roman"/>
                <w:sz w:val="25"/>
                <w:szCs w:val="25"/>
                <w:b w:val="1"/>
                <w:bCs w:val="1"/>
                <w:color w:val="auto"/>
              </w:rPr>
              <w:t>4</w:t>
            </w: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line="198" w:lineRule="exact"/>
              <w:rPr>
                <w:sz w:val="20"/>
                <w:szCs w:val="20"/>
                <w:color w:val="auto"/>
              </w:rPr>
            </w:pPr>
            <w:r>
              <w:rPr>
                <w:rFonts w:ascii="Times New Roman" w:cs="Times New Roman" w:eastAsia="Times New Roman" w:hAnsi="Times New Roman"/>
                <w:sz w:val="22"/>
                <w:szCs w:val="22"/>
                <w:b w:val="1"/>
                <w:bCs w:val="1"/>
                <w:color w:val="auto"/>
              </w:rPr>
              <w:t>5</w:t>
            </w:r>
          </w:p>
        </w:tc>
        <w:tc>
          <w:tcPr>
            <w:tcW w:w="1340" w:type="dxa"/>
            <w:vAlign w:val="bottom"/>
            <w:tcBorders>
              <w:right w:val="single" w:sz="8" w:color="auto"/>
            </w:tcBorders>
          </w:tcPr>
          <w:p>
            <w:pPr>
              <w:spacing w:after="0"/>
              <w:rPr>
                <w:sz w:val="17"/>
                <w:szCs w:val="17"/>
                <w:color w:val="auto"/>
              </w:rPr>
            </w:pPr>
          </w:p>
        </w:tc>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880" w:type="dxa"/>
            <w:vAlign w:val="bottom"/>
            <w:tcBorders>
              <w:left w:val="single" w:sz="8" w:color="auto"/>
              <w:right w:val="single" w:sz="8" w:color="auto"/>
            </w:tcBorders>
            <w:vMerge w:val="continue"/>
          </w:tcPr>
          <w:p>
            <w:pPr>
              <w:spacing w:after="0"/>
              <w:rPr>
                <w:sz w:val="8"/>
                <w:szCs w:val="8"/>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25"/>
                <w:szCs w:val="25"/>
                <w:b w:val="1"/>
                <w:bCs w:val="1"/>
                <w:color w:val="auto"/>
              </w:rPr>
              <w:t>6</w:t>
            </w:r>
          </w:p>
        </w:tc>
        <w:tc>
          <w:tcPr>
            <w:tcW w:w="1340" w:type="dxa"/>
            <w:vAlign w:val="bottom"/>
            <w:tcBorders>
              <w:right w:val="single" w:sz="8" w:color="auto"/>
            </w:tcBorders>
          </w:tcPr>
          <w:p>
            <w:pPr>
              <w:spacing w:after="0"/>
              <w:rPr>
                <w:sz w:val="8"/>
                <w:szCs w:val="8"/>
                <w:color w:val="auto"/>
              </w:rPr>
            </w:pPr>
          </w:p>
        </w:tc>
        <w:tc>
          <w:tcPr>
            <w:tcW w:w="674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40" w:type="dxa"/>
            <w:vAlign w:val="bottom"/>
            <w:vMerge w:val="continue"/>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740" w:type="dxa"/>
            <w:vAlign w:val="bottom"/>
            <w:vMerge w:val="continue"/>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80" w:type="dxa"/>
            <w:vAlign w:val="bottom"/>
            <w:tcBorders>
              <w:left w:val="single" w:sz="8" w:color="auto"/>
              <w:right w:val="single" w:sz="8" w:color="auto"/>
            </w:tcBorders>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5,955,497 shares of Common Stock</w:t>
            </w: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674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8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vMerge w:val="restart"/>
          </w:tcPr>
          <w:p>
            <w:pPr>
              <w:spacing w:after="0" w:line="217" w:lineRule="exact"/>
              <w:rPr>
                <w:sz w:val="20"/>
                <w:szCs w:val="20"/>
                <w:color w:val="auto"/>
              </w:rPr>
            </w:pPr>
            <w:r>
              <w:rPr>
                <w:rFonts w:ascii="Times New Roman" w:cs="Times New Roman" w:eastAsia="Times New Roman" w:hAnsi="Times New Roman"/>
                <w:sz w:val="25"/>
                <w:szCs w:val="25"/>
                <w:b w:val="1"/>
                <w:bCs w:val="1"/>
                <w:color w:val="auto"/>
              </w:rPr>
              <w:t>7</w:t>
            </w:r>
          </w:p>
        </w:tc>
        <w:tc>
          <w:tcPr>
            <w:tcW w:w="1340" w:type="dxa"/>
            <w:vAlign w:val="bottom"/>
            <w:tcBorders>
              <w:right w:val="single" w:sz="8" w:color="auto"/>
            </w:tcBorders>
          </w:tcPr>
          <w:p>
            <w:pPr>
              <w:spacing w:after="0"/>
              <w:rPr>
                <w:sz w:val="6"/>
                <w:szCs w:val="6"/>
                <w:color w:val="auto"/>
              </w:rPr>
            </w:pPr>
          </w:p>
        </w:tc>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880" w:type="dxa"/>
            <w:vAlign w:val="bottom"/>
            <w:tcBorders>
              <w:left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6"/>
                <w:szCs w:val="16"/>
                <w:color w:val="auto"/>
              </w:rPr>
              <w:t>EACH</w:t>
            </w:r>
          </w:p>
        </w:tc>
        <w:tc>
          <w:tcPr>
            <w:tcW w:w="240" w:type="dxa"/>
            <w:vAlign w:val="bottom"/>
            <w:vMerge w:val="continue"/>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6740" w:type="dxa"/>
            <w:vAlign w:val="bottom"/>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6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1880" w:type="dxa"/>
            <w:vAlign w:val="bottom"/>
            <w:tcBorders>
              <w:left w:val="single" w:sz="8" w:color="auto"/>
              <w:right w:val="single" w:sz="8" w:color="auto"/>
            </w:tcBorders>
            <w:vMerge w:val="continue"/>
          </w:tcPr>
          <w:p>
            <w:pPr>
              <w:spacing w:after="0"/>
              <w:rPr>
                <w:sz w:val="4"/>
                <w:szCs w:val="4"/>
                <w:color w:val="auto"/>
              </w:rPr>
            </w:pPr>
          </w:p>
        </w:tc>
        <w:tc>
          <w:tcPr>
            <w:tcW w:w="240" w:type="dxa"/>
            <w:vAlign w:val="bottom"/>
            <w:vMerge w:val="restart"/>
          </w:tcPr>
          <w:p>
            <w:pPr>
              <w:spacing w:after="0" w:line="229" w:lineRule="exact"/>
              <w:rPr>
                <w:sz w:val="20"/>
                <w:szCs w:val="20"/>
                <w:color w:val="auto"/>
              </w:rPr>
            </w:pPr>
            <w:r>
              <w:rPr>
                <w:rFonts w:ascii="Times New Roman" w:cs="Times New Roman" w:eastAsia="Times New Roman" w:hAnsi="Times New Roman"/>
                <w:sz w:val="25"/>
                <w:szCs w:val="25"/>
                <w:b w:val="1"/>
                <w:bCs w:val="1"/>
                <w:color w:val="auto"/>
              </w:rPr>
              <w:t>8</w:t>
            </w:r>
          </w:p>
        </w:tc>
        <w:tc>
          <w:tcPr>
            <w:tcW w:w="1340" w:type="dxa"/>
            <w:vAlign w:val="bottom"/>
            <w:tcBorders>
              <w:right w:val="single" w:sz="8" w:color="auto"/>
            </w:tcBorders>
          </w:tcPr>
          <w:p>
            <w:pPr>
              <w:spacing w:after="0"/>
              <w:rPr>
                <w:sz w:val="4"/>
                <w:szCs w:val="4"/>
                <w:color w:val="auto"/>
              </w:rPr>
            </w:pPr>
          </w:p>
        </w:tc>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88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PERSON WITH:</w:t>
            </w:r>
          </w:p>
        </w:tc>
        <w:tc>
          <w:tcPr>
            <w:tcW w:w="240" w:type="dxa"/>
            <w:vAlign w:val="bottom"/>
            <w:vMerge w:val="continue"/>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6740" w:type="dxa"/>
            <w:vAlign w:val="bottom"/>
            <w:vMerge w:val="continue"/>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740" w:type="dxa"/>
            <w:vAlign w:val="bottom"/>
            <w:tcBorders>
              <w:bottom w:val="single" w:sz="8" w:color="auto"/>
            </w:tcBorders>
          </w:tcPr>
          <w:p>
            <w:pPr>
              <w:ind w:left="320"/>
              <w:spacing w:after="0" w:line="202" w:lineRule="exact"/>
              <w:rPr>
                <w:sz w:val="20"/>
                <w:szCs w:val="20"/>
                <w:color w:val="auto"/>
              </w:rPr>
            </w:pPr>
            <w:r>
              <w:rPr>
                <w:rFonts w:ascii="Times New Roman" w:cs="Times New Roman" w:eastAsia="Times New Roman" w:hAnsi="Times New Roman"/>
                <w:sz w:val="18"/>
                <w:szCs w:val="18"/>
                <w:color w:val="auto"/>
              </w:rPr>
              <w:t>5,955,497 shares of Common Stock</w:t>
            </w: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Times New Roman" w:cs="Times New Roman" w:eastAsia="Times New Roman" w:hAnsi="Times New Roman"/>
                <w:sz w:val="25"/>
                <w:szCs w:val="25"/>
                <w:b w:val="1"/>
                <w:bCs w:val="1"/>
                <w:color w:val="auto"/>
              </w:rPr>
              <w:t>9</w:t>
            </w: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5,955,497 shares of Common Stock</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8"/>
                <w:szCs w:val="18"/>
                <w:b w:val="1"/>
                <w:bCs w:val="1"/>
                <w:color w:val="auto"/>
              </w:rPr>
              <w:t>10</w:t>
            </w:r>
          </w:p>
        </w:tc>
        <w:tc>
          <w:tcPr>
            <w:tcW w:w="832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Borders>
              <w:right w:val="single" w:sz="8" w:color="auto"/>
            </w:tcBorders>
          </w:tcPr>
          <w:p>
            <w:pPr>
              <w:spacing w:after="0" w:line="162" w:lineRule="exact"/>
              <w:rPr>
                <w:sz w:val="20"/>
                <w:szCs w:val="20"/>
                <w:color w:val="auto"/>
              </w:rPr>
            </w:pP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72"/>
        </w:trPr>
        <w:tc>
          <w:tcPr>
            <w:tcW w:w="1880" w:type="dxa"/>
            <w:vAlign w:val="bottom"/>
            <w:tcBorders>
              <w:left w:val="single" w:sz="8" w:color="auto"/>
              <w:right w:val="single" w:sz="8" w:color="auto"/>
            </w:tcBorders>
          </w:tcPr>
          <w:p>
            <w:pPr>
              <w:spacing w:after="0"/>
              <w:rPr>
                <w:sz w:val="6"/>
                <w:szCs w:val="6"/>
                <w:color w:val="auto"/>
              </w:rPr>
            </w:pPr>
          </w:p>
        </w:tc>
        <w:tc>
          <w:tcPr>
            <w:tcW w:w="8320" w:type="dxa"/>
            <w:vAlign w:val="bottom"/>
            <w:tcBorders>
              <w:right w:val="single" w:sz="8" w:color="auto"/>
            </w:tcBorders>
            <w:gridSpan w:val="3"/>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880" w:type="dxa"/>
            <w:vAlign w:val="bottom"/>
            <w:tcBorders>
              <w:left w:val="single" w:sz="8" w:color="auto"/>
              <w:bottom w:val="single" w:sz="8" w:color="auto"/>
              <w:right w:val="single" w:sz="8" w:color="auto"/>
            </w:tcBorders>
          </w:tcPr>
          <w:p>
            <w:pPr>
              <w:spacing w:after="0"/>
              <w:rPr>
                <w:sz w:val="6"/>
                <w:szCs w:val="6"/>
                <w:color w:val="auto"/>
              </w:rPr>
            </w:pPr>
          </w:p>
        </w:tc>
        <w:tc>
          <w:tcPr>
            <w:tcW w:w="8320" w:type="dxa"/>
            <w:vAlign w:val="bottom"/>
            <w:tcBorders>
              <w:bottom w:val="single" w:sz="8" w:color="auto"/>
              <w:right w:val="single" w:sz="8" w:color="auto"/>
            </w:tcBorders>
            <w:gridSpan w:val="3"/>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left w:val="single" w:sz="8" w:color="auto"/>
              <w:right w:val="single" w:sz="8" w:color="auto"/>
            </w:tcBorders>
          </w:tcPr>
          <w:p>
            <w:pPr>
              <w:ind w:left="40"/>
              <w:spacing w:after="0" w:line="217" w:lineRule="exact"/>
              <w:rPr>
                <w:sz w:val="20"/>
                <w:szCs w:val="20"/>
                <w:color w:val="auto"/>
              </w:rPr>
            </w:pPr>
            <w:r>
              <w:rPr>
                <w:rFonts w:ascii="Times New Roman" w:cs="Times New Roman" w:eastAsia="Times New Roman" w:hAnsi="Times New Roman"/>
                <w:sz w:val="25"/>
                <w:szCs w:val="25"/>
                <w:b w:val="1"/>
                <w:bCs w:val="1"/>
                <w:color w:val="auto"/>
              </w:rPr>
              <w:t>11</w:t>
            </w: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5.4%</w:t>
            </w:r>
          </w:p>
        </w:tc>
        <w:tc>
          <w:tcPr>
            <w:tcW w:w="67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880" w:type="dxa"/>
            <w:vAlign w:val="bottom"/>
            <w:tcBorders>
              <w:left w:val="single" w:sz="8" w:color="auto"/>
              <w:right w:val="single" w:sz="8" w:color="auto"/>
            </w:tcBorders>
          </w:tcPr>
          <w:p>
            <w:pPr>
              <w:ind w:left="40"/>
              <w:spacing w:after="0" w:line="201" w:lineRule="exact"/>
              <w:rPr>
                <w:sz w:val="20"/>
                <w:szCs w:val="20"/>
                <w:color w:val="auto"/>
              </w:rPr>
            </w:pPr>
            <w:r>
              <w:rPr>
                <w:rFonts w:ascii="Times New Roman" w:cs="Times New Roman" w:eastAsia="Times New Roman" w:hAnsi="Times New Roman"/>
                <w:sz w:val="23"/>
                <w:szCs w:val="23"/>
                <w:b w:val="1"/>
                <w:bCs w:val="1"/>
                <w:color w:val="auto"/>
              </w:rPr>
              <w:t>12</w:t>
            </w:r>
          </w:p>
        </w:tc>
        <w:tc>
          <w:tcPr>
            <w:tcW w:w="83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TYPE OF REPORTING PERSON</w:t>
            </w: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80" w:type="dxa"/>
            <w:vAlign w:val="bottom"/>
            <w:tcBorders>
              <w:left w:val="single" w:sz="8" w:color="auto"/>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1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25"/>
        </w:trPr>
        <w:tc>
          <w:tcPr>
            <w:tcW w:w="1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983134107</w:t>
            </w:r>
          </w:p>
        </w:tc>
        <w:tc>
          <w:tcPr>
            <w:tcW w:w="30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42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w w:val="98"/>
              </w:rPr>
              <w:t>Page 4 of 8 Pages</w:t>
            </w:r>
          </w:p>
        </w:tc>
      </w:tr>
      <w:tr>
        <w:trPr>
          <w:trHeight w:val="1319"/>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3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4"/>
        </w:trPr>
        <w:tc>
          <w:tcPr>
            <w:tcW w:w="1240" w:type="dxa"/>
            <w:vAlign w:val="bottom"/>
          </w:tcPr>
          <w:p>
            <w:pPr>
              <w:spacing w:after="0"/>
              <w:rPr>
                <w:sz w:val="20"/>
                <w:szCs w:val="20"/>
                <w:color w:val="auto"/>
              </w:rPr>
            </w:pPr>
          </w:p>
        </w:tc>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Wynn Resorts, Limited (the "Issuer")</w:t>
            </w:r>
          </w:p>
        </w:tc>
        <w:tc>
          <w:tcPr>
            <w:tcW w:w="302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3131 Las Vegas Boulevard South</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23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This statement is filed by:</w:t>
      </w:r>
    </w:p>
    <w:p>
      <w:pPr>
        <w:spacing w:after="0" w:line="207" w:lineRule="exact"/>
        <w:rPr>
          <w:sz w:val="20"/>
          <w:szCs w:val="20"/>
          <w:color w:val="auto"/>
        </w:rPr>
      </w:pPr>
    </w:p>
    <w:p>
      <w:pPr>
        <w:jc w:val="both"/>
        <w:ind w:left="1720"/>
        <w:spacing w:after="0" w:line="255" w:lineRule="auto"/>
        <w:rPr>
          <w:sz w:val="20"/>
          <w:szCs w:val="20"/>
          <w:color w:val="auto"/>
        </w:rPr>
      </w:pPr>
      <w:r>
        <w:rPr>
          <w:rFonts w:ascii="Times New Roman" w:cs="Times New Roman" w:eastAsia="Times New Roman" w:hAnsi="Times New Roman"/>
          <w:sz w:val="18"/>
          <w:szCs w:val="18"/>
          <w:color w:val="auto"/>
        </w:rPr>
        <w:t>Lone Pine Capital LLC, a Delaware limited liability company ("Lone Pine Capital"), which serves as investment manager to Lone Spruce, L.P., a Delaware limited partnership ("Lone Spruce"), Lone Cascade, L.P., a Delaware limited partnership ("Lone Cascade"), Lone Sierra, L.P., a Delaware limited partnership ("Lone Sierra"), Lone Tamarack, L.P., a Delaware limited partnership ("Lone Tamarack"), Lone Cypress, Ltd., a Cayman Islands exempted company ("Lone Cypress"), Lone Kauri, Ltd., a Cayman Islands exempted company ("Lone Kauri"), Lone Monterey Master Fund, Ltd., a Cayman Islands exempted company ("Lone Monterey Master Fund"), and Lone Savin Master Fund, Ltd., a Cayman Islands exempted company ("Lone Savin Master Fund", and together with Lone Spruce, Lone Cascade, Lone Sierra, Lone Tamarack, Lone Cypress, Lone Kauri, Lone Monterey Master Fund and Lone Savin Master Fund, the "Lone Pine Funds"), with respect to the Common Stock directly held by each of the Lone Pine Funds; and</w:t>
      </w:r>
    </w:p>
    <w:p>
      <w:pPr>
        <w:spacing w:after="0" w:line="185" w:lineRule="exact"/>
        <w:rPr>
          <w:sz w:val="20"/>
          <w:szCs w:val="20"/>
          <w:color w:val="auto"/>
        </w:rPr>
      </w:pPr>
    </w:p>
    <w:p>
      <w:pPr>
        <w:jc w:val="both"/>
        <w:ind w:left="1720" w:right="20"/>
        <w:spacing w:after="0" w:line="282" w:lineRule="auto"/>
        <w:rPr>
          <w:sz w:val="20"/>
          <w:szCs w:val="20"/>
          <w:color w:val="auto"/>
        </w:rPr>
      </w:pPr>
      <w:r>
        <w:rPr>
          <w:rFonts w:ascii="Times New Roman" w:cs="Times New Roman" w:eastAsia="Times New Roman" w:hAnsi="Times New Roman"/>
          <w:sz w:val="18"/>
          <w:szCs w:val="18"/>
          <w:color w:val="auto"/>
        </w:rPr>
        <w:t>Stephen F. Mandel, Jr. ("Mr. Mandel"), the managing member of Lone Pine Managing Member LLC, which is the Managing Member of Lone Pine Capital, with respect to the Common Stock directly held by each of the Lone Pine Funds.</w:t>
      </w:r>
    </w:p>
    <w:p>
      <w:pPr>
        <w:spacing w:after="0" w:line="162" w:lineRule="exact"/>
        <w:rPr>
          <w:sz w:val="20"/>
          <w:szCs w:val="20"/>
          <w:color w:val="auto"/>
        </w:rPr>
      </w:pPr>
    </w:p>
    <w:p>
      <w:pPr>
        <w:ind w:left="1720" w:right="140"/>
        <w:spacing w:after="0" w:line="313" w:lineRule="auto"/>
        <w:rPr>
          <w:sz w:val="20"/>
          <w:szCs w:val="20"/>
          <w:color w:val="auto"/>
        </w:rPr>
      </w:pPr>
      <w:r>
        <w:rPr>
          <w:rFonts w:ascii="Times New Roman" w:cs="Times New Roman" w:eastAsia="Times New Roman" w:hAnsi="Times New Roman"/>
          <w:sz w:val="17"/>
          <w:szCs w:val="17"/>
          <w:color w:val="auto"/>
        </w:rPr>
        <w:t>The foregoing persons are hereinafter sometimes collectively referred to as the "Reporting Persons". Any disclosures herein with respect to persons other than the Reporting Persons are made on information and belief after making inquiry to the appropriate party.</w:t>
      </w:r>
    </w:p>
    <w:p>
      <w:pPr>
        <w:spacing w:after="0" w:line="377"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3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The address of the business office of each of the Reporting Persons is Two Greenwich Plaza, Greenwich, Connecticut 06830.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8"/>
          <w:szCs w:val="18"/>
          <w:color w:val="auto"/>
        </w:rPr>
        <w:t>Lone Pine Capital is a limited liability company organized under the laws of the State of Delaware. Mr. Mandel is a United States citizen.</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Common stock, $0.01 par value (the "Common Stock")</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983134107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454660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1000" w:space="720"/>
            <w:col w:w="9700"/>
          </w:cols>
          <w:pgMar w:left="240" w:top="333" w:right="239" w:bottom="1440" w:gutter="0" w:footer="0" w:header="0"/>
          <w:type w:val="continuous"/>
        </w:sectPr>
      </w:pPr>
    </w:p>
    <w:bookmarkStart w:id="4" w:name="page5"/>
    <w:bookmarkEnd w:id="4"/>
    <w:p>
      <w:pPr>
        <w:spacing w:after="0"/>
        <w:tabs>
          <w:tab w:leader="none" w:pos="5540" w:val="left"/>
          <w:tab w:leader="none" w:pos="10080" w:val="left"/>
        </w:tabs>
        <w:rPr>
          <w:sz w:val="20"/>
          <w:szCs w:val="20"/>
          <w:color w:val="auto"/>
        </w:rPr>
      </w:pPr>
      <w:r>
        <w:rPr>
          <w:rFonts w:ascii="Times New Roman" w:cs="Times New Roman" w:eastAsia="Times New Roman" w:hAnsi="Times New Roman"/>
          <w:sz w:val="18"/>
          <w:szCs w:val="18"/>
          <w:b w:val="1"/>
          <w:bCs w:val="1"/>
          <w:color w:val="auto"/>
        </w:rPr>
        <w:t>CUSIP No. 983134107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8 Pages</w:t>
      </w:r>
    </w:p>
    <w:p>
      <w:pPr>
        <w:spacing w:after="0" w:line="200" w:lineRule="exact"/>
        <w:rPr>
          <w:sz w:val="20"/>
          <w:szCs w:val="20"/>
          <w:color w:val="auto"/>
        </w:rPr>
      </w:pPr>
    </w:p>
    <w:p>
      <w:pPr>
        <w:spacing w:after="0" w:line="268" w:lineRule="exact"/>
        <w:rPr>
          <w:sz w:val="20"/>
          <w:szCs w:val="20"/>
          <w:color w:val="auto"/>
        </w:rPr>
      </w:pPr>
    </w:p>
    <w:p>
      <w:pPr>
        <w:ind w:left="1760" w:hanging="1755"/>
        <w:spacing w:after="0" w:line="286" w:lineRule="auto"/>
        <w:tabs>
          <w:tab w:leader="none" w:pos="1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(a)</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tc>
      </w:tr>
      <w:tr>
        <w:trPr>
          <w:trHeight w:val="223"/>
        </w:trPr>
        <w:tc>
          <w:tcPr>
            <w:tcW w:w="23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(b)</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tc>
      </w:tr>
      <w:tr>
        <w:trPr>
          <w:trHeight w:val="223"/>
        </w:trPr>
        <w:tc>
          <w:tcPr>
            <w:tcW w:w="23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(c)</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tc>
      </w:tr>
      <w:tr>
        <w:trPr>
          <w:trHeight w:val="223"/>
        </w:trPr>
        <w:tc>
          <w:tcPr>
            <w:tcW w:w="23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(d)</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tc>
      </w:tr>
      <w:tr>
        <w:trPr>
          <w:trHeight w:val="223"/>
        </w:trPr>
        <w:tc>
          <w:tcPr>
            <w:tcW w:w="23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(e)</w:t>
            </w:r>
          </w:p>
        </w:tc>
        <w:tc>
          <w:tcPr>
            <w:tcW w:w="9060" w:type="dxa"/>
            <w:vAlign w:val="bottom"/>
            <w:tcBorders>
              <w:bottom w:val="single" w:sz="8" w:color="auto"/>
            </w:tcBorders>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tc>
      </w:tr>
      <w:tr>
        <w:trPr>
          <w:trHeight w:val="283"/>
        </w:trPr>
        <w:tc>
          <w:tcPr>
            <w:tcW w:w="2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(f)</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Rule 13d-1(b)(1)(ii)(F);</w:t>
            </w:r>
          </w:p>
        </w:tc>
      </w:tr>
      <w:tr>
        <w:trPr>
          <w:trHeight w:val="156"/>
        </w:trPr>
        <w:tc>
          <w:tcPr>
            <w:tcW w:w="2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223"/>
        </w:trPr>
        <w:tc>
          <w:tcPr>
            <w:tcW w:w="23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(g)</w:t>
            </w:r>
          </w:p>
        </w:tc>
        <w:tc>
          <w:tcPr>
            <w:tcW w:w="720" w:type="dxa"/>
            <w:vAlign w:val="bottom"/>
            <w:tcBorders>
              <w:bottom w:val="single" w:sz="8" w:color="auto"/>
            </w:tcBorders>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8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283"/>
        </w:trPr>
        <w:tc>
          <w:tcPr>
            <w:tcW w:w="23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(h)</w:t>
            </w:r>
          </w:p>
        </w:tc>
        <w:tc>
          <w:tcPr>
            <w:tcW w:w="9060" w:type="dxa"/>
            <w:vAlign w:val="bottom"/>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tc>
      </w:tr>
    </w:tbl>
    <w:p>
      <w:pPr>
        <w:spacing w:after="0" w:line="129" w:lineRule="exact"/>
        <w:rPr>
          <w:sz w:val="20"/>
          <w:szCs w:val="20"/>
          <w:color w:val="auto"/>
        </w:rPr>
      </w:pPr>
    </w:p>
    <w:p>
      <w:pPr>
        <w:ind w:left="3200" w:right="540" w:hanging="1450"/>
        <w:spacing w:after="0" w:line="239" w:lineRule="exact"/>
        <w:tabs>
          <w:tab w:leader="none" w:pos="2775"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197" w:lineRule="exact"/>
        <w:rPr>
          <w:rFonts w:ascii="Times New Roman" w:cs="Times New Roman" w:eastAsia="Times New Roman" w:hAnsi="Times New Roman"/>
          <w:sz w:val="18"/>
          <w:szCs w:val="18"/>
          <w:color w:val="auto"/>
        </w:rPr>
      </w:pPr>
    </w:p>
    <w:p>
      <w:pPr>
        <w:ind w:left="2760" w:hanging="1010"/>
        <w:spacing w:after="0" w:line="207" w:lineRule="exact"/>
        <w:tabs>
          <w:tab w:leader="none" w:pos="276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76" w:lineRule="exact"/>
        <w:rPr>
          <w:rFonts w:ascii="Times New Roman" w:cs="Times New Roman" w:eastAsia="Times New Roman" w:hAnsi="Times New Roman"/>
          <w:sz w:val="18"/>
          <w:szCs w:val="18"/>
          <w:color w:val="auto"/>
        </w:rPr>
      </w:pPr>
    </w:p>
    <w:p>
      <w:pPr>
        <w:ind w:left="2760" w:hanging="1010"/>
        <w:spacing w:after="0" w:line="207" w:lineRule="exact"/>
        <w:tabs>
          <w:tab w:leader="none" w:pos="2760" w:val="left"/>
        </w:tabs>
        <w:numPr>
          <w:ilvl w:val="0"/>
          <w:numId w:val="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0" w:lineRule="exact"/>
        <w:rPr>
          <w:sz w:val="20"/>
          <w:szCs w:val="20"/>
          <w:color w:val="auto"/>
        </w:rPr>
      </w:pPr>
    </w:p>
    <w:p>
      <w:pPr>
        <w:spacing w:after="0" w:line="24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00" w:lineRule="exact"/>
        <w:rPr>
          <w:sz w:val="20"/>
          <w:szCs w:val="20"/>
          <w:color w:val="auto"/>
        </w:rPr>
      </w:pPr>
    </w:p>
    <w:p>
      <w:pPr>
        <w:spacing w:after="0" w:line="27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 Lone Pine Capital LLC and Stephen F. Mandel, Jr.</w:t>
      </w:r>
    </w:p>
    <w:p>
      <w:pPr>
        <w:spacing w:after="0" w:line="225" w:lineRule="exact"/>
        <w:rPr>
          <w:sz w:val="20"/>
          <w:szCs w:val="20"/>
          <w:color w:val="auto"/>
        </w:rPr>
      </w:pPr>
    </w:p>
    <w:p>
      <w:pPr>
        <w:ind w:left="2000" w:hanging="250"/>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5,955,497 shares of Common Stock</w:t>
      </w:r>
    </w:p>
    <w:p>
      <w:pPr>
        <w:spacing w:after="0" w:line="27" w:lineRule="exact"/>
        <w:rPr>
          <w:rFonts w:ascii="Times New Roman" w:cs="Times New Roman" w:eastAsia="Times New Roman" w:hAnsi="Times New Roman"/>
          <w:sz w:val="18"/>
          <w:szCs w:val="18"/>
          <w:color w:val="auto"/>
        </w:rPr>
      </w:pPr>
    </w:p>
    <w:p>
      <w:pPr>
        <w:ind w:left="2000" w:hanging="250"/>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5.4%. The percentages set forth in this Item 4 and in the rest of this Schedule 13G are based upon a total</w:t>
      </w:r>
    </w:p>
    <w:p>
      <w:pPr>
        <w:spacing w:after="0" w:line="9" w:lineRule="exact"/>
        <w:rPr>
          <w:sz w:val="20"/>
          <w:szCs w:val="20"/>
          <w:color w:val="auto"/>
        </w:rPr>
      </w:pPr>
    </w:p>
    <w:p>
      <w:pPr>
        <w:ind w:left="1760" w:right="80"/>
        <w:spacing w:after="0" w:line="250" w:lineRule="auto"/>
        <w:rPr>
          <w:sz w:val="20"/>
          <w:szCs w:val="20"/>
          <w:color w:val="auto"/>
        </w:rPr>
      </w:pPr>
      <w:r>
        <w:rPr>
          <w:rFonts w:ascii="Times New Roman" w:cs="Times New Roman" w:eastAsia="Times New Roman" w:hAnsi="Times New Roman"/>
          <w:sz w:val="18"/>
          <w:szCs w:val="18"/>
          <w:color w:val="auto"/>
        </w:rPr>
        <w:t>of 108,643,901 shares of Common Stock reported to be outstanding by the Issuer as of July 31, 2018 in its Quarterly Report on Form 10-Q filed on August 8, 2018.</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(c)(i) Sole power to vote or direct the vote: -0-</w:t>
      </w:r>
    </w:p>
    <w:p>
      <w:pPr>
        <w:spacing w:after="0" w:line="9" w:lineRule="exact"/>
        <w:rPr>
          <w:sz w:val="20"/>
          <w:szCs w:val="20"/>
          <w:color w:val="auto"/>
        </w:rPr>
      </w:pPr>
    </w:p>
    <w:p>
      <w:pPr>
        <w:ind w:left="2020" w:hanging="270"/>
        <w:spacing w:after="0"/>
        <w:tabs>
          <w:tab w:leader="none" w:pos="2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5,955,497 shares of Common Stock</w:t>
      </w:r>
    </w:p>
    <w:p>
      <w:pPr>
        <w:spacing w:after="0" w:line="9" w:lineRule="exact"/>
        <w:rPr>
          <w:rFonts w:ascii="Times New Roman" w:cs="Times New Roman" w:eastAsia="Times New Roman" w:hAnsi="Times New Roman"/>
          <w:sz w:val="18"/>
          <w:szCs w:val="18"/>
          <w:color w:val="auto"/>
        </w:rPr>
      </w:pPr>
    </w:p>
    <w:p>
      <w:pPr>
        <w:ind w:left="2060" w:hanging="310"/>
        <w:spacing w:after="0"/>
        <w:tabs>
          <w:tab w:leader="none" w:pos="2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2060" w:hanging="310"/>
        <w:spacing w:after="0"/>
        <w:tabs>
          <w:tab w:leader="none" w:pos="2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5,955,497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spacing w:after="0"/>
        <w:tabs>
          <w:tab w:leader="none" w:pos="5540" w:val="left"/>
          <w:tab w:leader="none" w:pos="10080" w:val="left"/>
        </w:tabs>
        <w:rPr>
          <w:sz w:val="20"/>
          <w:szCs w:val="20"/>
          <w:color w:val="auto"/>
        </w:rPr>
      </w:pPr>
      <w:r>
        <w:rPr>
          <w:rFonts w:ascii="Times New Roman" w:cs="Times New Roman" w:eastAsia="Times New Roman" w:hAnsi="Times New Roman"/>
          <w:sz w:val="18"/>
          <w:szCs w:val="18"/>
          <w:b w:val="1"/>
          <w:bCs w:val="1"/>
          <w:color w:val="auto"/>
        </w:rPr>
        <w:t>CUSIP No. 983134107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760" w:right="4960" w:hanging="1755"/>
        <w:spacing w:after="0" w:line="516" w:lineRule="auto"/>
        <w:tabs>
          <w:tab w:leader="none" w:pos="1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 xml:space="preserve">OWNERSHIP OF FIVE PERCENT OR LESS OF A CLASS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2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ind w:left="1760" w:hanging="1755"/>
        <w:spacing w:after="0" w:line="263" w:lineRule="auto"/>
        <w:tabs>
          <w:tab w:leader="none" w:pos="17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5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Each of the Reporting Persons hereby makes the following certification:</w:t>
      </w:r>
    </w:p>
    <w:p>
      <w:pPr>
        <w:spacing w:after="0" w:line="200" w:lineRule="exact"/>
        <w:rPr>
          <w:sz w:val="20"/>
          <w:szCs w:val="20"/>
          <w:color w:val="auto"/>
        </w:rPr>
      </w:pPr>
    </w:p>
    <w:p>
      <w:pPr>
        <w:spacing w:after="0" w:line="241" w:lineRule="exact"/>
        <w:rPr>
          <w:sz w:val="20"/>
          <w:szCs w:val="20"/>
          <w:color w:val="auto"/>
        </w:rPr>
      </w:pPr>
    </w:p>
    <w:p>
      <w:pPr>
        <w:ind w:left="1760" w:right="200"/>
        <w:spacing w:after="0" w:line="261" w:lineRule="auto"/>
        <w:rPr>
          <w:sz w:val="20"/>
          <w:szCs w:val="20"/>
          <w:color w:val="auto"/>
        </w:rPr>
      </w:pPr>
      <w:r>
        <w:rPr>
          <w:rFonts w:ascii="Times New Roman" w:cs="Times New Roman" w:eastAsia="Times New Roman" w:hAnsi="Times New Roman"/>
          <w:sz w:val="18"/>
          <w:szCs w:val="18"/>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spacing w:after="0"/>
        <w:tabs>
          <w:tab w:leader="none" w:pos="5540" w:val="left"/>
          <w:tab w:leader="none" w:pos="10080" w:val="left"/>
        </w:tabs>
        <w:rPr>
          <w:sz w:val="20"/>
          <w:szCs w:val="20"/>
          <w:color w:val="auto"/>
        </w:rPr>
      </w:pPr>
      <w:r>
        <w:rPr>
          <w:rFonts w:ascii="Times New Roman" w:cs="Times New Roman" w:eastAsia="Times New Roman" w:hAnsi="Times New Roman"/>
          <w:sz w:val="18"/>
          <w:szCs w:val="18"/>
          <w:b w:val="1"/>
          <w:bCs w:val="1"/>
          <w:color w:val="auto"/>
        </w:rPr>
        <w:t>CUSIP No. 983134107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20,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F. Mandel,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36874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F. Mandel, Jr., individually and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Managing Member of Lone Pine Managing Member LLC, as Managing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Member of Lone Pine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spacing w:after="0"/>
        <w:tabs>
          <w:tab w:leader="none" w:pos="5540" w:val="left"/>
          <w:tab w:leader="none" w:pos="10080" w:val="left"/>
        </w:tabs>
        <w:rPr>
          <w:sz w:val="20"/>
          <w:szCs w:val="20"/>
          <w:color w:val="auto"/>
        </w:rPr>
      </w:pPr>
      <w:r>
        <w:rPr>
          <w:rFonts w:ascii="Times New Roman" w:cs="Times New Roman" w:eastAsia="Times New Roman" w:hAnsi="Times New Roman"/>
          <w:sz w:val="18"/>
          <w:szCs w:val="18"/>
          <w:b w:val="1"/>
          <w:bCs w:val="1"/>
          <w:color w:val="auto"/>
        </w:rPr>
        <w:t>CUSIP No. 983134107</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20,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F. Mandel,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36874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Stephen F. Mandel, Jr., individually and 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Managing Member of Lone Pine Managing Member LLC, as Managing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Member of Lone Pine Capital LLC</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9"/>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2019-12-06T19:38:40Z</dcterms:created>
  <dcterms:modified xsi:type="dcterms:W3CDTF">2019-12-06T19:38:40Z</dcterms:modified>
</cp:coreProperties>
</file>