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2"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3100" w:space="720"/>
            <w:col w:w="746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7"/>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305"/>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1120" w:type="dxa"/>
            <w:vAlign w:val="bottom"/>
          </w:tcPr>
          <w:p>
            <w:pPr>
              <w:spacing w:after="0"/>
              <w:rPr>
                <w:sz w:val="15"/>
                <w:szCs w:val="15"/>
                <w:color w:val="auto"/>
              </w:rPr>
            </w:pPr>
          </w:p>
        </w:tc>
      </w:tr>
      <w:tr>
        <w:trPr>
          <w:trHeight w:val="352"/>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05"/>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80"/>
          </w:cols>
          <w:pgMar w:left="240" w:top="230" w:right="379" w:bottom="1440" w:gutter="0" w:footer="0" w:header="0"/>
          <w:type w:val="continuous"/>
        </w:sectPr>
      </w:pPr>
    </w:p>
    <w:p>
      <w:pPr>
        <w:spacing w:after="0" w:line="132" w:lineRule="exact"/>
        <w:rPr>
          <w:sz w:val="24"/>
          <w:szCs w:val="24"/>
          <w:color w:val="auto"/>
        </w:rPr>
      </w:pPr>
    </w:p>
    <w:p>
      <w:pPr>
        <w:ind w:left="27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280" w:space="80"/>
            <w:col w:w="160" w:space="520"/>
            <w:col w:w="1180" w:space="80"/>
            <w:col w:w="160" w:space="540"/>
            <w:col w:w="1480" w:space="80"/>
            <w:col w:w="2720"/>
          </w:cols>
          <w:pgMar w:left="240" w:top="230"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00" w:space="160"/>
            <w:col w:w="260" w:space="80"/>
            <w:col w:w="160" w:space="180"/>
            <w:col w:w="2040"/>
          </w:cols>
          <w:pgMar w:left="240" w:top="230" w:right="37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Financial Information</w:t>
              </w:r>
            </w:hyperlink>
          </w:p>
        </w:tc>
        <w:tc>
          <w:tcPr>
            <w:tcW w:w="81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30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June 30, 2006 and December 31, 2005</w:t>
              </w:r>
            </w:hyperlink>
          </w:p>
        </w:tc>
        <w:tc>
          <w:tcPr>
            <w:tcW w:w="2960" w:type="dxa"/>
            <w:vAlign w:val="bottom"/>
            <w:gridSpan w:val="3"/>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and six months ended June 30, 2006 and 2005 (as restated)</w:t>
              </w:r>
            </w:hyperlink>
          </w:p>
        </w:tc>
        <w:tc>
          <w:tcPr>
            <w:tcW w:w="3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560" w:type="dxa"/>
            <w:vAlign w:val="bottom"/>
            <w:gridSpan w:val="10"/>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Cash Flows (unaudited) – Six months ended June 30, 2006 and 2005 (as restated)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760" w:type="dxa"/>
            <w:vAlign w:val="bottom"/>
            <w:tcBorders>
              <w:top w:val="single" w:sz="8" w:color="0000EE"/>
            </w:tcBorders>
            <w:gridSpan w:val="3"/>
          </w:tcPr>
          <w:p>
            <w:pPr>
              <w:spacing w:after="0"/>
              <w:rPr>
                <w:sz w:val="22"/>
                <w:szCs w:val="22"/>
                <w:color w:val="auto"/>
              </w:rPr>
            </w:pPr>
          </w:p>
        </w:tc>
        <w:tc>
          <w:tcPr>
            <w:tcW w:w="1040" w:type="dxa"/>
            <w:vAlign w:val="bottom"/>
            <w:gridSpan w:val="2"/>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3480" w:type="dxa"/>
            <w:vAlign w:val="bottom"/>
            <w:gridSpan w:val="4"/>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Controls and Procedures</w:t>
              </w:r>
            </w:hyperlink>
          </w:p>
        </w:tc>
        <w:tc>
          <w:tcPr>
            <w:tcW w:w="2520" w:type="dxa"/>
            <w:vAlign w:val="bottom"/>
            <w:tcBorders>
              <w:top w:val="single" w:sz="8" w:color="0000EE"/>
            </w:tcBorders>
          </w:tcPr>
          <w:p>
            <w:pPr>
              <w:spacing w:after="0"/>
              <w:rPr>
                <w:sz w:val="22"/>
                <w:szCs w:val="22"/>
                <w:color w:val="auto"/>
              </w:rPr>
            </w:pPr>
          </w:p>
        </w:tc>
        <w:tc>
          <w:tcPr>
            <w:tcW w:w="5520" w:type="dxa"/>
            <w:vAlign w:val="bottom"/>
            <w:gridSpan w:val="6"/>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40">
              <w:r>
                <w:rPr>
                  <w:rFonts w:ascii="Arial" w:cs="Arial" w:eastAsia="Arial" w:hAnsi="Arial"/>
                  <w:sz w:val="18"/>
                  <w:szCs w:val="18"/>
                  <w:b w:val="1"/>
                  <w:bCs w:val="1"/>
                  <w:color w:val="0000EE"/>
                  <w:w w:val="92"/>
                </w:rPr>
                <w:t>Other Information</w:t>
              </w:r>
            </w:hyperlink>
          </w:p>
        </w:tc>
        <w:tc>
          <w:tcPr>
            <w:tcW w:w="2980" w:type="dxa"/>
            <w:vAlign w:val="bottom"/>
            <w:gridSpan w:val="2"/>
          </w:tcPr>
          <w:p>
            <w:pPr>
              <w:spacing w:after="0"/>
              <w:rPr>
                <w:sz w:val="17"/>
                <w:szCs w:val="17"/>
                <w:color w:val="auto"/>
              </w:rPr>
            </w:pPr>
          </w:p>
        </w:tc>
        <w:tc>
          <w:tcPr>
            <w:tcW w:w="5900" w:type="dxa"/>
            <w:vAlign w:val="bottom"/>
          </w:tcPr>
          <w:p>
            <w:pPr>
              <w:spacing w:after="0"/>
              <w:rPr>
                <w:sz w:val="17"/>
                <w:szCs w:val="17"/>
                <w:color w:val="auto"/>
              </w:rPr>
            </w:pPr>
          </w:p>
        </w:tc>
      </w:tr>
      <w:tr>
        <w:trPr>
          <w:trHeight w:val="26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Unregistered Sales of Equity Securities and Use of Proceeds</w:t>
              </w:r>
            </w:hyperlink>
          </w:p>
        </w:tc>
        <w:tc>
          <w:tcPr>
            <w:tcW w:w="140" w:type="dxa"/>
            <w:vAlign w:val="bottom"/>
          </w:tcPr>
          <w:p>
            <w:pPr>
              <w:spacing w:after="0"/>
              <w:rPr>
                <w:sz w:val="22"/>
                <w:szCs w:val="22"/>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40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5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12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8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3"/>
        </w:trPr>
        <w:tc>
          <w:tcPr>
            <w:tcW w:w="6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38,939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49,951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242,243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278,907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347,819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85,267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2,317,878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2,324,794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3,153,671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3,195,828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27,953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167,781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221,732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1,735,891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1,748,510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1,926,176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1,970,999</w:t>
            </w: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1,449,442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1,445,785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(221,947)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1,227,495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1,224,829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3,153,671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3,195,828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1"/>
              </w:rPr>
              <w:t>(as Restated)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Casino</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w w:val="86"/>
              </w:rPr>
              <w:t>113,527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98,715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240,041</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69,222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77,686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152,320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49,581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w w:val="86"/>
              </w:rPr>
              <w:t>310,016</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226,054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628,434</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226,062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(36,454)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(24,934)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(77,511)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w w:val="86"/>
              </w:rPr>
              <w:t>273,562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201,120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550,923</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201,128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Casino</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57,920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121,156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18,140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49,423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34,112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44,198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86,409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3,652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4,126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37,618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76,568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6"/>
              </w:rPr>
              <w:t>251,741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208,859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507,217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from unconsolidated affiliates</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22,140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(38,398)</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6,123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(30,821)</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(22,109)</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(62,814)</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1,975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(22,723)</w:t>
            </w: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(23,839)</w:t>
            </w:r>
          </w:p>
        </w:tc>
        <w:tc>
          <w:tcPr>
            <w:tcW w:w="10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(45,379)</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(12,387)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(31,578)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76,568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6,553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6,598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13,034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(11,123)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(37,014)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67,131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(66,593)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(494,358)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(14,511)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(74,089)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(254,236)</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(12,479)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437,186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(12,638)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410,718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(19,596)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146,647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87,777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68,181</w:t>
            </w:r>
          </w:p>
        </w:tc>
        <w:tc>
          <w:tcPr>
            <w:tcW w:w="60" w:type="dxa"/>
            <w:vAlign w:val="bottom"/>
          </w:tcPr>
          <w:p>
            <w:pPr>
              <w:spacing w:after="0"/>
              <w:rPr>
                <w:sz w:val="19"/>
                <w:szCs w:val="19"/>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172,338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on “the Strip” in Las Vegas, Nevada. Wynn Las Vegas opened to the public on April 28, 2005.</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2006, Wynn Las Vegas, LLC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commenced operations with the opening of Wynn Las Vegas on April 28, 2005. The construction and development of the Company’s expansion of Wynn Las Vegas, known as “Encore at Wynn Las Vegas” or “Encore,” is ongoing. For the periods presented prior to April 28, 2005, the Company was solely a development stage company.</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794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Reclassifications</w:t>
      </w:r>
    </w:p>
    <w:p>
      <w:pPr>
        <w:spacing w:after="0" w:line="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Certain amounts in the condensed consolidated financial statements for the three and six months ended June 30, 2005 have been reclassified to conform to the 2006 presentation as follows:</w:t>
      </w:r>
    </w:p>
    <w:p>
      <w:pPr>
        <w:spacing w:after="0" w:line="51" w:lineRule="exact"/>
        <w:rPr>
          <w:sz w:val="20"/>
          <w:szCs w:val="20"/>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previously classified as “Loss on sale of assets” and “Loss from incidental operations” for the three and six months ended June 30, 2005 have been reclassified as “property charges and other”; and</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fees for the three and six months ended June 30, 2005 previously included in general and administrative expenses have been reclassified as “management fees”.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2006 and December 31, 2005, approximately 61% and 70%, respectively of the Company’s receivables were due from customers residing in foreign countries. Business or economic conditions or other significant events in these countries could affect the collectibility of such receivables.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and six months ended June 30, 2006 and 2005 is primarily included in casino expenses as follows (amounts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June 30, 2006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June 30, 2005</w:t>
            </w:r>
          </w:p>
        </w:tc>
      </w:tr>
      <w:tr>
        <w:trPr>
          <w:trHeight w:val="142"/>
        </w:trPr>
        <w:tc>
          <w:tcPr>
            <w:tcW w:w="672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3 months</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6 months</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3 months</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 months</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&amp; Beverage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29,232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9,981</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0" w:type="dxa"/>
            <w:vAlign w:val="bottom"/>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$ 46,032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16,389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16,389</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expenses advertising costs the first time the advertising runs. Advertising costs incurred in development periods are included in pre-opening costs. Since the opening of Wynn Las Vegas on April 28, 2005, advertising costs relating to Wynn Las Vegas have been included in general and administrative expenses. For pre-opening periods in which they are incurred, advertising costs relating to Encore will be included in pre-opening costs. Total advertising costs for the three and six months ended June 30, 2006 and 2005 are as follows (amounts in thousands):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 category:</w:t>
            </w:r>
          </w:p>
        </w:tc>
        <w:tc>
          <w:tcPr>
            <w:tcW w:w="16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June 30, 2006</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June 30, 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gridSpan w:val="3"/>
            <w:vMerge w:val="continue"/>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3"/>
              </w:rPr>
              <w:t>3 months</w:t>
            </w:r>
          </w:p>
        </w:tc>
        <w:tc>
          <w:tcPr>
            <w:tcW w:w="5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6 months</w:t>
            </w:r>
          </w:p>
        </w:tc>
        <w:tc>
          <w:tcPr>
            <w:tcW w:w="500" w:type="dxa"/>
            <w:vAlign w:val="bottom"/>
          </w:tcPr>
          <w:p>
            <w:pPr>
              <w:spacing w:after="0"/>
              <w:rPr>
                <w:sz w:val="12"/>
                <w:szCs w:val="12"/>
                <w:color w:val="auto"/>
              </w:rPr>
            </w:pPr>
          </w:p>
        </w:tc>
        <w:tc>
          <w:tcPr>
            <w:tcW w:w="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3 months</w:t>
            </w:r>
          </w:p>
        </w:tc>
        <w:tc>
          <w:tcPr>
            <w:tcW w:w="50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3"/>
              </w:rPr>
              <w:t>6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$ 5,432</w:t>
            </w:r>
          </w:p>
        </w:tc>
        <w:tc>
          <w:tcPr>
            <w:tcW w:w="5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$ 10,771</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1,673</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Pre-opening costs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6,758</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$ 5,432</w:t>
            </w:r>
          </w:p>
        </w:tc>
        <w:tc>
          <w:tcPr>
            <w:tcW w:w="112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$ 10,771</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 the Black-Scholes valuation model to determine the estimated fair value for each option grant issued. The Black-Scholes determined fair value net of estimated forfeitures is amortized as compensation cost on a straight line basis over the service period. In applying the modified prospective method, financial statements of prior periods presented do not reflect any adjusted amounts (i.e. prior periods do not include compensation cost calculated under the fair value method).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share-based compensation arrangements is included in Note 9 Share-based Compensation.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color w:val="auto"/>
        </w:rPr>
        <w:t>In June 2006, the Financial Accounting Standards Board (“FASB”) issued Interpretation No. 48 “Accounting for Uncertainty in Income Taxes”. This interpretation clarifies the accounting for uncertainty in income taxes recognized in a company’s financial statements in accordance with FASB Statement</w:t>
      </w:r>
    </w:p>
    <w:p>
      <w:pPr>
        <w:ind w:right="40"/>
        <w:spacing w:after="0" w:line="302" w:lineRule="auto"/>
        <w:rPr>
          <w:sz w:val="20"/>
          <w:szCs w:val="20"/>
          <w:color w:val="auto"/>
        </w:rPr>
      </w:pPr>
      <w:r>
        <w:rPr>
          <w:rFonts w:ascii="Arial" w:cs="Arial" w:eastAsia="Arial" w:hAnsi="Arial"/>
          <w:sz w:val="16"/>
          <w:szCs w:val="16"/>
          <w:color w:val="auto"/>
        </w:rPr>
        <w:t>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is not expected to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paid for the six months ended June 30, 2006 and 2005 totaled approximately $59.7 million and $52.1 million, respectively. Interest capitalized for the six months ended June 30, 2006 and 2005 totaled approximately $1.4 million and $35.9 million, respectively.</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Encore that was capitalized into construction in progress for the six months ended June 30, 2006 and 2005 totaled approximately $1.0 million and $1.1 million, respectively.</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six months ended June 30, 2006 capital expenditures includes approximately $3.7 million of decreases in construction payables and retention recorded through amounts due to affiliates. During the six months ended June 30, 2005 capital expenditures includes approximately $5.5 million of decreases in construction payables and retention recorded through amounts due to affiliates.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15, 2005, the Company loaned $80.0 million to Wynn Resorts that further loaned those funds through its subsidiaries to Wynn Macau, S.A. as part of the financing of Wynn Macau, Wynn Resorts’ casino resort facility currently under construction in the Macau Special Administrative Region of the People’s Republic of China (“Macau”). Interest is payable semi-annually at 7.5% per annum. Unpaid principal and interest is due at maturity on August 15, 2012. Included in the balances as of June 30, 2006 and December 31, 2005, is approximately $5.3 million and $2.3 million, respectively, of accrued interest receivable related to this note.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 from Affiliates, Net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June 30, 2006, the Company’s net due to affiliates was primarily comprised of construction payables of approximately $27.1 million, construction retention of approximately $5.7 million, a management fee of approximately $19.1 million (equal to 1.5% of revenues and payable upon meeting certain leverage ratios as specified in the documents governing the Company’s credit facilities), and amounts payable to affiliates totaling $8.8 million (primarily corporate allocations discussed below). As of December 31, 2005 the Company’s net due to affiliates was primarily comprised of construction payables of approximately $22.4 million, construction retention of approximately $14.1 million, a management fee of approximately $10.8 million (equal to 1.5% of revenues and payable upon meeting certain leverage ratios as specified in the documents governing the Company’s credit facilities) and other operating liabilities (primarily corporate allocations discussed below) of $8.8 million.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Immediately prior to the opening of Wynn Las Vegas, the Company settled amounts due to affiliates through equity transactions. Subsequent to opening Wynn Las Vegas on April 28, 2005, 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accompanying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However, Wynn Resorts maintains corporate offices at Wynn Las Vegas without charge from the Company. The Company settles these corporate allocation charges with Wynn Resorts on a periodic basis as discussed in “Amounts Due to / from Affiliates, Net” above. During the three and six months ended June 30, 2006 approximately $4.1 million and $7.4 million, respectively, was charged to the Company for such corporate allocations.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Mr. Wynn and these other officers have amounts on deposit with Wynn Resorts to prepay any such items, which are replenished on an ongoing basis as needed. At June 30, 2006 and December 31, 2005, Wynn Resorts owed Mr. Wynn and the other officers approximately $285,000 and $412,000,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each year by the Audit Committee of the Board of Directors of Wynn Resorts (the “Audit Committee”), and is based on the fair market value of the use of the suite accommodations. Based on third-party appraisals, the Audit Committee has determined the rent for each annual period from July 1, 2005 through June 30, 2008 is $580,000. All services for, and maintenance of, the suite are included in the rental, with certain exceptions.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$ 68,336</w:t>
            </w:r>
          </w:p>
        </w:tc>
        <w:tc>
          <w:tcPr>
            <w:tcW w:w="2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13,725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87,229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$ 65,735</w:t>
            </w:r>
          </w:p>
        </w:tc>
        <w:tc>
          <w:tcPr>
            <w:tcW w:w="280" w:type="dxa"/>
            <w:vAlign w:val="bottom"/>
          </w:tcPr>
          <w:p>
            <w:pPr>
              <w:spacing w:after="0"/>
              <w:rPr>
                <w:sz w:val="19"/>
                <w:szCs w:val="19"/>
                <w:color w:val="auto"/>
              </w:rPr>
            </w:pP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 of the following (amounts in thousands):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602,592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599,278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1,162,508</w:t>
            </w:r>
          </w:p>
        </w:tc>
        <w:tc>
          <w:tcPr>
            <w:tcW w:w="28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1,159,363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599,805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581,977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66,128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2,475,287</w:t>
            </w:r>
          </w:p>
        </w:tc>
        <w:tc>
          <w:tcPr>
            <w:tcW w:w="28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2,415,868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(157,409)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(91,074)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$ 2,317,878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$ 2,324,794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00"/>
        <w:spacing w:after="0" w:line="440" w:lineRule="auto"/>
        <w:rPr>
          <w:sz w:val="20"/>
          <w:szCs w:val="20"/>
          <w:color w:val="auto"/>
        </w:rPr>
      </w:pPr>
      <w:r>
        <w:rPr>
          <w:rFonts w:ascii="Arial" w:cs="Arial" w:eastAsia="Arial" w:hAnsi="Arial"/>
          <w:sz w:val="18"/>
          <w:szCs w:val="18"/>
          <w:color w:val="auto"/>
        </w:rPr>
        <w:t>As of June 30, 2006 and December 31, 2005, construction in progress includes interest and other costs capitalized in conjunction with Encore. 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24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6"/>
              </w:rPr>
              <w:t>$600.0 million Revolving Credit Facility; due December 14, 2009; interest at LIBOR plus 2.25% (approximately 7.6% and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6.7%)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10,000</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3"/>
              </w:rPr>
              <w:t>$400.0 million Delay Draw Term Loan Facility; due December 14, 2011 interest at LIBOR plus 2.125% (approximately 7.5%</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w w:val="98"/>
              </w:rPr>
              <w:t>$44.75 million note payable; due March 31, 2010; interest at LIBOR plus 2.375% (approximately 7.725% and 6.902%)</w:t>
            </w:r>
          </w:p>
        </w:tc>
        <w:tc>
          <w:tcPr>
            <w:tcW w:w="840" w:type="dxa"/>
            <w:vAlign w:val="bottom"/>
          </w:tcPr>
          <w:p>
            <w:pPr>
              <w:jc w:val="right"/>
              <w:spacing w:after="0"/>
              <w:rPr>
                <w:sz w:val="20"/>
                <w:szCs w:val="20"/>
                <w:color w:val="auto"/>
              </w:rPr>
            </w:pPr>
            <w:r>
              <w:rPr>
                <w:rFonts w:ascii="Arial" w:cs="Arial" w:eastAsia="Arial" w:hAnsi="Arial"/>
                <w:sz w:val="18"/>
                <w:szCs w:val="18"/>
                <w:color w:val="auto"/>
              </w:rPr>
              <w:t>41,057</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43,536</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3"/>
              </w:rPr>
              <w:t>12% Second Mortgage Notes, net of original issue discount of approximately $395 and $440, respectively due November 1,</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80" w:type="dxa"/>
            <w:vAlign w:val="bottom"/>
            <w:shd w:val="clear" w:color="auto" w:fill="CCEEFF"/>
          </w:tcPr>
          <w:p>
            <w:pPr>
              <w:spacing w:after="0"/>
              <w:rPr>
                <w:sz w:val="19"/>
                <w:szCs w:val="19"/>
                <w:color w:val="auto"/>
              </w:rPr>
            </w:pPr>
          </w:p>
        </w:tc>
      </w:tr>
      <w:tr>
        <w:trPr>
          <w:trHeight w:val="222"/>
        </w:trPr>
        <w:tc>
          <w:tcPr>
            <w:tcW w:w="9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1,750,804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1,763,238</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(14,913)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(14,728)</w:t>
            </w:r>
          </w:p>
        </w:tc>
      </w:tr>
      <w:tr>
        <w:trPr>
          <w:trHeight w:val="222"/>
        </w:trPr>
        <w:tc>
          <w:tcPr>
            <w:tcW w:w="9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$ 1,735,891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$ 1,748,510</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15, 2006, the Company amended the agreement (the “Credit Agreement”) governing its $600 million Revolving Credit Facility and its $400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Delay Draw Term Loan Facility (together, the “Wynn Las Vegas Credit Facilities” or the “Credit Facilities”) to (a) allow the Company to issue up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$100.0 million of additional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December 1, 2014 (the “First Mortgage Notes”); (b) simplify draw procedures under the agreement</w:t>
      </w:r>
    </w:p>
    <w:p>
      <w:pPr>
        <w:spacing w:after="0"/>
        <w:rPr>
          <w:sz w:val="20"/>
          <w:szCs w:val="20"/>
          <w:color w:val="auto"/>
        </w:rPr>
      </w:pPr>
      <w:r>
        <w:rPr>
          <w:rFonts w:ascii="Arial" w:cs="Arial" w:eastAsia="Arial" w:hAnsi="Arial"/>
          <w:sz w:val="16"/>
          <w:szCs w:val="16"/>
          <w:color w:val="auto"/>
        </w:rPr>
        <w:t>governing the disbursement of funds restricted under the Credit Agreement (the “Disbursement Agreement”); (c) consolidate certain accounts under the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Disbursement Agreement; (d) amend and clarify certain of the conditions for the approval of the budget, plans and specifications of Encore; (e) extend the outside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opening and completion dates for Encore to June 30, 2009 and September 30, 2009, respectively; and (f) permit expenditures of up to $150.0 million on Encore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to the execution of a guaranteed maximum price contract.</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June 30, 2006, in anticipation of a contemplated refinancing of the Credit Facilities, the Company further amended the Credit Agreement to: (i) clarify the Credit Agreement’s definition of “Consolidated Total Debt”; and (ii) change the Consolidated Interest Coverage Ratio (as defined in the Credit Agreement) applicable on Quarterly Dates (as defined in the Credit Agreement) on or prior to September 30, 2007 from 2.25:1 to 2.00:1.</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July 7, 2006, the Company engaged Deutsche Bank Trust Company Americas, Deutsche Bank Securities Inc., Bank of America, N.A. and Banc of America Securities LLC in connection with the proposed refinancing of the Wynn Las Vegas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2006, the Company was in compliance with all covenants governing the Company’s debt facilities.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has entered into interest rate swap arrangements to effectively fix the interest on the Company’s $400.0 million floating-rate term loan borrowings. The Company accounts for these interest rate swaps in accordance with Statement of Financial Accounting Standards No. 133,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(“SFAS No. 133”), and its related interpretations. Accordingly, as of June 30, 2006 and December 31, 2005,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recorded approximately $15.8 million and $10.5 million, respectively in deposits and other assets to reflect the fair value of the interest rate swaps.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these interest rate swaps are highly effective economically in fixing the interest rate on the term loan borrowings at approximately 5.9%, changes in the fair value of the interest rate swaps for each reporting period are recorded in the increase (or decrease) in swap fair value as a component of other income (expense), net since the interest rate swaps do not qualify for hedge accounting. Accordingly, during the three and six months ended June 30, 2006 and 2005, the Company recorded the following amounts to reflect the increases (or decreases) in the fair value of the interest rate swaps (amounts in thousands):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gridSpan w:val="3"/>
          </w:tcPr>
          <w:p>
            <w:pPr>
              <w:ind w:left="400"/>
              <w:spacing w:after="0"/>
              <w:rPr>
                <w:sz w:val="20"/>
                <w:szCs w:val="20"/>
                <w:color w:val="auto"/>
              </w:rPr>
            </w:pPr>
            <w:r>
              <w:rPr>
                <w:rFonts w:ascii="Arial" w:cs="Arial" w:eastAsia="Arial" w:hAnsi="Arial"/>
                <w:sz w:val="14"/>
                <w:szCs w:val="14"/>
                <w:b w:val="1"/>
                <w:bCs w:val="1"/>
                <w:color w:val="auto"/>
              </w:rPr>
              <w:t>June 30, 2006</w:t>
            </w:r>
          </w:p>
        </w:tc>
        <w:tc>
          <w:tcPr>
            <w:tcW w:w="520" w:type="dxa"/>
            <w:vAlign w:val="bottom"/>
          </w:tcPr>
          <w:p>
            <w:pPr>
              <w:spacing w:after="0"/>
              <w:rPr>
                <w:sz w:val="14"/>
                <w:szCs w:val="14"/>
                <w:color w:val="auto"/>
              </w:rPr>
            </w:pPr>
          </w:p>
        </w:tc>
        <w:tc>
          <w:tcPr>
            <w:tcW w:w="160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 2005</w:t>
            </w:r>
          </w:p>
        </w:tc>
      </w:tr>
      <w:tr>
        <w:trPr>
          <w:trHeight w:val="142"/>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3 months</w:t>
            </w: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0"/>
              </w:rPr>
              <w:t>6 months</w:t>
            </w:r>
          </w:p>
        </w:tc>
        <w:tc>
          <w:tcPr>
            <w:tcW w:w="52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3 months</w:t>
            </w:r>
          </w:p>
        </w:tc>
        <w:tc>
          <w:tcPr>
            <w:tcW w:w="4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6 months</w:t>
            </w:r>
          </w:p>
        </w:tc>
        <w:tc>
          <w:tcPr>
            <w:tcW w:w="2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swap fair value</w:t>
            </w:r>
          </w:p>
        </w:tc>
        <w:tc>
          <w:tcPr>
            <w:tcW w:w="26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86"/>
              </w:rPr>
              <w:t>$ 1,975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$ 5,330</w:t>
            </w: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$(5,814)</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$ 1,887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(“ISO”),</w:t>
      </w:r>
    </w:p>
    <w:p>
      <w:pPr>
        <w:spacing w:after="0" w:line="38" w:lineRule="exact"/>
        <w:rPr>
          <w:sz w:val="20"/>
          <w:szCs w:val="20"/>
          <w:color w:val="auto"/>
        </w:rPr>
      </w:pPr>
    </w:p>
    <w:p>
      <w:pPr>
        <w:ind w:right="160" w:firstLine="8"/>
        <w:spacing w:after="0" w:line="255"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compensatory (i.e. non qualified) stock options (“NQSO”),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June 30, 2006, 4,606,712 shares remain available for the grant of stock options or nonvested shares of Wynn Resorts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June 30, 2006, and the changes during the six months then ended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5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1,717,800</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$ 39.50</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143,500</w:t>
            </w:r>
          </w:p>
        </w:tc>
        <w:tc>
          <w:tcPr>
            <w:tcW w:w="6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$ 68.24</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(186,250)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$ 21.05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(67,550)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$ 41.88</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1,607,500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$ 44.04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$47,071,663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2006</w:t>
            </w: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$ 28.78</w:t>
            </w: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rPr>
              <w:t>7.29</w:t>
            </w:r>
          </w:p>
        </w:tc>
        <w:tc>
          <w:tcPr>
            <w:tcW w:w="1460" w:type="dxa"/>
            <w:vAlign w:val="bottom"/>
            <w:gridSpan w:val="3"/>
            <w:vMerge w:val="restart"/>
          </w:tcPr>
          <w:p>
            <w:pPr>
              <w:jc w:val="center"/>
              <w:ind w:left="432"/>
              <w:spacing w:after="0"/>
              <w:rPr>
                <w:sz w:val="20"/>
                <w:szCs w:val="20"/>
                <w:color w:val="auto"/>
              </w:rPr>
            </w:pPr>
            <w:r>
              <w:rPr>
                <w:rFonts w:ascii="Arial" w:cs="Arial" w:eastAsia="Arial" w:hAnsi="Arial"/>
                <w:sz w:val="18"/>
                <w:szCs w:val="18"/>
                <w:color w:val="auto"/>
                <w:w w:val="89"/>
              </w:rPr>
              <w:t>$15,657,812</w:t>
            </w:r>
          </w:p>
        </w:tc>
        <w:tc>
          <w:tcPr>
            <w:tcW w:w="0" w:type="dxa"/>
            <w:vAlign w:val="bottom"/>
          </w:tcPr>
          <w:p>
            <w:pPr>
              <w:spacing w:after="0" w:line="20" w:lineRule="exact"/>
              <w:rPr>
                <w:sz w:val="1"/>
                <w:szCs w:val="1"/>
                <w:color w:val="auto"/>
              </w:rPr>
            </w:pPr>
          </w:p>
        </w:tc>
      </w:tr>
      <w:tr>
        <w:trPr>
          <w:trHeight w:val="209"/>
        </w:trPr>
        <w:tc>
          <w:tcPr>
            <w:tcW w:w="6540" w:type="dxa"/>
            <w:vAlign w:val="bottom"/>
            <w:gridSpan w:val="2"/>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351,500</w:t>
            </w:r>
          </w:p>
        </w:tc>
        <w:tc>
          <w:tcPr>
            <w:tcW w:w="6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six months ended June 30, 2006 and 2005 was $30.65 and $26.31, respectively. The total intrinsic value of the options exercised for the six months ended June 30, 2006 and 2005 was $9.3 million and $1.9 million, respectively. Since all deferred tax assets are fully reserved, these amounts did not create any tax benefit.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summary of the status of the Stock Plan’s nonvested shares as of June 30 2006 and changes during the six months ended June 30, 2006, is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5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Granted</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25,000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Canceled</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25,000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16"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After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adoption of SFAS No. 123(R), the Company used the simplified method prescribed by SAB No. 107 for companies with a limited trading history, to estimate expected term. Prior to the adoption of SFAS No. 123(R), the Company used its best estimate and comparisons to industry peers. The risk free interest rate used for the periods presented are equal to the U.S. Treasury yield curve at the time of grant for the period equal to the expected term.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560" w:type="dxa"/>
            <w:vAlign w:val="bottom"/>
            <w:gridSpan w:val="4"/>
          </w:tcPr>
          <w:p>
            <w:pPr>
              <w:ind w:left="500"/>
              <w:spacing w:after="0"/>
              <w:rPr>
                <w:sz w:val="20"/>
                <w:szCs w:val="20"/>
                <w:color w:val="auto"/>
              </w:rPr>
            </w:pPr>
            <w:r>
              <w:rPr>
                <w:rFonts w:ascii="Arial" w:cs="Arial" w:eastAsia="Arial" w:hAnsi="Arial"/>
                <w:sz w:val="14"/>
                <w:szCs w:val="14"/>
                <w:b w:val="1"/>
                <w:bCs w:val="1"/>
                <w:color w:val="auto"/>
              </w:rPr>
              <w:t>June 30, 2006</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2005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0"/>
              </w:rPr>
              <w:t>3 months</w:t>
            </w: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6 months</w:t>
            </w:r>
          </w:p>
        </w:tc>
        <w:tc>
          <w:tcPr>
            <w:tcW w:w="7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3 months</w:t>
            </w:r>
          </w:p>
        </w:tc>
        <w:tc>
          <w:tcPr>
            <w:tcW w:w="7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6 months</w:t>
            </w:r>
          </w:p>
        </w:tc>
        <w:tc>
          <w:tcPr>
            <w:tcW w:w="140" w:type="dxa"/>
            <w:vAlign w:val="bottom"/>
          </w:tcPr>
          <w:p>
            <w:pPr>
              <w:spacing w:after="0"/>
              <w:rPr>
                <w:sz w:val="12"/>
                <w:szCs w:val="12"/>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32.5%</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35.33%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35.33%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adoption of SFAS No. 123(R) and the related interpretations on January 1, 2006, resulted in the recognition of approximately $1.8 million and $3.6 million of compensation cost related to stock options for the three and six months ended June 30, 2006, respectively. The compensation cost for the three and six months ended June 30, 2006 is allocated as follows (amounts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June 30, 2006</w:t>
            </w:r>
          </w:p>
        </w:tc>
      </w:tr>
      <w:tr>
        <w:trPr>
          <w:trHeight w:val="142"/>
        </w:trPr>
        <w:tc>
          <w:tcPr>
            <w:tcW w:w="890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3 months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6 months</w:t>
            </w:r>
          </w:p>
        </w:tc>
        <w:tc>
          <w:tcPr>
            <w:tcW w:w="20" w:type="dxa"/>
            <w:vAlign w:val="bottom"/>
          </w:tcPr>
          <w:p>
            <w:pPr>
              <w:spacing w:after="0"/>
              <w:rPr>
                <w:sz w:val="12"/>
                <w:szCs w:val="12"/>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$ 1,304</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8"/>
                <w:szCs w:val="18"/>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1,821</w:t>
            </w:r>
          </w:p>
        </w:tc>
        <w:tc>
          <w:tcPr>
            <w:tcW w:w="5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$ 3,607</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permitted by SFAS No. 148, “Accounting for Stock-Based Compensation – 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three and six months ended June 30, 2005. Accordingly, compensation expense was recognized only to the extent that the market value at the date of grant exceeded the exercise price.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illustrates the effect on the net loss that would have resulted had the Company applied the fair value recognition provisions of SFAS No. 123, “Accounting for Stock-Based Compensation” to stock-based employee compensation during the three and six months ended June 30, 2005 (amounts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3 months</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6 months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(31,578)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w w:val="90"/>
              </w:rPr>
              <w:t>Less: total stock-based employee compensation expenses determined under the fair value method for all awards</w:t>
            </w:r>
          </w:p>
        </w:tc>
        <w:tc>
          <w:tcPr>
            <w:tcW w:w="3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(1,277)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(32,855)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(52,806)</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jc w:val="right"/>
              <w:ind w:right="2772"/>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to compensation cost relating to stock options, during the three and six months ended June 30, 2006, the Company recognized compensation cost related to nonvested shares of Common Stock of approximately $50,000. There were no outstanding nonvested shares during the first quarter ended March 31, 2006. Approximately $1.8 million of unamortized compensation cost relating to nonvested shares of Common Stock at June 30, 2006, will be recognized as compensation over the vesting period of the related grants through May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i w:val="1"/>
          <w:iCs w:val="1"/>
          <w:color w:val="auto"/>
        </w:rPr>
        <w:t xml:space="preserve">Construction and Remodeling. </w:t>
      </w:r>
      <w:r>
        <w:rPr>
          <w:rFonts w:ascii="Arial" w:cs="Arial" w:eastAsia="Arial" w:hAnsi="Arial"/>
          <w:sz w:val="16"/>
          <w:szCs w:val="16"/>
          <w:color w:val="auto"/>
        </w:rPr>
        <w:t>As of June 30, 2006, approximately $4.5 million of budgeted project costs and retention amounts remained to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close out the Wynn Las Vegas project. The Company expects these final costs to be paid in the third quarter of 2006.</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the third quarter of 2005, the Company began to make certain enhancements and refinements to Wynn Las Vegas. As a result, the Company has incurred and will continue to incur capital expenditures relating to these enhancements and refinements. Under the terms of the Wynn Las Vegas, LLC credit facilities, the Company is permitted up to $80.0 million of capital expenditures in 2006, of which approximately $46.4 million was spent during the first six months of 2006. These spending limits do not apply to any funds that may be contributed to the Company by Wynn Resorts.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Entertainment Productions</w:t>
      </w:r>
      <w:r>
        <w:rPr>
          <w:rFonts w:ascii="Arial" w:cs="Arial" w:eastAsia="Arial" w:hAnsi="Arial"/>
          <w:sz w:val="16"/>
          <w:szCs w:val="16"/>
          <w:color w:val="auto"/>
        </w:rPr>
        <w:t>. In 2002, the Company became a party to long-term agreements for the licensing, creation, development and production of “Le</w:t>
      </w:r>
      <w:r>
        <w:rPr>
          <w:rFonts w:ascii="Arial" w:cs="Arial" w:eastAsia="Arial" w:hAnsi="Arial"/>
          <w:sz w:val="16"/>
          <w:szCs w:val="16"/>
          <w:i w:val="1"/>
          <w:iCs w:val="1"/>
          <w:color w:val="auto"/>
        </w:rPr>
        <w:t xml:space="preserve"> </w:t>
      </w:r>
      <w:r>
        <w:rPr>
          <w:rFonts w:ascii="Arial" w:cs="Arial" w:eastAsia="Arial" w:hAnsi="Arial"/>
          <w:sz w:val="16"/>
          <w:szCs w:val="16"/>
          <w:color w:val="auto"/>
        </w:rPr>
        <w:t>Rêve,” the water-based production show which opened at Wynn Las Vegas on April 28, 2005. In 2004, the Company also purchased the rights to, and in August 2005 began to present, the Tony Award-winning musical production “Avenue Q,” in Wynn Las Vegas’ Broadway Theater. In connection with Avenue Q, the Company was a party to a production services agreement for all production services related to the show.</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was required to make payments to the creators and producers of each show based upon certain criteria including net ticket sales or profits.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May 28, 2006, the Company ended Avenue Q’s production run at Wynn Las Vegas. To terminate the contract, the Company paid a termination fee of $5.0 million, which was recorded in the first quarter of 2006 in accordance with the liability recognition provisions of Statement of Financial Accounting Standards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146”). The Company intends to present “Monty Python’s Spamalot” in the renovated Broadway Theater. The Company expects to commence public performances of “Monty Python’s Spamalot” in the first quarter of 2007.</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April 2006, the Company canceled the 189,723 nonvested shares of Wynn Resorts’ common stock granted, subject to certain performance criteria, to the executive producer of “Le Reve.”</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On May 31, 2006, the Company entered into an agreement to acquire substantially all intellectual property rights related to “Le Reve” which were previously only licensed to the Company. The Company paid $15.9 million to acquire substantially all of the rights in and to “Le Reve,” and to repay approximately $1.4 million of production costs, which were reimbursable to the executive producer of “Le Reve.” The rights acquired enable the Company to produce, present, enhance, or alter the performance of “Le Reve” after May 31, 2006.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Encore Construction and Development</w:t>
      </w:r>
      <w:r>
        <w:rPr>
          <w:rFonts w:ascii="Arial" w:cs="Arial" w:eastAsia="Arial" w:hAnsi="Arial"/>
          <w:sz w:val="16"/>
          <w:szCs w:val="16"/>
          <w:color w:val="auto"/>
        </w:rPr>
        <w:t>. On March 31, 2006, the Company’s lenders approved a $1.74 billion project budget and the related plans and</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for Encore (the “Encore Budget, Plans &amp; Specs”). Encore’s design features a 2,042-room hotel tower fully integrated with Wynn Las Vegas, consisting of 132 suites and 1,910 guest rooms, as well as an approximately 54,000 square foot casino, additional convention and meeting space, as well as restaurants, a nightclub, swimming pools, a spa and salon and retail outlets. The Encore Budget, Plans &amp; Specs includes approximately $70.0 million to be incurred for an additional employee parking garage located on the Company’s Koval property across Sands Avenue from Wynn Las Vegas, a related pedestrian bridge, and costs to be incurred in connection with preparing the Broadway Theater to host “Monty Python’s Spamalot.” The Company commenced construction of Encore on April 28, 2006 and expects to open Encore to the public by the end of 2008.</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Through June 30, 2006, the Company has incurred approximately $120.4 million of the Encore budget. These costs have been funded from the Credit Facilities and the First Mortgage Notes. The Company expects that the available remaining proceeds from the First Mortgage Notes, together with availability under the Credit Facilities, and cash flow from operations, will be sufficient to pay for expenditures of approximately $1.5 billion on the Encore project without incurring additional debt or receiving additional capital contributions from Wynn Resorts. Project costs exceeding approximately $1.5 billion are expected to be funded by an increase of up to $125.0 million of additional availability in the Credit Facilities and/or contributions from Wynn Resorts.</w:t>
      </w:r>
    </w:p>
    <w:p>
      <w:pPr>
        <w:spacing w:after="0" w:line="1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On March 31, 2006, Wynn Resorts delivered an equity commitment agreement to the lenders under the Wynn Las Vegas Credit Facilities. Under this agreement, Wynn Resorts has committed to pay up to $215.3 million of Encore project costs if the Company is unable to do so.</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Completion Guarantee and Liquidity Reserve</w:t>
      </w:r>
      <w:r>
        <w:rPr>
          <w:rFonts w:ascii="Arial" w:cs="Arial" w:eastAsia="Arial" w:hAnsi="Arial"/>
          <w:sz w:val="16"/>
          <w:szCs w:val="16"/>
          <w:color w:val="auto"/>
        </w:rPr>
        <w:t>. As part of the Wynn Las Vegas financing, the Company contributed $50.0 million of the net proceeds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the Company deposited $30.0 million from the net proceeds of the initial public offering of Wynn Resorts’ common stock into a liquidity reserve account to secure the completion and opening of Wynn Las Vegas.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liquidity reserve is solely for use of the Wynn Las Vegas project, which is expected to be closed out in the third quarter of 2006. Upon final completion, the liquidity reserve will be released and is expected to be applied to construction costs incurred in connection with Encore. At the final completion of Wynn Las Vegas, $30.0 million of the $50.0 million completion guarantee will be retained in connection with the construction of Encore.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License Agreements and Joint Ventures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Company is the lessor under seven leases for retail operations at Wynn Las Vegas and has entered into license and distribution agreements for five additional retail outlets in Wynn Las Vegas. The Company also is a party to a joint venture agreement for the operation of the Ferrari and Maserati automobile dealership at Wynn Las Vegas. Each of these retail outlets opened concurrently with the opening of Wynn Las Vegas.</w:t>
      </w:r>
    </w:p>
    <w:p>
      <w:pPr>
        <w:spacing w:after="0" w:line="107"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In addition, the Company is the lessee under several leases for office space, warehouse facilities, the land underlying the Company’s aircraft hangar and certain office equipment.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$200,000 per year for each insured person. Amounts in excess of this threshold are covered by the Company’s insurance programs, subject to customary policy limits.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indicate a base salary. Certain agreements also contain provisions for guaranteed bonuses. Certain executives are also entitled to a separation payment if terminated without “cause” or upon voluntary termination of employment for “good reason” following a “change of control” (as these terms are defined in the employment contracts).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Restatement</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Subsequent to the issuance of the Company’s condensed consolidated financial statements for the three and six months ended June 30, 2005, the Company determined that its interest rate swap arrangements relating to certain of its floating-rate debt facilities did not qualify for hedge accounting under SFAS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restated its condensed consolidated financial statements for the three and six months ended June 30, 2005 to eliminate the application of hedge accounting. Eliminating the application of hedge accounting resulted in recording the mark to market adjustments for the interest rate swaps as increase/(decrease) in swap fair value, a component of other income (expense), net and not in comprehensive income, as was previously reported.</w:t>
      </w:r>
    </w:p>
    <w:p>
      <w:pPr>
        <w:spacing w:after="0" w:line="12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summary of the significant effects of the restatement on the June 30, 2005 condensed consolidated financial statements is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Six Months</w:t>
            </w:r>
          </w:p>
        </w:tc>
      </w:tr>
      <w:tr>
        <w:trPr>
          <w:trHeight w:val="175"/>
        </w:trPr>
        <w:tc>
          <w:tcPr>
            <w:tcW w:w="47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June 30, 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June 30, 2005</w:t>
            </w:r>
          </w:p>
        </w:tc>
      </w:tr>
      <w:tr>
        <w:trPr>
          <w:trHeight w:val="130"/>
        </w:trPr>
        <w:tc>
          <w:tcPr>
            <w:tcW w:w="4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30" w:lineRule="exact"/>
              <w:rPr>
                <w:sz w:val="20"/>
                <w:szCs w:val="20"/>
                <w:color w:val="auto"/>
              </w:rPr>
            </w:pPr>
            <w:r>
              <w:rPr>
                <w:rFonts w:ascii="Arial" w:cs="Arial" w:eastAsia="Arial" w:hAnsi="Arial"/>
                <w:sz w:val="14"/>
                <w:szCs w:val="14"/>
                <w:b w:val="1"/>
                <w:bCs w:val="1"/>
                <w:color w:val="auto"/>
              </w:rPr>
              <w:t>As Previously</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55"/>
              <w:spacing w:after="0" w:line="130" w:lineRule="exact"/>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Borders>
              <w:top w:val="single" w:sz="8" w:color="auto"/>
            </w:tcBorders>
            <w:gridSpan w:val="3"/>
          </w:tcPr>
          <w:p>
            <w:pPr>
              <w:ind w:left="20"/>
              <w:spacing w:after="0" w:line="130" w:lineRule="exact"/>
              <w:rPr>
                <w:sz w:val="20"/>
                <w:szCs w:val="20"/>
                <w:color w:val="auto"/>
              </w:rPr>
            </w:pPr>
            <w:r>
              <w:rPr>
                <w:rFonts w:ascii="Arial" w:cs="Arial" w:eastAsia="Arial" w:hAnsi="Arial"/>
                <w:sz w:val="14"/>
                <w:szCs w:val="14"/>
                <w:b w:val="1"/>
                <w:bCs w:val="1"/>
                <w:color w:val="auto"/>
              </w:rPr>
              <w:t>As Previously</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4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Reported</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Restated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Reported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 Restated</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2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Increase/(Decrease) in swap fair value</w:t>
            </w:r>
          </w:p>
        </w:tc>
        <w:tc>
          <w:tcPr>
            <w:tcW w:w="2280" w:type="dxa"/>
            <w:vAlign w:val="bottom"/>
            <w:gridSpan w:val="2"/>
          </w:tcPr>
          <w:p>
            <w:pPr>
              <w:ind w:left="21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(5,814)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(22,109)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80" w:type="dxa"/>
            <w:vAlign w:val="bottom"/>
            <w:gridSpan w:val="2"/>
          </w:tcPr>
          <w:p>
            <w:pPr>
              <w:ind w:left="21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(17,223)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(23,839)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(13,472)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(12,387)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(31,578)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(50,785)</w:t>
            </w:r>
          </w:p>
        </w:tc>
      </w:tr>
      <w:tr>
        <w:trPr>
          <w:trHeight w:val="322"/>
        </w:trPr>
        <w:tc>
          <w:tcPr>
            <w:tcW w:w="4720" w:type="dxa"/>
            <w:vAlign w:val="bottom"/>
          </w:tcPr>
          <w:p>
            <w:pPr>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Increase in swap fair value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(495,160)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(494,358)</w:t>
            </w:r>
          </w:p>
        </w:tc>
      </w:tr>
      <w:tr>
        <w:trPr>
          <w:trHeight w:val="363"/>
        </w:trPr>
        <w:tc>
          <w:tcPr>
            <w:tcW w:w="4720" w:type="dxa"/>
            <w:vAlign w:val="bottom"/>
          </w:tcPr>
          <w:p>
            <w:pPr>
              <w:spacing w:after="0"/>
              <w:rPr>
                <w:sz w:val="24"/>
                <w:szCs w:val="24"/>
                <w:color w:val="auto"/>
              </w:rPr>
            </w:pPr>
          </w:p>
        </w:tc>
        <w:tc>
          <w:tcPr>
            <w:tcW w:w="2160" w:type="dxa"/>
            <w:vAlign w:val="bottom"/>
          </w:tcPr>
          <w:p>
            <w:pPr>
              <w:jc w:val="right"/>
              <w:ind w:right="9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Consolidating Financial Information of Guarantors and Issuers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June 30, 2006 and December 31, 2005, and for the three and six months ended June 30, 2006 and 2005.</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2006</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68,176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38,939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65,724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49,951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19,428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242,218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295,298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52,521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85,267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2,136,662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181,216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2,317,878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25,593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55,683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68,053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2,912,105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192,376</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52,521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(3,331)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3,153,671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18,701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7,808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27,431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36,950</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(113,187)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151,428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10,659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157,122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1,700,000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1,735,891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(26,049)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1,684,610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193,013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1,926,176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1,449,442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1,449,442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(221,947)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(13,167)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1,227,495</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1,227,495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2,912,105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192,376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3,153,671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44,498</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88,632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39,884</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278,788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298,826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82,267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2,157,169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167,625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2,324,794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15,019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60,308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73,559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5,135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2,971,071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178,734</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(5,410)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Accounts payables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27,661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23,892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66,120</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(125,448)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132,258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35,485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137,969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1,710,000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1,748,510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1,746,242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176,479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1,445,785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1,445,785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(220,956)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(220,956)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1,224,829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1,224,829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2,971,071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178,734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113,527</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77,686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310,335</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(36,454)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(36,454)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273,881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57,920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49,423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44,987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36,116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251,028</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21,921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932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581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(30,021)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(22,504)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(22,723)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581</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932</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THREE MONTHS ENDED JUNE 30, 2005 (As Restated—see Note 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Guarantor</w:t>
            </w: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Casino</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34,649</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Gross revenues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226,052</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(24,934)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201,118</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Casino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11,780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28,812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8,611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23,376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681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208,776</w:t>
            </w: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208,859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from unconsolidated affiliates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(7,676)</w:t>
            </w:r>
          </w:p>
        </w:tc>
        <w:tc>
          <w:tcPr>
            <w:tcW w:w="2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(21,857)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(5,814)</w:t>
            </w:r>
          </w:p>
        </w:tc>
        <w:tc>
          <w:tcPr>
            <w:tcW w:w="24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(23,902)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(23,839)</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(31,578)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315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240,041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137,399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152,320</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629,116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628,434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(77,511)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(77,511)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551,605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550,923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121,156</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35,125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94,182</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66,374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87,984</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6,598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8,286</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73,665</w:t>
            </w: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505,889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507,217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68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8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11,017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(61,250)</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(44,903)</w:t>
            </w: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(45,379)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60" w:type="dxa"/>
            <w:vAlign w:val="bottom"/>
            <w:gridSpan w:val="3"/>
          </w:tcPr>
          <w:p>
            <w:pPr>
              <w:jc w:val="right"/>
              <w:ind w:right="353"/>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 (As Restated—see Note 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5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98,715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48,056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Gross revenues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226,060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(24,934)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(24,934)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201,126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201,128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42,280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33,706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28,810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24,260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237,981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239,526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(38,091)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(1,543)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(38,398)</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557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(21,858)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(12,694)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557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(12,387)</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(50,785)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(1,793)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557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(50,785)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3"/>
          </w:tcPr>
          <w:p>
            <w:pPr>
              <w:ind w:left="9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1,088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1,804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by/(used in) operating activities:</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73,665</w:t>
            </w: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6,527</w:t>
            </w: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subsidiaries, net of distributions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6,598</w:t>
            </w:r>
          </w:p>
        </w:tc>
        <w:tc>
          <w:tcPr>
            <w:tcW w:w="1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(5,330)</w:t>
            </w:r>
          </w:p>
        </w:tc>
        <w:tc>
          <w:tcPr>
            <w:tcW w:w="1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13,310</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(11,508)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(37,132)</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66,211</w:t>
            </w: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(50,099)</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(16,494)</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9,087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(14,497)</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from affiliates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(20,154)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19,170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(75,663)</w:t>
            </w:r>
          </w:p>
        </w:tc>
        <w:tc>
          <w:tcPr>
            <w:tcW w:w="14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2,662</w:t>
            </w:r>
          </w:p>
        </w:tc>
        <w:tc>
          <w:tcPr>
            <w:tcW w:w="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(74,089)</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(10,000)</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(10,159)</w:t>
            </w: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(12,638)</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(19,611)</w:t>
            </w: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87,787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68,176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 (As Restated—see Note 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Issuers</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(50,785)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(1,793)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557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1,236</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(50,785)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by/(used 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24,260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Inventories and prepaid expenses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(31,594)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(10,273)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(486,017)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(8,341)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(494,358)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278,997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Intangibles and other assets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(22,399)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from affiliates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(37,005)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(209,323)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(44,356)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(254,236)</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392,436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437,186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deferred financing costs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366,238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410,718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146,642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172,334</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This discussion gives effect to the restatement described in Note 11 to these condensed consolidated financial statements. Unless the context otherwise requires, all references herein to the “Company,” “we,” “us” or “our,” or similar terms, refer to Wynn Las Vegas, LLC, a Nevada limited liability company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offerings and borrowings under our credit facilities; competition in the casino/hotel and resort industries; our intention to fund a substantial portion of the development and construction costs of Encore at Wynn Las Vegas with anticipated cash flows generated at Wynn Las Vegas; new development and construction activities of competitors; our limited operating history; our dependence on Stephen A. Wynn and existing management; our dependence on one property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own and operate Wynn Las Vegas, a destination casino resort in Las Vegas, Nevada, which opened on April 28, 2005. In addition, on April 28, 2006, we commenced construction on “Encore at Wynn Las Vegas” (“Encore”), a hotel and casino resort fully integrated with Wynn Las Vegas. Until the opening of Wynn Las Vegas, we were solely a development stage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3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Casual and fine dining in 18 outlets featuring signature chefs, including the Five Diamond award-winning restaurant, Alex;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76,000 square feet of high-end, brand-name retail shopping, including stores and boutiques featuring Brioni, Chanel, Dior, Graff, Louis Vuitton, Jean-Paul Gaultier and Manolo Blahnik;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Showroom, nightclub and lounge entertainment.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its opening, we have enhanced and refined Wynn Las Vegas in response to market demands and customer preferences. In the second quarter of 2006, we completed the remodeling of the North Fairway Villas, remodeled a portion of the former baccarat area to feature a casino bar, improved public baccarat space and private baccarat salons and opened both a watch store that exclusively offers Rolex products and a mens’ accessories store in the retail esplanade. The Keno lounge is currently being converted into a retail outlet for womens’ accessories and the Broadway Theater, which formerly presented Avenue Q through its last performance on May 28, 2006, is being modified accommodate “Monty Python’s Spamalot,” winner of the 2005 Tony Award for best musical. We expect to commence performances of “Monty Python’s Spamalot” in the first quarter of 2007. We also expect to continue our remodel efforts, in each case, investing in projects designed to maximize the performance of Wynn Las Vegas.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28, 2006, we began construction of Encore on approximately 20 acres on the Las Vegas Strip, immediately adjacent to Wynn Las Vegas. Encore plans currently include a 2,042-room hotel tower fully integrated with Wynn Las Vegas, consisting of 132 suites and 1,910 guest rooms, an approximately 54,000 square foot casino, additional convention and meeting space, as well as restaurants, a nightclub, swimming pools, a spa and salon and retail outlets. Encore is expected to open by the end of 2008.</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March 31, 2006, our lenders approved the $1.74 billion project budget and the related plans and specifications for Encore (the “Encore Budget, Plans and Specs”).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incurred a net loss for the three and six months ended June 30, 2006 of $583,000 and $991,000, respectively, which represents a $31.0 million or 98.2% decrease and $49.8 million or 98.0% decrease from the losses incurred during the three and six months of 2005. Until Wynn Las Vegas opened on April 28, 2005, we were solely a development stage enterprise and pre-opening expenses increased significantly as Wynn Las Vegas approached opening. The three and six month periods ended June 30, 2005 reflect only 64 days of Wynn Las Vegas operations. In contrast, the three and six months periods ended June 30, 2006 reflect the full three months and six months, respectively of Wynn Las Vegas operations.</w:t>
      </w:r>
    </w:p>
    <w:p>
      <w:pPr>
        <w:spacing w:after="0" w:line="1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Although we no longer incur pre-opening expenses related to Wynn Las Vegas, which were a significant contributor to the net loss incurred for the three and six months ended June 30, 2005, since construction of Encore has commenced, we expect that our pre-opening expenses in future periods will exceed those incurred in the three and six months ended June 30, 2006. As a result of the expected pre-opening costs, we expect net losses to continue at least through the end of 2008, when Encore is expected to open to the public.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June 30, 2006 compared to the three months ended June 30, 2005.</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opened Wynn Las Vegas on April 28, 2005. Prior to opening Wynn Las Vegas, we had not commenced operations, nor generated any significant revenues. The results for the three months ended June 30, 2005 reflect 64 days of Wynn Las Vegas operations. The results for the three months ended June 30, 2006 reflect a full quarter of operations of Wynn Las Vegas.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statistics specific to the gaming industry are disclosed in the following discussion related to the Company’s operational performance for the periods in which a Statement of Operations is presented. Below are definitions of the gaming statistics discussed:</w:t>
      </w:r>
    </w:p>
    <w:p>
      <w:pPr>
        <w:spacing w:after="0" w:line="5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percentage is calculated by dividing the table games win by the total table games drop.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Slot win percentage is calculated by dividing the total gross cash win by the total handle.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second quarter of 2006, Wynn Las Vegas generated net revenues of $273.6 million compared to net revenues of $201.1 million for the 64 days of operations in the second quarter of 2005. Net revenues for the three months ended June 30, 2006 are comprised of $113.5 million in net gaming revenues (41.5% of total net revenues) and $160.1 million of net non-gaming revenues (58.5% of total net revenues). Net revenues for the 64 days of operation in the second quarter of 2005 were comprised of $98.7 million in net gaming revenues (49.1% of total net revenues) and $102.4 million of net non-gaming revenues (50.9% of total net revenues). The quality of the resort’s non-gaming amenities, combined with providing guests an unparalleled total resort experience, has driven a premium in Wynn Las Vegas’ average daily room rates and other non-gaming revenues.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net gaming revenues for the three months ended June 30, 2006 of approximately $113.5 million represents an approximately $14.8 million or 15.0% increase from the net gaming revenues of $98.7 million for the three months ended June 30, 2005, which included 64 days of operations. During the three-month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periods ended June 30, 2006 and 2005, the average table games win percentage (before discounts) was within the expected range of 19% to 22%, and the slot win percentage was within the expected range of 5% to 6% of handle, but with respect to 2006, was at the lower end of each range.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three months ended June 30, 2006, Wynn Las Vegas’ gross room revenues were approximately $69.2 million, which represents a $24.6 million or 55.1% increase over the $44.6 million generated in the 64 days of operations in the three months ended June 30, 2005. Average daily rate (“ADR”) and occupancy for the three months ended June 30, 2006 were $293 and 95.7%, respectively, generating revenues per available room (“REVPAR”) of $280. ADR and occupancy for the 64 days of operation in the second quarter of 2005 were $284 and 90.1%. Other non-gaming revenues for the three months ended June 30, 2006 included food and beverage revenues of approximately $77.7 million, retail revenues of approximately $19.3 million, entertainment revenues of approximately $17.1 million, and other revenues from outlets, including the spa and salon, of approximately $13.2 million. Other non-gaming revenues for the 64 days of operation in the three months ended June 30, 2005 included food and beverage revenues of approximately $48.1million, retail revenues of approximately $16.9 million, entertainment revenues of approximately $8.3 million, and other revenues from outlets, including the spa and salon, of approximately $9.5 million.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three months ended June 30, 2006, operating expenses included casino expenses of $57.9 million, rooms expenses of $18.1 million, food and beverage expenses of $49.4 million, and entertainment, retail and other expenses of $34.1 million. Also included are general and administrative expenses of approximately $44.2 million and approximately $3.7 million charged as a provision for doubtful accounts receivable. During the three months ended June 30, 2005, departmental expenses included casino expenses of $42.3 million, rooms expenses of $11.8 million, food and beverage expenses of $33.7 million, and entertainment, retail and other expenses of $20.3 million. Also included are general and administrative expenses of approximately $28.3 million and approximately $8.6 million charged as a provision for doubtful accounts receivable. Overall expenses have increased commensurate with the increase in revenues and the increase in the number of days of operations. The reduction in the provision for doubtful accounts resulted from refinements in initial expectations of uncollectible accounts from management’s past experience.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pre-opening costs for the three months ended June 30, 2006 of $176,000 decreased by $36.6 million compared to the three months ended June 30, 2005. Once it opened for business in April 2005, Wynn Las Vegas no longer incurred pre-opening costs; consequently, only the relatively small amount of pre-opening costs relating to Encore incurred through June 30, 2006 are included for the 2006 period. There also was a substantial increase in staffing immediately preceding the opening of Wynn Las Vegas, which is reflected in the pre-opening costs in the second quarter of 2005. As the Encore development progresses in 2006, we expect associated pre-opening costs to increase, but not to the same level as we experienced with Wynn Las Vegas.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Las Vegas’ depreciation and amortization expense for the three months ended June 30, 2006 of $37.6 million increased by $13.6 million compared to the $24.1 million incurred in the three months ended June 30, 2005, primarily as a result of the longer operating period for the three months ended June 30, 2006 compared to 2005. 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1.5% of revenues. These fees will be paid upon Wynn Las Vegas, LLC meeting certain leverage ratios and satisfying certain other criteria set forth in a management agreement we entered into in connection with our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in response to the reactions of our guests, we began to make enhancements and refinements to Wynn Las Vegas in the third quarter of 2005 and continued enhancing Wynn Las Vegas in the first and second quarters of 2006. The $2.4 million of costs relating to assets retired as a result of these enhancement and remodel efforts for the three months ended June 30, 2006 have been expensed as property charges. In the second quarter of 2006, we completed the remodeling of the North Fairway Villas and remodeled a portion of the former baccarat area to feature a casino bar, improved public baccarat space and private baccarat salons. Additionally, we remodeled the area of the Wynn retail esplanade formerly occupied by the art gallery at Wynn Las Vegas and opened a store dedicated exclusively to selling Rolex watches and a mens’ accessories store.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Interest income for the three months ended June 30, 2006 of $6.1 million increased by $2.0 million (or 49.9%) from $4.1 million for the three months ended June 30, 2005. This increase is due primarily to higher interest rates earned on cash balances.</w:t>
      </w:r>
    </w:p>
    <w:p>
      <w:pPr>
        <w:spacing w:after="0" w:line="13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Interest expense, net of capitalized interest for the three months ended June 30, 2006 of $30.8 million increased by $8.7 million or 39.4% from $22.1 million for the three months ended June 30, 2005, primarily due to the significant decrease in the amount of interest capitalized once Wynn Las Vegas opened on April 28, 2005. For the first month of the second quarter of 2005, virtually all interest incurred for that month was capitalized into the cost of Wynn Las Vegas.</w:t>
      </w:r>
    </w:p>
    <w:p>
      <w:pPr>
        <w:spacing w:after="0" w:line="8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interest rate swaps are accounted for in accordance with Statement of Financial Accounting Standards No. 133, Accounting for Derivative Instruments and Hedging Activities, as amended (“SFAS 133”). The fair value of the interest rate swaps are recorded as either assets or liabilities. Changes in the fair value of these interest rate swaps are recorded as non-operating income or expense in each period. We recorded approximately $2.0 million of swap income for the three months ended June 30, 2006 and approximately $5.8 million of swap expense for the three months ended June 30, 2005 resulting from the 2006 increase and the 2005 decrease in the fair value of our interest rate swaps from March 31, 2006 to June 30, 2006 and from March 31, 2005 to June 30, 2005, respectively.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six months ended June 30, 2006 compared to the six months ended June 30, 2005.</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opened Wynn Las Vegas on April 28, 2005. Prior to opening Wynn Las Vegas, we had not commenced operations, nor generated any significant revenues. The results for the six months ended June 30, 2005 reflect 64 days of Wynn Las Vegas operations. The results for the six months ended June 30, 2006 reflect a full six months of operations of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the six months ended June 30, 2006, Wynn Las Vegas generated net revenues of $550.9 million compared to net revenues of $201.1 million for the 64 days of operations in the second quarter of 2005. Net revenues for the six months ended June 30, 2006 are comprised of $240.0 million in net gaming revenues (43.6% of total net revenues) and $310.9 million of net non-gaming revenues (56.4% of total net revenues). Net revenues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for the 64 days of operations in the second quarter of 2005 were comprised of $98.7 million in net gaming revenues (49.1% of total net revenues) and $102.4 million of net non-gaming revenues (50.9% of total net revenues). The quality of the resort’s non-gaming amenities, combined with providing guests an unparalleled total resort experience, has driven a premium in Wynn Las Vegas’ average daily room rates and other non-gaming revenues.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Wynn Las Vegas’ net gaming revenues for the six months ended June 30, 2006 of approximately $240.0 million representing an approximately $141.3 million or 143.2% increase from the net gaming revenues of $98.7 million for the six months ended June 30, 2005, which included 64 days of operations. During the six-month periods ended June 30, 2006 and 2005, the average table games win percentage (before discounts) was within the expected range of 19% to 22%, and the slot win percentage was within the expected range of 5% to 6% of handle.</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 six months ended June 30, 2006, Wynn Las Vegas’ gross room revenues were approximately $137.4 million, which represents a $92.8 million or 207.8% increase over the $44.6 million generated in the 64 days of operations in the six months ended June 30, 2005. Average daily rate (“ADR”) and occupancy for the six months ended June 30, 2006 were $293 and 95.7%, respectively, generating revenues per available room (“REVPAR”) of $280. ADR and occupancy for the 64 days of operation in the second quarter of 2005 was $284 and 90.1%. Other non-gaming revenues for the six months ended June 30, 2006 included food and beverage revenues of approximately $152.3 million, retail revenues of approximately $36.5 million, entertainment revenues of approximately $37.5 million, and other revenues from outlets, including the spa and salon, of approximately $24.7 million. Other non-gaming revenues for the 64 days of operation in the six months ended June 30, 2005 included food and beverage revenues of approximately $48.1 million, retail revenues of approximately $16.9 million, entertainment revenues of approximately $8.3 million, and other revenues from outlets, including the spa and salon, of approximately $9.5 million.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six months ended June 30, 2006, operating expenses included casino expenses of $121.2 million, rooms expenses of $35.1 million, food and beverage expenses of $94.2 million, and entertainment, retail and other expenses of $66.4 million. Also included are general and administrative expenses of approximately $86.4 million and approximately $6.6 million charged as a provision for doubtful accounts receivable. During the six months ended June 30, 2005, departmental expenses included casino expenses of $42.3 million, rooms expenses of $11.8 million, food and beverage expenses of $33.7 million, and entertainment, retail and other expenses of $20.3 million. Also included are general and administrative expenses of approximately $28.3 million and approximately $8.6 million charged as a provision for doubtful accounts receivable. Overall, expenses have increased commensurate with the increase in revenues and the increase in the number of days of operations. The reduction in the provision for doubtful accounts results from refinements in initial expectations of uncollectible accounts from management’s past experience.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Wynn Las Vegas’ pre-opening costs for the six months ended June 30, 2006 of $194,000 decreased by $65.7 million compared to the six months ended June 30, 2005. Once it opened for business in April 2005, Wynn Las Vegas no longer incurred pre-opening costs; consequently, only the relatively small amount of pre-opening costs relating to Encore incurred through June 30, 2006 are included for the 2006 period. There also was a substantial increase in staffing immediately preceding the opening of Wynn Las Vegas, which is reflected in the pre-opening costs in the first half of 2005. As the Encore development progresses in 2006, we expect associated pre-opening costs to increase, but not to the same level as we experienced with Wynn Las Vegas.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Las Vegas’ depreciation and amortization expense for the six months ended June 30, 2006 of $76.6 million increased by $51.0 million compared to the $25.6 million incurred in the six months ended June 30, 2005, primarily as a result of the longer operating period for the six months ended June 30, 2006 compared to 2005. 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1.5% of revenues. These fees will be paid upon Wynn Las Vegas, LLC meeting certain leverage ratios and satisfying certain other criteria set forth in a management agreement we entered into in connection with our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response to our evaluation of the completed Wynn Las Vegas project and in response to the reactions of our guests, we began to make enhancements and refinements to Wynn Las Vegas in the third quarter of 2005 and continued enhancing Wynn Las Vegas in the first and second quarters of 2006. The $7.3 million of costs relating to assets retired as a result of these enhancement and remodel efforts for the six months ended June 30, 2006 have been expensed as property charges. In the first half of 2006, we remodeled the six North Fairway Villas (the six South Fairway Villas were remodeled in 2005); remodeled a portion of the former baccarat area to feature a casino bar, and improved baccarat space; closed the Wynn art gallery and remodeled that area of the Wynn retail esplanade to accommodate a store dedicated exclusively to selling Rolex watches and a mens’ accessories store; and made certain enhancements to our spa and salon and certain other areas. There were no comparable Wynn Las Vegas property charges incurred during the first half of 2005.</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Interest income for the six months ended June 30, 2006 of $12.1 million increased by $4.3 million or 54.5% from $7.8 million for the six months ended June 30, 2005. This increase is due primarily to higher interest rates earned on cash balances.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expense, net of capitalized interest for the six months ended June 30, 2006 of $62.8 million increased by $40.7 million or 184.1% from $22.1 million for the six months ended June 30, 2005, primarily due to the significant decrease in the amount of interest capitalized once Wynn Las Vegas opened on April 28, 2005. For the first four months of the second quarter of 2005, virtually all interest incurred during that period was capitalized into the cost of Wynn Las Vegas.</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non-operating income or expense in each period. We recorded approximately $5.3 million and $1.9 million, respectively, of swap income for the six months ended June 30, 2006 and 2005, resulting from the increases in the fair value of our interest rate swaps from December 31, 2005 and 2004 to June 30, 2006 and 2005,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Avenue Q Contract Termination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February 2006, we agreed with the producers of “Avenue Q” to end Avenue Q’s run in the Broadway Theatre at Wynn Las Vegas and stopped presenting the show on May 28, 2006. To terminate the contract,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paid a termination fee of $5.0 million. This fee was recorded in the first quarter of 2006 in accordance with the liability recognition provisions of Statement of Financial Accounting Standards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(“SFAS 146”). We are remodeling the Broadway Theater, which formerly presented “Avenue Q,” and adjacent areas to present “Monty Python’s Spamalot.” Performances of “Monty Python’s Spamalot” are expected to begin in the first quarter of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operating cash flows are primarily affected by our operating income, interest paid, and non-cash charges included in operating income. On April 28, 2005, we opened Wynn Las Vegas and began generating cash from operations. Net cash from operations in the six months ended June 30, 2006 was $67.1 million compared to $9.8 million used in operations in the six months ended June 30,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June 30, 2006, we had approximately $68.2 million of cash and cash equivalents generally available for use without restriction, including for new development activities, enhancements to Wynn Las Vegas, or to support the development and construction of Encore.</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Otherwise we attempt to minimize the amount of cash held in banks. Accordingly, excess funds are swept from accounts into overnight investments or to repay borrowings under our credit facilities.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June 30, 2006, we had approximately $386.8 million in cash and investments from the proceeds of our debt and equity financings, all of which is restricted for the remaining costs of Wynn Las Vegas and the construction, development and pre-opening expenses of Encore, including $80.0 million restricted for the Wynn Las Vegas liquidity reserve and completion guarantee ($30.0 million of which must be retained for Encore). 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June 30, 2006, approximately $4.5 million of budgeted project costs and retention amounts remained to be paid in order to close out the Wynn Las Vegas project. We expect these final costs to be paid in the third quarter of 2006.</w:t>
      </w:r>
    </w:p>
    <w:p>
      <w:pPr>
        <w:spacing w:after="0" w:line="13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the third quarter of 2005, we began to make certain enhancements and refinements to Wynn Las Vegas. As a result, we have incurred and will continue to incur capital expenditures relating to these enhancements and refinements. Under the terms of the Wynn Las Vegas credit facilities, we are permitted to make up to $80.0 million of capital expenditures in 2006, of which we have expended approximately $46.4 million in the first six months of 2006. The spending limit will be increased to the extent funds are contributed to Wynn Las Vegas by Wynn Resorts, Limited.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lenders approved the $1.74 billion Encore budget and related plans and specifications on March 31, 2006. On April 28, 2006, we broke ground and commenced construction on Encore. We expect to open Encore to the public by the end of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Design and construction is progressing as expected at Encore. Current construction activities in the various project sections since groundbreaking include the following:</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documentation is progressing in accordance with the design schedule;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Excavation for the highrise tower has been completed;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Excavation for the low rise building has commenced;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Pile drilling and foundation work is progressing.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 Reve Production Rights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April 2006, Wynn Resorts canceled the 189,723 nonvested shares of Wynn Resorts’ common stock granted, subject to certain performance criteria, to the executive producer of “Le Reve.”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Reve” which were previously only licensed to us. We paid $15.9 million to acquire substantially all of the rights in and to “Le Reve,” and to repay approximately $1.4 million of production costs, which were reimbursable to the executive producer of “Le Reve”. The rights acquired enable us to produce, present, enhance, or alter the performance of “Le Reve” after May 31,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7"/>
          <w:szCs w:val="17"/>
          <w:color w:val="auto"/>
        </w:rPr>
        <w:t xml:space="preserve">A final accounting for Wynn Las Vegas is expected in the third quarter of 2006. Wynn Las Vegas’ estimated project cost of $2.74 billion has been and will be funded from a combination of contributed capital from the original shareholders of Valvino Lamore, LLC (the predecessor of Wynn Resorts, Limited), proceeds from sales of our common stock, proceeds from the issuance of the 12% Second Mortgage Notes due 2010 (the “Second Mortgage Notes”) (which were discharged in connection with the December 2004 refinancing), proceeds from the issuance of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2014 (the “First Mortgage Notes”), and a portion of Wynn Las Vegas, LLC’s $1.0 billion credit facilities (the “Wynn Las Vegas Credit Facilities”), which consist of a $400.0 million term loan facility (the “Term Loan”) and a $600.0 million revolving facility (the “Revolver”).</w:t>
      </w:r>
    </w:p>
    <w:p>
      <w:pPr>
        <w:spacing w:after="0" w:line="143"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Revolver is available for Wynn Las Vegas’ general corporate purposes and for Encore, and any amounts repaid may be re-borrowed. In the second quarter of 2005, we borrowed $80.0 million under the Revolver and loaned it to Wynn Macau, S.A. as subordinated debt. This borrowing was repaid by Wynn Las Vegas, LLC in the third quarter of 2005; consequently, as of June 30, 2006, the entire $600.0 million Revolver was available for future borrowings for the construction of Encore or for other uses as necessary.</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designated, and expect to continue to designate, borrowings under the Credit Facilities as Eurodollar Loans. These Eurodollar Loans bear interest at the London Interbank Offered Rate (“LIBOR”) plus 2.25% for the Revolver loans and LIBOR plus 2.125% for the Term Loan. Interest on Eurodollar Loans is payable at the end of the applicable interest period in the case of interest periods of one, two or three months, and every three months in the case of interest periods of six months. After the opening of Encore, the applicable borrowing margins for Eurodollar revolving loans will range from 1.25% to 2.5% per annum depending on Wynn Las Vegas LLC’s leverage ratio. In addition to interest, we also pay quarterly in arrears, 0.75% per annum on the daily average of unborrowed availability under the Revolver. After the opening of Encore, the annual fee that we will be required to pay for unborrowed availability under the Revolver will be based on Wynn Las Vegas, LLC’s leverage ratio and will range from 0.25% to 0.50% per annum.</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Facilities are obligations of Wynn Las Vegas, LLC and are guaranteed by each of its subsidiaries (other than Wynn Completion Guarantor, LLC). The obligations and guarantees are secured by: (1) a first priority security interest on a $30.0 million liquidity reserve account; (2) a $50.0 million completion guarantee deposit account held by Wynn Completion Guarantor, LLC; (3) the remaining previously funded proceeds of the Credit Facilities; (4) a first priority pledge of all member’s interests owned by Wynn Las Vegas, LLC in its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 corporate aircraft owned by World Travel, LLC, a subsidiary of Wynn Las Vegas, LLC.</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Revolver will terminate and be payable in full on December 14, 2009, and the Term Loan will mature on December 14, 2011.</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incurred approximately $120.4 million of Encore budget costs through June 30, 2006. These costs have been funded from the Credit Facilities and the First Mortgage Notes. We expect that the available remaining proceeds from the First Mortgage Notes, together with availability under the Credit Facilities, and cash flow from operations, will be sufficient to pay for expenditures of approximately $1.5 billion on the Encore project without incurring additional debt or receiving additional capital contributions from Wynn Resorts. Project costs exceeding approximately $1.5 billion are expected to be funded by an increase of up to $125.0 million of additional availability in the Credit Facilities and/or contributions from Wynn Resorts, Limited.</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7"/>
          <w:szCs w:val="17"/>
          <w:color w:val="auto"/>
        </w:rPr>
        <w:t xml:space="preserve">On March 15, 2006, we amended the agreement (the “Credit Agreement”) governing the Credit Facilities to (a) allow us to issue up to $100.0 million of additional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December 1, 2014 (the “First Mortgage Notes”); (b) simplify draw procedures under the agreement governing the disbursement of funds restricted under the Credit Agreement (the “Disbursement Agreement”); (c) consolidate certain accounts under the Disbursement Agreement; (d) amend and clarify certain of the conditions for the approval of the budget, plans and specifications of Encore; (e) extend the outside opening and completion dates for Encore to June 30, 2009 and September 30, 2009, respectively; and (f) permit expenditures of up to $150.0 million on Encore prior to the execution of a guaranteed maximum price contract.</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March 31, 2006, Wynn Resorts, Limited delivered an equity commitment agreement to the lenders under the Credit Facilities. Under this agreement, Wynn Resorts has committed to pay up to $215.3 million of Encore project costs if Wynn Las Vegas, LLC is unable to do so.</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June 30, 2006, in anticipation of a contemplated refinancing of the Credit Facilities, we further amended the Credit Agreement to: (i) clarify the Credit Agreement’s definition of “Consolidated Total Debt”; and (ii) change the Consolidated Interest Coverage Ratio (as defined in the Credit Agreement) applicable on Quarterly Dates (as defined in the Credit Agreement) on or prior to September 30, 2007 from 2.25:1 to 2.00:1.</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July 7, 2006, we engaged Deutsche Bank Trust Company Americas, Deutsche Bank Securities Inc., Bank of America, N.A. and Banc of America Securities LLC in connection with the proposed refinancing of our Wynn Las Vegas Credit Facilities.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final costs of Wynn Las Vegas will be paid from previously funded amounts under the First Mortgage Notes and the Term Loan and the ongoing costs of Encore will be paid with funds from the following sources and in the following order of priority:</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by using agreed excess cash flow from the operations of Wynn Las Vegas and any equity contributions from Wynn Resorts;</w:t>
      </w:r>
    </w:p>
    <w:p>
      <w:pPr>
        <w:spacing w:after="0" w:line="90"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Credit Facilities, until exhaustion of the First Mortgage Notes proceeds, with amounts funded 66.67% from notes proceeds and 33.33% from the Credit Facilities;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have two interest rate swap agreements to hedge a portion of the underlying interest rate risk on borrowings under the Wynn Las Vegas Credit Facilities. See Item 3. “Quantitative and Qualitative Disclosures About Market Risk.”</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outstanding at June 30, 2006 approximately $41.1 million of an original $44.75 million borrowing secured by our corporate aircraft. This loan matures on May 24,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$10.0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until Wynn Las Vegas has been completed and certain other financial and non-financial criteria have been satisfied. In addition the Credit Facilities contain similar restrictions.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of Encore will increase correspondingly. We intend to fund the operations and capital requirements of Wynn Las Vegas from operating cash flow and remaining availability under the Credit Facilities. We cannot assure you, however, that Wynn Las Vegas will generate sufficient cash flow from operations or that future borrowings available to us under the Credit Facilities will be sufficient to enable us to service and repay our indebtedness and to fund our other liquidity needs. We may refinance all or a portion of our indebtedness on or before maturity. We cannot assure you that we will be able to refinance any of the indebtedness on acceptable terms or at all.</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Furthermore, new business developments or other unforeseen events may occur, resulting in the need to raise additional funds. We continue to explore opportunities to develop additional gaming or related businesses utilizing our substantial real estate holdings in Las Vegas. There can be no assurances regarding the business prospects with respect to any other opportunity. Any such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 description of our critical accounting policies can be found in Item 7. Management’s Discussion and Analysis of Results of Financial Condition and Operations of our Annual Report on Form 10-K for the year ended December 31, 2005. We present below a discussion of our policies related to share-based compensation which has been updated from the discussion in our Annual Report.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supercedes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 In applying the modified prospective method, financial statements of prior periods presented do not reflect any adjusted amounts (i.e. prior periods do not include compensation cost calculated under the fair value method).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Note 2. Summary of Significant Accounting Policies in the notes to the condensed consolidated financial statements, for a description of our recently issued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December 14, 2004, we entered into two interest rate swap arrangements to hedge the underlying interest rate risk on a total of $400.0 million of borrowings under Wynn Las Vegas, LLC’s term loan facility, which bears interest at LIBOR plus 2.125%. Under each of these two interest rate swap arrangements, we receive payments at a variable rate of LIBOR and pay a fixed rate of 3.793% on the $200.0 million notional amount set forth in each of the swap instruments from February and March 2005, respectively, through December 2008. Although these interest rate swaps are highly effective economically in fixing the interest rate on these borrowings under the new term loan facility at approximately 5.9%, changes in fair value of these interest rate swaps for each reporting period are, and will continue to be, recorded as a component of other income (expense), net as the swaps do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 and Changes in Fair Values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recorded approximately $15.8 million and $10.5 million as of June 30, 2006 and December 31, 2005, respectively, in deposits and other assets to reflect the fair value of the interest rate swaps. The fair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Although these interest rate swaps are highly effective economically in fixing the interest rate on the term loan borrowings at approximately 5.9%, changes in the fair value of the interest rate swaps for each reporting period are recorded in the increase (or decrease) in swap fair value as a component of other income (expense), net since the interest rate swaps do not qualify for hedge accounting. Accordingly, during the three and six months ended June 30, 2006 and 2005, the Company recorded the following amounts to reflect the increases (or decreases) in the fair value of the interest rate swaps (amounts in thousands):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gridSpan w:val="3"/>
          </w:tcPr>
          <w:p>
            <w:pPr>
              <w:ind w:left="400"/>
              <w:spacing w:after="0"/>
              <w:rPr>
                <w:sz w:val="20"/>
                <w:szCs w:val="20"/>
                <w:color w:val="auto"/>
              </w:rPr>
            </w:pPr>
            <w:r>
              <w:rPr>
                <w:rFonts w:ascii="Arial" w:cs="Arial" w:eastAsia="Arial" w:hAnsi="Arial"/>
                <w:sz w:val="14"/>
                <w:szCs w:val="14"/>
                <w:b w:val="1"/>
                <w:bCs w:val="1"/>
                <w:color w:val="auto"/>
              </w:rPr>
              <w:t>June 30, 2006</w:t>
            </w:r>
          </w:p>
        </w:tc>
        <w:tc>
          <w:tcPr>
            <w:tcW w:w="520" w:type="dxa"/>
            <w:vAlign w:val="bottom"/>
          </w:tcPr>
          <w:p>
            <w:pPr>
              <w:spacing w:after="0"/>
              <w:rPr>
                <w:sz w:val="14"/>
                <w:szCs w:val="14"/>
                <w:color w:val="auto"/>
              </w:rPr>
            </w:pPr>
          </w:p>
        </w:tc>
        <w:tc>
          <w:tcPr>
            <w:tcW w:w="160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 2005</w:t>
            </w:r>
          </w:p>
        </w:tc>
      </w:tr>
      <w:tr>
        <w:trPr>
          <w:trHeight w:val="142"/>
        </w:trPr>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3 months</w:t>
            </w: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0"/>
              </w:rPr>
              <w:t>6 months</w:t>
            </w:r>
          </w:p>
        </w:tc>
        <w:tc>
          <w:tcPr>
            <w:tcW w:w="52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3 months</w:t>
            </w:r>
          </w:p>
        </w:tc>
        <w:tc>
          <w:tcPr>
            <w:tcW w:w="4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6 months</w:t>
            </w:r>
          </w:p>
        </w:tc>
        <w:tc>
          <w:tcPr>
            <w:tcW w:w="2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swap fair value</w:t>
            </w:r>
          </w:p>
        </w:tc>
        <w:tc>
          <w:tcPr>
            <w:tcW w:w="26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86"/>
              </w:rPr>
              <w:t>$ 1,975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$ 5,330</w:t>
            </w: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$(5,814)</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$ 1,887</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For the three and six months ended June 30, 2006, we incurred approximately $32.2 million and $64.2 million, respectively, in interest. Certain amounts of our outstanding indebtedness for the period was based upon variable LIBOR rates plus a premium. A 1% increase in the variable rates would have increased our interest cost for the three and six months ended June 30, 2006 by approximately $107,000 and $213,000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64"/>
        <w:spacing w:after="0" w:line="289"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rFonts w:ascii="Arial" w:cs="Arial" w:eastAsia="Arial" w:hAnsi="Arial"/>
          <w:sz w:val="16"/>
          <w:szCs w:val="16"/>
          <w:color w:val="auto"/>
        </w:rPr>
      </w:pPr>
    </w:p>
    <w:p>
      <w:pPr>
        <w:ind w:right="6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Control Over Financial Reporting.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880" w:type="dxa"/>
            <w:vAlign w:val="bottom"/>
          </w:tcPr>
          <w:p>
            <w:pPr>
              <w:spacing w:after="0"/>
              <w:rPr>
                <w:sz w:val="24"/>
                <w:szCs w:val="24"/>
                <w:color w:val="auto"/>
              </w:rPr>
            </w:pPr>
          </w:p>
        </w:tc>
        <w:tc>
          <w:tcPr>
            <w:tcW w:w="988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76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16"/>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5"/>
              </w:rPr>
              <w:t>Production Rights Purchase Agreement, dated as of May 31, 2006, by and among Wynn Las Vegas, LLC; Lupa International, Inc.;</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2"/>
              </w:rPr>
              <w:t>Productions Du Dragon, S.A. and Franco Dragone, to which intervenes Calitri Services and Licensing Limited Liability Company. (2)**</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2"/>
              </w:rPr>
              <w:t>Change Order No. 11 to Agreement for Guaranteed Maximum Price Construction Services, dated as of June 7, 2006, by and between</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Marnell Corrao Associates, Inc. as Contractor and Wynn Las Vegas, LLC. (2)</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2"/>
              </w:rPr>
              <w:t>Fourth Amendment to Credit Agreement, dated as of June 30, 2006, among Wynn Las Vegas, LLC, the Wynn Amendment Parties (as</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2"/>
              </w:rPr>
              <w:t>defined therein) and Deutsche Bank Trust Company Americas, as administrative agent on behalf of the lenders (as defined therein. (3)</w:t>
            </w:r>
          </w:p>
        </w:tc>
      </w:tr>
      <w:tr>
        <w:trPr>
          <w:trHeight w:val="324"/>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Portions of the exhibit have been redacted and are subject to a confidential treatment request filed within the Securities and Exchange Commission pursuant to Rule 24b-2 under the Securities and Exchange Act of 1934, as amended.</w:t>
      </w:r>
    </w:p>
    <w:p>
      <w:pPr>
        <w:spacing w:after="0" w:line="1" w:lineRule="exact"/>
        <w:rPr>
          <w:sz w:val="20"/>
          <w:szCs w:val="20"/>
          <w:color w:val="auto"/>
        </w:rPr>
      </w:pPr>
    </w:p>
    <w:p>
      <w:pPr>
        <w:ind w:left="460" w:right="2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Limited on August 7,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July 7, 2006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WYNN RESORTS HOLDINGS, LLC</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its sole member</w:t>
      </w:r>
    </w:p>
    <w:p>
      <w:pPr>
        <w:spacing w:after="0" w:line="21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spacing w:after="0"/>
        <w:tabs>
          <w:tab w:leader="none" w:pos="6060" w:val="left"/>
          <w:tab w:leader="none" w:pos="8360" w:val="left"/>
        </w:tabs>
        <w:rPr>
          <w:sz w:val="20"/>
          <w:szCs w:val="20"/>
          <w:color w:val="auto"/>
        </w:rPr>
      </w:pPr>
      <w:r>
        <w:rPr>
          <w:rFonts w:ascii="Arial" w:cs="Arial" w:eastAsia="Arial" w:hAnsi="Arial"/>
          <w:sz w:val="18"/>
          <w:szCs w:val="18"/>
          <w:color w:val="auto"/>
        </w:rPr>
        <w:t>Dated: August 7,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0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of Wynn Resorts, Limited</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40"/>
          </w:cols>
          <w:pgMar w:left="240" w:top="459" w:right="11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2006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Andrew Pascal</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August 7, 2006</w:t>
            </w:r>
          </w:p>
        </w:tc>
      </w:tr>
      <w:tr>
        <w:trPr>
          <w:trHeight w:val="636"/>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R. Sisk</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David R. Sisk</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August 7,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2019-12-15T07:04:41Z</dcterms:created>
  <dcterms:modified xsi:type="dcterms:W3CDTF">2019-12-15T07:04:41Z</dcterms:modified>
</cp:coreProperties>
</file>