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21, 2013</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WYNN RESORTS, LIMITED</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920" w:type="dxa"/>
            <w:vAlign w:val="bottom"/>
          </w:tcPr>
          <w:p>
            <w:pPr>
              <w:jc w:val="center"/>
              <w:ind w:right="1988"/>
              <w:spacing w:after="0"/>
              <w:rPr>
                <w:sz w:val="20"/>
                <w:szCs w:val="20"/>
                <w:color w:val="auto"/>
              </w:rPr>
            </w:pPr>
            <w:r>
              <w:rPr>
                <w:rFonts w:ascii="Arial" w:cs="Arial" w:eastAsia="Arial" w:hAnsi="Arial"/>
                <w:sz w:val="14"/>
                <w:szCs w:val="14"/>
                <w:b w:val="1"/>
                <w:bCs w:val="1"/>
                <w:color w:val="auto"/>
                <w:w w:val="92"/>
              </w:rPr>
              <w:t>Nevada</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w w:val="93"/>
              </w:rPr>
              <w:t>46-0484987</w:t>
            </w:r>
          </w:p>
        </w:tc>
      </w:tr>
      <w:tr>
        <w:trPr>
          <w:trHeight w:val="149"/>
        </w:trPr>
        <w:tc>
          <w:tcPr>
            <w:tcW w:w="3920" w:type="dxa"/>
            <w:vAlign w:val="bottom"/>
          </w:tcPr>
          <w:p>
            <w:pPr>
              <w:jc w:val="center"/>
              <w:ind w:right="19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8"/>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6"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Kim Sinatra</w:t>
      </w:r>
    </w:p>
    <w:p>
      <w:pPr>
        <w:jc w:val="center"/>
        <w:spacing w:after="0" w:line="226" w:lineRule="auto"/>
        <w:rPr>
          <w:sz w:val="20"/>
          <w:szCs w:val="20"/>
          <w:color w:val="auto"/>
        </w:rPr>
      </w:pPr>
      <w:r>
        <w:rPr>
          <w:rFonts w:ascii="Arial" w:cs="Arial" w:eastAsia="Arial" w:hAnsi="Arial"/>
          <w:sz w:val="14"/>
          <w:szCs w:val="14"/>
          <w:b w:val="1"/>
          <w:bCs w:val="1"/>
          <w:color w:val="auto"/>
        </w:rPr>
        <w:t>Senior Vice President—General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a copy to:</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Andrew L. Fabens</w:t>
      </w:r>
    </w:p>
    <w:p>
      <w:pPr>
        <w:jc w:val="center"/>
        <w:spacing w:after="0" w:line="221" w:lineRule="auto"/>
        <w:rPr>
          <w:sz w:val="20"/>
          <w:szCs w:val="20"/>
          <w:color w:val="auto"/>
        </w:rPr>
      </w:pPr>
      <w:r>
        <w:rPr>
          <w:rFonts w:ascii="Arial" w:cs="Arial" w:eastAsia="Arial" w:hAnsi="Arial"/>
          <w:sz w:val="14"/>
          <w:szCs w:val="14"/>
          <w:b w:val="1"/>
          <w:bCs w:val="1"/>
          <w:color w:val="auto"/>
        </w:rPr>
        <w:t>Ronald O. Mueller</w:t>
      </w:r>
    </w:p>
    <w:p>
      <w:pPr>
        <w:jc w:val="center"/>
        <w:spacing w:after="0" w:line="221" w:lineRule="auto"/>
        <w:rPr>
          <w:sz w:val="20"/>
          <w:szCs w:val="20"/>
          <w:color w:val="auto"/>
        </w:rPr>
      </w:pPr>
      <w:r>
        <w:rPr>
          <w:rFonts w:ascii="Arial" w:cs="Arial" w:eastAsia="Arial" w:hAnsi="Arial"/>
          <w:sz w:val="14"/>
          <w:szCs w:val="14"/>
          <w:b w:val="1"/>
          <w:bCs w:val="1"/>
          <w:color w:val="auto"/>
        </w:rPr>
        <w:t>Gibson, Dunn &amp; Crutcher LLP</w:t>
      </w:r>
    </w:p>
    <w:p>
      <w:pPr>
        <w:jc w:val="center"/>
        <w:spacing w:after="0" w:line="222" w:lineRule="auto"/>
        <w:rPr>
          <w:sz w:val="20"/>
          <w:szCs w:val="20"/>
          <w:color w:val="auto"/>
        </w:rPr>
      </w:pPr>
      <w:r>
        <w:rPr>
          <w:rFonts w:ascii="Arial" w:cs="Arial" w:eastAsia="Arial" w:hAnsi="Arial"/>
          <w:sz w:val="14"/>
          <w:szCs w:val="14"/>
          <w:b w:val="1"/>
          <w:bCs w:val="1"/>
          <w:color w:val="auto"/>
        </w:rPr>
        <w:t>200 Park Avenue</w:t>
      </w:r>
    </w:p>
    <w:p>
      <w:pPr>
        <w:jc w:val="center"/>
        <w:spacing w:after="0" w:line="221" w:lineRule="auto"/>
        <w:rPr>
          <w:sz w:val="20"/>
          <w:szCs w:val="20"/>
          <w:color w:val="auto"/>
        </w:rPr>
      </w:pPr>
      <w:r>
        <w:rPr>
          <w:rFonts w:ascii="Arial" w:cs="Arial" w:eastAsia="Arial" w:hAnsi="Arial"/>
          <w:sz w:val="14"/>
          <w:szCs w:val="14"/>
          <w:b w:val="1"/>
          <w:bCs w:val="1"/>
          <w:color w:val="auto"/>
        </w:rPr>
        <w:t>New York, NY 10166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351-4000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From time to time after this registration statement becomes effective.</w:t>
      </w:r>
    </w:p>
    <w:p>
      <w:pPr>
        <w:spacing w:after="0" w:line="4"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right="40" w:firstLine="342"/>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right="12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gridSpan w:val="2"/>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20" w:type="dxa"/>
            <w:vAlign w:val="bottom"/>
            <w:gridSpan w:val="2"/>
          </w:tcPr>
          <w:p>
            <w:pPr>
              <w:ind w:left="980"/>
              <w:spacing w:after="0"/>
              <w:rPr>
                <w:sz w:val="20"/>
                <w:szCs w:val="20"/>
                <w:color w:val="auto"/>
              </w:rPr>
            </w:pPr>
            <w:r>
              <w:rPr>
                <w:rFonts w:ascii="Arial" w:cs="Arial" w:eastAsia="Arial" w:hAnsi="Arial"/>
                <w:sz w:val="14"/>
                <w:szCs w:val="14"/>
                <w:color w:val="auto"/>
              </w:rPr>
              <w:t>Accelerated filer</w:t>
            </w:r>
          </w:p>
        </w:tc>
        <w:tc>
          <w:tcPr>
            <w:tcW w:w="140" w:type="dxa"/>
            <w:vAlign w:val="bottom"/>
          </w:tcPr>
          <w:p>
            <w:pP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6"/>
        </w:trPr>
        <w:tc>
          <w:tcPr>
            <w:tcW w:w="152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gridSpan w:val="2"/>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2"/>
          </w:tcPr>
          <w:p>
            <w:pPr>
              <w:ind w:left="980"/>
              <w:spacing w:after="0"/>
              <w:rPr>
                <w:sz w:val="20"/>
                <w:szCs w:val="20"/>
                <w:color w:val="auto"/>
              </w:rPr>
            </w:pPr>
            <w:r>
              <w:rPr>
                <w:rFonts w:ascii="Arial" w:cs="Arial" w:eastAsia="Arial" w:hAnsi="Arial"/>
                <w:sz w:val="14"/>
                <w:szCs w:val="14"/>
                <w:color w:val="auto"/>
              </w:rPr>
              <w:t>Smaller reporting company</w:t>
            </w:r>
          </w:p>
        </w:tc>
        <w:tc>
          <w:tcPr>
            <w:tcW w:w="140" w:type="dxa"/>
            <w:vAlign w:val="bottom"/>
          </w:tcPr>
          <w:p>
            <w:pP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40" w:type="dxa"/>
            <w:vAlign w:val="bottom"/>
            <w:gridSpan w:val="5"/>
          </w:tcPr>
          <w:p>
            <w:pPr>
              <w:ind w:left="2820"/>
              <w:spacing w:after="0"/>
              <w:rPr>
                <w:sz w:val="20"/>
                <w:szCs w:val="20"/>
                <w:color w:val="auto"/>
              </w:rPr>
            </w:pPr>
            <w:r>
              <w:rPr>
                <w:rFonts w:ascii="Arial" w:cs="Arial" w:eastAsia="Arial" w:hAnsi="Arial"/>
                <w:sz w:val="14"/>
                <w:szCs w:val="14"/>
                <w:b w:val="1"/>
                <w:bCs w:val="1"/>
                <w:color w:val="auto"/>
              </w:rPr>
              <w:t>CALCULATION OF REGISTRATION FEE</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right w:val="single" w:sz="8" w:color="auto"/>
            </w:tcBorders>
          </w:tcPr>
          <w:p>
            <w:pPr>
              <w:jc w:val="center"/>
              <w:ind w:right="89"/>
              <w:spacing w:after="0" w:line="106" w:lineRule="exact"/>
              <w:rPr>
                <w:sz w:val="20"/>
                <w:szCs w:val="20"/>
                <w:color w:val="auto"/>
              </w:rPr>
            </w:pPr>
            <w:r>
              <w:rPr>
                <w:rFonts w:ascii="Arial" w:cs="Arial" w:eastAsia="Arial" w:hAnsi="Arial"/>
                <w:sz w:val="12"/>
                <w:szCs w:val="12"/>
                <w:b w:val="1"/>
                <w:bCs w:val="1"/>
                <w:color w:val="auto"/>
              </w:rPr>
              <w:t>Proposed</w:t>
            </w:r>
          </w:p>
        </w:tc>
        <w:tc>
          <w:tcPr>
            <w:tcW w:w="1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1100" w:type="dxa"/>
            <w:vAlign w:val="bottom"/>
            <w:tcBorders>
              <w:right w:val="single" w:sz="8" w:color="auto"/>
            </w:tcBorders>
          </w:tcPr>
          <w:p>
            <w:pPr>
              <w:jc w:val="center"/>
              <w:ind w:right="89"/>
              <w:spacing w:after="0" w:line="149" w:lineRule="exact"/>
              <w:rPr>
                <w:sz w:val="20"/>
                <w:szCs w:val="20"/>
                <w:color w:val="auto"/>
              </w:rPr>
            </w:pPr>
            <w:r>
              <w:rPr>
                <w:rFonts w:ascii="Arial" w:cs="Arial" w:eastAsia="Arial" w:hAnsi="Arial"/>
                <w:sz w:val="14"/>
                <w:szCs w:val="14"/>
                <w:b w:val="1"/>
                <w:bCs w:val="1"/>
                <w:color w:val="auto"/>
                <w:w w:val="94"/>
              </w:rPr>
              <w:t>maximum</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80" w:type="dxa"/>
            <w:vAlign w:val="bottom"/>
            <w:tcBorders>
              <w:right w:val="single" w:sz="8" w:color="auto"/>
            </w:tcBorders>
            <w:gridSpan w:val="2"/>
          </w:tcPr>
          <w:p>
            <w:pPr>
              <w:jc w:val="center"/>
              <w:ind w:right="1520"/>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5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89"/>
              </w:rPr>
              <w:t>to be</w:t>
            </w:r>
          </w:p>
        </w:tc>
        <w:tc>
          <w:tcPr>
            <w:tcW w:w="260" w:type="dxa"/>
            <w:vAlign w:val="bottom"/>
            <w:gridSpan w:val="2"/>
          </w:tcPr>
          <w:p>
            <w:pPr>
              <w:spacing w:after="0"/>
              <w:rPr>
                <w:sz w:val="13"/>
                <w:szCs w:val="13"/>
                <w:color w:val="auto"/>
              </w:rPr>
            </w:pPr>
          </w:p>
        </w:tc>
        <w:tc>
          <w:tcPr>
            <w:tcW w:w="1100" w:type="dxa"/>
            <w:vAlign w:val="bottom"/>
            <w:tcBorders>
              <w:right w:val="single" w:sz="8" w:color="auto"/>
            </w:tcBorders>
          </w:tcPr>
          <w:p>
            <w:pPr>
              <w:jc w:val="center"/>
              <w:ind w:right="109"/>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4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tcPr>
          <w:p>
            <w:pPr>
              <w:jc w:val="center"/>
              <w:ind w:left="168"/>
              <w:spacing w:after="0" w:line="158"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880" w:type="dxa"/>
            <w:vAlign w:val="bottom"/>
            <w:tcBorders>
              <w:bottom w:val="single" w:sz="8" w:color="auto"/>
              <w:right w:val="single" w:sz="8" w:color="auto"/>
            </w:tcBorders>
            <w:gridSpan w:val="2"/>
          </w:tcPr>
          <w:p>
            <w:pPr>
              <w:jc w:val="center"/>
              <w:ind w:right="1520"/>
              <w:spacing w:after="0"/>
              <w:rPr>
                <w:sz w:val="20"/>
                <w:szCs w:val="20"/>
                <w:color w:val="auto"/>
              </w:rPr>
            </w:pPr>
            <w:r>
              <w:rPr>
                <w:rFonts w:ascii="Arial" w:cs="Arial" w:eastAsia="Arial" w:hAnsi="Arial"/>
                <w:sz w:val="14"/>
                <w:szCs w:val="14"/>
                <w:b w:val="1"/>
                <w:bCs w:val="1"/>
                <w:color w:val="auto"/>
                <w:w w:val="89"/>
              </w:rPr>
              <w:t>securities to be registered(1)</w:t>
            </w:r>
          </w:p>
        </w:tc>
        <w:tc>
          <w:tcPr>
            <w:tcW w:w="1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registered(2)</w:t>
            </w:r>
          </w:p>
        </w:tc>
        <w:tc>
          <w:tcPr>
            <w:tcW w:w="260" w:type="dxa"/>
            <w:vAlign w:val="bottom"/>
            <w:tcBorders>
              <w:bottom w:val="single" w:sz="8" w:color="auto"/>
            </w:tcBorders>
            <w:gridSpan w:val="2"/>
          </w:tcPr>
          <w:p>
            <w:pPr>
              <w:spacing w:after="0"/>
              <w:rPr>
                <w:sz w:val="15"/>
                <w:szCs w:val="15"/>
                <w:color w:val="auto"/>
              </w:rPr>
            </w:pPr>
          </w:p>
        </w:tc>
        <w:tc>
          <w:tcPr>
            <w:tcW w:w="110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per share(2)</w:t>
            </w:r>
          </w:p>
        </w:tc>
        <w:tc>
          <w:tcPr>
            <w:tcW w:w="14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price(2)</w:t>
            </w:r>
          </w:p>
        </w:tc>
        <w:tc>
          <w:tcPr>
            <w:tcW w:w="15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registration fee(2)(3)</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38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5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jc w:val="center"/>
              <w:ind w:right="89"/>
              <w:spacing w:after="0" w:line="142" w:lineRule="exact"/>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auto"/>
            </w:tcBorders>
          </w:tcPr>
          <w:p>
            <w:pPr>
              <w:jc w:val="center"/>
              <w:ind w:left="168"/>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Preferred stock, par value $0.01 per share</w:t>
            </w:r>
          </w:p>
        </w:tc>
        <w:tc>
          <w:tcPr>
            <w:tcW w:w="15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jc w:val="center"/>
              <w:ind w:right="89"/>
              <w:spacing w:after="0" w:line="142" w:lineRule="exact"/>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auto"/>
            </w:tcBorders>
          </w:tcPr>
          <w:p>
            <w:pPr>
              <w:jc w:val="center"/>
              <w:ind w:left="168"/>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Depositary shares representing preferred stock(4)</w:t>
            </w:r>
          </w:p>
        </w:tc>
        <w:tc>
          <w:tcPr>
            <w:tcW w:w="15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jc w:val="center"/>
              <w:ind w:right="89"/>
              <w:spacing w:after="0" w:line="142" w:lineRule="exact"/>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auto"/>
            </w:tcBorders>
          </w:tcPr>
          <w:p>
            <w:pPr>
              <w:jc w:val="center"/>
              <w:ind w:left="168"/>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400" w:type="dxa"/>
            <w:vAlign w:val="bottom"/>
            <w:tcBorders>
              <w:right w:val="single" w:sz="8" w:color="auto"/>
            </w:tcBorders>
            <w:gridSpan w:val="4"/>
          </w:tcPr>
          <w:p>
            <w:pPr>
              <w:spacing w:after="0" w:line="123" w:lineRule="exact"/>
              <w:rPr>
                <w:sz w:val="20"/>
                <w:szCs w:val="20"/>
                <w:color w:val="auto"/>
              </w:rPr>
            </w:pPr>
            <w:r>
              <w:rPr>
                <w:rFonts w:ascii="Arial" w:cs="Arial" w:eastAsia="Arial" w:hAnsi="Arial"/>
                <w:sz w:val="14"/>
                <w:szCs w:val="14"/>
                <w:color w:val="auto"/>
                <w:w w:val="94"/>
              </w:rPr>
              <w:t>Senior debt securities, senior subordinated debt securities, subordinated debt securities and</w:t>
            </w:r>
          </w:p>
        </w:tc>
        <w:tc>
          <w:tcPr>
            <w:tcW w:w="1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4"/>
                <w:szCs w:val="14"/>
                <w:color w:val="auto"/>
              </w:rPr>
              <w:t>junior subordinated debt securities</w:t>
            </w:r>
          </w:p>
        </w:tc>
        <w:tc>
          <w:tcPr>
            <w:tcW w:w="1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ind w:left="340" w:right="6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offering price or number of securities of each identified class to be offered at indeterminate prices from time to time is being registered pursuant to this registration statement.</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Wynn Resorts, Limited is deferring payment of the registration fee.</w:t>
      </w:r>
    </w:p>
    <w:p>
      <w:pPr>
        <w:ind w:left="340" w:right="600" w:hanging="332"/>
        <w:spacing w:after="0" w:line="271"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1912620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283210</wp:posOffset>
            </wp:positionV>
            <wp:extent cx="2958465" cy="128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307975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32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21, 2013.</w:t>
      </w:r>
    </w:p>
    <w:p>
      <w:pPr>
        <w:sectPr>
          <w:pgSz w:w="11900" w:h="16838" w:orient="portrait"/>
          <w:cols w:equalWidth="0" w:num="1">
            <w:col w:w="11420"/>
          </w:cols>
          <w:pgMar w:left="240" w:top="4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68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4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ind w:left="940"/>
              <w:spacing w:after="0"/>
              <w:rPr>
                <w:sz w:val="20"/>
                <w:szCs w:val="20"/>
                <w:color w:val="auto"/>
              </w:rPr>
            </w:pPr>
            <w:r>
              <w:rPr>
                <w:rFonts w:ascii="Arial" w:cs="Arial" w:eastAsia="Arial" w:hAnsi="Arial"/>
                <w:sz w:val="18"/>
                <w:szCs w:val="18"/>
                <w:b w:val="1"/>
                <w:bCs w:val="1"/>
                <w:color w:val="auto"/>
              </w:rPr>
              <w:t>TABLE OF CONTENTS</w:t>
            </w:r>
          </w:p>
        </w:tc>
        <w:tc>
          <w:tcPr>
            <w:tcW w:w="364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5440" w:type="dxa"/>
            <w:vAlign w:val="bottom"/>
            <w:gridSpan w:val="6"/>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6420" w:type="dxa"/>
            <w:vAlign w:val="bottom"/>
            <w:gridSpan w:val="10"/>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68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INCORPORATION BY REFERENCE</w:t>
              </w:r>
            </w:hyperlink>
          </w:p>
        </w:tc>
        <w:tc>
          <w:tcPr>
            <w:tcW w:w="3860" w:type="dxa"/>
            <w:vAlign w:val="bottom"/>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FORWARD-LOOKING STATEMENTS</w:t>
              </w:r>
            </w:hyperlink>
          </w:p>
        </w:tc>
        <w:tc>
          <w:tcPr>
            <w:tcW w:w="4740" w:type="dxa"/>
            <w:vAlign w:val="bottom"/>
            <w:gridSpan w:val="2"/>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8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COMPANY</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RATIO OF EARNINGS TO COMBINED FIXED CHARGES AND PREFERRED STOCK DIVIDENDS</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680" w:type="dxa"/>
            <w:vAlign w:val="bottom"/>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DESCRIPTION OF THE SECURITIES</w:t>
              </w:r>
            </w:hyperlink>
          </w:p>
        </w:tc>
        <w:tc>
          <w:tcPr>
            <w:tcW w:w="4760" w:type="dxa"/>
            <w:vAlign w:val="bottom"/>
            <w:gridSpan w:val="3"/>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VALIDITY OF THE SECURITIES</w:t>
              </w:r>
            </w:hyperlink>
          </w:p>
        </w:tc>
        <w:tc>
          <w:tcPr>
            <w:tcW w:w="5100" w:type="dxa"/>
            <w:vAlign w:val="bottom"/>
            <w:gridSpan w:val="5"/>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EXPERTS</w:t>
              </w:r>
            </w:hyperlink>
          </w:p>
        </w:tc>
        <w:tc>
          <w:tcPr>
            <w:tcW w:w="6900" w:type="dxa"/>
            <w:vAlign w:val="bottom"/>
            <w:gridSpan w:val="11"/>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46"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2012,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2013, June 30, 2013 and September 30, 2013;</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current reports on Form 8-K filed on January 4, 2013, January 31, 2013, January 31, 2013 (with respect to Item 8.01 only), February 22, 2013 (with respect to Item 5.07 only), February 26, 2013, March 5, 2013, March 28, 2013, April 25, 2013 (with respect to Item 8.01 only), May 8, 2013, May 15, 2013, May 16, 2013, May 22, 2013, July 8, 2013, July 29, 2013 (with respect to Item 8.01 only), September 12, 2013, October 16, 2013 (with respect to Items 1.01 and 2.03 only), October 24, 2013 (with respect to Item 8.01 only), November 7, 2013 and November 14, 2013;</w:t>
      </w:r>
    </w:p>
    <w:p>
      <w:pPr>
        <w:spacing w:after="0" w:line="59" w:lineRule="exact"/>
        <w:rPr>
          <w:rFonts w:ascii="Arial" w:cs="Arial" w:eastAsia="Arial" w:hAnsi="Arial"/>
          <w:sz w:val="16"/>
          <w:szCs w:val="16"/>
          <w:color w:val="auto"/>
        </w:rPr>
      </w:pPr>
    </w:p>
    <w:p>
      <w:pPr>
        <w:ind w:left="900" w:right="6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spacing w:after="0" w:line="29" w:lineRule="exact"/>
        <w:rPr>
          <w:rFonts w:ascii="Arial" w:cs="Arial" w:eastAsia="Arial" w:hAnsi="Arial"/>
          <w:sz w:val="16"/>
          <w:szCs w:val="16"/>
          <w:color w:val="auto"/>
        </w:rPr>
      </w:pPr>
    </w:p>
    <w:p>
      <w:pPr>
        <w:ind w:left="900" w:right="18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Vice President—Investor Relations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including the documents incorporated by reference into this prospectus, contains forward-looking statements, including, but not limited to, statements relating to our business strategy, development activities, competition and possible or assumed future results of operations. Any statements contained in this prospectus, including the documents incorporated by reference into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9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that an outbreak of an infectious disease or the impact of a natural disaster may have on the travel and leisure industry;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 information on potential factors that could affect our financial condition, results of operations and business are included in the sections entitled “Risk Factors” in our Annual Report on Form 10-K for the year ended December 31, 2012,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casino resort complexes. In the Macau Special Administrative Region of the People’s Republic of China, we operate and own 72.3% of Wynn Macau | Encore. In Las Vegas, Nevada, we own and operate Wynn Las Vegas | Encore. We are also currently constructing Wynn Palace, a full-scale integrated resort in the Cotai area of Macau.</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770-7000.</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our historical ratios of earnings to fixed charges and our historical ratios of earnings to fixed charges and dividends on preferred stock for the periods indicated. This information should be read in conjunction with the consolidated financial statements and the accompanying notes incorporated by reference in this prospectus.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0"/>
              </w:rPr>
              <w:t>Years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4.04x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2.49x</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issued and outstanding for any of the periods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Gibson, Dunn &amp; Crutcher LLP, New York, New York, and, with respect to matters of Nevada law, by Brownstein Hyatt Farber Schreck, LLP, Las Vegas, Nevada. Any underwriters will be represented by their own legal counsel.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consolidated financial statements of Wynn Resorts, Limited appearing in Wynn Resorts, Limited’s Annual Report (Form 10-K) for the year ended December 31, 2012 including schedules appearing therein, and the effectiveness of Wynn Resorts, Limited’s internal control over financial reporting as of December 31, 2012,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Miscellaneous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right="7140" w:firstLine="8"/>
        <w:spacing w:after="0" w:line="342" w:lineRule="auto"/>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Payable in accordance with Rules 456(b) and 457(r). ** This information is unknown at the time of filing.</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Wynn Resorts’ bylaws provide that it will indemnify its directors and officers to the fullest extent permitted by Nevada law, including in circumstances in which indemnification otherwise would be discretionary under Nevada law as described above. In addition, Wynn Resorts has entered into separate indemnification agreements with certain of its directors and officers that require Wynn Resorts, among other things, to indemnify such directors and officers against certain liabilities that may arise by reason of their status or service. Wynn Resorts also intends to maintain director and officer liability insurance, if available on reasonable terms.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56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4"/>
                <w:szCs w:val="24"/>
                <w:color w:val="auto"/>
              </w:rPr>
            </w:pPr>
          </w:p>
        </w:tc>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No.</w:t>
            </w:r>
          </w:p>
        </w:tc>
        <w:tc>
          <w:tcPr>
            <w:tcW w:w="38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Second Amended and Restated Articles of Incorporation of the registrant (incorporated by reference to Exhibit 3.1 to Amendment No. 4 to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Registration Statement on Form S-1 filed by the registrant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Sixth Amended and Restated Bylaws of the registrant (incorporated by reference to Exhibit 3.1 to the Current Report on Form 8-K filed by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registrant on September 12, 2013 (File No. 000-50028))</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4"/>
              </w:rPr>
              <w:t>Specimen certificate for shares of common stock, $0.01 par value per share, of the registrant (incorporated by reference to Exhibit 4.1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Amendment No. 4 to the Form S-1 filed by the registrant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4"/>
              </w:rPr>
              <w:t>Indenture, dated as of March 29, 2004, between the registrant and U.S. Bank National Association, as indenture trustee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reference to the Registration Statement on Form S-3 filed by the registrant on March 30, 2004 (File No. 333-114022))</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4"/>
              </w:rPr>
              <w:t>Form of Deposit Agreement (incorporated by reference to Exhibit 4.5 to the Registration Statement on Form S-3 filed by the registrant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March 30, 2004 (File No. 333-114022))</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Form of Depositary Share (included in Exhibit 4.5)</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Opinion of Gibson, Dunn &amp; Crutcher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Opinion of Brownstein Hyatt Farber Schreck, LLP</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Consent of Gibson, Dunn &amp; Crutcher LLP (included in Exhibit 5.1)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*23.3</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Consent of Brownstein Hyatt Farber Schreck, LLP (included in Exhibit 5.2)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Powers of Attorney of officers and directors of Wynn Resorts, Limited (included on signature page of this registration statement)</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4"/>
                <w:szCs w:val="24"/>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w w:val="91"/>
              </w:rPr>
              <w:t>Statement of Eligibility on Form T-1 under the Trust Indenture Act of 1939, as amended, of U.S. Bank National Association, trustee under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60" w:type="dxa"/>
            <w:vAlign w:val="bottom"/>
            <w:gridSpan w:val="3"/>
          </w:tcPr>
          <w:p>
            <w:pPr>
              <w:ind w:left="280"/>
              <w:spacing w:after="0"/>
              <w:rPr>
                <w:sz w:val="20"/>
                <w:szCs w:val="20"/>
                <w:color w:val="auto"/>
              </w:rPr>
            </w:pPr>
            <w:r>
              <w:rPr>
                <w:rFonts w:ascii="Arial" w:cs="Arial" w:eastAsia="Arial" w:hAnsi="Arial"/>
                <w:sz w:val="18"/>
                <w:szCs w:val="18"/>
                <w:color w:val="auto"/>
              </w:rPr>
              <w:t>Indenture, with respect to the Debt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00" w:firstLine="443"/>
        <w:spacing w:after="0" w:line="257" w:lineRule="auto"/>
        <w:tabs>
          <w:tab w:leader="none" w:pos="1163"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2" w:lineRule="exact"/>
        <w:rPr>
          <w:sz w:val="20"/>
          <w:szCs w:val="20"/>
          <w:color w:val="auto"/>
        </w:rPr>
      </w:pPr>
    </w:p>
    <w:p>
      <w:pPr>
        <w:ind w:left="460" w:right="460" w:firstLine="443"/>
        <w:spacing w:after="0" w:line="277" w:lineRule="auto"/>
        <w:tabs>
          <w:tab w:leader="none" w:pos="1213"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firstLine="464"/>
        <w:spacing w:after="0" w:line="264"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right="180" w:firstLine="443"/>
        <w:spacing w:after="0" w:line="269" w:lineRule="auto"/>
        <w:tabs>
          <w:tab w:leader="none" w:pos="1183"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82" w:lineRule="exact"/>
        <w:rPr>
          <w:rFonts w:ascii="Arial" w:cs="Arial" w:eastAsia="Arial" w:hAnsi="Arial"/>
          <w:sz w:val="17"/>
          <w:szCs w:val="17"/>
          <w:color w:val="auto"/>
        </w:rPr>
      </w:pPr>
    </w:p>
    <w:p>
      <w:pPr>
        <w:ind w:right="420" w:firstLine="464"/>
        <w:spacing w:after="0" w:line="277"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120" w:hanging="217"/>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0" w:firstLine="443"/>
        <w:spacing w:after="0" w:line="277" w:lineRule="auto"/>
        <w:tabs>
          <w:tab w:leader="none" w:pos="11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277" w:lineRule="auto"/>
        <w:tabs>
          <w:tab w:leader="none" w:pos="12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464"/>
        <w:spacing w:after="0" w:line="25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21st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Wynn, Kim Sinatra and Matt Maddox,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3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7"/>
              </w:rPr>
              <w:t>Title</w:t>
            </w:r>
          </w:p>
        </w:tc>
        <w:tc>
          <w:tcPr>
            <w:tcW w:w="176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Stephen A. Wynn</w:t>
            </w: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Chairman of the Board and Chief Executive Officer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Stephen A. Wynn</w:t>
            </w: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Matt Maddox</w:t>
            </w: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Chief Financial Officer and Treasurer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Matt Maddox</w:t>
            </w: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(Principal Financial and Accounting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John J. Hagenbuch</w:t>
            </w: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John J. Hagenbuch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Dr. Ray R. Irani</w:t>
            </w: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Dr. Ray R. Irani</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Robert J. Miller</w:t>
            </w: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Robert J. Miller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Alvin V. Shoemaker</w:t>
            </w: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233"/>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Alvin V. Shoemaker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7"/>
              </w:rPr>
              <w:t>Title</w:t>
            </w:r>
          </w:p>
        </w:tc>
        <w:tc>
          <w:tcPr>
            <w:tcW w:w="2540" w:type="dxa"/>
            <w:vAlign w:val="bottom"/>
            <w:gridSpan w:val="3"/>
          </w:tcPr>
          <w:p>
            <w:pPr>
              <w:jc w:val="center"/>
              <w:ind w:left="9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 Edward Virtue</w:t>
            </w:r>
          </w:p>
        </w:tc>
        <w:tc>
          <w:tcPr>
            <w:tcW w:w="348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2540" w:type="dxa"/>
            <w:vAlign w:val="bottom"/>
            <w:gridSpan w:val="3"/>
          </w:tcPr>
          <w:p>
            <w:pPr>
              <w:jc w:val="center"/>
              <w:ind w:left="1014"/>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J. Edward Virtue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 Boone Wayson</w:t>
            </w:r>
          </w:p>
        </w:tc>
        <w:tc>
          <w:tcPr>
            <w:tcW w:w="348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2540" w:type="dxa"/>
            <w:vAlign w:val="bottom"/>
            <w:gridSpan w:val="3"/>
          </w:tcPr>
          <w:p>
            <w:pPr>
              <w:jc w:val="center"/>
              <w:ind w:left="1014"/>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 Boone Wayson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Elaine P. Wynn</w:t>
            </w:r>
          </w:p>
        </w:tc>
        <w:tc>
          <w:tcPr>
            <w:tcW w:w="348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2540" w:type="dxa"/>
            <w:vAlign w:val="bottom"/>
            <w:gridSpan w:val="3"/>
          </w:tcPr>
          <w:p>
            <w:pPr>
              <w:jc w:val="center"/>
              <w:ind w:left="1014"/>
              <w:spacing w:after="0"/>
              <w:rPr>
                <w:sz w:val="20"/>
                <w:szCs w:val="20"/>
                <w:color w:val="auto"/>
              </w:rPr>
            </w:pPr>
            <w:r>
              <w:rPr>
                <w:rFonts w:ascii="Arial" w:cs="Arial" w:eastAsia="Arial" w:hAnsi="Arial"/>
                <w:sz w:val="18"/>
                <w:szCs w:val="18"/>
                <w:color w:val="auto"/>
                <w:w w:val="91"/>
              </w:rPr>
              <w:t>November 21, 2013</w:t>
            </w:r>
          </w:p>
        </w:tc>
      </w:tr>
      <w:tr>
        <w:trPr>
          <w:trHeight w:val="228"/>
        </w:trPr>
        <w:tc>
          <w:tcPr>
            <w:tcW w:w="5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Elaine P. Wynn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ectPr>
          <w:pgSz w:w="11900" w:h="16838" w:orient="portrait"/>
          <w:cols w:equalWidth="0" w:num="1">
            <w:col w:w="11100"/>
          </w:cols>
          <w:pgMar w:left="24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40" w:type="dxa"/>
            <w:vAlign w:val="bottom"/>
          </w:tcPr>
          <w:p>
            <w:pPr>
              <w:spacing w:after="0"/>
              <w:rPr>
                <w:sz w:val="24"/>
                <w:szCs w:val="24"/>
                <w:color w:val="auto"/>
              </w:rPr>
            </w:pPr>
          </w:p>
        </w:tc>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No.</w:t>
            </w:r>
          </w:p>
        </w:tc>
        <w:tc>
          <w:tcPr>
            <w:tcW w:w="544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1"/>
              </w:rPr>
              <w:t>Second Amended and Restated Articles of Incorporation of the registrant (incorporated by reference to Exhibit 3.1 to Amendment No. 4 to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filed by the registrant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1"/>
              </w:rPr>
              <w:t>Sixth Amended and Restated Bylaws of the registrant (incorporated by reference to Exhibit 3.1 to the Current Report on Form 8-K filed by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registrant on September 12, 2013 (File No. 000-50028))</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4"/>
              </w:rPr>
              <w:t>Specimen certificate for shares of common stock, $0.01 par value per share, of the registrant (incorporated by reference to Exhibit 4.1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Amendment No. 4 to the Form S-1 filed by the registrant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4"/>
              </w:rPr>
              <w:t>Indenture, dated as of March 29, 2004, between the registrant and U.S. Bank National Association, as indenture trustee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reference to the Registration Statement on Form S-3 filed by the registrant on March 30, 2004 (File No. 333-114022))</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4"/>
              </w:rPr>
              <w:t>Form of Deposit Agreement (incorporated by reference to Exhibit 4.5 to the Registration Statement on Form S-3 filed by the registrant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March 30, 2004 (File No. 333-114022))</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Form of Depositary Share (included in Exhibit 4.5)</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Opinion of Gibson, Dunn &amp; Crutcher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Opinion of Brownstein Hyatt Farber Schreck, LLP</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Consent of Gibson, Dunn &amp; Crutcher LLP (included in Exhibit 5.1)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*23.3</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Powers of Attorney of officers and directors of Wynn Resorts, Limited (included on signature page of this registration statement)</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1"/>
              </w:rPr>
              <w:t>Statement of Eligibility on Form T-1 under the Trust Indenture Act of 1939, as amended, of U.S. Bank National Association, trustee under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660"/>
              <w:spacing w:after="0"/>
              <w:rPr>
                <w:sz w:val="20"/>
                <w:szCs w:val="20"/>
                <w:color w:val="auto"/>
              </w:rPr>
            </w:pPr>
            <w:r>
              <w:rPr>
                <w:rFonts w:ascii="Arial" w:cs="Arial" w:eastAsia="Arial" w:hAnsi="Arial"/>
                <w:sz w:val="18"/>
                <w:szCs w:val="18"/>
                <w:color w:val="auto"/>
              </w:rPr>
              <w:t>Indenture, with respect to the Debt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00"/>
          </w:cols>
          <w:pgMar w:left="240" w:top="459"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131560" cy="702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15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Wynn Resorts,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acted as counsel to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79" w:lineRule="exact"/>
        <w:rPr>
          <w:sz w:val="20"/>
          <w:szCs w:val="20"/>
          <w:color w:val="auto"/>
        </w:rPr>
      </w:pPr>
    </w:p>
    <w:p>
      <w:pPr>
        <w:ind w:left="680" w:hanging="21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the Company’s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depositary shares each representing a fraction of a share of a particular series of Preferred Stock (the “Depositary Shares”); and</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unsecured debt securities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Common Stock, Preferred Stock, Depositary Shares and Debt Securities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Debt Securities are to be issued under an indenture dated as of March 29, 2004, between the Company and U.S. Bank National Association (the “</w:t>
      </w:r>
      <w:r>
        <w:rPr>
          <w:rFonts w:ascii="Arial" w:cs="Arial" w:eastAsia="Arial" w:hAnsi="Arial"/>
          <w:sz w:val="18"/>
          <w:szCs w:val="18"/>
          <w:u w:val="single" w:color="auto"/>
          <w:color w:val="auto"/>
        </w:rPr>
        <w:t>Trust Company</w:t>
      </w:r>
      <w:r>
        <w:rPr>
          <w:rFonts w:ascii="Arial" w:cs="Arial" w:eastAsia="Arial" w:hAnsi="Arial"/>
          <w:sz w:val="18"/>
          <w:szCs w:val="18"/>
          <w:color w:val="auto"/>
        </w:rPr>
        <w:t>”), as indenture trustee (the “</w:t>
      </w:r>
      <w:r>
        <w:rPr>
          <w:rFonts w:ascii="Arial" w:cs="Arial" w:eastAsia="Arial" w:hAnsi="Arial"/>
          <w:sz w:val="18"/>
          <w:szCs w:val="18"/>
          <w:u w:val="single" w:color="auto"/>
          <w:color w:val="auto"/>
        </w:rPr>
        <w:t>Base Indenture</w:t>
      </w:r>
      <w:r>
        <w:rPr>
          <w:rFonts w:ascii="Arial" w:cs="Arial" w:eastAsia="Arial" w:hAnsi="Arial"/>
          <w:sz w:val="18"/>
          <w:szCs w:val="18"/>
          <w:color w:val="auto"/>
        </w:rPr>
        <w: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the Base Indenture, specimen Common Stock certificate and such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228600</wp:posOffset>
            </wp:positionV>
            <wp:extent cx="401320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13200" cy="2743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6370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2288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5</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admitted or qualified to practice law in the State of Nevada. Therefore, we have relied upon the opinion of Brownstein Hyatt Farber Schreck, LLP with respect to matters governed by the laws of the State of Nevada.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117" w:lineRule="exact"/>
        <w:rPr>
          <w:sz w:val="20"/>
          <w:szCs w:val="20"/>
          <w:color w:val="auto"/>
        </w:rPr>
      </w:pPr>
    </w:p>
    <w:p>
      <w:pPr>
        <w:ind w:firstLine="464"/>
        <w:spacing w:after="0" w:line="277" w:lineRule="auto"/>
        <w:tabs>
          <w:tab w:leader="none" w:pos="6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time any Securities are sold pursuant to the Registration Statement (the “Relevant Time”), the Registration Statement and any supplements and amendments thereto (including post-effective amendments) will be effective and will comply with all applicable laws;</w:t>
      </w:r>
    </w:p>
    <w:p>
      <w:pPr>
        <w:spacing w:after="0" w:line="62" w:lineRule="exact"/>
        <w:rPr>
          <w:rFonts w:ascii="Arial" w:cs="Arial" w:eastAsia="Arial" w:hAnsi="Arial"/>
          <w:sz w:val="18"/>
          <w:szCs w:val="18"/>
          <w:color w:val="auto"/>
        </w:rPr>
      </w:pPr>
    </w:p>
    <w:p>
      <w:pPr>
        <w:ind w:right="40" w:firstLine="464"/>
        <w:spacing w:after="0" w:line="277" w:lineRule="auto"/>
        <w:tabs>
          <w:tab w:leader="none" w:pos="7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Securities will be issued and sold in the manner stated in the Registration Statement and the applicable prospectus supplement;</w:t>
      </w:r>
    </w:p>
    <w:p>
      <w:pPr>
        <w:spacing w:after="0" w:line="117" w:lineRule="exact"/>
        <w:rPr>
          <w:rFonts w:ascii="Arial" w:cs="Arial" w:eastAsia="Arial" w:hAnsi="Arial"/>
          <w:sz w:val="18"/>
          <w:szCs w:val="18"/>
          <w:color w:val="auto"/>
        </w:rPr>
      </w:pPr>
    </w:p>
    <w:p>
      <w:pPr>
        <w:ind w:right="100" w:firstLine="464"/>
        <w:spacing w:after="0" w:line="257" w:lineRule="auto"/>
        <w:tabs>
          <w:tab w:leader="none" w:pos="7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“Convertible Security”), and (ii) the execution (in the case of certificated Securities), delivery and performance of the Securities and any related documentation referred to in paragraphs 1 and 2 below) shall have been duly completed and shall remain in full force and effect;</w:t>
      </w:r>
    </w:p>
    <w:p>
      <w:pPr>
        <w:spacing w:after="0" w:line="80" w:lineRule="exact"/>
        <w:rPr>
          <w:rFonts w:ascii="Arial" w:cs="Arial" w:eastAsia="Arial" w:hAnsi="Arial"/>
          <w:sz w:val="18"/>
          <w:szCs w:val="18"/>
          <w:color w:val="auto"/>
        </w:rPr>
      </w:pPr>
    </w:p>
    <w:p>
      <w:pPr>
        <w:ind w:right="340" w:firstLine="464"/>
        <w:spacing w:after="0" w:line="312" w:lineRule="auto"/>
        <w:tabs>
          <w:tab w:leader="none" w:pos="7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articles of incorporation and other relevant documents; and</w:t>
      </w:r>
    </w:p>
    <w:p>
      <w:pPr>
        <w:sectPr>
          <w:pgSz w:w="11900" w:h="16838" w:orient="portrait"/>
          <w:cols w:equalWidth="0" w:num="1">
            <w:col w:w="11420"/>
          </w:cols>
          <w:pgMar w:left="240" w:top="6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6370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2288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5</w:t>
      </w:r>
    </w:p>
    <w:p>
      <w:pPr>
        <w:spacing w:after="0" w:line="143" w:lineRule="exact"/>
        <w:rPr>
          <w:sz w:val="20"/>
          <w:szCs w:val="20"/>
          <w:color w:val="auto"/>
        </w:rPr>
      </w:pPr>
    </w:p>
    <w:p>
      <w:pPr>
        <w:ind w:right="100" w:firstLine="464"/>
        <w:spacing w:after="0" w:line="264" w:lineRule="auto"/>
        <w:tabs>
          <w:tab w:leader="none" w:pos="7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w:t>
      </w:r>
    </w:p>
    <w:p>
      <w:pPr>
        <w:spacing w:after="0" w:line="17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Depositary Shares, when: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deposit agreement relating to such Depositary Shares (the “Deposit Agreement”) has been duly executed and delivered by the Company and the depositary appointed by the Company,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terms of the Depositary Shares have been established in accordance with the Deposit Agreement, and</w:t>
      </w:r>
    </w:p>
    <w:p>
      <w:pPr>
        <w:spacing w:after="0" w:line="130" w:lineRule="exact"/>
        <w:rPr>
          <w:rFonts w:ascii="Arial" w:cs="Arial" w:eastAsia="Arial" w:hAnsi="Arial"/>
          <w:sz w:val="18"/>
          <w:szCs w:val="18"/>
          <w:color w:val="auto"/>
        </w:rPr>
      </w:pPr>
    </w:p>
    <w:p>
      <w:pPr>
        <w:ind w:left="1480" w:right="260" w:hanging="567"/>
        <w:spacing w:after="0" w:line="264"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depositary receipts representing the Depositary Shares have been duly executed and countersigned (in the case of certificated Depositary Shares), registered and delivered in accordance with the related Deposit Agreement and the applicable definitive purchase, underwriting or similar agreement for the consideration provided therein,</w:t>
      </w:r>
    </w:p>
    <w:p>
      <w:pPr>
        <w:spacing w:after="0" w:line="181"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depositary receipts evidencing the Depositary Shares will be legal, valid and binding obligations of the Company, enforceable against the Company in accordance with their terms.</w:t>
      </w:r>
    </w:p>
    <w:p>
      <w:pPr>
        <w:spacing w:after="0" w:line="170"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any Debt Securities, when:</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terms and conditions of such Debt Securities have been duly established by supplemental indenture or officers’ certificate in accordance with the terms and conditions of the Base Indenture,</w:t>
      </w:r>
    </w:p>
    <w:p>
      <w:pPr>
        <w:spacing w:after="0" w:line="75"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and the Trust Company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ectPr>
          <w:pgSz w:w="11900" w:h="16838" w:orient="portrait"/>
          <w:cols w:equalWidth="0" w:num="1">
            <w:col w:w="11400"/>
          </w:cols>
          <w:pgMar w:left="240" w:top="62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6370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2288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143" w:lineRule="exact"/>
        <w:rPr>
          <w:sz w:val="20"/>
          <w:szCs w:val="20"/>
          <w:color w:val="auto"/>
        </w:rPr>
      </w:pPr>
    </w:p>
    <w:p>
      <w:pPr>
        <w:ind w:left="1480" w:right="60" w:hanging="567"/>
        <w:spacing w:after="0" w:line="264"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73"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such Debt Securities will be legal, valid and binding obligations of the Company, enforceable against the Company in accordance with their respective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225"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A. We render no opinion herein as to matters involving the laws of any jurisdiction other than the State of New York. This opinion is limited to the effect of the current state of the laws of the State of New York and the facts as they currently exist. We assume no obligation to revise or supplement this opinion in the event of future changes in such laws or the interpretations thereof or such facts.</w:t>
      </w:r>
    </w:p>
    <w:p>
      <w:pPr>
        <w:spacing w:after="0" w:line="18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(iii) any provision to the effect that every right or remedy is cumulative and may be exercised in addition to any other right or remedy or that the election of some particular remedy does not preclude recourse to one or more others.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D. To the extent relevant to our opinion in paragraph 1, we have assumed that any securities, currencies or commodities underlying, comprising or issuable upon exercise, conversion or exchange of any Depositary Shares are validly issued, fully paid and non-assessable (in the case of an equity security) or a legal, valid and binding obligation of the issuer thereof, enforceable against such issuer in accordance with its terms.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ectPr>
          <w:pgSz w:w="11900" w:h="16838" w:orient="portrait"/>
          <w:cols w:equalWidth="0" w:num="1">
            <w:col w:w="11420"/>
          </w:cols>
          <w:pgMar w:left="240" w:top="6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6370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2288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5</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1280"/>
          </w:cols>
          <w:pgMar w:left="240" w:top="625"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acted as special Nevada counsel to Wynn Resorts, Limited,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filing by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of a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relating to the registration for offering and sale from time to time by the Company of an indeterminate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the following securities of the Company: (i) shares (the “</w:t>
      </w:r>
      <w:r>
        <w:rPr>
          <w:rFonts w:ascii="Arial" w:cs="Arial" w:eastAsia="Arial" w:hAnsi="Arial"/>
          <w:sz w:val="17"/>
          <w:szCs w:val="17"/>
          <w:u w:val="single" w:color="auto"/>
          <w:color w:val="auto"/>
        </w:rPr>
        <w:t>Common Shares</w:t>
      </w:r>
      <w:r>
        <w:rPr>
          <w:rFonts w:ascii="Arial" w:cs="Arial" w:eastAsia="Arial" w:hAnsi="Arial"/>
          <w:sz w:val="17"/>
          <w:szCs w:val="17"/>
          <w:color w:val="auto"/>
        </w:rPr>
        <w:t>”) of the Company’s common stock, par value $0.01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(ii) shares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and together with the Common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preferred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(iii) depositary shares (the “</w:t>
      </w:r>
      <w:r>
        <w:rPr>
          <w:rFonts w:ascii="Arial" w:cs="Arial" w:eastAsia="Arial" w:hAnsi="Arial"/>
          <w:sz w:val="16"/>
          <w:szCs w:val="16"/>
          <w:u w:val="single" w:color="auto"/>
          <w:color w:val="auto"/>
        </w:rPr>
        <w:t>Depositary Shares</w:t>
      </w:r>
      <w:r>
        <w:rPr>
          <w:rFonts w:ascii="Arial" w:cs="Arial" w:eastAsia="Arial" w:hAnsi="Arial"/>
          <w:sz w:val="16"/>
          <w:szCs w:val="16"/>
          <w:color w:val="auto"/>
        </w:rPr>
        <w:t>”) representing fractional interests in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to be issued pursuant to a deposit agreement (each, a “</w:t>
      </w:r>
      <w:r>
        <w:rPr>
          <w:rFonts w:ascii="Arial" w:cs="Arial" w:eastAsia="Arial" w:hAnsi="Arial"/>
          <w:sz w:val="17"/>
          <w:szCs w:val="17"/>
          <w:u w:val="single" w:color="auto"/>
          <w:color w:val="auto"/>
        </w:rPr>
        <w:t>Deposit Agreement</w:t>
      </w:r>
      <w:r>
        <w:rPr>
          <w:rFonts w:ascii="Arial" w:cs="Arial" w:eastAsia="Arial" w:hAnsi="Arial"/>
          <w:sz w:val="17"/>
          <w:szCs w:val="17"/>
          <w:color w:val="auto"/>
        </w:rPr>
        <w:t>”) and (iv) senior debt securities, senior subordinated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subordinated debt securities and junior subordinated debt securities (collectively,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and together with the Shares,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to be issued pursuant to the Indenture, dated as of March 29, 2004 (the “</w:t>
      </w:r>
      <w:r>
        <w:rPr>
          <w:rFonts w:ascii="Arial" w:cs="Arial" w:eastAsia="Arial" w:hAnsi="Arial"/>
          <w:sz w:val="16"/>
          <w:szCs w:val="16"/>
          <w:u w:val="single" w:color="auto"/>
          <w:color w:val="auto"/>
        </w:rPr>
        <w:t>Indenture</w:t>
      </w:r>
      <w:r>
        <w:rPr>
          <w:rFonts w:ascii="Arial" w:cs="Arial" w:eastAsia="Arial" w:hAnsi="Arial"/>
          <w:sz w:val="16"/>
          <w:szCs w:val="16"/>
          <w:color w:val="auto"/>
        </w:rPr>
        <w:t>”), by and between the Company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trustee. This opinion letter is being furnished at your request in accordance with the requirements of Item 601(b)(5) of Regulation S-K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Act.</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registration of the Securities, as described in the Registration Statement. For purposes of this opinion letter, and except to the extent set forth in the opinions below, we have assumed all such proceedings have been timely completed or will be timely completed in the manner presently proposed in the Registration Statement.</w:t>
      </w:r>
    </w:p>
    <w:p>
      <w:pPr>
        <w:spacing w:after="0" w:line="18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For purposes of rendering this opinion letter, we have made such legal and factual examinations and inquiries, including an examination of originals or copies certified or otherwise identified to our satisfaction as being true copies of (i) the Registration Statement, including the form of Deposit Agreement and the form of Receipt (as defined therein) filed as exhibits thereto, (ii) the Indenture, (iii) the articles of incorporation and bylaws of the Company (collectively, the “</w:t>
      </w:r>
      <w:r>
        <w:rPr>
          <w:rFonts w:ascii="Arial" w:cs="Arial" w:eastAsia="Arial" w:hAnsi="Arial"/>
          <w:sz w:val="16"/>
          <w:szCs w:val="16"/>
          <w:u w:val="single" w:color="auto"/>
          <w:color w:val="auto"/>
        </w:rPr>
        <w:t>Governing Documents</w:t>
      </w:r>
      <w:r>
        <w:rPr>
          <w:rFonts w:ascii="Arial" w:cs="Arial" w:eastAsia="Arial" w:hAnsi="Arial"/>
          <w:sz w:val="16"/>
          <w:szCs w:val="16"/>
          <w:color w:val="auto"/>
        </w:rPr>
        <w:t>”) and (iii) such other agreements, instruments, corporate records and other documents as we have deemed necessary or appropriate for the purpose of issuing this opinion letter, and we have obtained from officers and other representatives and agents of the Company and from public officials, and have relied upon, such certificates, representations and assurances as we have deemed necessary or appropriate.</w:t>
      </w:r>
    </w:p>
    <w:p>
      <w:pPr>
        <w:spacing w:after="0" w:line="16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Without limiting the generality of the foregoing, in our examination and in rendering this opinion letter, we have, with your permission, assumed without independent verification, that (i) each document we have reviewed or which is referenced herein has been or will be duly executed and delivered by the parties thereto to the extent due execution and delivery are prerequisites to the effectiveness thereof; (ii) the</w:t>
      </w:r>
    </w:p>
    <w:p>
      <w:pPr>
        <w:spacing w:after="0" w:line="11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100 North City Parkway, Suite 1600</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Las Vegas, NV 89106-4614</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main 702.382.2101</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all documents submitted to us as certified, conformed, photostatic, electronic or facsimile copies conform to the original documents; (v) all corporate records made available to us by the Company, and all public records we have reviewed, are accurate and complete; (vi) the Deposit Agreement and any and all Receipts will be executed in substantially the form filed as an exhibit to the Registration Statement; (vii) any and all agreements, instruments or other documents relating to the offering, issuance or sale of any Securities, including, without limitation, the Indenture, the Deposit Agreement and any Receipts (collectively, the “</w:t>
      </w:r>
      <w:r>
        <w:rPr>
          <w:rFonts w:ascii="Arial" w:cs="Arial" w:eastAsia="Arial" w:hAnsi="Arial"/>
          <w:sz w:val="16"/>
          <w:szCs w:val="16"/>
          <w:u w:val="single" w:color="auto"/>
          <w:color w:val="auto"/>
        </w:rPr>
        <w:t>Securities Documents</w:t>
      </w:r>
      <w:r>
        <w:rPr>
          <w:rFonts w:ascii="Arial" w:cs="Arial" w:eastAsia="Arial" w:hAnsi="Arial"/>
          <w:sz w:val="16"/>
          <w:szCs w:val="16"/>
          <w:color w:val="auto"/>
        </w:rPr>
        <w:t>”), have been or will be duly authorized, executed and delivered by the Company; (viii) the obligations of each party set forth in the Securities Documents are or will be its valid and binding obligations, enforceable in accordance with their respective terms; (ix) no Securities will be offered, issued or sold in violation or breach of, nor will any such offering, issuance or sale result in a default under, any agreement or instrument that is binding upon the Company or any requirement or restriction imposed by any governmental or regulatory agency, authority or body; (x) the Company has taken or will take all corporate action required in connection with the authorization, offering, issuance and sale of Securities (including, without limitation, any Shares or other securities of the Company underlying any Debt Securities or any Depositary Shares or Receipts), and all Securities will be offered, issued and sold, in compliance with all applicable laws, the Governing Documents and the relevant Securities Documents in effect at all relevant times, and any and all certificates evidencing Shares will be properly signed, registered and delivered, as necessary, in accordance with all applicable laws, the Governing Documents and the relevant Securities Documents (collectively, “</w:t>
      </w:r>
      <w:r>
        <w:rPr>
          <w:rFonts w:ascii="Arial" w:cs="Arial" w:eastAsia="Arial" w:hAnsi="Arial"/>
          <w:sz w:val="16"/>
          <w:szCs w:val="16"/>
          <w:u w:val="single" w:color="auto"/>
          <w:color w:val="auto"/>
        </w:rPr>
        <w:t>Corporate Proceedings</w:t>
      </w:r>
      <w:r>
        <w:rPr>
          <w:rFonts w:ascii="Arial" w:cs="Arial" w:eastAsia="Arial" w:hAnsi="Arial"/>
          <w:sz w:val="16"/>
          <w:szCs w:val="16"/>
          <w:color w:val="auto"/>
        </w:rPr>
        <w:t>”); (xi) after any issuance of Common Shares, the total number of issued and outstanding shares of Common Stock, together with the total number of shares of Common Stock then reserved for issuance or obligated to be issued by the Company pursuant to any agreement or arrangement or otherwise, will not exceed the total number of shares of Common Stock then authorized under the Governing Documents;</w:t>
      </w:r>
    </w:p>
    <w:p>
      <w:pPr>
        <w:spacing w:after="0" w:line="13" w:lineRule="exact"/>
        <w:rPr>
          <w:sz w:val="20"/>
          <w:szCs w:val="20"/>
          <w:color w:val="auto"/>
        </w:rPr>
      </w:pPr>
    </w:p>
    <w:p>
      <w:pPr>
        <w:ind w:right="100" w:firstLine="8"/>
        <w:spacing w:after="0" w:line="288" w:lineRule="auto"/>
        <w:tabs>
          <w:tab w:leader="none" w:pos="3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voting rights, designations, preferences, limitations, restrictions, privileges and relative rights of each series of Preferred Shares will be fixed in a certificate of designation relating to such series, prepared in the form prescribed by applicable laws, duly signed by an officer of the Company and properly filed with the Nevada Secretary of State (each, a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and at no time will the total number of shares of Preferred Stock designated pursuant to all then-effective Certificates of Designation exceed the total number of shares of Preferred Stock then authorized under the Governing Documents; and (xiii) after any issuance of Preferred Shares, the total number of issued and outstanding shares of each series thereof, together with the total number of shares of such series then reserved for issuance or obligated to be issued by the Company pursuant to any agreement or arrangement or otherwise, will not exceed the total number of shares of such series then designated under the Certificate of Designation for such series.</w:t>
      </w:r>
    </w:p>
    <w:p>
      <w:pPr>
        <w:spacing w:after="0" w:line="16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or effect of, the laws of any other jurisdiction. We express no opinion concerning, and we assume no responsibility as to laws or judicial decisions related to any federal laws, rules or regulations, including any federal securities laws, rules or regulations, or any state securities or “Blue Sky” laws, rules or regulations.</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upon the foregoing and in reliance thereon, and having regard to legal considerations and other information that we deem relevant, we are of the opinion that when all Corporate Proceedings have been taken and completed in respect of any offering, issuance or sale of Shares, and to the extent such Shares have been issued in accordance with all applicable terms and conditions set forth in the relevant Securities Documents, including payment in full of all consideration required therefor as authorized by such Corporate Proceedings and prescribed by such Securities Documents, such Shares will be duly authorized, validly issued, fully paid and non-assessable.</w:t>
      </w:r>
    </w:p>
    <w:p>
      <w:pPr>
        <w:sectPr>
          <w:pgSz w:w="11900" w:h="16838" w:orient="portrait"/>
          <w:cols w:equalWidth="0" w:num="1">
            <w:col w:w="11400"/>
          </w:cols>
          <w:pgMar w:left="240" w:top="27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opinion expressed herein is based upon the applicable laws of the State of Nevada and the facts in existence on the date hereof. In delivering this opinion letter to you, we disclaim any obligation to update or supplement the opinion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therein under the heading “Validity of the Securities”. In giving such consent, we do not admit that we are in the category of persons whose consent is required under Section 7 of the Act or the rules and regulations of the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300"/>
          </w:cols>
          <w:pgMar w:left="240" w:top="274" w:right="359" w:bottom="1440" w:gutter="0" w:footer="0" w:header="0"/>
        </w:sectPr>
      </w:pPr>
    </w:p>
    <w:bookmarkStart w:id="30" w:name="page31"/>
    <w:bookmarkEnd w:id="30"/>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STOCK DIVIDENDS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 except ratios)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rPr>
              <w:t>Pretax income from continuing operations before adjustment for minority</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93"/>
              </w:rPr>
              <w:t>interests in consolidated subsidiaries or income or loss from equity investees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701,493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731,912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804,095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336,242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41,985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 Fixed charges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234,289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236,498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236,858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226,656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Add: Amortization of capitalized interest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14,809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20,313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21,382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22,864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27,768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 Distributed income of equity investees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6,384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2,028</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7,243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Earnings as adjusted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945,414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1,049,263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1,063,303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589,392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286,389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Interest expensed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222,690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288,759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229,918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222,863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211,385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2,028</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in rental expense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7,087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6,580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6,752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4,536</w:t>
            </w:r>
          </w:p>
        </w:tc>
        <w:tc>
          <w:tcPr>
            <w:tcW w:w="64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Fixed Charges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234,289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236,498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236,858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226,656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to Fixed Charges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gridSpan w:val="2"/>
            <w:vMerge w:val="continue"/>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Deficiency Amount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had no preferred stock issued and outstanding for any of the periods presented.</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Wynn Resorts, Limited for the registration of common stock, preferred stock, depositary shares representing preferred stock and senior debt securities, senior subordinated debt securities, subordinated debt securities and junior subordinated debt securities and to the incorporation by reference therein of our reports dated March 1, 2013, with respect to the consolidated financial statements and schedules of Wynn Resorts, Limited, and the effectiveness of internal control over financial reporting of Wynn Resorts, Limited, included in its Annual Report (Form 10-K) for the year ended December 31, 2012, filed with the Securities and Exchange Commission.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2013</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600" w:type="dxa"/>
            <w:vAlign w:val="bottom"/>
          </w:tcPr>
          <w:p>
            <w:pPr>
              <w:jc w:val="right"/>
              <w:ind w:right="2759"/>
              <w:spacing w:after="0"/>
              <w:rPr>
                <w:sz w:val="20"/>
                <w:szCs w:val="20"/>
                <w:color w:val="auto"/>
              </w:rPr>
            </w:pPr>
            <w:r>
              <w:rPr>
                <w:rFonts w:ascii="Arial" w:cs="Arial" w:eastAsia="Arial" w:hAnsi="Arial"/>
                <w:sz w:val="18"/>
                <w:szCs w:val="18"/>
                <w:b w:val="1"/>
                <w:bCs w:val="1"/>
                <w:color w:val="auto"/>
              </w:rPr>
              <w:t>31-0841368</w:t>
            </w:r>
          </w:p>
        </w:tc>
      </w:tr>
      <w:tr>
        <w:trPr>
          <w:trHeight w:val="186"/>
        </w:trPr>
        <w:tc>
          <w:tcPr>
            <w:tcW w:w="2680" w:type="dxa"/>
            <w:vAlign w:val="bottom"/>
          </w:tcPr>
          <w:p>
            <w:pPr>
              <w:spacing w:after="0"/>
              <w:rPr>
                <w:sz w:val="16"/>
                <w:szCs w:val="16"/>
                <w:color w:val="auto"/>
              </w:rPr>
            </w:pPr>
          </w:p>
        </w:tc>
        <w:tc>
          <w:tcPr>
            <w:tcW w:w="46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2680" w:type="dxa"/>
            <w:vAlign w:val="bottom"/>
          </w:tcPr>
          <w:p>
            <w:pPr>
              <w:jc w:val="center"/>
              <w:ind w:right="216"/>
              <w:spacing w:after="0"/>
              <w:rPr>
                <w:sz w:val="20"/>
                <w:szCs w:val="20"/>
                <w:color w:val="auto"/>
              </w:rPr>
            </w:pPr>
            <w:r>
              <w:rPr>
                <w:rFonts w:ascii="Arial" w:cs="Arial" w:eastAsia="Arial" w:hAnsi="Arial"/>
                <w:sz w:val="18"/>
                <w:szCs w:val="18"/>
                <w:b w:val="1"/>
                <w:bCs w:val="1"/>
                <w:color w:val="auto"/>
                <w:w w:val="92"/>
              </w:rPr>
              <w:t>800 Nicollet Mall</w:t>
            </w:r>
          </w:p>
        </w:tc>
        <w:tc>
          <w:tcPr>
            <w:tcW w:w="4600" w:type="dxa"/>
            <w:vAlign w:val="bottom"/>
          </w:tcPr>
          <w:p>
            <w:pPr>
              <w:spacing w:after="0"/>
              <w:rPr>
                <w:sz w:val="24"/>
                <w:szCs w:val="24"/>
                <w:color w:val="auto"/>
              </w:rPr>
            </w:pPr>
          </w:p>
        </w:tc>
      </w:tr>
      <w:tr>
        <w:trPr>
          <w:trHeight w:val="225"/>
        </w:trPr>
        <w:tc>
          <w:tcPr>
            <w:tcW w:w="2680" w:type="dxa"/>
            <w:vAlign w:val="bottom"/>
          </w:tcPr>
          <w:p>
            <w:pPr>
              <w:jc w:val="center"/>
              <w:ind w:right="216"/>
              <w:spacing w:after="0"/>
              <w:rPr>
                <w:sz w:val="20"/>
                <w:szCs w:val="20"/>
                <w:color w:val="auto"/>
              </w:rPr>
            </w:pPr>
            <w:r>
              <w:rPr>
                <w:rFonts w:ascii="Arial" w:cs="Arial" w:eastAsia="Arial" w:hAnsi="Arial"/>
                <w:sz w:val="18"/>
                <w:szCs w:val="18"/>
                <w:b w:val="1"/>
                <w:bCs w:val="1"/>
                <w:color w:val="auto"/>
                <w:w w:val="91"/>
              </w:rPr>
              <w:t>Minneapolis, Minnesota</w:t>
            </w:r>
          </w:p>
        </w:tc>
        <w:tc>
          <w:tcPr>
            <w:tcW w:w="460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268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0" w:type="dxa"/>
            <w:vAlign w:val="bottom"/>
          </w:tcPr>
          <w:p>
            <w:pPr>
              <w:jc w:val="center"/>
              <w:ind w:left="385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Raymond S. Haverstock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466-6299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8"/>
                <w:szCs w:val="18"/>
                <w:b w:val="1"/>
                <w:bCs w:val="1"/>
                <w:color w:val="auto"/>
                <w:w w:val="91"/>
              </w:rPr>
              <w:t>Wynn Resorts, Limited</w:t>
            </w:r>
          </w:p>
        </w:tc>
      </w:tr>
      <w:tr>
        <w:trPr>
          <w:trHeight w:val="186"/>
        </w:trPr>
        <w:tc>
          <w:tcPr>
            <w:tcW w:w="4520" w:type="dxa"/>
            <w:vAlign w:val="bottom"/>
          </w:tcPr>
          <w:p>
            <w:pPr>
              <w:spacing w:after="0"/>
              <w:rPr>
                <w:sz w:val="16"/>
                <w:szCs w:val="16"/>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4"/>
                <w:szCs w:val="14"/>
                <w:b w:val="1"/>
                <w:bCs w:val="1"/>
                <w:color w:val="auto"/>
                <w:w w:val="90"/>
              </w:rPr>
              <w:t>(Issuer with respect to the Securities)</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70"/>
        </w:trPr>
        <w:tc>
          <w:tcPr>
            <w:tcW w:w="452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Nevada</w:t>
            </w:r>
          </w:p>
        </w:tc>
        <w:tc>
          <w:tcPr>
            <w:tcW w:w="6900" w:type="dxa"/>
            <w:vAlign w:val="bottom"/>
            <w:gridSpan w:val="2"/>
          </w:tcPr>
          <w:p>
            <w:pPr>
              <w:jc w:val="right"/>
              <w:ind w:right="2268"/>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520" w:type="dxa"/>
            <w:vAlign w:val="bottom"/>
          </w:tcPr>
          <w:p>
            <w:pPr>
              <w:jc w:val="center"/>
              <w:ind w:left="1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452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left="1199"/>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520" w:type="dxa"/>
            <w:vAlign w:val="bottom"/>
          </w:tcPr>
          <w:p>
            <w:pPr>
              <w:jc w:val="center"/>
              <w:ind w:left="1179"/>
              <w:spacing w:after="0"/>
              <w:rPr>
                <w:sz w:val="20"/>
                <w:szCs w:val="20"/>
                <w:color w:val="auto"/>
              </w:rPr>
            </w:pPr>
            <w:r>
              <w:rPr>
                <w:rFonts w:ascii="Arial" w:cs="Arial" w:eastAsia="Arial" w:hAnsi="Arial"/>
                <w:sz w:val="18"/>
                <w:szCs w:val="18"/>
                <w:b w:val="1"/>
                <w:bCs w:val="1"/>
                <w:color w:val="auto"/>
                <w:w w:val="88"/>
              </w:rPr>
              <w:t>3131 Las Vegas Boulevard South</w:t>
            </w: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5"/>
        </w:trPr>
        <w:tc>
          <w:tcPr>
            <w:tcW w:w="4520" w:type="dxa"/>
            <w:vAlign w:val="bottom"/>
          </w:tcPr>
          <w:p>
            <w:pPr>
              <w:jc w:val="center"/>
              <w:ind w:left="1199"/>
              <w:spacing w:after="0"/>
              <w:rPr>
                <w:sz w:val="20"/>
                <w:szCs w:val="20"/>
                <w:color w:val="auto"/>
              </w:rPr>
            </w:pPr>
            <w:r>
              <w:rPr>
                <w:rFonts w:ascii="Arial" w:cs="Arial" w:eastAsia="Arial" w:hAnsi="Arial"/>
                <w:sz w:val="18"/>
                <w:szCs w:val="18"/>
                <w:b w:val="1"/>
                <w:bCs w:val="1"/>
                <w:color w:val="auto"/>
                <w:w w:val="88"/>
              </w:rPr>
              <w:t>Las Vegas, Nevada</w:t>
            </w:r>
          </w:p>
        </w:tc>
        <w:tc>
          <w:tcPr>
            <w:tcW w:w="6900" w:type="dxa"/>
            <w:vAlign w:val="bottom"/>
            <w:gridSpan w:val="2"/>
          </w:tcPr>
          <w:p>
            <w:pPr>
              <w:jc w:val="right"/>
              <w:ind w:right="2468"/>
              <w:spacing w:after="0"/>
              <w:rPr>
                <w:sz w:val="20"/>
                <w:szCs w:val="20"/>
                <w:color w:val="auto"/>
              </w:rPr>
            </w:pPr>
            <w:r>
              <w:rPr>
                <w:rFonts w:ascii="Arial" w:cs="Arial" w:eastAsia="Arial" w:hAnsi="Arial"/>
                <w:sz w:val="18"/>
                <w:szCs w:val="18"/>
                <w:b w:val="1"/>
                <w:bCs w:val="1"/>
                <w:color w:val="auto"/>
              </w:rPr>
              <w:t>89109</w:t>
            </w:r>
          </w:p>
        </w:tc>
      </w:tr>
      <w:tr>
        <w:trPr>
          <w:trHeight w:val="186"/>
        </w:trPr>
        <w:tc>
          <w:tcPr>
            <w:tcW w:w="4520" w:type="dxa"/>
            <w:vAlign w:val="bottom"/>
          </w:tcPr>
          <w:p>
            <w:pPr>
              <w:jc w:val="center"/>
              <w:ind w:left="1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Arial" w:cs="Arial" w:eastAsia="Arial" w:hAnsi="Arial"/>
                <w:sz w:val="18"/>
                <w:szCs w:val="18"/>
                <w:b w:val="1"/>
                <w:bCs w:val="1"/>
                <w:color w:val="auto"/>
                <w:w w:val="88"/>
              </w:rPr>
              <w:t>Debt Securities</w:t>
            </w:r>
          </w:p>
        </w:tc>
      </w:tr>
      <w:tr>
        <w:trPr>
          <w:trHeight w:val="186"/>
        </w:trPr>
        <w:tc>
          <w:tcPr>
            <w:tcW w:w="4520" w:type="dxa"/>
            <w:vAlign w:val="bottom"/>
          </w:tcPr>
          <w:p>
            <w:pPr>
              <w:spacing w:after="0"/>
              <w:rPr>
                <w:sz w:val="16"/>
                <w:szCs w:val="16"/>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GENERAL INFORMATION.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80" w:right="5640" w:hanging="967"/>
        <w:spacing w:after="0" w:line="402" w:lineRule="auto"/>
        <w:tabs>
          <w:tab w:leader="none" w:pos="147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2013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14</w:t>
      </w:r>
      <w:r>
        <w:rPr>
          <w:rFonts w:ascii="Arial" w:cs="Arial" w:eastAsia="Arial" w:hAnsi="Arial"/>
          <w:sz w:val="14"/>
          <w:szCs w:val="14"/>
          <w:color w:val="auto"/>
        </w:rPr>
        <w:t>th</w:t>
      </w:r>
      <w:r>
        <w:rPr>
          <w:rFonts w:ascii="Arial" w:cs="Arial" w:eastAsia="Arial" w:hAnsi="Arial"/>
          <w:sz w:val="17"/>
          <w:szCs w:val="17"/>
          <w:color w:val="auto"/>
        </w:rPr>
        <w:t xml:space="preserve"> of November 2013.</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5" w:name="page36"/>
    <w:bookmarkEnd w:id="35"/>
    <w:p>
      <w:pPr>
        <w:jc w:val="center"/>
        <w:ind w:right="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797560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172085</wp:posOffset>
            </wp:positionV>
            <wp:extent cx="411480" cy="462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14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177165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right="3700" w:firstLine="3353"/>
        <w:spacing w:after="0" w:line="378" w:lineRule="auto"/>
        <w:rPr>
          <w:sz w:val="20"/>
          <w:szCs w:val="20"/>
          <w:color w:val="auto"/>
        </w:rPr>
      </w:pPr>
      <w:r>
        <w:rPr>
          <w:rFonts w:ascii="Arial" w:cs="Arial" w:eastAsia="Arial" w:hAnsi="Arial"/>
          <w:sz w:val="18"/>
          <w:szCs w:val="18"/>
          <w:b w:val="1"/>
          <w:bCs w:val="1"/>
          <w:color w:val="auto"/>
        </w:rPr>
        <w:t xml:space="preserve">CERTIFICATE OF CORPORATE EXISTENCE </w:t>
      </w:r>
      <w:r>
        <w:rPr>
          <w:rFonts w:ascii="Arial" w:cs="Arial" w:eastAsia="Arial" w:hAnsi="Arial"/>
          <w:sz w:val="18"/>
          <w:szCs w:val="18"/>
          <w:color w:val="auto"/>
        </w:rPr>
        <w:t>I, Thomas J. Curry, Comptroller of the Currency, do hereby certify that:</w:t>
      </w:r>
    </w:p>
    <w:p>
      <w:pPr>
        <w:ind w:right="40" w:firstLine="4"/>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38" w:lineRule="exact"/>
        <w:rPr>
          <w:rFonts w:ascii="Arial" w:cs="Arial" w:eastAsia="Arial" w:hAnsi="Arial"/>
          <w:sz w:val="17"/>
          <w:szCs w:val="17"/>
          <w:color w:val="auto"/>
        </w:rPr>
      </w:pPr>
    </w:p>
    <w:p>
      <w:pPr>
        <w:ind w:right="120" w:firstLine="4"/>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6360"/>
        <w:spacing w:after="0" w:line="302" w:lineRule="auto"/>
        <w:rPr>
          <w:sz w:val="20"/>
          <w:szCs w:val="20"/>
          <w:color w:val="auto"/>
        </w:rPr>
      </w:pPr>
      <w:r>
        <w:rPr>
          <w:rFonts w:ascii="Arial" w:cs="Arial" w:eastAsia="Arial" w:hAnsi="Arial"/>
          <w:sz w:val="16"/>
          <w:szCs w:val="16"/>
          <w:color w:val="auto"/>
        </w:rPr>
        <w:t>IN TESTIMONY WHEREOF, today, February 27, 2013,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6955155" cy="1337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Comptroller of the Currency</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700" w:top="270" w:right="339" w:bottom="1440" w:gutter="0" w:footer="0" w:header="0"/>
        </w:sectPr>
      </w:pPr>
    </w:p>
    <w:bookmarkStart w:id="36" w:name="page37"/>
    <w:bookmarkEnd w:id="36"/>
    <w:p>
      <w:pPr>
        <w:jc w:val="center"/>
        <w:ind w:right="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797560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172085</wp:posOffset>
            </wp:positionV>
            <wp:extent cx="411480" cy="462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14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177165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right="3840" w:firstLine="3430"/>
        <w:spacing w:after="0" w:line="378" w:lineRule="auto"/>
        <w:rPr>
          <w:sz w:val="20"/>
          <w:szCs w:val="20"/>
          <w:color w:val="auto"/>
        </w:rPr>
      </w:pPr>
      <w:r>
        <w:rPr>
          <w:rFonts w:ascii="Arial" w:cs="Arial" w:eastAsia="Arial" w:hAnsi="Arial"/>
          <w:sz w:val="18"/>
          <w:szCs w:val="18"/>
          <w:b w:val="1"/>
          <w:bCs w:val="1"/>
          <w:color w:val="auto"/>
        </w:rPr>
        <w:t xml:space="preserve">CERTIFICATION OF FIDUCIARY POWERS </w:t>
      </w:r>
      <w:r>
        <w:rPr>
          <w:rFonts w:ascii="Arial" w:cs="Arial" w:eastAsia="Arial" w:hAnsi="Arial"/>
          <w:sz w:val="18"/>
          <w:szCs w:val="18"/>
          <w:color w:val="auto"/>
        </w:rPr>
        <w:t>I, Thomas J. Curry, Comptroller of the Currency, do hereby certify that:</w:t>
      </w:r>
    </w:p>
    <w:p>
      <w:pPr>
        <w:ind w:right="640" w:firstLine="4"/>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5" w:lineRule="exact"/>
        <w:rPr>
          <w:rFonts w:ascii="Arial" w:cs="Arial" w:eastAsia="Arial" w:hAnsi="Arial"/>
          <w:sz w:val="16"/>
          <w:szCs w:val="16"/>
          <w:color w:val="auto"/>
        </w:rPr>
      </w:pPr>
    </w:p>
    <w:p>
      <w:pPr>
        <w:ind w:right="80" w:firstLine="4"/>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8" w:lineRule="exact"/>
        <w:rPr>
          <w:sz w:val="20"/>
          <w:szCs w:val="20"/>
          <w:color w:val="auto"/>
        </w:rPr>
      </w:pPr>
    </w:p>
    <w:p>
      <w:pPr>
        <w:jc w:val="both"/>
        <w:ind w:left="6260"/>
        <w:spacing w:after="0" w:line="302" w:lineRule="auto"/>
        <w:rPr>
          <w:sz w:val="20"/>
          <w:szCs w:val="20"/>
          <w:color w:val="auto"/>
        </w:rPr>
      </w:pPr>
      <w:r>
        <w:rPr>
          <w:rFonts w:ascii="Arial" w:cs="Arial" w:eastAsia="Arial" w:hAnsi="Arial"/>
          <w:sz w:val="16"/>
          <w:szCs w:val="16"/>
          <w:color w:val="auto"/>
        </w:rPr>
        <w:t>IN TESTIMONY WHEREOF, today, February 27, 2013,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6955155" cy="132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515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Comptroller of the Currency</w:t>
      </w:r>
    </w:p>
    <w:p>
      <w:pPr>
        <w:spacing w:after="0" w:line="17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0" w:right="27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6/30/2013</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6,618,511</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74,478,321</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79,268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226,554,158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4,958,016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13,125,133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23,519,520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349,332,927</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260,085,043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2,946,249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639,343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27,488,313</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4,836,320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13,040,945</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309,036,213</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14,216,132</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24,513,966</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6000" w:type="dxa"/>
            <w:vAlign w:val="bottom"/>
            <w:gridSpan w:val="3"/>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1,548,416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40,296,714</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349,332,927</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lvl w:ilvl="1">
      <w:lvlJc w:val="left"/>
      <w:lvlText w:val="(%2)"/>
      <w:numFmt w:val="lowerRoman"/>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decimal"/>
      <w:start w:val="2"/>
    </w:lvl>
    <w:lvl w:ilvl="1">
      <w:lvlJc w:val="left"/>
      <w:lvlText w:val="(%2)"/>
      <w:numFmt w:val="upperLetter"/>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lowerLetter"/>
      <w:start w:val="1"/>
    </w:lvl>
    <w:lvl w:ilvl="1">
      <w:lvlJc w:val="left"/>
      <w:lvlText w:val="(%2)"/>
      <w:numFmt w:val="lowerRoman"/>
      <w:start w:val="3"/>
    </w:lvl>
  </w:abstractNum>
  <w:abstractNum w:abstractNumId="12">
    <w:nsid w:val="257130A3"/>
    <w:multiLevelType w:val="hybridMultilevel"/>
    <w:lvl w:ilvl="0">
      <w:lvlJc w:val="left"/>
      <w:lvlText w:val="(%1)"/>
      <w:numFmt w:val="lowerLetter"/>
      <w:start w:val="2"/>
    </w:lvl>
    <w:lvl w:ilvl="1">
      <w:lvlJc w:val="left"/>
      <w:lvlText w:val="%2"/>
      <w:numFmt w:val="lowerRoman"/>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lowerRoman"/>
      <w:start w:val="6"/>
    </w:lvl>
  </w:abstractNum>
  <w:abstractNum w:abstractNumId="16">
    <w:nsid w:val="333AB105"/>
    <w:multiLevelType w:val="hybridMultilevel"/>
    <w:lvl w:ilvl="0">
      <w:lvlJc w:val="left"/>
      <w:lvlText w:val="%1."/>
      <w:numFmt w:val="decimal"/>
      <w:start w:val="1"/>
    </w:lvl>
    <w:lvl w:ilvl="1">
      <w:lvlJc w:val="left"/>
      <w:lvlText w:val="%2."/>
      <w:numFmt w:val="lowerLetter"/>
      <w:start w:val="1"/>
    </w:lvl>
  </w:abstractNum>
  <w:abstractNum w:abstractNumId="17">
    <w:nsid w:val="721DA317"/>
    <w:multiLevelType w:val="hybridMultilevel"/>
    <w:lvl w:ilvl="0">
      <w:lvlJc w:val="left"/>
      <w:lvlText w:val="%1."/>
      <w:numFmt w:val="decimal"/>
      <w:start w:val="2"/>
    </w:lvl>
    <w:lvl w:ilvl="1">
      <w:lvlJc w:val="left"/>
      <w:lvlText w:val="%2."/>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Roman"/>
      <w:start w:val="12"/>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
      <w:numFmt w:val="bullet"/>
      <w:start w:val="1"/>
    </w:lvl>
    <w:lvl w:ilvl="1">
      <w:lvlJc w:val="left"/>
      <w:lvlText w:val="%2."/>
      <w:numFmt w:val="decimal"/>
      <w:start w:val="1"/>
    </w:lvl>
  </w:abstractNum>
  <w:abstractNum w:abstractNumId="23">
    <w:nsid w:val="79838CB2"/>
    <w:multiLevelType w:val="hybridMultilevel"/>
    <w:lvl w:ilvl="0">
      <w:lvlJc w:val="left"/>
      <w:lvlText w:val="**"/>
      <w:numFmt w:val="bullet"/>
      <w:start w:val="1"/>
    </w:lvl>
    <w:lvl w:ilvl="1">
      <w:lvlJc w:val="left"/>
      <w:lvlText w:val="%2"/>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2019-12-07T03:45:31Z</dcterms:created>
  <dcterms:modified xsi:type="dcterms:W3CDTF">2019-12-07T03:45:31Z</dcterms:modified>
</cp:coreProperties>
</file>