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09"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30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May 13,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8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12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27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8"/>
              </w:rPr>
              <w:t>000-50028</w:t>
            </w:r>
          </w:p>
        </w:tc>
        <w:tc>
          <w:tcPr>
            <w:tcW w:w="2640" w:type="dxa"/>
            <w:vAlign w:val="bottom"/>
            <w:gridSpan w:val="2"/>
          </w:tcPr>
          <w:p>
            <w:pPr>
              <w:jc w:val="center"/>
              <w:ind w:left="172"/>
              <w:spacing w:after="0"/>
              <w:rPr>
                <w:sz w:val="20"/>
                <w:szCs w:val="20"/>
                <w:color w:val="auto"/>
              </w:rPr>
            </w:pPr>
            <w:r>
              <w:rPr>
                <w:rFonts w:ascii="Arial" w:cs="Arial" w:eastAsia="Arial" w:hAnsi="Arial"/>
                <w:sz w:val="18"/>
                <w:szCs w:val="18"/>
                <w:b w:val="1"/>
                <w:bCs w:val="1"/>
                <w:color w:val="auto"/>
                <w:w w:val="89"/>
              </w:rPr>
              <w:t>46-0484987</w:t>
            </w:r>
          </w:p>
        </w:tc>
        <w:tc>
          <w:tcPr>
            <w:tcW w:w="20" w:type="dxa"/>
            <w:vAlign w:val="bottom"/>
          </w:tcPr>
          <w:p>
            <w:pPr>
              <w:spacing w:after="0"/>
              <w:rPr>
                <w:sz w:val="19"/>
                <w:szCs w:val="19"/>
                <w:color w:val="auto"/>
              </w:rPr>
            </w:pPr>
          </w:p>
        </w:tc>
      </w:tr>
      <w:tr>
        <w:trPr>
          <w:trHeight w:val="110"/>
        </w:trPr>
        <w:tc>
          <w:tcPr>
            <w:tcW w:w="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9"/>
        </w:trPr>
        <w:tc>
          <w:tcPr>
            <w:tcW w:w="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2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240" w:type="dxa"/>
            <w:vAlign w:val="bottom"/>
          </w:tcPr>
          <w:p>
            <w:pPr>
              <w:spacing w:after="0"/>
              <w:rPr>
                <w:sz w:val="24"/>
                <w:szCs w:val="24"/>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of Incorporation)</w:t>
            </w:r>
          </w:p>
        </w:tc>
        <w:tc>
          <w:tcPr>
            <w:tcW w:w="24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240" w:type="dxa"/>
            <w:vAlign w:val="bottom"/>
          </w:tcPr>
          <w:p>
            <w:pPr>
              <w:spacing w:after="0"/>
              <w:rPr>
                <w:sz w:val="19"/>
                <w:szCs w:val="19"/>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690"/>
        </w:trPr>
        <w:tc>
          <w:tcPr>
            <w:tcW w:w="40" w:type="dxa"/>
            <w:vAlign w:val="bottom"/>
          </w:tcPr>
          <w:p>
            <w:pPr>
              <w:spacing w:after="0"/>
              <w:rPr>
                <w:sz w:val="24"/>
                <w:szCs w:val="24"/>
                <w:color w:val="auto"/>
              </w:rPr>
            </w:pPr>
          </w:p>
        </w:tc>
        <w:tc>
          <w:tcPr>
            <w:tcW w:w="5160" w:type="dxa"/>
            <w:vAlign w:val="bottom"/>
            <w:gridSpan w:val="3"/>
          </w:tcPr>
          <w:p>
            <w:pPr>
              <w:jc w:val="center"/>
              <w:ind w:left="1212"/>
              <w:spacing w:after="0"/>
              <w:rPr>
                <w:sz w:val="20"/>
                <w:szCs w:val="20"/>
                <w:color w:val="auto"/>
              </w:rPr>
            </w:pPr>
            <w:r>
              <w:rPr>
                <w:rFonts w:ascii="Arial" w:cs="Arial" w:eastAsia="Arial" w:hAnsi="Arial"/>
                <w:sz w:val="18"/>
                <w:szCs w:val="18"/>
                <w:b w:val="1"/>
                <w:bCs w:val="1"/>
                <w:color w:val="auto"/>
                <w:w w:val="86"/>
              </w:rPr>
              <w:t>3131 Las Vegas Boulevard South</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76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5"/>
              </w:rPr>
              <w:t>Las Vegas, Nevada</w:t>
            </w:r>
          </w:p>
        </w:tc>
        <w:tc>
          <w:tcPr>
            <w:tcW w:w="2640" w:type="dxa"/>
            <w:vAlign w:val="bottom"/>
            <w:gridSpan w:val="2"/>
          </w:tcPr>
          <w:p>
            <w:pPr>
              <w:jc w:val="right"/>
              <w:ind w:right="1232"/>
              <w:spacing w:after="0"/>
              <w:rPr>
                <w:sz w:val="20"/>
                <w:szCs w:val="20"/>
                <w:color w:val="auto"/>
              </w:rPr>
            </w:pPr>
            <w:r>
              <w:rPr>
                <w:rFonts w:ascii="Arial" w:cs="Arial" w:eastAsia="Arial" w:hAnsi="Arial"/>
                <w:sz w:val="18"/>
                <w:szCs w:val="18"/>
                <w:b w:val="1"/>
                <w:bCs w:val="1"/>
                <w:color w:val="auto"/>
              </w:rPr>
              <w:t>89109</w:t>
            </w:r>
          </w:p>
        </w:tc>
        <w:tc>
          <w:tcPr>
            <w:tcW w:w="20" w:type="dxa"/>
            <w:vAlign w:val="bottom"/>
          </w:tcPr>
          <w:p>
            <w:pPr>
              <w:spacing w:after="0"/>
              <w:rPr>
                <w:sz w:val="19"/>
                <w:szCs w:val="19"/>
                <w:color w:val="auto"/>
              </w:rPr>
            </w:pPr>
          </w:p>
        </w:tc>
      </w:tr>
      <w:tr>
        <w:trPr>
          <w:trHeight w:val="110"/>
        </w:trPr>
        <w:tc>
          <w:tcPr>
            <w:tcW w:w="40" w:type="dxa"/>
            <w:vAlign w:val="bottom"/>
          </w:tcPr>
          <w:p>
            <w:pPr>
              <w:spacing w:after="0"/>
              <w:rPr>
                <w:sz w:val="9"/>
                <w:szCs w:val="9"/>
                <w:color w:val="auto"/>
              </w:rPr>
            </w:pPr>
          </w:p>
        </w:tc>
        <w:tc>
          <w:tcPr>
            <w:tcW w:w="5160" w:type="dxa"/>
            <w:vAlign w:val="bottom"/>
            <w:tcBorders>
              <w:bottom w:val="single" w:sz="8" w:color="808080"/>
            </w:tcBorders>
            <w:gridSpan w:val="3"/>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 w:type="dxa"/>
            <w:vAlign w:val="bottom"/>
          </w:tcPr>
          <w:p>
            <w:pPr>
              <w:spacing w:after="0"/>
              <w:rPr>
                <w:sz w:val="24"/>
                <w:szCs w:val="24"/>
                <w:color w:val="auto"/>
              </w:rPr>
            </w:pPr>
          </w:p>
        </w:tc>
        <w:tc>
          <w:tcPr>
            <w:tcW w:w="5160" w:type="dxa"/>
            <w:vAlign w:val="bottom"/>
            <w:gridSpan w:val="3"/>
          </w:tcPr>
          <w:p>
            <w:pPr>
              <w:jc w:val="center"/>
              <w:ind w:left="1212"/>
              <w:spacing w:after="0"/>
              <w:rPr>
                <w:sz w:val="20"/>
                <w:szCs w:val="20"/>
                <w:color w:val="auto"/>
              </w:rPr>
            </w:pPr>
            <w:r>
              <w:rPr>
                <w:rFonts w:ascii="Arial" w:cs="Arial" w:eastAsia="Arial" w:hAnsi="Arial"/>
                <w:sz w:val="18"/>
                <w:szCs w:val="18"/>
                <w:color w:val="auto"/>
                <w:w w:val="90"/>
              </w:rPr>
              <w:t>(Address of Principal Executive Offices)</w:t>
            </w:r>
          </w:p>
        </w:tc>
        <w:tc>
          <w:tcPr>
            <w:tcW w:w="240" w:type="dxa"/>
            <w:vAlign w:val="bottom"/>
          </w:tcPr>
          <w:p>
            <w:pPr>
              <w:spacing w:after="0"/>
              <w:rPr>
                <w:sz w:val="24"/>
                <w:szCs w:val="24"/>
                <w:color w:val="auto"/>
              </w:rPr>
            </w:pPr>
          </w:p>
        </w:tc>
        <w:tc>
          <w:tcPr>
            <w:tcW w:w="242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83820</wp:posOffset>
            </wp:positionV>
            <wp:extent cx="4956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225"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Events and Required FD Disclosure</w:t>
      </w:r>
      <w:r>
        <w:rPr>
          <w:rFonts w:ascii="Arial" w:cs="Arial" w:eastAsia="Arial" w:hAnsi="Arial"/>
          <w:sz w:val="18"/>
          <w:szCs w:val="18"/>
          <w:color w:val="auto"/>
        </w:rPr>
        <w:t>.</w:t>
      </w:r>
    </w:p>
    <w:p>
      <w:pPr>
        <w:spacing w:after="0" w:line="252" w:lineRule="exact"/>
        <w:rPr>
          <w:sz w:val="24"/>
          <w:szCs w:val="24"/>
          <w:color w:val="auto"/>
        </w:rPr>
      </w:pPr>
    </w:p>
    <w:p>
      <w:pPr>
        <w:ind w:right="2139"/>
        <w:spacing w:after="0" w:line="288" w:lineRule="auto"/>
        <w:rPr>
          <w:sz w:val="20"/>
          <w:szCs w:val="20"/>
          <w:color w:val="auto"/>
        </w:rPr>
      </w:pPr>
      <w:r>
        <w:rPr>
          <w:rFonts w:ascii="Arial" w:cs="Arial" w:eastAsia="Arial" w:hAnsi="Arial"/>
          <w:sz w:val="16"/>
          <w:szCs w:val="16"/>
          <w:color w:val="auto"/>
        </w:rPr>
        <w:t>On May 13, 2004, pursuant to the indenture governing the 12% Second Mortgage Notes due 2010 (the “Notes”) of Wynn Las Vegas, LLC and Wynn Las Vegas Capital Corp. (collectively, the “Issuers”), the Issuers delivered notice of the exercise of their right to redeem $122,420,000 in aggregate principal amount of the Notes. The total price of the redemption will be approximately $138,865,100, equal to 112.0% of the aggregate principal amount of the Notes to be redeemed plus accrued and unpaid interest thereon. The date of the redemption will be June 14, 2004. Certain directors, officers and affiliates of the Registrant hold an aggregate of $27,178,000 principal amount of the Notes. The Notes to be redeemed will be selected on the basis of the standard procedures of the Depository Trust Company. Following the redemption, the Registrant will disclose the amount of Notes, if any, held by directors, officers or affiliates of the Registrant that were redeemed.</w:t>
      </w:r>
    </w:p>
    <w:p>
      <w:pPr>
        <w:spacing w:after="0" w:line="201" w:lineRule="exact"/>
        <w:rPr>
          <w:sz w:val="24"/>
          <w:szCs w:val="24"/>
          <w:color w:val="auto"/>
        </w:rPr>
      </w:pPr>
    </w:p>
    <w:p>
      <w:pPr>
        <w:ind w:right="2159"/>
        <w:spacing w:after="0" w:line="256" w:lineRule="auto"/>
        <w:rPr>
          <w:sz w:val="20"/>
          <w:szCs w:val="20"/>
          <w:color w:val="auto"/>
        </w:rPr>
      </w:pPr>
      <w:r>
        <w:rPr>
          <w:rFonts w:ascii="Arial" w:cs="Arial" w:eastAsia="Arial" w:hAnsi="Arial"/>
          <w:sz w:val="18"/>
          <w:szCs w:val="18"/>
          <w:color w:val="auto"/>
        </w:rPr>
        <w:t>The redemption will be funded with a portion of the proceeds of the offering of 7,000,000 shares of the Registrant’s common stock, $0.01 par value per share, completed May 12, 2004. As previously announced, the net proceeds to the Registrant from the offering of common stock, after deducting discounts and commissions and estimated expenses, were approximately $267,900,000.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4"/>
          <w:szCs w:val="24"/>
          <w:color w:val="auto"/>
        </w:rPr>
      </w:pPr>
    </w:p>
    <w:p>
      <w:pPr>
        <w:spacing w:after="0" w:line="342" w:lineRule="exact"/>
        <w:rPr>
          <w:sz w:val="24"/>
          <w:szCs w:val="24"/>
          <w:color w:val="auto"/>
        </w:rPr>
      </w:pPr>
    </w:p>
    <w:p>
      <w:pPr>
        <w:ind w:right="221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Date: May 20, 2004</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spacing w:after="0" w:line="252" w:lineRule="exact"/>
        <w:rPr>
          <w:sz w:val="24"/>
          <w:szCs w:val="24"/>
          <w:color w:val="auto"/>
        </w:rPr>
      </w:pPr>
    </w:p>
    <w:p>
      <w:pPr>
        <w:jc w:val="center"/>
        <w:ind w:left="880"/>
        <w:spacing w:after="0"/>
        <w:tabs>
          <w:tab w:leader="none" w:pos="180" w:val="left"/>
        </w:tabs>
        <w:rPr>
          <w:sz w:val="20"/>
          <w:szCs w:val="20"/>
          <w:color w:val="auto"/>
        </w:rPr>
      </w:pPr>
      <w:r>
        <w:rPr>
          <w:rFonts w:ascii="Arial" w:cs="Arial" w:eastAsia="Arial" w:hAnsi="Arial"/>
          <w:sz w:val="18"/>
          <w:szCs w:val="18"/>
          <w:color w:val="auto"/>
        </w:rPr>
        <w:t>By:</w:t>
        <w:tab/>
        <w:t>/s/ John Strzemp</w:t>
      </w:r>
    </w:p>
    <w:p>
      <w:pPr>
        <w:sectPr>
          <w:pgSz w:w="11900" w:h="16880" w:orient="portrait"/>
          <w:cols w:equalWidth="0" w:num="1">
            <w:col w:w="10219"/>
          </w:cols>
          <w:pgMar w:left="240" w:top="233" w:right="1440" w:bottom="0" w:gutter="0" w:footer="0" w:header="0"/>
        </w:sectPr>
      </w:pPr>
    </w:p>
    <w:bookmarkStart w:id="1" w:name="page2"/>
    <w:bookmarkEnd w:id="1"/>
    <w:p>
      <w:pPr>
        <w:ind w:left="3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3090545</wp:posOffset>
            </wp:positionH>
            <wp:positionV relativeFrom="page">
              <wp:posOffset>88900</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t>John Strzemp</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Executive Vice President and</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019"/>
      </w:cols>
      <w:pgMar w:left="144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2019-12-12T03:18:20Z</dcterms:created>
  <dcterms:modified xsi:type="dcterms:W3CDTF">2019-12-12T03:18:20Z</dcterms:modified>
</cp:coreProperties>
</file>