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2040" w:hanging="452"/>
        <w:spacing w:after="0" w:line="34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5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0"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88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Outstanding at July 31, 2009</w:t>
            </w:r>
          </w:p>
        </w:tc>
        <w:tc>
          <w:tcPr>
            <w:tcW w:w="180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880" w:type="dxa"/>
            <w:vAlign w:val="bottom"/>
          </w:tcPr>
          <w:p>
            <w:pPr>
              <w:spacing w:after="0"/>
              <w:rPr>
                <w:sz w:val="20"/>
                <w:szCs w:val="20"/>
                <w:color w:val="auto"/>
              </w:rPr>
            </w:pPr>
            <w:r>
              <w:rPr>
                <w:rFonts w:ascii="Arial" w:cs="Arial" w:eastAsia="Arial" w:hAnsi="Arial"/>
                <w:sz w:val="18"/>
                <w:szCs w:val="18"/>
                <w:color w:val="auto"/>
              </w:rPr>
              <w:t>0.01 par value</w:t>
            </w:r>
          </w:p>
        </w:tc>
        <w:tc>
          <w:tcPr>
            <w:tcW w:w="1760" w:type="dxa"/>
            <w:vAlign w:val="bottom"/>
          </w:tcPr>
          <w:p>
            <w:pPr>
              <w:jc w:val="right"/>
              <w:ind w:right="362"/>
              <w:spacing w:after="0"/>
              <w:rPr>
                <w:sz w:val="20"/>
                <w:szCs w:val="20"/>
                <w:color w:val="auto"/>
              </w:rPr>
            </w:pPr>
            <w:r>
              <w:rPr>
                <w:rFonts w:ascii="Arial" w:cs="Arial" w:eastAsia="Arial" w:hAnsi="Arial"/>
                <w:sz w:val="18"/>
                <w:szCs w:val="18"/>
                <w:color w:val="auto"/>
              </w:rPr>
              <w:t>123,114,040</w:t>
            </w:r>
          </w:p>
        </w:tc>
        <w:tc>
          <w:tcPr>
            <w:tcW w:w="1800" w:type="dxa"/>
            <w:vAlign w:val="bottom"/>
          </w:tcPr>
          <w:p>
            <w:pPr>
              <w:spacing w:after="0"/>
              <w:rPr>
                <w:sz w:val="18"/>
                <w:szCs w:val="18"/>
                <w:color w:val="auto"/>
              </w:rPr>
            </w:pPr>
          </w:p>
        </w:tc>
      </w:tr>
      <w:tr>
        <w:trPr>
          <w:trHeight w:val="196"/>
        </w:trPr>
        <w:tc>
          <w:tcPr>
            <w:tcW w:w="2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Sheets—June 30, 2009 (unaudited) and December 31, 2008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(unaudited)—Three and six months ended June 30, 2009 and 2008</w:t>
              </w:r>
            </w:hyperlink>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(unaudited)—Six months ended June 30, 2009 and 2008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4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2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440" w:type="dxa"/>
            <w:vAlign w:val="bottom"/>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5960" w:type="dxa"/>
            <w:vAlign w:val="bottom"/>
          </w:tcPr>
          <w:p>
            <w:pPr>
              <w:spacing w:after="0"/>
              <w:rPr>
                <w:sz w:val="19"/>
                <w:szCs w:val="19"/>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444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5"/>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44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1,090,182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1,133,904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118,553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125,196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113,153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120,944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29,732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31,047</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1,351,620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1,411,091</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5,098,567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5,118,646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49,049</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66,080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65,877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79,542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106,429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6,648,726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6,755,788</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122,815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232,136</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land concession obligation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21,485</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55,195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85,803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Gaming taxes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66,954</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28,736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209,906</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 retention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78,599</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554,117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723,757</w:t>
            </w: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4,124,390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4,290,424</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108,391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124,511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8,672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4,795,570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5,154,193</w:t>
            </w:r>
          </w:p>
        </w:tc>
        <w:tc>
          <w:tcPr>
            <w:tcW w:w="0" w:type="dxa"/>
            <w:vAlign w:val="bottom"/>
          </w:tcPr>
          <w:p>
            <w:pPr>
              <w:spacing w:after="0"/>
              <w:rPr>
                <w:sz w:val="1"/>
                <w:szCs w:val="1"/>
                <w:color w:val="auto"/>
              </w:rPr>
            </w:pPr>
          </w:p>
        </w:tc>
      </w:tr>
      <w:tr>
        <w:trPr>
          <w:trHeight w:val="221"/>
        </w:trPr>
        <w:tc>
          <w:tcPr>
            <w:tcW w:w="906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Common stock, par value $0.01; 400,000,000 shares authorized; 135,900,244 and 124,817,994 shares issued;</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123,095,290 and 112,013,040 shares outstanding</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Treasury stock, at cost; 12,804,954 shares</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(1,119,407)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2,994,285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2,734,276</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88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1,853,156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1,601,595</w:t>
            </w:r>
          </w:p>
        </w:tc>
        <w:tc>
          <w:tcPr>
            <w:tcW w:w="0" w:type="dxa"/>
            <w:vAlign w:val="bottom"/>
          </w:tcPr>
          <w:p>
            <w:pPr>
              <w:spacing w:after="0"/>
              <w:rPr>
                <w:sz w:val="1"/>
                <w:szCs w:val="1"/>
                <w:color w:val="auto"/>
              </w:rPr>
            </w:pPr>
          </w:p>
        </w:tc>
      </w:tr>
      <w:tr>
        <w:trPr>
          <w:trHeight w:val="28"/>
        </w:trPr>
        <w:tc>
          <w:tcPr>
            <w:tcW w:w="9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6,648,726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6,755,788</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508,345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623,637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1,049,999</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1,215,408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111,550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96,955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221,141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784,552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880,361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1,597,335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1,716,613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(61,296)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(55,204)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(134,124)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723,256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825,157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1,463,211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327,298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399,947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703,803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788,325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55,125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124,159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83,105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84,973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176,598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6,821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640,458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680,988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1,353,264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1,369,091</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82,798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144,169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109,947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5,495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(53,689)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(40,982)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(110,721)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23,919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(37,772)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(82,841)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(59,077)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133,690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(19,547)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138,280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(35,441)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271,970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318,847</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111,128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122,386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112,365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117,391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112,986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(8,335)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318,847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204,199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126,693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(144,450)</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Equity in income (loss) of unconsolidated affiliates, net of distributions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(8,707)</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(10,334)</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(18,034)</w:t>
            </w:r>
          </w:p>
        </w:tc>
      </w:tr>
      <w:tr>
        <w:trPr>
          <w:trHeight w:val="230"/>
        </w:trPr>
        <w:tc>
          <w:tcPr>
            <w:tcW w:w="20" w:type="dxa"/>
            <w:vAlign w:val="bottom"/>
          </w:tcPr>
          <w:p>
            <w:pPr>
              <w:spacing w:after="0"/>
              <w:rPr>
                <w:sz w:val="20"/>
                <w:szCs w:val="20"/>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171,663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(307,112)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(606,412)</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(29,547)</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(301,848)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(632,541)</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209,760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(679,934)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(2,353)</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Cash restricted for stock repurchases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456,143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(460,580)</w:t>
            </w: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(2,836)</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30"/>
        </w:trPr>
        <w:tc>
          <w:tcPr>
            <w:tcW w:w="20" w:type="dxa"/>
            <w:vAlign w:val="bottom"/>
          </w:tcPr>
          <w:p>
            <w:pPr>
              <w:spacing w:after="0"/>
              <w:rPr>
                <w:sz w:val="20"/>
                <w:szCs w:val="20"/>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352,727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1,133,904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1,275,120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1,090,182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1,333,828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WYNN RESORTS, LIMITED AND SUBSIDIARIES NOTES TO CONDENSED CONSOLIDATED FINANCIAL STATEMENTS (Unaudited)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In Macau, the Company owns Wynn Macau, which opened on September 6, 2006. In addition, the Company is constructing Encore at Wynn Macau, an expansion of Wynn Macau which is expected to open in the first half of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2008.</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2009 and December 31, 2008, approximately 71% and 78%,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720" w:type="dxa"/>
            <w:vAlign w:val="bottom"/>
          </w:tcPr>
          <w:p>
            <w:pPr>
              <w:spacing w:after="0"/>
              <w:rPr>
                <w:sz w:val="14"/>
                <w:szCs w:val="1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7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$ 11,219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$ 17,562</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tcPr>
          <w:p>
            <w:pPr>
              <w:jc w:val="right"/>
              <w:spacing w:after="0"/>
              <w:rPr>
                <w:sz w:val="20"/>
                <w:szCs w:val="20"/>
                <w:color w:val="auto"/>
              </w:rPr>
            </w:pPr>
            <w:r>
              <w:rPr>
                <w:rFonts w:ascii="Arial" w:cs="Arial" w:eastAsia="Arial" w:hAnsi="Arial"/>
                <w:sz w:val="18"/>
                <w:szCs w:val="18"/>
                <w:color w:val="auto"/>
              </w:rPr>
              <w:t>19,796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43,570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39,713</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20" w:type="dxa"/>
            <w:vAlign w:val="bottom"/>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$ 33,427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29,425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$ 74,545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$ 61,621</w:t>
            </w:r>
          </w:p>
        </w:tc>
      </w:tr>
      <w:tr>
        <w:trPr>
          <w:trHeight w:val="20"/>
        </w:trPr>
        <w:tc>
          <w:tcPr>
            <w:tcW w:w="6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in the jurisdictions in which it operates, subject to applicable jurisdictional adjustments. These gaming taxes are an assessment on the Company’s gaming revenues and are recorded as an expense within the “Casino” line item in the Condensed Consolidated Statements of Operations. These taxes totaled approximately $198.5 million and $258.8 million for the three months ended June 30, 2009 and 2008, respectively, and $419 million and $502 million for the six months ended June 30, 2009 and 2008,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are included in general and administrative expenses. For the three months ended June 30, 2009 and 2008, advertising costs totaled approximately $4 million and $6.3 million, respectively. For the six months ended June 30, 2009 and 2008, advertising costs totaled approximately $12.4 million and $13.7 million, respectively. During the three and six months ended June 30, 2008 there was approximately $0.8 million and $1.3 million, respectively of advertising costs that were included in pre-opening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2008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accordance with accounting standards for subsequent events, the Company has evaluated subsequent events through August 4, 2009, the date these financial statements were issued.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adopted the remaining provisions of SFAS 157 on January 1, 2009. The Company currently does not have any non-financial assets or liabilities that are, or were recognized or disclosed at fair value on a recurring basis and accordingly the final adoption of this statement on January 1, 2009, did not have an impact the Company’s condensed consolidated financial statements.</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the Company’s condensed consolidated financial statements.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on January 1, 2009, did not impact the Company’s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The adoption of SFAS No. 161 on January 1, 2009, did not have a material impact on the Company’s condensed consolidated financial statements.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June 2009, the FASB issued SFAS No. 167, “Amendments to FASB Interpretation No. 46(R)”. This statement addresses the effects of elimination of the qualifying special-purpose entity (“QSPE”) concept from SFAS 140 and responds to concerns about the application of certain key provisions of FIN 46 (R). This statement amends FIN46 (R)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This Statement is effective January 1, 2010. The Company is currently evaluating the impact, if any, of adopting this statement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jc w:val="both"/>
        <w:ind w:right="480" w:firstLine="456"/>
        <w:spacing w:after="0" w:line="335" w:lineRule="auto"/>
        <w:rPr>
          <w:sz w:val="20"/>
          <w:szCs w:val="20"/>
          <w:color w:val="auto"/>
        </w:rPr>
      </w:pPr>
      <w:r>
        <w:rPr>
          <w:rFonts w:ascii="Arial" w:cs="Arial" w:eastAsia="Arial" w:hAnsi="Arial"/>
          <w:sz w:val="15"/>
          <w:szCs w:val="15"/>
          <w:color w:val="auto"/>
        </w:rPr>
        <w:t>Earnings per share are calculated in accordance with SFAS No. 128, “Earnings Per Share,” which provides for the reporting of “basic,” or undiluted, earnings per share (“EPS”) and “diluted” EPS. Basic EPS is computed by dividing net income (loss) by the weighted average number of shares outstanding during the period. Diluted EPS reflects the addition of potentially dilutive securities, which for the Company include stock options and nonvested stock.</w:t>
      </w:r>
    </w:p>
    <w:p>
      <w:pPr>
        <w:spacing w:after="0" w:line="88"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common shares outstanding (used in calculation of basic earnings per</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122,161</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111,128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117,391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111,770</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9"/>
              </w:rPr>
              <w:t>Potential dilution from the assumed exercise of stock options and non-vested stock</w:t>
            </w: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320" w:type="dxa"/>
            <w:vAlign w:val="bottom"/>
          </w:tcPr>
          <w:p>
            <w:pPr>
              <w:spacing w:after="0"/>
              <w:rPr>
                <w:sz w:val="19"/>
                <w:szCs w:val="19"/>
                <w:color w:val="auto"/>
              </w:rPr>
            </w:pPr>
          </w:p>
        </w:tc>
        <w:tc>
          <w:tcPr>
            <w:tcW w:w="11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0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and common equivalent shares outstanding (used in</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calculation of diluted earnings per 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112,365</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117,391</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112,986</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the six months ended June 30, 2009, the Company recorded a net loss. Accordingly, the potential dilution from the assumed exercise of stock options and nonvested stock is anti-dilutive. As a result, basic EPS is equal to diluted EPS for the six months ended June 30, 2009. Securities that could potentially dilute basic EPS in the future that were not included in the computation of diluted EPS for the six months ended June 30, 2009, because to do so would have been anti-dilutive include 5,203,755 stock options and 915,500 nonvested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2"/>
              </w:rPr>
              <w:t>June 30,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$25,479</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$271,970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$(8,335)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(2,438)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25,207</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269,532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2009 and December 31, 2008,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paid for the six months ended June 30, 2009 and 2008 totaled approximately $117.9 million and $115.3 million, respectively. Interest capitalized for the six months ended June 30, 2009 and 2008 totaled approximately $4.7 million and $37.4 million, respectively.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six months ended June 30, 2009 and 2008, capital expenditures include a decrease of $142.4 million and an increase of approximately $3.4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185,842</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Hotel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25,592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220,768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228,015</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3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(102,215)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(102,819)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118,553</w:t>
            </w:r>
          </w:p>
        </w:tc>
        <w:tc>
          <w:tcPr>
            <w:tcW w:w="30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125,196</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4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709,207</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707,531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3,167,585</w:t>
            </w:r>
          </w:p>
        </w:tc>
        <w:tc>
          <w:tcPr>
            <w:tcW w:w="3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3,164,082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1,575,875</w:t>
            </w:r>
          </w:p>
        </w:tc>
        <w:tc>
          <w:tcPr>
            <w:tcW w:w="3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1,556,507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355,151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221,696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5,966,710</w:t>
            </w: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5,794,500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(868,143)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(675,854)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5,098,567</w:t>
            </w: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$ 5,118,646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June 30, 2009 and December 31, 2008, construction in progress primarily consisted of costs capitalized in conjunction with the development and construction of Encore at Wynn Macau.</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24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201"/>
        </w:trPr>
        <w:tc>
          <w:tcPr>
            <w:tcW w:w="9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 xml:space="preserve">6 </w:t>
            </w:r>
            <w:r>
              <w:rPr>
                <w:rFonts w:ascii="Arial" w:cs="Arial" w:eastAsia="Arial" w:hAnsi="Arial"/>
                <w:sz w:val="11"/>
                <w:szCs w:val="11"/>
                <w:color w:val="auto"/>
                <w:w w:val="95"/>
              </w:rPr>
              <w:t>5</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Wynn Las Vegas First Mortgage Notes, due December 1, 2014, net of original issue discount of $7,425 at June 30,</w:t>
            </w: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 and $9,561 at December 31,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$1,626,805</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$ 1,690,439</w:t>
            </w:r>
          </w:p>
        </w:tc>
        <w:tc>
          <w:tcPr>
            <w:tcW w:w="120" w:type="dxa"/>
            <w:vAlign w:val="bottom"/>
            <w:shd w:val="clear" w:color="auto" w:fill="CCEEFF"/>
          </w:tcPr>
          <w:p>
            <w:pPr>
              <w:spacing w:after="0"/>
              <w:rPr>
                <w:sz w:val="19"/>
                <w:szCs w:val="19"/>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Resorts Term Loan Facility, due June 21, 2010; interest at LIBOR plus 2.25%</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15, 2013; interest at LIBOR plus 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120" w:type="dxa"/>
            <w:vAlign w:val="bottom"/>
            <w:shd w:val="clear" w:color="auto" w:fill="CCEEFF"/>
          </w:tcPr>
          <w:p>
            <w:pPr>
              <w:spacing w:after="0"/>
              <w:rPr>
                <w:sz w:val="18"/>
                <w:szCs w:val="18"/>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4"/>
              </w:rPr>
              <w:t>Wynn Las Vegas Term Loan Facility; $112.5 million due September 30, 2012 with remaining $112.5 million due August 15,</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2013; interest at LIBOR plus 1.875%</w:t>
            </w:r>
          </w:p>
        </w:tc>
        <w:tc>
          <w:tcPr>
            <w:tcW w:w="800" w:type="dxa"/>
            <w:vAlign w:val="bottom"/>
          </w:tcPr>
          <w:p>
            <w:pPr>
              <w:jc w:val="right"/>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Macau Senior Term Loan Facilities; due June 27, 2014; interest at LIBOR or HIBOR plus 1.75%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552,561</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$1 billion Wynn Macau Senior Revolving Credit Facility, due June 2012; interest at LIBOR or HIBOR plus 1.75%</w:t>
            </w:r>
          </w:p>
        </w:tc>
        <w:tc>
          <w:tcPr>
            <w:tcW w:w="800" w:type="dxa"/>
            <w:vAlign w:val="bottom"/>
          </w:tcPr>
          <w:p>
            <w:pPr>
              <w:jc w:val="right"/>
              <w:spacing w:after="0"/>
              <w:rPr>
                <w:sz w:val="20"/>
                <w:szCs w:val="20"/>
                <w:color w:val="auto"/>
              </w:rPr>
            </w:pPr>
            <w:r>
              <w:rPr>
                <w:rFonts w:ascii="Arial" w:cs="Arial" w:eastAsia="Arial" w:hAnsi="Arial"/>
                <w:sz w:val="18"/>
                <w:szCs w:val="18"/>
                <w:color w:val="auto"/>
              </w:rPr>
              <w:t>979,559</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502,356</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800" w:type="dxa"/>
            <w:vAlign w:val="bottom"/>
          </w:tcPr>
          <w:p>
            <w:pPr>
              <w:jc w:val="right"/>
              <w:spacing w:after="0"/>
              <w:rPr>
                <w:sz w:val="20"/>
                <w:szCs w:val="20"/>
                <w:color w:val="auto"/>
              </w:rPr>
            </w:pPr>
            <w:r>
              <w:rPr>
                <w:rFonts w:ascii="Arial" w:cs="Arial" w:eastAsia="Arial" w:hAnsi="Arial"/>
                <w:sz w:val="18"/>
                <w:szCs w:val="18"/>
                <w:color w:val="auto"/>
              </w:rPr>
              <w:t>27,625</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28,709</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4,127,065</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4,293,109</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(2,685)</w:t>
            </w:r>
          </w:p>
        </w:tc>
      </w:tr>
      <w:tr>
        <w:trPr>
          <w:trHeight w:val="222"/>
        </w:trPr>
        <w:tc>
          <w:tcPr>
            <w:tcW w:w="9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4,124,390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4,290,424</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6 5/8% First Mortgage Notes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three and six months ended June 30, 2009, Wynn Resorts purchased $26.5 million and $65.8 million, respectively, face amount of the Wynn Las Vegas 6 5/8% First Mortgage Notes due 2014 (the “First Mortgage Notes”) through open market purchases at a discount. These transactions resulted in gains on early extinguishment of debt, net of the write-off of unamortized debt discount and debt issue costs, of $3.1 million and $13.7 million for the three and six months ended June 30, 2009, respectively. As of June 30, 2009, Wynn Resorts holds this debt and has not contributed it to its wholly-owned subsidiary, Wynn Las Vegas. For accounting purposes this transaction has been treated as an extinguishment of debt by Wynn Resorts.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Term Loan Facility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June 2009, the Company purchased and retired outstanding loans of $375 million under the Wynn Resorts Term Loan Facility for $364.7 million, reflecting a discounted price of 97.25%. In connection with this transaction, the Company recognized an $8.8 million gain on early retirement of debt, net of the write-off of unamortized debt issue cost.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Facility Amendment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April 17, 2009, the Company entered into a fourth amendment to the Wynn Las Vegas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(iii) extends the maturity on approximately $610 million of Wynn Las Vegas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term of the loan.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exchange for the amendments, the Company (i) repaid 30% of the outstanding revolver loans of lenders consenting to the extension of their commitment (approximately $238 million) and permanently reduced such lender commitments by 25% to approximately $697 million; and (ii) agreed to an increase in the overall interest rate spread on the Wynn Las Vegas Credit Facilities from LIBOR plus 1.7% to LIBOR plus 2.6%.</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Pursuant to the fourth amendment, the Wynn Las Vegas revolver commitments will reduce by an additional $61 million on August 15, 2011, and a further $55 million on August 15, 2012. The remaining commitments will mature on July 15, 2013. Lenders holding $87 million of the Wynn Las Vegas revolver commitments did not agree to the amendment, with the result that their commitments mature on the original maturity date of August 15, 2011.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February 2009, the Company borrowed approximately $500 million under the Wynn Macau Senior Revolving Credit Facility. As of June 30, 2009, the outstanding balance was approximately $980 million and the Company has approximately $25 million of availability under the Wynn Macau Senior Revolving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2009,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estimated fair value of the Company’s long-term debt at June 30, 2009 was approximately $3.5 billion compared to the carrying value which was $4.1 billion. The estimated fair value is based upon the most recent trades at June 30, 2009.</w:t>
      </w:r>
    </w:p>
    <w:p>
      <w:pPr>
        <w:spacing w:after="0" w:line="207" w:lineRule="exact"/>
        <w:rPr>
          <w:sz w:val="20"/>
          <w:szCs w:val="20"/>
          <w:color w:val="auto"/>
        </w:rPr>
      </w:pPr>
    </w:p>
    <w:p>
      <w:pPr>
        <w:jc w:val="center"/>
        <w:ind w:right="9160"/>
        <w:spacing w:after="0"/>
        <w:rPr>
          <w:sz w:val="20"/>
          <w:szCs w:val="20"/>
          <w:color w:val="auto"/>
        </w:rPr>
      </w:pPr>
      <w:r>
        <w:rPr>
          <w:rFonts w:ascii="Arial" w:cs="Arial" w:eastAsia="Arial" w:hAnsi="Arial"/>
          <w:sz w:val="15"/>
          <w:szCs w:val="15"/>
          <w:b w:val="1"/>
          <w:bCs w:val="1"/>
          <w:color w:val="auto"/>
        </w:rPr>
        <w:t>9. Related Party Transactions</w:t>
      </w:r>
    </w:p>
    <w:p>
      <w:pPr>
        <w:spacing w:after="0" w:line="131" w:lineRule="exact"/>
        <w:rPr>
          <w:sz w:val="20"/>
          <w:szCs w:val="20"/>
          <w:color w:val="auto"/>
        </w:rPr>
      </w:pPr>
    </w:p>
    <w:p>
      <w:pPr>
        <w:jc w:val="center"/>
        <w:ind w:right="918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such officers and directors have deposits with the Company to prepay any such items, which are replenished on an ongoing basis as needed. As of June 30, 2009 and December 31, 2008, Mr. Wynn and the other officers and directors had a credit balance with the Company of approximately $519,333 and $434,003, respectively.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villa suites in the Wynn Las Vegas resort as their personal residences.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 In March 2009, this lease was amended to add an additional unit to the leased premises. Based upon a third-party appraisal, there was no change in the rent due to the significant deterioration in the Las Vegas rental market.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Property charges and other for the three months ended June 30, 2009 include the return of $8.1 million of aircraft deposits written off in the first quarter of 2009. On February 19, 2009, the Company cancelled the agreements to purchase two aircraft. The deposit on one of the aircraft was refundable to the extent another buyer was found. Due to the uncertainty as to the recoverability of this deposit and a $1.5 million nonrefundable deposit on a second aircraft, the Company wrote off these deposits in the first quarter of 2009. In May 2009, another buyer was found for one of the aircraft and in accordance with the original purchase agreement, a portion of the Company’s deposit was refunded. The Company also incurred property charges of $2.2 million during the three months ended June 30, 2009 which were related to miscellaneous renovations, abandonments and loss on sale of equipment at Wynn Las Vegas and Wynn Macau. Property charges and other for the three months ended June 30, 2008 include a $3.6 million charge at Wynn Macau related to the abandonment of certain existing floor space to begin construction of a new restaurant.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Property charges and other for the six months ended June 30, 2009 include the write-off of $14.9 million of aircraft purchase deposits in the first quarter of 2009, offset by the refund of $8.1 million of such deposits in May 2009, discussed above. The remaining property charges during 2009 were related to renovations, abandonments and loss on sale of equipment at Wynn Las Vegas and Wynn Macau. Property charges and other for the six months ended June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Company also incurred a charge of $3.6 million at Wynn Macau related to the abandonment of certain existing floor space to begin construction of a new restaurant. The remaining property charges during 2008 were related to renovations and abandonments at both Wynn Las Vegas and Wynn Macau.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96"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Company has entered into floating-for-fixed interest rate swap arrangements relating to certain of its debt facilities. These interest rate swap agreements modify the Company’s exposure to interest rate risk by converting a portion of the Company’s floating-rate debt to a fixed rate.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increase/decrease in swap fair value in the accompanying Condensed Consolidated Statements of Operations, as the interest rate swaps do not qualify for hedge accounting.</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SFAS No. 157, “Fair Value Measurements”.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The following table represents the historical fair values as of June 30, 2009 and December 31, 2008.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As of June 30, 2009, the Wynn Resorts interest rate swap is included in other current accrued liabilities and the Wynn Macau interest rate swaps are included in other long-term liabilities.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Liability fair value at:</w:t>
            </w:r>
          </w:p>
        </w:tc>
        <w:tc>
          <w:tcPr>
            <w:tcW w:w="7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Net Total</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7020" w:type="dxa"/>
            <w:vAlign w:val="bottom"/>
          </w:tcPr>
          <w:p>
            <w:pPr>
              <w:spacing w:after="0"/>
              <w:rPr>
                <w:sz w:val="11"/>
                <w:szCs w:val="11"/>
                <w:color w:val="auto"/>
              </w:rPr>
            </w:pPr>
          </w:p>
        </w:tc>
        <w:tc>
          <w:tcPr>
            <w:tcW w:w="110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rPr>
              <w:t>Wynn</w:t>
            </w:r>
          </w:p>
        </w:tc>
        <w:tc>
          <w:tcPr>
            <w:tcW w:w="90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rPr>
              <w:t>Wynn</w:t>
            </w:r>
          </w:p>
        </w:tc>
        <w:tc>
          <w:tcPr>
            <w:tcW w:w="2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88"/>
              </w:rPr>
              <w:t>(amounts in thousands)</w:t>
            </w:r>
          </w:p>
        </w:tc>
        <w:tc>
          <w:tcPr>
            <w:tcW w:w="70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Resorts</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Macau</w:t>
            </w:r>
          </w:p>
        </w:tc>
        <w:tc>
          <w:tcPr>
            <w:tcW w:w="2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70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 (11,767)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(11,750)</w:t>
            </w:r>
          </w:p>
        </w:tc>
        <w:tc>
          <w:tcPr>
            <w:tcW w:w="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 (23,517)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2008</w:t>
            </w:r>
          </w:p>
        </w:tc>
        <w:tc>
          <w:tcPr>
            <w:tcW w:w="8120" w:type="dxa"/>
            <w:vAlign w:val="bottom"/>
            <w:gridSpan w:val="3"/>
          </w:tcPr>
          <w:p>
            <w:pPr>
              <w:jc w:val="right"/>
              <w:ind w:right="380"/>
              <w:spacing w:after="0"/>
              <w:rPr>
                <w:sz w:val="20"/>
                <w:szCs w:val="20"/>
                <w:color w:val="auto"/>
              </w:rPr>
            </w:pPr>
            <w:r>
              <w:rPr>
                <w:rFonts w:ascii="Arial" w:cs="Arial" w:eastAsia="Arial" w:hAnsi="Arial"/>
                <w:sz w:val="18"/>
                <w:szCs w:val="18"/>
                <w:color w:val="auto"/>
              </w:rPr>
              <w:t>$ (15,334)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(12,539)</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92"/>
              </w:rPr>
              <w:t>$ (27,873)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entered into this interest rate swap to hedge the underlying interest rate risk on all of the borrowings under the Wynn Resorts Term Loan Facility. Pursuant to the terms of this interest rate swap, the Company pays a fixed rate of 3.95% which had fixed the interest rate at approximately 6.2% through June 2010 on the related debt. Although the debt originally associated with this interest rate swap has been retired as of June 30, 2009, the swap agreement is still effective. This will result in a monthly settlement with the counterparty equal to the difference between LIBOR (receive amount) and the fixed pay rate of 3.95% on the notional amount of $375 million through June 2010, the date the swap agreement matures.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has two interest rate swap agreements to hedge a portion of the underlying interest rate risk on borrowings under the Wynn Macau Senior Term Loan Facilities (the “Wynn Macau Term Loan”). Under the first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 These interest rate swap agreements mature in August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88"/>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8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4,026</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2,953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20" w:type="dxa"/>
            <w:vAlign w:val="bottom"/>
          </w:tcPr>
          <w:p>
            <w:pPr>
              <w:spacing w:after="0"/>
              <w:rPr>
                <w:sz w:val="18"/>
                <w:szCs w:val="18"/>
                <w:color w:val="auto"/>
              </w:rPr>
            </w:pPr>
          </w:p>
        </w:tc>
      </w:tr>
      <w:tr>
        <w:trPr>
          <w:trHeight w:val="221"/>
        </w:trPr>
        <w:tc>
          <w:tcPr>
            <w:tcW w:w="816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6,365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5,136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11,794</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8,554</w:t>
            </w:r>
          </w:p>
        </w:tc>
      </w:tr>
      <w:tr>
        <w:trPr>
          <w:trHeight w:val="218"/>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6,511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5,304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12,086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8,890</w:t>
            </w:r>
          </w:p>
        </w:tc>
      </w:tr>
      <w:tr>
        <w:trPr>
          <w:trHeight w:val="20"/>
        </w:trPr>
        <w:tc>
          <w:tcPr>
            <w:tcW w:w="8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June 30, 2009, the Company granted 2.6 million stock options to employees and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20, 2009, the Company completed a secondary common stock offering of 11,040,000 shares with net proceeds of $202.3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Adoption of FSP APB 14-1</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instruments in a manner that reflects the issuer’s nonconvertible debt borrowing rate. The FSP is effective for financial statements issued for fiscal years beginning after December 15, 2008 and interim periods within those fiscal years and does not permit earlier application. However, the transition guidance requires retrospective application to all periods presented and does not grandfather existing instruments.</w:t>
      </w:r>
    </w:p>
    <w:p>
      <w:pPr>
        <w:spacing w:after="0" w:line="14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In July 2003, the Company issued $250 million aggregate principal amount of 6% Convertible Subordinated Debentures due July 15, 2015 (the “Debentures”). During 2006, $25.9 million principal amount of the Debentures were converted into 1,124,862 shares of common stock. On June 15, 2007, the Company announced its intent to redeem all remaining amounts of the Debentures on July 20, 2007. Prior to redemption, in July 2007, all of the holders converted their Debentures into shares of the Company’s common stock. Upon adoption of the FSP on January 1, 2009, the Company recorded an adjustment to retained earnings as of December 31, 2008 of $84.5 million which reflects the cumulative additional interest expense, net of capitalized interest of $13.2 million and loss on extinguishment of debt, net of taxes, that the Company would have recorded related to the Debentures if it had followed the FSP from the issuance date of such Debentures. The adoption of this FSP did not have a material impact on our results of operations for the periods ended June 30, 2009 and 2008.</w:t>
      </w:r>
    </w:p>
    <w:p>
      <w:pPr>
        <w:spacing w:after="0" w:line="180" w:lineRule="exact"/>
        <w:rPr>
          <w:sz w:val="20"/>
          <w:szCs w:val="20"/>
          <w:color w:val="auto"/>
        </w:rPr>
      </w:pPr>
    </w:p>
    <w:p>
      <w:pPr>
        <w:ind w:right="8660" w:firstLine="8"/>
        <w:spacing w:after="0" w:line="347" w:lineRule="auto"/>
        <w:tabs>
          <w:tab w:leader="none" w:pos="26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u w:val="single" w:color="auto"/>
          <w:color w:val="auto"/>
        </w:rPr>
        <w:t>Encore at Wynn Macau Construction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continues on a further expansion of Wynn Macau. Encore at Wynn Macau is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open in the first half of 2010, adding a fully-integrated resort hotel to Wynn Macau with approximately 400 luxury suites and four villas, along with restaurants, retail and gaming space. Wynn Macau, S.A. has executed a guaranteed maximum price contract with Leighton Contractors (Asia) Limited, China State Construction Engineering (Hong Kong) Limited and China Construction Engineering (Macau) Company Limited, acting together as the general contractor, for the construction of Encore at Wynn Macau. The contract sum, including change orders through June 30, 2009, totals $401.5 million. The current project budget is approximately $650 million.</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Through June 30, 2009, the Company had incurred approximately $309.5 million of project costs related to the development and construction of Encore at Wynn Macau.</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u w:val="single" w:color="auto"/>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with government approval. Wynn Macau, S.A. has made payments to the Macau government under the land concession contract and is required to make one final semi-annual payment (including interest) for total payments of approximately $42.7 million. Wynn Macau, S.A. also paid approximately $18 million to an unrelated third party for its relinquishment of rights to a portion of the land. During the term of the land concession contract, Wynn Macau, S.A. is also required to make annual lease payments of up to $400,000. The Company is in discussions with the Macau government regarding amendments to its land concession arrangement due to the construction of Encore at Wynn Macau and the additional square feet that will be added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such construction. The Company is working closely with the government with respect to this revision and has received a preliminary indication of an additional land premium payment of approximately $14.2 million that is expected to be payable prior to year end upon execution of the amendment. As of June 30, 2009, the Company has accrued this estimated payment.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June 30, 2009,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the three and six months ended June 30, 2009, the Company recorded a tax expense of $19.5 million and $35.4 million, respectively. Our provision for income taxes relates primarily to an increase in our foreign and domestic valuation allowances totaling $23.8 million relating to tax loss carryforwards and foreign tax credits not considered more likely than not realizable in the future and to our current earnings including the gain on extinguishment of debt and forecasted effective tax rate. None of the Company’s foreign earnings are considered permanently invested abroad. During the three and six months ended June 30, 2009, the Company recognized income tax benefits related to excess tax deductions associated with compensation costs under SFAS No. 123(R) of $45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the Company was exempted from the payment of approximately $15.3 million in such taxes during the six months ended June 30, 2009. The Company’s non-gaming profits remain subject to the Macau Complementary Tax and casino winnings remain subject to the Macau Special Gaming tax (at a rate equal to 39%) and other levies in accordance with its concession agreement. During June 2009, Wynn Macau, S.A. entered into an agreement with the Macau Special Administrative Region that provides for an annual payment of MOP $7.2 million (approximately $900,000 US dollars) to the Macau Special Administrative Region as complementary tax on dividends distributed to and otherwise due by shareholders. This agreement is effective as of 2006. Therefore, included in the tax provision for the three and six months ended June 30,2009 are the amounts related to the years 2006 through the first half of 2009 totaling $3.2 million. This agreement on dividends is effective through 2010.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monitors its operations and evaluates earnings by reviewing the assets and operations of Wynn Las Vegas, including Encore at Wynn Las Vegas, and Wynn Macau, including Encore at Wynn Macau. The Company’s total assets by segment are as follows (amounts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Wynn Las Vegas (including Encore at Wynn Las Vegas )</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4,369,013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4,584,271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at Wynn Macau)</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1,996,174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1,415,325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1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6,648,726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6,755,788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is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 for 2009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312,814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295,261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604,090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410,442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529,896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1,021,442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723,256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825,157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1,463,211</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1,603,863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 for 2009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75,506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81,795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119,357</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117,173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155,187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192,679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236,982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351,173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 and other</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6,821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Equity in income/(loss) from unconsolidated affiliates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109,881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200,043</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82,798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144,169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109,947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5,495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(53,689)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(40,982)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(110,721)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23,919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Equity in income/(loss) from unconsolidated affiliates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(37,772)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(82,841)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(59,077)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133,690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(19,547)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138,280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(35,441)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271,970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income and expenses, and includes equity in income/(loss)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July 2009, one of the Company’s subsidiaries filed an application with the Hong Kong Stock Exchange in connection with a possible listing on the exchange. The shares have not been and will not be registered under the Securities Act of 1933, as amended, and may not be offered or sold in the United States absent a registration under the Securities Act of 1933, as amended, or an applicable exemption from such registration requirements. No decisions have yet been made regarding the timing or terms of any such offering or whether the subsidiary will ultimately proceed with such a transaction.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Macau with anticipated cash flows generated at Wynn Macau;</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 and travel-related visa restrictions);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H1N1 influenza, avian flu, or the impact of a natural disaster may have on the travel and leisure industry;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resort casinos.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We are currently constructing Encore at Wynn Macau, a further expansion of Wynn Macau, which is expected to open in the first half of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operations as of August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Approximate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8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161"/>
        </w:trPr>
        <w:tc>
          <w:tcPr>
            <w:tcW w:w="496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Operations consist of Wynn Las Vegas and the recently opened Encore at Wynn Las Vegas.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We also own approximately 18 additional acres of land across Sands Avenue, a portion of which is utilized for employee parking. Wynn Las Vegas currently features:</w:t>
      </w:r>
    </w:p>
    <w:p>
      <w:pPr>
        <w:spacing w:after="0" w:line="59" w:lineRule="exact"/>
        <w:rPr>
          <w:sz w:val="20"/>
          <w:szCs w:val="20"/>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opened Encore at Wynn Las Vegas on December 22, 2008. This resort is an expansion of Wynn Las Vegas. Encore at Wynn Las Vegas currently features:</w:t>
      </w:r>
    </w:p>
    <w:p>
      <w:pPr>
        <w:spacing w:after="0" w:line="5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approximately 72,000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Rock &amp; Republic;</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our resort.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Wynn Macau on September 6, 2006 and completed an expansion of this resort in December 2007. Wynn Macau currently features:</w:t>
      </w:r>
    </w:p>
    <w:p>
      <w:pPr>
        <w:spacing w:after="0" w:line="11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205,000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46,000 square feet of high-end, brand-name retail shopping, including stores and boutiques by Bvlgari, Chanel, Dior, Dunhill, Fendi, Ferrari, Giorgio Armani, Gucci, Hermes, Hugo Boss, Louis Vuitton, Miu Miu, Piaget, Prada, Rolex, Tiffany, Van Cleef &amp; Arpels, Versace, Vertu and Zegna;</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commenced construction on a further expansion of Wynn Macau that will add a fully-integrated resort hotel named Encore at Wynn Macau, with approximately 400 luxury suites and four villas, as well as additional gaming areas, food and beverage and retail amenities. We expect Encore at Wynn Macau to open in the first half of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have and expect to continue to make enhancements and refinements to the property.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Approximately 142 acres of land comprising Wynn Las Vegas is currently improved with a golf course. While we may develop this property in the future; due to the current economic environment and certain restrictions in our Wynn Las Vegas credit facilities, we have no immediate plans to develop this property.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for approximately 52 acres on Cotai and are awaiting final governmental approval of this concession. No construction timeline or budget have been prepared.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Due to a number of factors affecting consumers, including a slowdown in global economies, contracting credit markets, reduced consumer spending, and new U.S. political leadership, the outlook for the gaming, travel and entertainment industries both domestically and abroad continues to remain highly uncertain. Auto traffic into Las Vegas, airline capacity and air travel to McCarran International airport have continued to decline year over year, resulting in lower casino volumes and a reduced demand for hotel rooms. This slow down was particularly significant in the fourth quarter of 2008 and continued throughout the first half of 2009. Based on our experience over the last several quarters and current market conditions, we believe that our Las Vegas Operations will continue to experience lower than historical hotel occupancy rates, room rates, casino volumes and departmental profitability. As a result of the current economic conditions, we have focused on efficiency initiatives that we began implementing at both of our properties and corporate offices in early 2009. These initiatives include reductions in pay for salaried employees, reduced work weeks for full-time hourly employees, a reduction of 2009 bonus accruals and a suspension of the employer match to the 401(k) plan. We continually review the cost structure of our operating properties and corporate offices to identify further opportunities to reduce costs. In addition to the slowing global economy, Wynn Macau continues to be adversely affected by the visa restrictions implemented in September 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results of operations for the periods presented are not comparable as the three and six months ended June 30, 2009 includes Encore at Wynn Las Vegas which opened on December 22, 2008, whereas the prior year periods included only Wynn Las Vegas and Wynn Macau. We believe that our operating results at both properties for the three and six months ended June 30, 2009, were adversely impacted by the weakened global economy. Disruptions in the global financial and stock markets and reduced levels of consumer spending have and may continue to adversely impact our financial results. In addition, as noted above, visa restrictions have placed certain limitations on visitation to Macau. These restrictions have and will continue to adversely impact visitation to Macau by residents of mainland China.</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Wynn Las Vegas, including Encore for 2009</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312,814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295,261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604,090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582,421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410,442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529,896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1,021,442</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Total Net Revenues</w:t>
            </w:r>
          </w:p>
        </w:tc>
        <w:tc>
          <w:tcPr>
            <w:tcW w:w="2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723,256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825,157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1,463,211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1,603,863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80" w:type="dxa"/>
            <w:vAlign w:val="bottom"/>
            <w:vMerge w:val="restart"/>
          </w:tcPr>
          <w:p>
            <w:pPr>
              <w:jc w:val="right"/>
              <w:ind w:right="1392"/>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Reliance on only two properties (in two geographic regions) for our operating cash flow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the Company’s operational performance for the periods in which a Condensed Consolidated Statement of Operations is presented. There are two methods used to calculate win percentage in the casino industry. In Las Vegas and in the general casino at Wynn Macau, customers primarily purchase gaming chips from gaming tables. The cash and net markers used to purchase the gaming chips from gaming tables are deposited in the gaming table’s drop box. This is the base of measurement that we use in the casino at Wynn Las Vegas and in the general casino at Wynn Macau.</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VIP casino at Wynn Macau, customers primarily purchase non-negotiable chips (“Rolling Chips”) from the casino cage and there is no deposit into a gaming table drop box from chips purchased from the cage compared to chips purchased at the table within the general casino. Non-negotiable chips can only be used to make wagers. Winning wagers are paid in cash chips. The loss of the non-negotiable chips in the VIP casino is recorded as turnover and provides the base for measuring VIP casino win percentage. Because of this difference in chip purchase activity, the measurement base used in the general casino is not the same as that used in the VIP casino. It is customary in Macau to measure VIP casino play using this Rolling Chip method.</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at Wynn Macau tracks the initial purchase of chips, while the measurement method in the VIP casino at Wynn Macau tracks the sum of all losing wagers. Accordingly, the base measurement in the VIP casino is much larger than the general casino. As a result, the expected win percent with the same amount of gaming win (numerator) is smaller in the VIP casino at Wynn Macau as opposed to the general casino in Las Vegas and Macau.</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between the two casinos. Each type of table game has its own theoretical win percentage. The life to date win percentage for Wynn Las Vegas table games is 22% whereas the life to date win percentage for the general casino table games at Wynn Macau is 19.4%.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2009 compared to the three months ended June 30, 2008.</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noted earlier, our financial results for the three months ended June 30, 2009 are not comparable to the three months ended June 30, 2008, as the three months ended June 30, 2009 include the expansion of Wynn Las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Vegas by Encore at Wynn Las Vegas which opened on December 22, 2008, whereas the prior year quarter includes only Wynn Las Vegas and Wynn Macau.</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Net revenues for the three months ended June 30, 2009 are comprised of $508.3 million in casino revenues (70.3% of total net revenues) and $214.9 million of net non-casino revenues (29.7% of total net revenues). Net revenues for the three months ended June 30, 2008 were comprised of $623.6 million in casino revenues (75.6% of total net revenues) and $201.5 million of net non-casino revenues (24.4% of total net revenues).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June 30, 2009 of approximately $508.3 million represents a $115.3 million (or 18.5 %) decrease from casino revenues of $623.6 million for the three months ended June 30, 2008. We expanded Wynn Las Vegas with the opening of Encore in December 2008. Encore added approximately 95 table games and approximately 835 slot machines to our casino operations in Las Vegas. Even with these additions, our Las Vegas Operations experienced an increase of only $3.7 million in casino revenues compared to the prior year quarter. Drop increased less than 1% and our average table games win percentage (before discounts) was 20.7% for the quarter ended June 30, 2009, which was below the expected range of 21% to 24% and compares to 20.4% for the prior year quarter. Slot handle at our Las Vegas Operations decreased 1.8% during the three months ended June 30, 2009 as compared to 2008, and the slot win percentage was within the expected range of 4.5% to 5.5%.</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Casino revenues at Wynn Macau decreased $119 million during the three months ended June 30, 2009, compared to the prior year quarter. At Wynn Macau, we experienced a 31.4% decrease in the VIP revenue segment due to a 22.2% decrease in turnover and a win percentage of 2.66%, which was below the expected range of 2.7% to 3.0%, and compares to 2.96% in the prior year quarter. Our VIP casino segment win as a percent of turnover includes a nominal beneficial effect attributable to non-rolling chip play. In our general casino at Wynn Macau, drop decreased 23.3% when compared to the prior year quarter and the average table games win percentage was 21.5%, which is above the expected range of 18% to 20%. The average table game win percentage at Wynn Macau for the three months ended June 30, 2008 was 18.9%. Slot handle at Wynn Macau increased 14.4% compared to the prior year quarter and the slot win percentage was within the expected range of 4.5% to 5.5%. The increase in slot handle was primarily due to the play of several high-end slot customers.</w:t>
      </w:r>
    </w:p>
    <w:p>
      <w:pPr>
        <w:spacing w:after="0" w:line="118" w:lineRule="exact"/>
        <w:rPr>
          <w:sz w:val="20"/>
          <w:szCs w:val="20"/>
          <w:color w:val="auto"/>
        </w:rPr>
      </w:pPr>
    </w:p>
    <w:p>
      <w:pPr>
        <w:jc w:val="both"/>
        <w:ind w:right="420" w:firstLine="456"/>
        <w:spacing w:after="0" w:line="294" w:lineRule="auto"/>
        <w:rPr>
          <w:sz w:val="20"/>
          <w:szCs w:val="20"/>
          <w:color w:val="auto"/>
        </w:rPr>
      </w:pPr>
      <w:r>
        <w:rPr>
          <w:rFonts w:ascii="Arial" w:cs="Arial" w:eastAsia="Arial" w:hAnsi="Arial"/>
          <w:sz w:val="16"/>
          <w:szCs w:val="16"/>
          <w:color w:val="auto"/>
        </w:rPr>
        <w:t>For the three months ended June 30, 2009, room revenues were approximately $95.2 million, an increase of $8.4 million compared to prior year room revenue of $86.8 million. Room revenue at our Las Vegas Operations increased approximately $9.3 million compared to the prior year quarter reflecting the addition of 2,034 suites at Encore at Wynn Las Vegas, which opened December 22, 2008. In Las Vegas, we continued to experience a significant decrease in occupancy and room rates during the three months ended June 30, 2009, compared to the three months ended June 30, 2008. Room revenue at Wynn Macau decreased approximately $0.9 million due to a decrease in occupancy and room rates compared to the prior year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32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5"/>
              </w:rPr>
              <w:t>June 20,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2009</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86.6%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w:t>
            </w: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Macau</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86.7%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5260" w:type="dxa"/>
            <w:vAlign w:val="bottom"/>
          </w:tcPr>
          <w:p>
            <w:pPr>
              <w:jc w:val="right"/>
              <w:ind w:right="31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Other non-casino revenues for the three months ended June 30, 2009 include food and beverage revenues of approximately $111.6 million, retail revenues of approximately $39.8 million, entertainment revenues of approximately $12.2 million, and other revenues from outlets such as the spa and salon, of approximately $17.5 million. Other non-gaming revenues for the three months ended June 30, 2008 included food and beverage revenues of approximately $97 million, retail revenues of approximately $38.4 million, entertainment revenues of approximately $18.8 million, and other revenues from outlets, including the spa and salon, of approximately $15.8 million. Food and beverage revenues at our Las Vegas Operations increased as a result of the additional 12 food and beverage outlets located in Encore at Wynn Las Vegas, which opened in December 2008, offset by a decrease of $1.1 million at Wynn Macau, as compared to the prior year quarter. Although we added new retail outlets at Encore, retail revenues in Las Vegas were flat, offset by an increase at Wynn Macau. Entertainment revenues at Wynn Las Vegas decreased over the prior year quarter primarily due to the closure of the Spamalot production show at Wynn Las Vegas in July 2008.</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three months ended June 30, 2009, departmental expenses included casino expense of $327.3 million, rooms expense of $25.1 million, food and beverage expense of $64.2 million, and entertainment, retail and other expense of $40 million. Also included are general and administrative expenses of approximately $83.1 million and approximately $3.9 million charged as a provision for doubtful accounts receivable. During the three months ended June 30, 2008, departmental expenses included casino expenses of $399.9 million, room expenses of $20.4 million, food and beverage expenses of $55.1 million, and entertainment and retail and other expenses of $43.3 million. Also included for 2008 are general and administrative expenses of approximately $85 million and approximately $1.2 million charged as a provision for doubtful accounts receivable. Casino expenses have decreased during the three months ended June 30, 2009 due to a decrease in casino revenues especially at Wynn Macau where we incur a gaming revenue tax of 39%. Room, food and beverage and general and administrative expenses increased as a result of the opening of Encore at Wynn Las Vegas in December 2008. Entertainment, retail and other expense declined primarily as a result of the closure of Spamalot at Wynn Las Vegas in July 2008. Our provision for doubtful accounts receivable declined during the three months ended June 30, 2009, compared to the prior year quarter due to recent strong collection trends on our casino accounts receivable. This strength has allowed us to reduce a portion of the additional reserves we recorded in the third quarter of 2008.</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During the three months ended June 30, 2009, we incurred minimal pre-opening costs compared to $6.8 million for the three months ended June 30, 2008. Pre-opening costs incurred during the three months ended June 30, 2008 were related to Encore at Wynn Las Vegas which opened in December 2008. We expect to incur pre-opening costs related to the expansion at Wynn Macau as we get closer to opening in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Depreciation and amortization for the three months ended June 30, 2009 of $102.7 million increased by $38.8 million when compared to the three months ended June 30, 2008, primarily due to depreciation of the assets of Encore at Wynn Las Vegas.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our Las Vegas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Property charges and other for the three months ended June 30, 2009 was a net gain of $5.9 million compared to an expense of $5.3 million for the three months ended June 30, 2008. Property charges and other for the three months ended June 30, 2009 include the return of $8.1 million of aircraft purchase deposits written off during the first quarter of 2009. On February 19, 2009, we cancelled the agreements to purchase two aircraft. The deposit on one of the aircraft was refundable to the extent another buyer was found. Due to the uncertainty as to the recoverability of this deposit and a $1.5 million nonrefundable deposit on a second aircraft, we wrote off these deposits in the first quarter of 2009. In May 2009, another buyer was found for one of the aircraft and in accordance with the original purchase agreement, a portion of the deposit was refunded. The remaining property charges were related to miscellaneous renovations, abandonments and loss on sale of equipment at Wynn Las Vegas and Wynn Macau.</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Property charges and other for the three months ended June 30, 2008 include a $3.6 million charge at Wynn Macau related to the abandonment of certain existing floor space to begin construction of a new restaurant.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properties.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Interest income was $0.5 million for the three months ended June 30, 2009 compared to $5.5 million for the three months ended June 30, 2008. Interest income decreased $5 million primarily due to a significant decrease in the average interest rates earned on invested cash balances compared to the prior year quarter.</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Interest expense was $53.7 million, net of capitalized interest of $2.3 million, for the three months ended June 30, 2009, compared to $41 million, net of capitalized interest of $20.5 million, for the three months ended June 30, 2008. Our interest expense increased due to $18.2 million less of capitalized interest related to our construction activities with the opening of Encore at Wynn Las Vegas in December 2008, approximately $3 million related to additional borrowings on our Wynn Macau credit facilities and $2.3 million associated with additional borrowings and higher interest rates on the Wynn Las Vegas revolver. These increases were offset by approximately $8 million less interest expense due to the November 2008 paydown of the Wynn Resorts term loan, as well as the subsequent $375 million payoff of such term loan in June 2009, and approximately $2.8 million less interest due to lower average interest rates on the remainder of our debt.</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 gain of approximately $3.3 million for the three months ended June 30, 2009 resulting from the increase in the fair value of our interest rate swaps from March 31, 2009 to June 30, 2009. During the three months ended June 30, 2008 we recorded a gain of $23.9 million resulting from the net increase in the fair value of interest rate swaps between March 31, 2008 and June 30, 2008. For further information on our interest rate swaps, see Item 3 – “Quantitative and Qualitative Disclosures about Market Risk.”</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the three months ended June 30, 2009, we purchased and retired outstanding loans of $375 million under the Wynn Resorts Term Loan Facility for $364.7 million, reflecting a discounted price of 97.25%. In connection with this transaction, we recognized an $8.8 million gain on early retirement of debt, net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write-off of unamortized debt issue cost. During this same period, we purchased $26.5 million face amount of the Wynn Las Vegas 6 5/8% First Mortgage Notes due 2014 through open market purchases at a discount. This transaction resulted in a gain on early extinguishment of debt of $3.1 million, net of the write off of unamortized debt discount and debt issue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three months ended June 30, 2009, we recorded a tax expense of $19.5 million and during the three months ended June 30, 2008 we recorded a tax benefit of $138.3 million. Our provision for income taxes for the three months ended June 30, 2009 relates primarily to our current earnings including the gain on extinguishment of debt and forecasted effective tax rate. During the quarter ended June 30, 2008 we recorded a deferred tax benefit primarily associated with foreign tax credits applicable to earnings not considered permanently invested abroad. None of the Company’s foreign earnings are considered permanently invested abroad.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we were exempted from the payment of approximately $8.7 million in such taxes for the three months ended June 30, 2009. Our non-gaming profits remain subject to the Macau Complementary Tax and casino winnings remain subject to the Macau Special Gaming tax (at a rate equal to 39%) and other levies in accordance with its concession agreement. During June 2009, Wynn Macau, S.A. entered into an agreement with the Macau Special Administrative Region that provides for an annual payment of MOP $7.2 million (approximately $900,000 US dollars) to the Macau Special Administrative Region as complementary tax on dividends distributed to and otherwise due by shareholders. This agreement is effective as of 2006. Therefore, included in the tax provision for the three months ended June 30, 2009, are the amounts related to the years 2006 through the first half of 2009 totaling $3.2 million. This agreement on dividends is effective through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2009 compared to the six months ended June 30, 2008.</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noted earlier, our financial results for the six months ended June 30, 2009 are not comparable to the six months ended June 30, 2008, as the six months ended June 30, 2009 include the expansion of Wynn Las Vegas which opened on December 22, 2008, whereas the prior year includes only Wynn Las Vegas and Wynn Macau.</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revenues for the six months ended June 30, 2009 are comprised of $1,050 million in casino revenues (71.8% of total net revenues) and $413.2 million of net non-casino revenues (28.2% of total net revenues). Net revenues for the six months ended June 30, 2008 were comprised of $1,215.4 million in casino revenues (75.8% of total net revenues) and $388.5 million of net non-casino revenues (24.2% of total net revenues).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six months ended June 30, 2009 of approximately $1,050 million represents a $165.4 million (or 13.6 %) decrease from casino revenues of $1,215.4 million for the six months ended June 30, 2008. We expanded Wynn Las Vegas with the opening of Encore at Wynn Las Vegas in December 2008. Encore added approximately 95 table games and approximately 835 slot machines to our Las Vegas casino operations. Even with these additions, our Las Vegas Operations experienced a 1.6% decrease in casino revenues compared to the prior year due to a 1.2% decrease in drop and a decrease in our average table games win percentage. Our average table games win percentage (before discounts) for the six months ended June 30, 2009 was 19.2%, which was below the expected range of 21% to 24% and compares to 20.2% for the prior year. Slot handle at our Las Vegas Operations increased less than 1% during the six months ended June 30, 2009 as compared to 2008, and the slot win percentage was within the expected range of 4.5% to 5.5%.</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Casino revenues at Wynn Macau decreased $161.4 million during the six months ended June 30, 2009, compared to the prior year. At Wynn Macau, we experienced a 24.6% decrease in the VIP revenue segment due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a 25.0% decrease in turnover. Our win as a percent of turnover was 3.07%, which was above the expected range of 2.7% to 3.0%, and compares to 2.99% in the prior year. Our VIP casino segment win as a percent of turnover includes a nominal beneficial effect attributable to non-rolling chip play in that segment. In our general casino at Wynn Macau, drop decreased 19.4% when compared to the prior year and the average table games win percentage was 21.8%, which is above the expected range of 18% to 20%. The average table game win percentage at Wynn Macau for the six months ended June 30, 2008 was 19.3%. Slot handle at Wynn Macau increased 27.7% compared to the prior year and the slot win percentage was within the expected range of 4.5% to 5.5%. The increase in slot handle was primarily due to the play of several high-end slot customers.</w:t>
      </w:r>
    </w:p>
    <w:p>
      <w:pPr>
        <w:spacing w:after="0" w:line="120"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For the six months ended June 30, 2009, room revenues were approximately $193.6 million, an increase of $21.5 million compared to prior year room revenue of $172.1 million. Room revenue at our Las Vegas Operations increased approximately $23.8 million compared to the prior year quarter due to the addition of 2,034 suites at Encore at Wynn Las Vegas, which opened December 22, 2008. In Las Vegas, we continued to experience a significant decrease in occupancy and room rates during the six months ended June 30, 2009, compared to the six months ended June 30, 2008. Room revenue at Wynn Macau decreased approximately $2.3 million due to a decrease in occupancy and room rates compared to the prior year.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20,</w:t>
            </w:r>
          </w:p>
        </w:tc>
      </w:tr>
      <w:tr>
        <w:trPr>
          <w:trHeight w:val="142"/>
        </w:trPr>
        <w:tc>
          <w:tcPr>
            <w:tcW w:w="5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6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$ 220</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$ 300</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Occupancy</w:t>
            </w:r>
          </w:p>
        </w:tc>
        <w:tc>
          <w:tcPr>
            <w:tcW w:w="3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4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Macau</w:t>
            </w:r>
          </w:p>
        </w:tc>
        <w:tc>
          <w:tcPr>
            <w:tcW w:w="4200" w:type="dxa"/>
            <w:vAlign w:val="bottom"/>
            <w:gridSpan w:val="3"/>
          </w:tcPr>
          <w:p>
            <w:pPr>
              <w:jc w:val="right"/>
              <w:spacing w:after="0"/>
              <w:rPr>
                <w:sz w:val="20"/>
                <w:szCs w:val="20"/>
                <w:color w:val="auto"/>
              </w:rPr>
            </w:pPr>
            <w:r>
              <w:rPr>
                <w:rFonts w:ascii="Arial" w:cs="Arial" w:eastAsia="Arial" w:hAnsi="Arial"/>
                <w:sz w:val="18"/>
                <w:szCs w:val="18"/>
                <w:color w:val="auto"/>
              </w:rPr>
              <w:t>85.0%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88.2%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$ 194</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$ 289</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Other non-casino revenues for the six months ended June 30, 2009 include food and beverage revenues of approximately $221.1 million, retail revenues of approximately $74.8 million, entertainment revenues of approximately $25 million, and other revenues from outlets such as the spa and salon, of approximately $32.8 million. Other non-gaming revenues for the six months ended June 30, 2008 included food and beverage revenues of approximately $188 million, retail revenues of approximately $73.4 million, entertainment revenues of approximately $38.1 million, and other revenues from outlets, including the spa and salon, of approximately $29.6 million. Food and beverage revenues at our Las Vegas Operations increased as a result of the additional 12 food and beverage outlets located in Encore at Wynn Las Vegas, which opened in December 2008, offset by a decrease of $2.3 million at Wynn Macau, as compared to the prior year. Although we added new retail outlets at Encore, retail revenues in Las Vegas decreased, offset by an increase at Wynn Macau. Entertainment revenues decreased over the prior year primarily due to the closure of the Spamalot production show at Wynn Las Vegas in July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six months ended June 30, 2009, departmental expenses included casino expense of $703.8 million, rooms expense of $50.1 million, food and beverage expense of $124.2 million, and entertainment, retail and other expense of $76 million. Also included are general and administrative expenses of approximately $176.6 million and approximately $7.8 million charged as a provision for doubtful accounts receivable. During the six months ended June 30, 2008, departmental expenses included casino expenses of $788.3 million, room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expenses of $40.7 million, food and beverage expenses of $106.8 million, and entertainment and retail and other expenses of $87.9 million. Also included are general and administrative expenses of approximately $164.2 million and approximately $12.7 million charged as a provision for doubtful accounts receivable. Casino expenses have decreased during the six months ended June 30, 2009, due to a decrease in casino revenues especially at Wynn Macau where we incur a gaming revenue tax of 39%. Room, food and beverage and general and administrative expenses increased as a result of the opening of Encore at Wynn Las Vegas in December 2008. Entertainment, retail and other expense declined primarily as a result of the closure of Spamalot at Wynn Las Vegas in July 2008. Our provision for doubtful accounts receivable declined during the six months ended June 30, 2009, compared to the prior year due to recent strong collection trends on our casino accounts receivable. This strength has allowed us to reduce a portion of the additional reserves we recorded in the third quarter of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During the six months ended June 30, 2009, we incurred minimal pre-opening costs compared to $12.1 million for the six months ended June 30, 2008. Pre-opening costs incurred during the six months ended June 30, 2008 were related to Encore at Wynn Las Vegas which opened in December 2008. We expect that pre-opening costs related to the expansion at Wynn Macau will accelerate as we get closer to opening in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Depreciation and amortization for the six months ended June 30, 2009 of $204.2 million increased by $77.5 million when compared to the six months ended June 30, 2008, primarily due to depreciation of the assets of Encore at Wynn Las Vegas.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our Las Vegas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Property charges and other for the six months ended June 30, 2009 were $10.5 million compared to approximately $29.6 million for the six months ended June 30, 2008. Property charges and other for the six months ended June 30, 2009 include the $14.9 million of aircraft purchase deposits written off during the first quarter of 2009, offset by refunds of such deposits of $8.1 million in May 2009 when another buyer for the aircraft was found. On February 19, 2009, we cancelled the agreements to purchase two aircraft. The remaining property charges of $3.7 million were related to miscellaneous renovations, abandonments and loss on sale of equipment at Wynn Las Vegas and Wynn Macau.</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Property charges and other for the six months ended June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We also incurred a $3.6 million charge at Wynn Macau related to the abandonment of certain existing floor space to begin construction of a new restaurant. The remaining property charges during 2008 were related to renovations and abandonments at both Wynn Las Vegas and Wynn Macau.</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properties.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income was $0.8 million for the six months ended June 30, 2009 compared to $17.4 million for the six months ended June 30, 2008. Interest income decreased $16.6 million primarily due to a significant decrease in the average interest rates earned on invested cash balances compared to the prior year period.</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expense was $110.7 million, net of capitalized interest of $4.7 million, for the six months ended June 30, 2009, compared to $86.3 million, net of capitalized interest of $37.4 million, for the six months ended June 30, 2008. Our interest expense increased due to $32.7 million less of capitalized interest related to our construction activities with the opening of Encore at Wynn Las Vegas in December 2008, approximately $8.8 million related to additional borrowings on our Wynn Macau credit facilities and $6.2 million associated with additional borrowings and increased interest rates on the Wynn Las Vegas revolver. These increases were offset by approximately $17.3 million less interest due to the November 2008 paydown of the Wynn Resorts term loan, as well as the subsequent $375 million payoff of such term loan in June 2009, and approximately $6 million less interest due to lower average interest rates on the remainder of our debt including the expiration of the Wynn Las Vegas interest rate swap in December 2008.</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 gain of approximately $4.4 million for the six months ended June 30, 2009 resulting from the increase in the fair value of our interest rate swaps from December 31, 2008 to June 30, 2009. During the six months ended June 30, 2008 we recorded a gain of $8.7 million resulting from the net increase in the fair value of interest rate swaps between December 31, 2007 and June 30, 2008. For further information on our interest rate swaps, see Item 3 – “Quantitative and Qualitative Disclosures about Market Risk.”</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During the six months ended June 30, 2009, we purchased and retired outstanding loans of $375 million under the Wynn Resorts Term Loan Facility at a discounted price of 97.25%. In connection with this transaction, we recognized an $8.8 million gain on early retirement of debt, net of the write-off of unamortized debt issue cost. During this same period, we purchased $65.8 million face amount of the Wynn Las Vegas 6 5/8% First Mortgage Notes due 2014 through open market purchases at a discount. This transaction resulted in a gain on early extinguishment of debt of $13.7 million, net of the write off of unamortized debt discount and debt issue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six months ended June 30, 2009, we recorded a tax expense of $35.4 million. Our provision for income taxes relates primarily to an increase in our foreign and domestic valuation allowances totaling $23.8 million relating to tax loss carryforwards and foreign tax credits not considered more likely than not realizable in the future and an increase in our earnings including the gain on extinguishment of debt and forecasted effective tax rate. During the six months ended June 30, 2008, we recorded a deferred tax benefit of $143.2 million primarily associated with foreign tax credits applicable to earnings not considered permanently invested abroad. None of the Company’s foreign earnings are considered permanently invested abroad.</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$15.3 million in such taxes for the six months ended June 30, 2009. Our non-gaming profits remain subject to the Macau Complementary Tax and casino winnings remain subject to the Macau Special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Gaming tax (at a rate equal to 39%) and other levies in accordance with its concession agreement. During June 2009, Wynn Macau, S.A. entered into an agreement with the Macau Special Administrative Region that provides for an annual payment of MOP $7.2 million (approximately $900,000 US dollars) to the Macau Special Administrative Region as complementary tax on dividends distributed to and otherwise due by shareholders. This agreement is effective as of 2006. Therefore, included in the tax provision for the six months ended June 30, 2009, are the amounts related to the years 2006 through the first half of 2009 totaling $3.2 million. This agreement on dividends is effective through 2010.</w:t>
      </w:r>
    </w:p>
    <w:p>
      <w:pPr>
        <w:spacing w:after="0" w:line="19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cash provided by operations for the six months ended June 30, 2009 was $171.7 million compared to $338.8 million provided by operations for the six months ended June 30, 2008. This decrease is primarily due to the decrease in operating income as discussed above and income tax benefits related to excess tax deductions associated with stock-based compensation costs that were not previously recognized.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At June 30, 2009, we had approximately $1.1 billion of cash and cash equivalents available for operations, debt service and retirement, development activities, general corporate purposes, enhancements to our properties, funding the remaining construction and retention payables related to Encore at Wynn Las Vegas (approximately $59 million) and to support the development and construction costs of Encore at Wynn Macau. Approximately $193.4 million of our cash balance is held by Wynn Resorts, Limited, which is not a guarantor of the debt of its subsidiaries, including Wynn Las Vegas, LLC and Wynn Macau, S.A. As of June 30, 2009, we had no availability under our Wynn Las Vegas credit facilities. Except for scheduled quarterly payments on two notes payable, we have no outstanding debt maturities until August 2011. We believe that cash flow from operations and our existing cash balances will be adequate to satisfy our anticipated uses of capital during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Cash and cash equivalents include investments in U.S. Treasury Bills, money market funds and bank time deposits, all with maturities of less than 90 days.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Capital expenditures were approximately $307.1 million for the six months ended June 30, 2009, and related primarily to cash payments on construction and retention payables related to Encore at Wynn Las Vegas and the continued construction of Encore at Wynn Macau.</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June 2007, we commenced construction on Encore at Wynn Macau, a further expansion of Wynn Macau. Encore at Wynn Macau is a second hotel tower for Wynn Macau situated on top of a new low-rise podium. We expect Encore at Wynn Macau to open in the first half of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as of August 2009, include the following: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basement, low-rise and high-rise structure are complete;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Exterior glass curtain wall installation has reached the 44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Permanent power connection has been energized;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Interior fit-out is in progress in all areas.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have executed a guaranteed maximum price contract with Leighton Contractors (Asia) Limited, China State Construction Engineering (Hong Kong) Limited and China Construction Engineering (Macau) Company Limited, acting together as the general contractor for the construction of the Encore at Wynn Macau. The current guaranteed maximum price, including change orders as of June 30, 2009, is $401.5 million.</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expect total development and construction costs to be approximately $650 million. The project budget will be funded from our cash flow from operations at Wynn Macau and existing cash balances.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2009, we had incurred approximately $309.5 million of project costs related to the development and construction of Encore at Wynn Macau.</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2009, we completed a secondary common stock offering of approximately 11 million shares resulting in net proceeds of $202.3 million.</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June 2009, we purchased and retired outstanding loans of $375 million under the Wynn Resorts Term Loan Facility for $364.7 million reflecting a discounted price of 97.25%. In connection with this transaction, the Company recognized an $8.8 million gain on early retirement of debt, net of the write-off of unamortized debt issue cost.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6 5/8% Fixed Mortgage Notes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six months ended June 30, 2009, Wynn Resorts purchased $65.8 million face amount of the Wynn Las Vegas 6 5/8% First Mortgage Notes due 2014 through open market purchases at a discount. These transactions resulted in a gain on early extinguishment of debt of $13.7 million net of the write off of unamortized debt discount and debt issue costs. As of June 30, 2009, Wynn Resorts holds this debt and has not contributed such debt to its wholly-owned subsidiary Wynn Las Vegas. For accounting purposes this transaction has been treated as an extinguishment of debt by Wynn Resorts.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30, 2009, our Wynn Las Vegas credit facilities, as amended, consisted of a $696.8 million revolving credit facility (the “Revolver”) and a $225 million term loan facility (the “Term Loan”). As of June 30, 2009, we had borrowed $676.7 million under the Revolver. We also had $20.1 million of outstanding letters of credit that reduce our availability under the Revolver. Consequently, no amounts remain available under the Revolver for future borrowings as of June 30, 2009.</w:t>
      </w:r>
    </w:p>
    <w:p>
      <w:pPr>
        <w:spacing w:after="0" w:line="143"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On April 17, 2009, we entered into a fourth amendment to our Wynn Las Vegas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(iii) extends the maturity on approximately $610 million of Wynn Las Vegas revolver commitments from August 15, 2011 to July 15, 2013 (after giving effect to the permanent reduction described below); and</w:t>
      </w:r>
    </w:p>
    <w:p>
      <w:pPr>
        <w:spacing w:after="0" w:line="2" w:lineRule="exact"/>
        <w:rPr>
          <w:sz w:val="20"/>
          <w:szCs w:val="20"/>
          <w:color w:val="auto"/>
        </w:rPr>
      </w:pPr>
    </w:p>
    <w:p>
      <w:pPr>
        <w:ind w:right="80" w:firstLine="8"/>
        <w:spacing w:after="0" w:line="295" w:lineRule="auto"/>
        <w:tabs>
          <w:tab w:leader="none" w:pos="2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overall interest rate spread on the Wynn Las Vegas Credit Facility from LIBOR plus 1.7% to LIBOR plus 2.6%.</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amended, the Wynn Las Vegas revolver commitments will reduce by $61 million on August 15, 2011, and an additional $55 million on August 15, 2012. The remaining commitments will mature on July 15, 2013. Lenders holding $87 million of the Wynn Las Vegas commitments did not agree to the amendment, with the result that their commitments will mature on the original maturity date of August 15, 2011. The Wynn Las Vegas Term Loan will mature in two installments: $112.5 million will be payable on September 30, 2012 and the remaining $112.5 million will be payable on August 15, 2013.</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the company must make mandatory repayments of indebtedness from specified percentages of excess cash flow beginning after the opening of Encore. If our Wynn Las Vegas subsidiary meets a Consolidated Leverage Ratio, as defined in the Credit Agreement, of greater than 3.5 : 1, such repayment is defined as 50% of Excess Cash Flow, as defined in the Credit Agreement. If the Consolidated Leverage Ratio is less than 3.5 : 1, then no repayment is required. Based on the current economic conditions in which we are operating, we do not believe that Wynn Las Vegas will meet the requirement for mandatory repayment pursuant to this provision of the Credit Agreement during the fiscal year ending December 31, 2009, and therefore we do not expect to make any mandatory repayments pursuant to this requirement during 2009.</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2009, our Wynn Macau credit facilities consisted of a $550 million equivalent fully funded senior term loan facility (“the “Wynn Macau Term Loan”), and a $1 billion senior revolving credit facility (the “Wynn Macau Revolver”) (together the “Wynn Macau Credit Facilities”), in a combination of Hong Kong and U.S. dollars. Wynn Macau has the ability to upsize the total facilities by an additional $50 million pursuant to the terms and provisions of the Amended Common Terms Agreement.</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During the six months ended June 30, 2009, we borrowed approximately $500 million under the Wynn Macau Revolver and repaid approximately $25 million. As of June 30, 2009, our outstanding balance was approximately $980 million and we have approximately $25 million available to borrow under the Wynn Macau Credit Facilities.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June 30, 2009, we had outstanding letters of credit totaling $20.1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than the $500 million draw under our Wynn Macau Revolver in February 2009, the $375 million paydown of the Wynn Resorts term loan in June 2009, the $203 million net paydown of the Wynn Las Vegas revolver in April 2009, and the cancelation of two aircraft purchases in February 2009 that had future commitments of $85 million at December 31, 2008, there have been no material changes to our contractual obligations or off balance sheet arrangements as disclosed in our Annual Report on Form 10-K for the year ended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to the extent additional funds are required, with additional contributions from Wynn Resorts. We cannot assure you, however, that our Las Vegas operations will generate sufficient cash flow from operations or that future contributions from Wynn Resorts or the availability of additional indebtedness will be sufficient to enable us to service and repay Wynn Las Vegas, LLC’s indebtedness and to fund its other liquidity needs. Similarly, we expect that Wynn Macau will fund Wynn Macau, S.A.’s debt service obligations with existing cash and operating cash flow. However, we cannot assure you that operating cash flows be sufficient to do so. We may refinance all or a portion of our indebtedness on or before maturity. We cannot assure you that we will be able to refinance any of the indebtedness on acceptable terms or at all.</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2008. There has been no material change to these policies for the six months ended June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September 2006,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recognized or disclosed at fair value in the entity’s financial statements on a recurring basis to fiscal years beginning after November 15, 2008 and interim periods within those fiscal years. We partially adopted the provisions of SFAS 157 effective January 1, 2008 and adopted the remaining provisions of SFAS 157 on January 1, 2009. We currently do not have any non-financial assets or liabilities that are, or were recognized or disclosed at fair value on a recurring basis and accordingly the final adoption of this statement on January 1, 2009, did not have an impact our condensed consolidated financial statements.</w:t>
      </w:r>
    </w:p>
    <w:p>
      <w:pPr>
        <w:spacing w:after="0" w:line="11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our condensed consolidated financial statements.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on January 1, 2009, did not impact our condensed consolidated financial statements.</w:t>
      </w:r>
    </w:p>
    <w:p>
      <w:pPr>
        <w:spacing w:after="0" w:line="118"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The adoption of SFAS No. 161 on January 1, 2009, did not have a material impact our condensed consolidated financial statements.</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June 2009, the FASB issued SFAS No. 167, “Amendments to FASB Interpretation No. 46(R)”. This statement addresses the effects of elimination of the qualifying special-purpose entity (QSPE) concept from SFAS 140 and responds to concerns about the application of certain key provisions of FIN 46 (R). This statement amends FIN46 (R)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This Statement is effective January 1, 2010. The Company is currently evaluating the impact, if any, of adopting this statement on its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 We measure the fair value of our interest rate swaps on a recurring basis pursuant to SFAS No. 157, “Fair Value Measurements”.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entered into an interest rate swap to hedge the underlying interest rate risk on all of the borrowings under the Wynn Resorts Term Loan Facility. Pursuant to the terms of this interest rate swap, we pay a fixed rate of 3.95% which had fixed the interest rate at approximately 6.2% through June 2010 on the related debt. Although the debt originally associated with this interest rate swap has been retired as of June 30, 2009, the swap agreement is still effective. This will result in a monthly settlement with the counterparty equal to the difference between LIBOR (receive amount) and the fixed pay rate of 3.95% on the notional amount of $375 million through June 2010, the date the swap agreement matures. Changes in the fair value of this interest rate swap have and will continue to be recorded as an increase/decrease in swap fair value in our Condensed Consolidated Statements of Operations as the swap does not qualify for hedge accounting.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2009, we had two interest rate swaps intended to hedge a portion of the underlying interest rate risk on borrowings under the Wynn Macau Term Loan. Under the first swap agreement, we pay a fixed interest rate of 3.632% on U.S. dollar borrowings of $153.8 million incurred under the Wynn Macau Term Loan in exchange for receipts on the same amounts at a variable interest rate based on the applicable LIBOR at the time of payment. Under the second swap agreement, we pay a fixed interest rate of 3.39% on Hong Kong dollar borrowings of approximately HK $991.6 million (approximately U.S. $127.9 million) incurred under the Wynn Macau Term Loan in exchange for receipts on the same amounts at a variable interest rate based on the applicable HIBOR at the time of payment. These interest rate swap agreements mature in August 2011.</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These interest rate swaps fix the interest rates on the current U.S. dollar and Hong Kong dollar borrowings under the Wynn Macau Term Loan at approximately 5.382% and 5.14%, respectively. However, changes in the fair values of these interest rate swaps for each reporting period recorded are, and will continue to be, recognized as an increase/decrease in swap fair value in our Condensed Consolidated Statements of Operations, as the swaps do not qualify for hedge accounting.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June 30, 2009 and December 31, 2008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Wynn</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Wynn</w:t>
            </w:r>
          </w:p>
        </w:tc>
        <w:tc>
          <w:tcPr>
            <w:tcW w:w="2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Interest Rate</w:t>
            </w:r>
          </w:p>
        </w:tc>
        <w:tc>
          <w:tcPr>
            <w:tcW w:w="0" w:type="dxa"/>
            <w:vAlign w:val="bottom"/>
          </w:tcPr>
          <w:p>
            <w:pPr>
              <w:spacing w:after="0"/>
              <w:rPr>
                <w:sz w:val="1"/>
                <w:szCs w:val="1"/>
                <w:color w:val="auto"/>
              </w:rPr>
            </w:pPr>
          </w:p>
        </w:tc>
      </w:tr>
      <w:tr>
        <w:trPr>
          <w:trHeight w:val="161"/>
        </w:trPr>
        <w:tc>
          <w:tcPr>
            <w:tcW w:w="8180" w:type="dxa"/>
            <w:vAlign w:val="bottom"/>
            <w:gridSpan w:val="3"/>
          </w:tcPr>
          <w:p>
            <w:pPr>
              <w:spacing w:after="0"/>
              <w:rPr>
                <w:sz w:val="20"/>
                <w:szCs w:val="20"/>
                <w:color w:val="auto"/>
              </w:rPr>
            </w:pPr>
            <w:r>
              <w:rPr>
                <w:rFonts w:ascii="Arial" w:cs="Arial" w:eastAsia="Arial" w:hAnsi="Arial"/>
                <w:sz w:val="14"/>
                <w:szCs w:val="14"/>
                <w:b w:val="1"/>
                <w:bCs w:val="1"/>
                <w:color w:val="auto"/>
              </w:rPr>
              <w:t>Liability fair value at:</w:t>
            </w: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Resorts</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Macau</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Swaps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68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2"/>
              </w:rPr>
              <w:t>$ (11,767)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 (11,750)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(23,517)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2"/>
              </w:rPr>
              <w:t>$ (15,334)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 (12,539)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w w:val="92"/>
              </w:rPr>
              <w:t>(27,873)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2009, approximately 46%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June 30, 2009, an assumed 1% change in variable rates would cause our annual interest cost to change by $22.2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60" w:firstLine="464"/>
        <w:spacing w:after="0" w:line="306"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During the review of its first quarter 2009 tax provision, the Company determined that its controls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related to the determination and reporting of the Company’s income tax provision and related deferred tax accounts did not operate as intended. The Company identified deficiencies in the computation of its deferred tax accounts that constitute a material weakness.</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light of these deficiencies, the Company developed processes and activities and performed additional analysis including detailed reviews and clerical tests of schedules and confirmed that the Company’s income tax accounts in its condensed consolidated financial statements included in the Quarterly Report on Form 10-Q for the quarter ended March 31, 2009 were prepared in accordance with generally accepted accounting principles in the United States (“GAAP”). With respect to its current procedures, the Company has engaged an external accounting firm which has reviewed its tax provision calculations performed by its internal tax department. In addition, the Company is in the process of hiring additional tax personnel in order to prevent or detect similar future occurrences.</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sz w:val="20"/>
          <w:szCs w:val="20"/>
          <w:color w:val="auto"/>
        </w:rPr>
      </w:pPr>
    </w:p>
    <w:p>
      <w:pPr>
        <w:ind w:firstLine="464"/>
        <w:spacing w:after="0" w:line="294"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Internal Control Over Financial Reporting. </w:t>
      </w:r>
      <w:r>
        <w:rPr>
          <w:rFonts w:ascii="Arial" w:cs="Arial" w:eastAsia="Arial" w:hAnsi="Arial"/>
          <w:sz w:val="16"/>
          <w:szCs w:val="16"/>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 except that, as described in Part I, Item 4(a) above, in connection with the Company’s preparation and review of its first quarter 2009 tax provision, the Company subsequently developed and implemented additional processes, including engaging an external accounting firm to review its tax provision calculations performed by its internal tax department.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IA.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2008. There were no material changes to those risk factors during the six months ended June 30,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adopted a policy regarding the payment of dividends, however we plan to evaluate the payment of dividends from time to time.</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Annual Meeting of Stockholders was held on May 5, 2009. The following proposals were presented to a vote of the stockholders.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Proposal No. 1 – </w:t>
      </w:r>
      <w:r>
        <w:rPr>
          <w:rFonts w:ascii="Arial" w:cs="Arial" w:eastAsia="Arial" w:hAnsi="Arial"/>
          <w:sz w:val="18"/>
          <w:szCs w:val="18"/>
          <w:color w:val="auto"/>
        </w:rPr>
        <w:t>Election of Directors (Class III)</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Votes For</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Votes Withheld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101,755,980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1,825,593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82,373,536</w:t>
            </w:r>
          </w:p>
        </w:tc>
        <w:tc>
          <w:tcPr>
            <w:tcW w:w="1180" w:type="dxa"/>
            <w:vAlign w:val="bottom"/>
          </w:tcPr>
          <w:p>
            <w:pPr>
              <w:jc w:val="right"/>
              <w:spacing w:after="0"/>
              <w:rPr>
                <w:sz w:val="20"/>
                <w:szCs w:val="20"/>
                <w:color w:val="auto"/>
              </w:rPr>
            </w:pPr>
            <w:r>
              <w:rPr>
                <w:rFonts w:ascii="Arial" w:cs="Arial" w:eastAsia="Arial" w:hAnsi="Arial"/>
                <w:sz w:val="18"/>
                <w:szCs w:val="18"/>
                <w:color w:val="auto"/>
              </w:rPr>
              <w:t>21,208,037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100,693,675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following Class II directors remain in office with their term expiring in 2010 – Stephen A. Wynn, Ray R. Irani, Alvin V. Shoemaker and D. Boone Wayson. The following Class III directors remain in office with their term expiring in 2011 – Russell Goldsmith, Kazua Okada, Robert J. Miller and Allen Zeman.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Proposal No. 2 – </w:t>
      </w:r>
      <w:r>
        <w:rPr>
          <w:rFonts w:ascii="Arial" w:cs="Arial" w:eastAsia="Arial" w:hAnsi="Arial"/>
          <w:sz w:val="18"/>
          <w:szCs w:val="18"/>
          <w:color w:val="auto"/>
        </w:rPr>
        <w:t>Election of Independent Auditors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ratify the Company’s designation of Ernst &amp; Young LLP as the independent auditors for the Company and all subsidiaries for the 2009 fiscal year:</w:t>
      </w:r>
    </w:p>
    <w:p>
      <w:pPr>
        <w:spacing w:after="0" w:line="230"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220" w:type="dxa"/>
            <w:vAlign w:val="bottom"/>
          </w:tcPr>
          <w:p>
            <w:pPr>
              <w:spacing w:after="0"/>
              <w:rPr>
                <w:sz w:val="14"/>
                <w:szCs w:val="14"/>
                <w:color w:val="auto"/>
              </w:rPr>
            </w:pPr>
          </w:p>
        </w:tc>
        <w:tc>
          <w:tcPr>
            <w:tcW w:w="3040" w:type="dxa"/>
            <w:vAlign w:val="bottom"/>
            <w:gridSpan w:val="2"/>
          </w:tcPr>
          <w:p>
            <w:pPr>
              <w:jc w:val="right"/>
              <w:ind w:right="2580"/>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Abstain</w:t>
            </w:r>
          </w:p>
        </w:tc>
      </w:tr>
      <w:tr>
        <w:trPr>
          <w:trHeight w:val="216"/>
        </w:trPr>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1"/>
              </w:rPr>
              <w:t>103,486,672</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74,192</w:t>
            </w:r>
          </w:p>
        </w:tc>
        <w:tc>
          <w:tcPr>
            <w:tcW w:w="2580" w:type="dxa"/>
            <w:vAlign w:val="bottom"/>
          </w:tcPr>
          <w:p>
            <w:pPr>
              <w:spacing w:after="0"/>
              <w:rPr>
                <w:sz w:val="18"/>
                <w:szCs w:val="18"/>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3"/>
              </w:rPr>
              <w:t>20,709</w:t>
            </w:r>
          </w:p>
        </w:tc>
        <w:tc>
          <w:tcPr>
            <w:tcW w:w="20" w:type="dxa"/>
            <w:vAlign w:val="bottom"/>
          </w:tcPr>
          <w:p>
            <w:pPr>
              <w:spacing w:after="0"/>
              <w:rPr>
                <w:sz w:val="18"/>
                <w:szCs w:val="18"/>
                <w:color w:val="auto"/>
              </w:rPr>
            </w:pPr>
          </w:p>
        </w:tc>
      </w:tr>
      <w:tr>
        <w:trPr>
          <w:trHeight w:val="356"/>
        </w:trPr>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gridSpan w:val="2"/>
          </w:tcPr>
          <w:p>
            <w:pPr>
              <w:jc w:val="right"/>
              <w:ind w:right="122"/>
              <w:spacing w:after="0"/>
              <w:rPr>
                <w:sz w:val="20"/>
                <w:szCs w:val="20"/>
                <w:color w:val="auto"/>
              </w:rPr>
            </w:pPr>
            <w:r>
              <w:rPr>
                <w:rFonts w:ascii="Arial" w:cs="Arial" w:eastAsia="Arial" w:hAnsi="Arial"/>
                <w:sz w:val="18"/>
                <w:szCs w:val="18"/>
                <w:color w:val="auto"/>
              </w:rPr>
              <w:t>39</w:t>
            </w: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700" w:type="dxa"/>
            <w:vAlign w:val="bottom"/>
          </w:tcPr>
          <w:p>
            <w:pPr>
              <w:spacing w:after="0"/>
              <w:rPr>
                <w:sz w:val="19"/>
                <w:szCs w:val="19"/>
                <w:color w:val="auto"/>
              </w:rPr>
            </w:pPr>
          </w:p>
        </w:tc>
        <w:tc>
          <w:tcPr>
            <w:tcW w:w="9080" w:type="dxa"/>
            <w:vAlign w:val="bottom"/>
          </w:tcPr>
          <w:p>
            <w:pPr>
              <w:spacing w:after="0"/>
              <w:rPr>
                <w:sz w:val="19"/>
                <w:szCs w:val="19"/>
                <w:color w:val="auto"/>
              </w:rPr>
            </w:pPr>
          </w:p>
        </w:tc>
      </w:tr>
      <w:tr>
        <w:trPr>
          <w:trHeight w:val="297"/>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978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r>
      <w:tr>
        <w:trPr>
          <w:trHeight w:val="540"/>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8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080" w:type="dxa"/>
            <w:vAlign w:val="bottom"/>
          </w:tcPr>
          <w:p>
            <w:pPr>
              <w:spacing w:after="0"/>
              <w:rPr>
                <w:sz w:val="24"/>
                <w:szCs w:val="24"/>
                <w:color w:val="auto"/>
              </w:rPr>
            </w:pPr>
          </w:p>
        </w:tc>
      </w:tr>
      <w:tr>
        <w:trPr>
          <w:trHeight w:val="316"/>
        </w:trPr>
        <w:tc>
          <w:tcPr>
            <w:tcW w:w="720" w:type="dxa"/>
            <w:vAlign w:val="bottom"/>
          </w:tcPr>
          <w:p>
            <w:pPr>
              <w:jc w:val="right"/>
              <w:ind w:right="235"/>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Second Amended and Restated Articles of Incorporation of the Registrant.</w:t>
            </w:r>
            <w:r>
              <w:rPr>
                <w:rFonts w:ascii="Arial" w:cs="Arial" w:eastAsia="Arial" w:hAnsi="Arial"/>
                <w:sz w:val="11"/>
                <w:szCs w:val="11"/>
                <w:color w:val="auto"/>
              </w:rPr>
              <w:t>(1)</w:t>
            </w:r>
          </w:p>
        </w:tc>
      </w:tr>
      <w:tr>
        <w:trPr>
          <w:trHeight w:val="324"/>
        </w:trPr>
        <w:tc>
          <w:tcPr>
            <w:tcW w:w="720" w:type="dxa"/>
            <w:vAlign w:val="bottom"/>
          </w:tcPr>
          <w:p>
            <w:pPr>
              <w:jc w:val="right"/>
              <w:ind w:right="235"/>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Fourth Amended and Restated Bylaws of the Registrant, as amended.</w:t>
            </w:r>
            <w:r>
              <w:rPr>
                <w:rFonts w:ascii="Arial" w:cs="Arial" w:eastAsia="Arial" w:hAnsi="Arial"/>
                <w:sz w:val="11"/>
                <w:szCs w:val="11"/>
                <w:color w:val="auto"/>
              </w:rPr>
              <w:t>(2)</w:t>
            </w:r>
          </w:p>
        </w:tc>
      </w:tr>
      <w:tr>
        <w:trPr>
          <w:trHeight w:val="318"/>
        </w:trPr>
        <w:tc>
          <w:tcPr>
            <w:tcW w:w="720" w:type="dxa"/>
            <w:vAlign w:val="bottom"/>
          </w:tcPr>
          <w:p>
            <w:pPr>
              <w:jc w:val="right"/>
              <w:ind w:right="235"/>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Fourth Amendment to Amended and Restated Credit Agreement, dated as of April 17, 2009, among Wynn Las Vegas, LLC and each of the</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Lender parties thereto.</w:t>
            </w:r>
            <w:r>
              <w:rPr>
                <w:rFonts w:ascii="Arial" w:cs="Arial" w:eastAsia="Arial" w:hAnsi="Arial"/>
                <w:sz w:val="11"/>
                <w:szCs w:val="11"/>
                <w:color w:val="auto"/>
              </w:rPr>
              <w:t>(3)</w:t>
            </w:r>
          </w:p>
        </w:tc>
      </w:tr>
      <w:tr>
        <w:trPr>
          <w:trHeight w:val="324"/>
        </w:trPr>
        <w:tc>
          <w:tcPr>
            <w:tcW w:w="720" w:type="dxa"/>
            <w:vAlign w:val="bottom"/>
          </w:tcPr>
          <w:p>
            <w:pPr>
              <w:jc w:val="right"/>
              <w:ind w:right="235"/>
              <w:spacing w:after="0"/>
              <w:rPr>
                <w:sz w:val="20"/>
                <w:szCs w:val="20"/>
                <w:color w:val="auto"/>
              </w:rPr>
            </w:pPr>
            <w:r>
              <w:rPr>
                <w:rFonts w:ascii="Arial" w:cs="Arial" w:eastAsia="Arial" w:hAnsi="Arial"/>
                <w:sz w:val="18"/>
                <w:szCs w:val="18"/>
                <w:color w:val="auto"/>
                <w:w w:val="90"/>
              </w:rPr>
              <w:t>*31.1</w:t>
            </w:r>
          </w:p>
        </w:tc>
        <w:tc>
          <w:tcPr>
            <w:tcW w:w="6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720" w:type="dxa"/>
            <w:vAlign w:val="bottom"/>
          </w:tcPr>
          <w:p>
            <w:pPr>
              <w:jc w:val="right"/>
              <w:ind w:right="235"/>
              <w:spacing w:after="0"/>
              <w:rPr>
                <w:sz w:val="20"/>
                <w:szCs w:val="20"/>
                <w:color w:val="auto"/>
              </w:rPr>
            </w:pPr>
            <w:r>
              <w:rPr>
                <w:rFonts w:ascii="Arial" w:cs="Arial" w:eastAsia="Arial" w:hAnsi="Arial"/>
                <w:sz w:val="18"/>
                <w:szCs w:val="18"/>
                <w:color w:val="auto"/>
                <w:w w:val="90"/>
              </w:rPr>
              <w:t>*31.2</w:t>
            </w:r>
          </w:p>
        </w:tc>
        <w:tc>
          <w:tcPr>
            <w:tcW w:w="6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720" w:type="dxa"/>
            <w:vAlign w:val="bottom"/>
          </w:tcPr>
          <w:p>
            <w:pPr>
              <w:jc w:val="right"/>
              <w:ind w:right="235"/>
              <w:spacing w:after="0"/>
              <w:rPr>
                <w:sz w:val="20"/>
                <w:szCs w:val="20"/>
                <w:color w:val="auto"/>
              </w:rPr>
            </w:pPr>
            <w:r>
              <w:rPr>
                <w:rFonts w:ascii="Arial" w:cs="Arial" w:eastAsia="Arial" w:hAnsi="Arial"/>
                <w:sz w:val="18"/>
                <w:szCs w:val="18"/>
                <w:color w:val="auto"/>
                <w:w w:val="90"/>
              </w:rPr>
              <w:t>*32.1</w:t>
            </w:r>
          </w:p>
        </w:tc>
        <w:tc>
          <w:tcPr>
            <w:tcW w:w="6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2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April 21, 2009 and incorporated herein by reference.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900" w:val="left"/>
          <w:tab w:leader="none" w:pos="7940" w:val="left"/>
          <w:tab w:leader="none" w:pos="8280" w:val="left"/>
        </w:tabs>
        <w:rPr>
          <w:sz w:val="20"/>
          <w:szCs w:val="20"/>
          <w:color w:val="auto"/>
        </w:rPr>
      </w:pPr>
      <w:r>
        <w:rPr>
          <w:rFonts w:ascii="Arial" w:cs="Arial" w:eastAsia="Arial" w:hAnsi="Arial"/>
          <w:sz w:val="18"/>
          <w:szCs w:val="18"/>
          <w:color w:val="auto"/>
        </w:rPr>
        <w:t>Dated: August 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Matt Maddox</w:t>
      </w:r>
    </w:p>
    <w:p>
      <w:pPr>
        <w:jc w:val="center"/>
        <w:ind w:left="628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28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40"/>
          </w:cols>
          <w:pgMar w:left="240" w:top="459" w:right="11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00" w:val="left"/>
          <w:tab w:leader="none" w:pos="804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Stephen A. Wynn</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2009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2"/>
                <w:szCs w:val="12"/>
                <w:color w:val="auto"/>
              </w:rPr>
            </w:pPr>
          </w:p>
        </w:tc>
        <w:tc>
          <w:tcPr>
            <w:tcW w:w="2720" w:type="dxa"/>
            <w:vAlign w:val="bottom"/>
          </w:tcPr>
          <w:p>
            <w:pPr>
              <w:jc w:val="center"/>
              <w:ind w:right="1222"/>
              <w:spacing w:after="0" w:line="145"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63"/>
        </w:trPr>
        <w:tc>
          <w:tcPr>
            <w:tcW w:w="1860" w:type="dxa"/>
            <w:vAlign w:val="bottom"/>
            <w:gridSpan w:val="2"/>
          </w:tcPr>
          <w:p>
            <w:pPr>
              <w:spacing w:after="0"/>
              <w:rPr>
                <w:sz w:val="20"/>
                <w:szCs w:val="20"/>
                <w:color w:val="auto"/>
              </w:rPr>
            </w:pPr>
            <w:r>
              <w:rPr>
                <w:rFonts w:ascii="Arial" w:cs="Arial" w:eastAsia="Arial" w:hAnsi="Arial"/>
                <w:sz w:val="18"/>
                <w:szCs w:val="18"/>
                <w:color w:val="auto"/>
              </w:rPr>
              <w:t>Date: August 4, 2009</w:t>
            </w:r>
          </w:p>
        </w:tc>
        <w:tc>
          <w:tcPr>
            <w:tcW w:w="2720" w:type="dxa"/>
            <w:vAlign w:val="bottom"/>
          </w:tcPr>
          <w:p>
            <w:pPr>
              <w:spacing w:after="0"/>
              <w:rPr>
                <w:sz w:val="24"/>
                <w:szCs w:val="24"/>
                <w:color w:val="auto"/>
              </w:rPr>
            </w:pPr>
          </w:p>
        </w:tc>
      </w:tr>
      <w:tr>
        <w:trPr>
          <w:trHeight w:val="419"/>
        </w:trPr>
        <w:tc>
          <w:tcPr>
            <w:tcW w:w="560" w:type="dxa"/>
            <w:vAlign w:val="bottom"/>
          </w:tcPr>
          <w:p>
            <w:pPr>
              <w:spacing w:after="0"/>
              <w:rPr>
                <w:sz w:val="24"/>
                <w:szCs w:val="24"/>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2"/>
                <w:szCs w:val="12"/>
                <w:color w:val="auto"/>
              </w:rPr>
            </w:pPr>
          </w:p>
        </w:tc>
        <w:tc>
          <w:tcPr>
            <w:tcW w:w="2720" w:type="dxa"/>
            <w:vAlign w:val="bottom"/>
          </w:tcPr>
          <w:p>
            <w:pPr>
              <w:jc w:val="center"/>
              <w:ind w:right="1242"/>
              <w:spacing w:after="0" w:line="145" w:lineRule="exact"/>
              <w:rPr>
                <w:sz w:val="20"/>
                <w:szCs w:val="20"/>
                <w:color w:val="auto"/>
              </w:rPr>
            </w:pPr>
            <w:r>
              <w:rPr>
                <w:rFonts w:ascii="Arial" w:cs="Arial" w:eastAsia="Arial" w:hAnsi="Arial"/>
                <w:sz w:val="14"/>
                <w:szCs w:val="14"/>
                <w:b w:val="1"/>
                <w:bCs w:val="1"/>
                <w:color w:val="auto"/>
                <w:w w:val="93"/>
              </w:rPr>
              <w:t>Matt Maddox</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Chief Financial Officer and Treasurer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5"/>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4"/>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2019-12-10T20:45:19Z</dcterms:created>
  <dcterms:modified xsi:type="dcterms:W3CDTF">2019-12-10T20:45:19Z</dcterms:modified>
</cp:coreProperties>
</file>