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 as Amended</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21,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1960" w:type="dxa"/>
            <w:vAlign w:val="bottom"/>
          </w:tcPr>
          <w:p>
            <w:pPr>
              <w:jc w:val="center"/>
              <w:ind w:right="262"/>
              <w:spacing w:after="0"/>
              <w:rPr>
                <w:sz w:val="20"/>
                <w:szCs w:val="20"/>
                <w:color w:val="auto"/>
              </w:rPr>
            </w:pPr>
            <w:r>
              <w:rPr>
                <w:rFonts w:ascii="Arial" w:cs="Arial" w:eastAsia="Arial" w:hAnsi="Arial"/>
                <w:sz w:val="18"/>
                <w:szCs w:val="18"/>
                <w:b w:val="1"/>
                <w:bCs w:val="1"/>
                <w:color w:val="auto"/>
                <w:w w:val="90"/>
              </w:rPr>
              <w:t>Nevada</w:t>
            </w:r>
          </w:p>
        </w:tc>
        <w:tc>
          <w:tcPr>
            <w:tcW w:w="5400" w:type="dxa"/>
            <w:vAlign w:val="bottom"/>
          </w:tcPr>
          <w:p>
            <w:pPr>
              <w:jc w:val="right"/>
              <w:ind w:right="2239"/>
              <w:spacing w:after="0"/>
              <w:rPr>
                <w:sz w:val="20"/>
                <w:szCs w:val="20"/>
                <w:color w:val="auto"/>
              </w:rPr>
            </w:pPr>
            <w:r>
              <w:rPr>
                <w:rFonts w:ascii="Arial" w:cs="Arial" w:eastAsia="Arial" w:hAnsi="Arial"/>
                <w:sz w:val="18"/>
                <w:szCs w:val="18"/>
                <w:b w:val="1"/>
                <w:bCs w:val="1"/>
                <w:color w:val="auto"/>
              </w:rPr>
              <w:t>000-50028</w:t>
            </w:r>
          </w:p>
        </w:tc>
        <w:tc>
          <w:tcPr>
            <w:tcW w:w="1600" w:type="dxa"/>
            <w:vAlign w:val="bottom"/>
          </w:tcPr>
          <w:p>
            <w:pPr>
              <w:jc w:val="center"/>
              <w:ind w:left="402"/>
              <w:spacing w:after="0"/>
              <w:rPr>
                <w:sz w:val="20"/>
                <w:szCs w:val="20"/>
                <w:color w:val="auto"/>
              </w:rPr>
            </w:pPr>
            <w:r>
              <w:rPr>
                <w:rFonts w:ascii="Arial" w:cs="Arial" w:eastAsia="Arial" w:hAnsi="Arial"/>
                <w:sz w:val="18"/>
                <w:szCs w:val="18"/>
                <w:b w:val="1"/>
                <w:bCs w:val="1"/>
                <w:color w:val="auto"/>
                <w:w w:val="91"/>
              </w:rPr>
              <w:t>46-0484987</w:t>
            </w:r>
          </w:p>
        </w:tc>
        <w:tc>
          <w:tcPr>
            <w:tcW w:w="0" w:type="dxa"/>
            <w:vAlign w:val="bottom"/>
          </w:tcPr>
          <w:p>
            <w:pPr>
              <w:spacing w:after="0"/>
              <w:rPr>
                <w:sz w:val="1"/>
                <w:szCs w:val="1"/>
                <w:color w:val="auto"/>
              </w:rPr>
            </w:pPr>
          </w:p>
        </w:tc>
      </w:tr>
      <w:tr>
        <w:trPr>
          <w:trHeight w:val="180"/>
        </w:trPr>
        <w:tc>
          <w:tcPr>
            <w:tcW w:w="1960" w:type="dxa"/>
            <w:vAlign w:val="bottom"/>
          </w:tcPr>
          <w:p>
            <w:pPr>
              <w:jc w:val="center"/>
              <w:ind w:right="242"/>
              <w:spacing w:after="0"/>
              <w:rPr>
                <w:sz w:val="20"/>
                <w:szCs w:val="20"/>
                <w:color w:val="auto"/>
              </w:rPr>
            </w:pPr>
            <w:r>
              <w:rPr>
                <w:rFonts w:ascii="Arial" w:cs="Arial" w:eastAsia="Arial" w:hAnsi="Arial"/>
                <w:sz w:val="14"/>
                <w:szCs w:val="14"/>
                <w:b w:val="1"/>
                <w:bCs w:val="1"/>
                <w:color w:val="auto"/>
                <w:w w:val="93"/>
              </w:rPr>
              <w:t>(State or other jurisdiction</w:t>
            </w:r>
          </w:p>
        </w:tc>
        <w:tc>
          <w:tcPr>
            <w:tcW w:w="5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(Commission File Number)</w:t>
            </w:r>
          </w:p>
        </w:tc>
        <w:tc>
          <w:tcPr>
            <w:tcW w:w="1600" w:type="dxa"/>
            <w:vAlign w:val="bottom"/>
          </w:tcPr>
          <w:p>
            <w:pPr>
              <w:jc w:val="center"/>
              <w:ind w:left="402"/>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1960" w:type="dxa"/>
            <w:vAlign w:val="bottom"/>
          </w:tcPr>
          <w:p>
            <w:pPr>
              <w:jc w:val="center"/>
              <w:ind w:right="262"/>
              <w:spacing w:after="0"/>
              <w:rPr>
                <w:sz w:val="20"/>
                <w:szCs w:val="20"/>
                <w:color w:val="auto"/>
              </w:rPr>
            </w:pPr>
            <w:r>
              <w:rPr>
                <w:rFonts w:ascii="Arial" w:cs="Arial" w:eastAsia="Arial" w:hAnsi="Arial"/>
                <w:sz w:val="14"/>
                <w:szCs w:val="14"/>
                <w:b w:val="1"/>
                <w:bCs w:val="1"/>
                <w:color w:val="auto"/>
                <w:w w:val="94"/>
              </w:rPr>
              <w:t>of incorporation)</w:t>
            </w:r>
          </w:p>
        </w:tc>
        <w:tc>
          <w:tcPr>
            <w:tcW w:w="5400" w:type="dxa"/>
            <w:vAlign w:val="bottom"/>
            <w:vMerge w:val="continue"/>
          </w:tcPr>
          <w:p>
            <w:pPr>
              <w:spacing w:after="0"/>
              <w:rPr>
                <w:sz w:val="16"/>
                <w:szCs w:val="16"/>
                <w:color w:val="auto"/>
              </w:rPr>
            </w:pPr>
          </w:p>
        </w:tc>
        <w:tc>
          <w:tcPr>
            <w:tcW w:w="1600" w:type="dxa"/>
            <w:vAlign w:val="bottom"/>
          </w:tcPr>
          <w:p>
            <w:pPr>
              <w:jc w:val="center"/>
              <w:ind w:left="402"/>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21"/>
        </w:trPr>
        <w:tc>
          <w:tcPr>
            <w:tcW w:w="1960" w:type="dxa"/>
            <w:vAlign w:val="bottom"/>
          </w:tcPr>
          <w:p>
            <w:pPr>
              <w:spacing w:after="0"/>
              <w:rPr>
                <w:sz w:val="24"/>
                <w:szCs w:val="24"/>
                <w:color w:val="auto"/>
              </w:rPr>
            </w:pPr>
          </w:p>
        </w:tc>
        <w:tc>
          <w:tcPr>
            <w:tcW w:w="5400" w:type="dxa"/>
            <w:vAlign w:val="bottom"/>
          </w:tcPr>
          <w:p>
            <w:pPr>
              <w:jc w:val="center"/>
              <w:ind w:right="79"/>
              <w:spacing w:after="0"/>
              <w:rPr>
                <w:sz w:val="20"/>
                <w:szCs w:val="20"/>
                <w:color w:val="auto"/>
              </w:rPr>
            </w:pPr>
            <w:r>
              <w:rPr>
                <w:rFonts w:ascii="Arial" w:cs="Arial" w:eastAsia="Arial" w:hAnsi="Arial"/>
                <w:sz w:val="18"/>
                <w:szCs w:val="18"/>
                <w:b w:val="1"/>
                <w:bCs w:val="1"/>
                <w:color w:val="auto"/>
                <w:w w:val="88"/>
              </w:rPr>
              <w:t>3131 Las Vegas Boulevard South - Las Vegas, Nevada 89109</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960" w:type="dxa"/>
            <w:vAlign w:val="bottom"/>
          </w:tcPr>
          <w:p>
            <w:pPr>
              <w:spacing w:after="0"/>
              <w:rPr>
                <w:sz w:val="16"/>
                <w:szCs w:val="16"/>
                <w:color w:val="auto"/>
              </w:rPr>
            </w:pPr>
          </w:p>
        </w:tc>
        <w:tc>
          <w:tcPr>
            <w:tcW w:w="540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1960" w:type="dxa"/>
            <w:vAlign w:val="bottom"/>
          </w:tcPr>
          <w:p>
            <w:pPr>
              <w:spacing w:after="0"/>
              <w:rPr>
                <w:sz w:val="24"/>
                <w:szCs w:val="24"/>
                <w:color w:val="auto"/>
              </w:rPr>
            </w:pPr>
          </w:p>
        </w:tc>
        <w:tc>
          <w:tcPr>
            <w:tcW w:w="5400" w:type="dxa"/>
            <w:vAlign w:val="bottom"/>
          </w:tcPr>
          <w:p>
            <w:pPr>
              <w:jc w:val="center"/>
              <w:ind w:right="79"/>
              <w:spacing w:after="0"/>
              <w:rPr>
                <w:sz w:val="20"/>
                <w:szCs w:val="20"/>
                <w:color w:val="auto"/>
              </w:rPr>
            </w:pPr>
            <w:r>
              <w:rPr>
                <w:rFonts w:ascii="Arial" w:cs="Arial" w:eastAsia="Arial" w:hAnsi="Arial"/>
                <w:sz w:val="18"/>
                <w:szCs w:val="18"/>
                <w:b w:val="1"/>
                <w:bCs w:val="1"/>
                <w:color w:val="auto"/>
                <w:w w:val="90"/>
              </w:rPr>
              <w:t>(702) 770-7555</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960" w:type="dxa"/>
            <w:vAlign w:val="bottom"/>
          </w:tcPr>
          <w:p>
            <w:pPr>
              <w:spacing w:after="0"/>
              <w:rPr>
                <w:sz w:val="16"/>
                <w:szCs w:val="16"/>
                <w:color w:val="auto"/>
              </w:rPr>
            </w:pPr>
          </w:p>
        </w:tc>
        <w:tc>
          <w:tcPr>
            <w:tcW w:w="540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1960" w:type="dxa"/>
            <w:vAlign w:val="bottom"/>
          </w:tcPr>
          <w:p>
            <w:pPr>
              <w:spacing w:after="0"/>
              <w:rPr>
                <w:sz w:val="24"/>
                <w:szCs w:val="24"/>
                <w:color w:val="auto"/>
              </w:rPr>
            </w:pPr>
          </w:p>
        </w:tc>
        <w:tc>
          <w:tcPr>
            <w:tcW w:w="5400" w:type="dxa"/>
            <w:vAlign w:val="bottom"/>
          </w:tcPr>
          <w:p>
            <w:pPr>
              <w:jc w:val="center"/>
              <w:ind w:right="79"/>
              <w:spacing w:after="0"/>
              <w:rPr>
                <w:sz w:val="20"/>
                <w:szCs w:val="20"/>
                <w:color w:val="auto"/>
              </w:rPr>
            </w:pPr>
            <w:r>
              <w:rPr>
                <w:rFonts w:ascii="Arial" w:cs="Arial" w:eastAsia="Arial" w:hAnsi="Arial"/>
                <w:sz w:val="18"/>
                <w:szCs w:val="18"/>
                <w:b w:val="1"/>
                <w:bCs w:val="1"/>
                <w:color w:val="auto"/>
                <w:w w:val="92"/>
              </w:rPr>
              <w:t>Not Applicable</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960" w:type="dxa"/>
            <w:vAlign w:val="bottom"/>
          </w:tcPr>
          <w:p>
            <w:pPr>
              <w:spacing w:after="0"/>
              <w:rPr>
                <w:sz w:val="16"/>
                <w:szCs w:val="16"/>
                <w:color w:val="auto"/>
              </w:rPr>
            </w:pPr>
          </w:p>
        </w:tc>
        <w:tc>
          <w:tcPr>
            <w:tcW w:w="540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3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18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47" w:right="239" w:bottom="1440" w:gutter="0" w:footer="0" w:header="0"/>
        </w:sectPr>
      </w:pPr>
    </w:p>
    <w:bookmarkStart w:id="1" w:name="page2"/>
    <w:bookmarkEnd w:id="1"/>
    <w:p>
      <w:pPr>
        <w:ind w:left="280"/>
        <w:spacing w:after="0"/>
        <w:tabs>
          <w:tab w:leader="none" w:pos="16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7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On April 21, 2017, Wynn Resorts, Limited (the “Company”) held its 2017 Annual Meeting of Stockholders (the “Annual Meeting”). The proposals voted upon at the Annual Meeting and the final results of the stockholder vote on each proposal, as certified by IVS Associates, Inc. (“IVS”), the independent inspector of elections for the Annual Meeting, were as follows:</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Proposal 1: Election of Directors</w:t>
      </w:r>
    </w:p>
    <w:p>
      <w:pPr>
        <w:spacing w:after="0" w:line="239"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To elect three Class III directors, each to serve until the 2020 Annual Meeting of Stockholders and until his successor has been duly elected and qualified, or until such director’s earlier death, resignation, removal or retirement:</w:t>
      </w:r>
    </w:p>
    <w:p>
      <w:pPr>
        <w:spacing w:after="0" w:line="11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32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 Nominees</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1640" w:type="dxa"/>
            <w:vAlign w:val="bottom"/>
            <w:gridSpan w:val="2"/>
          </w:tcPr>
          <w:p>
            <w:pPr>
              <w:ind w:left="160"/>
              <w:spacing w:after="0"/>
              <w:rPr>
                <w:sz w:val="20"/>
                <w:szCs w:val="20"/>
                <w:color w:val="auto"/>
              </w:rPr>
            </w:pPr>
            <w:r>
              <w:rPr>
                <w:rFonts w:ascii="Arial" w:cs="Arial" w:eastAsia="Arial" w:hAnsi="Arial"/>
                <w:sz w:val="18"/>
                <w:szCs w:val="18"/>
                <w:b w:val="1"/>
                <w:bCs w:val="1"/>
                <w:color w:val="auto"/>
              </w:rPr>
              <w:t>Votes Withheld</w:t>
            </w:r>
          </w:p>
        </w:tc>
        <w:tc>
          <w:tcPr>
            <w:tcW w:w="1540" w:type="dxa"/>
            <w:vAlign w:val="bottom"/>
          </w:tcPr>
          <w:p>
            <w:pPr>
              <w:ind w:left="80"/>
              <w:spacing w:after="0"/>
              <w:rPr>
                <w:sz w:val="20"/>
                <w:szCs w:val="20"/>
                <w:color w:val="auto"/>
              </w:rPr>
            </w:pPr>
            <w:r>
              <w:rPr>
                <w:rFonts w:ascii="Arial" w:cs="Arial" w:eastAsia="Arial" w:hAnsi="Arial"/>
                <w:sz w:val="18"/>
                <w:szCs w:val="18"/>
                <w:b w:val="1"/>
                <w:bCs w:val="1"/>
                <w:color w:val="auto"/>
                <w:w w:val="94"/>
              </w:rPr>
              <w:t>Broker Non-Votes</w:t>
            </w:r>
          </w:p>
        </w:tc>
      </w:tr>
      <w:tr>
        <w:trPr>
          <w:trHeight w:val="27"/>
        </w:trPr>
        <w:tc>
          <w:tcPr>
            <w:tcW w:w="4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Robert J. Miller</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72,726,655</w:t>
            </w:r>
          </w:p>
        </w:tc>
        <w:tc>
          <w:tcPr>
            <w:tcW w:w="1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9,064,073</w:t>
            </w:r>
          </w:p>
        </w:tc>
        <w:tc>
          <w:tcPr>
            <w:tcW w:w="1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9,747,427</w:t>
            </w:r>
          </w:p>
        </w:tc>
      </w:tr>
      <w:tr>
        <w:trPr>
          <w:trHeight w:val="270"/>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Clark T. Randt, Jr.</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68,769,547</w:t>
            </w:r>
          </w:p>
        </w:tc>
        <w:tc>
          <w:tcPr>
            <w:tcW w:w="12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3,194,181</w:t>
            </w:r>
          </w:p>
        </w:tc>
        <w:tc>
          <w:tcPr>
            <w:tcW w:w="1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9,747,427</w:t>
            </w:r>
          </w:p>
        </w:tc>
      </w:tr>
      <w:tr>
        <w:trPr>
          <w:trHeight w:val="270"/>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D. Boone Wayson</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68,619,280</w:t>
            </w:r>
          </w:p>
        </w:tc>
        <w:tc>
          <w:tcPr>
            <w:tcW w:w="12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1,091,648</w:t>
            </w:r>
          </w:p>
        </w:tc>
        <w:tc>
          <w:tcPr>
            <w:tcW w:w="1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9,747,427</w:t>
            </w:r>
          </w:p>
        </w:tc>
      </w:tr>
      <w:tr>
        <w:trPr>
          <w:trHeight w:val="270"/>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Elaine P. Wynn</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21,366,800</w:t>
            </w:r>
          </w:p>
        </w:tc>
        <w:tc>
          <w:tcPr>
            <w:tcW w:w="120" w:type="dxa"/>
            <w:vAlign w:val="bottom"/>
          </w:tcPr>
          <w:p>
            <w:pPr>
              <w:spacing w:after="0"/>
              <w:rPr>
                <w:sz w:val="23"/>
                <w:szCs w:val="23"/>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42"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The Company’s nominees for election as directors were Robert J. Miller, Clark T. Randt, Jr. and D. Boone Wayson. Based on the final voting results, the following Class III directors were elected with their terms expiring in 2020: Robert J. Miller, Clark T. Randt, Jr. and D. Boone Wayson. The following Class I directors remain in office with their terms expiring in 2018: John J. Hagenbuch, Patricia Mulroy and J. Edward Virtue. The following Class II directors remain in office with their terms expiring in 2019: Dr. Ray R. Irani, Jay L. Johnson, Alvin V. Shoemaker and Stephen A. Wynn. The 21,366,800 votes received for Ms. Wynn consist of 9,287,000 shares owned by Ms. Wynn and 12,079,800 shares owned by the Wynn Family Limited Partnership (Stephen A. Wynn’s shares), all of which were voted by Mr. Wynn in favor of Ms. Wynn in accordance with the terms of the Amended and Restated Stockholders Agreement dated as of January 6, 2010.</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Proposal 2: Ratification of Appointment of Independent Registered Public Accounting Firm</w:t>
      </w:r>
    </w:p>
    <w:p>
      <w:pPr>
        <w:spacing w:after="0" w:line="23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To ratify the Audit Committee’s appointment of Ernst &amp; Young LLP as the independent registered public accounting firm for the Company and its subsidiaries for the fiscal year ending December 31, 2017:</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Against</w:t>
            </w:r>
          </w:p>
        </w:tc>
        <w:tc>
          <w:tcPr>
            <w:tcW w:w="2840" w:type="dxa"/>
            <w:vAlign w:val="bottom"/>
            <w:gridSpan w:val="2"/>
          </w:tcPr>
          <w:p>
            <w:pPr>
              <w:ind w:left="1060"/>
              <w:spacing w:after="0"/>
              <w:rPr>
                <w:sz w:val="20"/>
                <w:szCs w:val="20"/>
                <w:color w:val="auto"/>
              </w:rPr>
            </w:pPr>
            <w:r>
              <w:rPr>
                <w:rFonts w:ascii="Arial" w:cs="Arial" w:eastAsia="Arial" w:hAnsi="Arial"/>
                <w:sz w:val="18"/>
                <w:szCs w:val="18"/>
                <w:b w:val="1"/>
                <w:bCs w:val="1"/>
                <w:color w:val="auto"/>
              </w:rPr>
              <w:t>Abstain</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Broker Non-Votes</w:t>
            </w:r>
          </w:p>
        </w:tc>
      </w:tr>
      <w:tr>
        <w:trPr>
          <w:trHeight w:val="27"/>
        </w:trPr>
        <w:tc>
          <w:tcPr>
            <w:tcW w:w="2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2860" w:type="dxa"/>
            <w:vAlign w:val="bottom"/>
          </w:tcPr>
          <w:p>
            <w:pPr>
              <w:jc w:val="right"/>
              <w:ind w:right="930"/>
              <w:spacing w:after="0"/>
              <w:rPr>
                <w:sz w:val="20"/>
                <w:szCs w:val="20"/>
                <w:color w:val="auto"/>
              </w:rPr>
            </w:pPr>
            <w:r>
              <w:rPr>
                <w:rFonts w:ascii="Arial" w:cs="Arial" w:eastAsia="Arial" w:hAnsi="Arial"/>
                <w:sz w:val="18"/>
                <w:szCs w:val="18"/>
                <w:color w:val="auto"/>
              </w:rPr>
              <w:t>90,913,844</w:t>
            </w:r>
          </w:p>
        </w:tc>
        <w:tc>
          <w:tcPr>
            <w:tcW w:w="120" w:type="dxa"/>
            <w:vAlign w:val="bottom"/>
          </w:tcPr>
          <w:p>
            <w:pPr>
              <w:spacing w:after="0"/>
              <w:rPr>
                <w:sz w:val="20"/>
                <w:szCs w:val="20"/>
                <w:color w:val="auto"/>
              </w:rPr>
            </w:pPr>
          </w:p>
        </w:tc>
        <w:tc>
          <w:tcPr>
            <w:tcW w:w="2740" w:type="dxa"/>
            <w:vAlign w:val="bottom"/>
          </w:tcPr>
          <w:p>
            <w:pPr>
              <w:jc w:val="right"/>
              <w:ind w:right="990"/>
              <w:spacing w:after="0"/>
              <w:rPr>
                <w:sz w:val="20"/>
                <w:szCs w:val="20"/>
                <w:color w:val="auto"/>
              </w:rPr>
            </w:pPr>
            <w:r>
              <w:rPr>
                <w:rFonts w:ascii="Arial" w:cs="Arial" w:eastAsia="Arial" w:hAnsi="Arial"/>
                <w:sz w:val="18"/>
                <w:szCs w:val="18"/>
                <w:color w:val="auto"/>
              </w:rPr>
              <w:t>460,002</w:t>
            </w:r>
          </w:p>
        </w:tc>
        <w:tc>
          <w:tcPr>
            <w:tcW w:w="100" w:type="dxa"/>
            <w:vAlign w:val="bottom"/>
          </w:tcPr>
          <w:p>
            <w:pPr>
              <w:spacing w:after="0"/>
              <w:rPr>
                <w:sz w:val="20"/>
                <w:szCs w:val="20"/>
                <w:color w:val="auto"/>
              </w:rPr>
            </w:pPr>
          </w:p>
        </w:tc>
        <w:tc>
          <w:tcPr>
            <w:tcW w:w="2740" w:type="dxa"/>
            <w:vAlign w:val="bottom"/>
          </w:tcPr>
          <w:p>
            <w:pPr>
              <w:ind w:left="1080"/>
              <w:spacing w:after="0"/>
              <w:rPr>
                <w:sz w:val="20"/>
                <w:szCs w:val="20"/>
                <w:color w:val="auto"/>
              </w:rPr>
            </w:pPr>
            <w:r>
              <w:rPr>
                <w:rFonts w:ascii="Arial" w:cs="Arial" w:eastAsia="Arial" w:hAnsi="Arial"/>
                <w:sz w:val="18"/>
                <w:szCs w:val="18"/>
                <w:color w:val="auto"/>
              </w:rPr>
              <w:t>164,309</w:t>
            </w:r>
          </w:p>
        </w:tc>
        <w:tc>
          <w:tcPr>
            <w:tcW w:w="10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Proposal 3: Approval, on an Advisory Basis, of our Executive Compensation</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To approve, on a non-binding advisory basis, the compensation of the Company’s named executive officers as described in the Proxy Statement:</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Against</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Abstain</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Broker Non-Votes</w:t>
            </w:r>
          </w:p>
        </w:tc>
      </w:tr>
      <w:tr>
        <w:trPr>
          <w:trHeight w:val="27"/>
        </w:trPr>
        <w:tc>
          <w:tcPr>
            <w:tcW w:w="2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2860" w:type="dxa"/>
            <w:vAlign w:val="bottom"/>
          </w:tcPr>
          <w:p>
            <w:pPr>
              <w:jc w:val="right"/>
              <w:ind w:right="930"/>
              <w:spacing w:after="0"/>
              <w:rPr>
                <w:sz w:val="20"/>
                <w:szCs w:val="20"/>
                <w:color w:val="auto"/>
              </w:rPr>
            </w:pPr>
            <w:r>
              <w:rPr>
                <w:rFonts w:ascii="Arial" w:cs="Arial" w:eastAsia="Arial" w:hAnsi="Arial"/>
                <w:sz w:val="18"/>
                <w:szCs w:val="18"/>
                <w:color w:val="auto"/>
              </w:rPr>
              <w:t>47,963,161</w:t>
            </w:r>
          </w:p>
        </w:tc>
        <w:tc>
          <w:tcPr>
            <w:tcW w:w="120" w:type="dxa"/>
            <w:vAlign w:val="bottom"/>
          </w:tcPr>
          <w:p>
            <w:pPr>
              <w:spacing w:after="0"/>
              <w:rPr>
                <w:sz w:val="20"/>
                <w:szCs w:val="20"/>
                <w:color w:val="auto"/>
              </w:rPr>
            </w:pPr>
          </w:p>
        </w:tc>
        <w:tc>
          <w:tcPr>
            <w:tcW w:w="2740" w:type="dxa"/>
            <w:vAlign w:val="bottom"/>
          </w:tcPr>
          <w:p>
            <w:pPr>
              <w:jc w:val="right"/>
              <w:ind w:right="890"/>
              <w:spacing w:after="0"/>
              <w:rPr>
                <w:sz w:val="20"/>
                <w:szCs w:val="20"/>
                <w:color w:val="auto"/>
              </w:rPr>
            </w:pPr>
            <w:r>
              <w:rPr>
                <w:rFonts w:ascii="Arial" w:cs="Arial" w:eastAsia="Arial" w:hAnsi="Arial"/>
                <w:sz w:val="18"/>
                <w:szCs w:val="18"/>
                <w:color w:val="auto"/>
              </w:rPr>
              <w:t>33,757,741</w:t>
            </w:r>
          </w:p>
        </w:tc>
        <w:tc>
          <w:tcPr>
            <w:tcW w:w="100" w:type="dxa"/>
            <w:vAlign w:val="bottom"/>
          </w:tcPr>
          <w:p>
            <w:pPr>
              <w:spacing w:after="0"/>
              <w:rPr>
                <w:sz w:val="20"/>
                <w:szCs w:val="20"/>
                <w:color w:val="auto"/>
              </w:rPr>
            </w:pPr>
          </w:p>
        </w:tc>
        <w:tc>
          <w:tcPr>
            <w:tcW w:w="2740" w:type="dxa"/>
            <w:vAlign w:val="bottom"/>
          </w:tcPr>
          <w:p>
            <w:pPr>
              <w:jc w:val="right"/>
              <w:ind w:right="1030"/>
              <w:spacing w:after="0"/>
              <w:rPr>
                <w:sz w:val="20"/>
                <w:szCs w:val="20"/>
                <w:color w:val="auto"/>
              </w:rPr>
            </w:pPr>
            <w:r>
              <w:rPr>
                <w:rFonts w:ascii="Arial" w:cs="Arial" w:eastAsia="Arial" w:hAnsi="Arial"/>
                <w:sz w:val="18"/>
                <w:szCs w:val="18"/>
                <w:color w:val="auto"/>
              </w:rPr>
              <w:t>69,826</w:t>
            </w:r>
          </w:p>
        </w:tc>
        <w:tc>
          <w:tcPr>
            <w:tcW w:w="100" w:type="dxa"/>
            <w:vAlign w:val="bottom"/>
          </w:tcPr>
          <w:p>
            <w:pPr>
              <w:spacing w:after="0"/>
              <w:rPr>
                <w:sz w:val="20"/>
                <w:szCs w:val="20"/>
                <w:color w:val="auto"/>
              </w:rPr>
            </w:pPr>
          </w:p>
        </w:tc>
        <w:tc>
          <w:tcPr>
            <w:tcW w:w="2720" w:type="dxa"/>
            <w:vAlign w:val="bottom"/>
          </w:tcPr>
          <w:p>
            <w:pPr>
              <w:jc w:val="right"/>
              <w:ind w:right="910"/>
              <w:spacing w:after="0"/>
              <w:rPr>
                <w:sz w:val="20"/>
                <w:szCs w:val="20"/>
                <w:color w:val="auto"/>
              </w:rPr>
            </w:pPr>
            <w:r>
              <w:rPr>
                <w:rFonts w:ascii="Arial" w:cs="Arial" w:eastAsia="Arial" w:hAnsi="Arial"/>
                <w:sz w:val="18"/>
                <w:szCs w:val="18"/>
                <w:color w:val="auto"/>
              </w:rPr>
              <w:t>9,747,427</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Proposal 4: Approval, on an Advisory Basis, of the Frequency of Future Advisory Votes on Executive Compensation</w:t>
      </w:r>
    </w:p>
    <w:p>
      <w:pPr>
        <w:spacing w:after="0" w:line="225" w:lineRule="exact"/>
        <w:rPr>
          <w:sz w:val="20"/>
          <w:szCs w:val="20"/>
          <w:color w:val="auto"/>
        </w:rPr>
      </w:pPr>
    </w:p>
    <w:p>
      <w:pPr>
        <w:ind w:right="380" w:firstLine="392"/>
        <w:spacing w:after="0" w:line="277" w:lineRule="auto"/>
        <w:rPr>
          <w:sz w:val="20"/>
          <w:szCs w:val="20"/>
          <w:color w:val="auto"/>
        </w:rPr>
      </w:pPr>
      <w:r>
        <w:rPr>
          <w:rFonts w:ascii="Arial" w:cs="Arial" w:eastAsia="Arial" w:hAnsi="Arial"/>
          <w:sz w:val="18"/>
          <w:szCs w:val="18"/>
          <w:color w:val="auto"/>
        </w:rPr>
        <w:t>To approve, on a non-binding advisory basis, whether future advisory votes on executive compensation should occur every year, every two years or every three years: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3 Years</w:t>
            </w:r>
          </w:p>
        </w:tc>
        <w:tc>
          <w:tcPr>
            <w:tcW w:w="2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2 Years</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1 Year</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Abstain</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2280" w:type="dxa"/>
            <w:vAlign w:val="bottom"/>
          </w:tcPr>
          <w:p>
            <w:pPr>
              <w:jc w:val="right"/>
              <w:ind w:right="650"/>
              <w:spacing w:after="0"/>
              <w:rPr>
                <w:sz w:val="20"/>
                <w:szCs w:val="20"/>
                <w:color w:val="auto"/>
              </w:rPr>
            </w:pPr>
            <w:r>
              <w:rPr>
                <w:rFonts w:ascii="Arial" w:cs="Arial" w:eastAsia="Arial" w:hAnsi="Arial"/>
                <w:sz w:val="18"/>
                <w:szCs w:val="18"/>
                <w:color w:val="auto"/>
              </w:rPr>
              <w:t>39,057,682</w:t>
            </w:r>
          </w:p>
        </w:tc>
        <w:tc>
          <w:tcPr>
            <w:tcW w:w="120" w:type="dxa"/>
            <w:vAlign w:val="bottom"/>
          </w:tcPr>
          <w:p>
            <w:pPr>
              <w:spacing w:after="0"/>
              <w:rPr>
                <w:sz w:val="20"/>
                <w:szCs w:val="20"/>
                <w:color w:val="auto"/>
              </w:rPr>
            </w:pPr>
          </w:p>
        </w:tc>
        <w:tc>
          <w:tcPr>
            <w:tcW w:w="2180" w:type="dxa"/>
            <w:vAlign w:val="bottom"/>
          </w:tcPr>
          <w:p>
            <w:pPr>
              <w:jc w:val="right"/>
              <w:ind w:right="630"/>
              <w:spacing w:after="0"/>
              <w:rPr>
                <w:sz w:val="20"/>
                <w:szCs w:val="20"/>
                <w:color w:val="auto"/>
              </w:rPr>
            </w:pPr>
            <w:r>
              <w:rPr>
                <w:rFonts w:ascii="Arial" w:cs="Arial" w:eastAsia="Arial" w:hAnsi="Arial"/>
                <w:sz w:val="18"/>
                <w:szCs w:val="18"/>
                <w:color w:val="auto"/>
              </w:rPr>
              <w:t>9,488,202</w:t>
            </w:r>
          </w:p>
        </w:tc>
        <w:tc>
          <w:tcPr>
            <w:tcW w:w="100" w:type="dxa"/>
            <w:vAlign w:val="bottom"/>
          </w:tcPr>
          <w:p>
            <w:pPr>
              <w:spacing w:after="0"/>
              <w:rPr>
                <w:sz w:val="20"/>
                <w:szCs w:val="20"/>
                <w:color w:val="auto"/>
              </w:rPr>
            </w:pPr>
          </w:p>
        </w:tc>
        <w:tc>
          <w:tcPr>
            <w:tcW w:w="2160" w:type="dxa"/>
            <w:vAlign w:val="bottom"/>
          </w:tcPr>
          <w:p>
            <w:pPr>
              <w:jc w:val="right"/>
              <w:ind w:right="570"/>
              <w:spacing w:after="0"/>
              <w:rPr>
                <w:sz w:val="20"/>
                <w:szCs w:val="20"/>
                <w:color w:val="auto"/>
              </w:rPr>
            </w:pPr>
            <w:r>
              <w:rPr>
                <w:rFonts w:ascii="Arial" w:cs="Arial" w:eastAsia="Arial" w:hAnsi="Arial"/>
                <w:sz w:val="18"/>
                <w:szCs w:val="18"/>
                <w:color w:val="auto"/>
              </w:rPr>
              <w:t>33,152,150</w:t>
            </w:r>
          </w:p>
        </w:tc>
        <w:tc>
          <w:tcPr>
            <w:tcW w:w="120" w:type="dxa"/>
            <w:vAlign w:val="bottom"/>
          </w:tcPr>
          <w:p>
            <w:pPr>
              <w:spacing w:after="0"/>
              <w:rPr>
                <w:sz w:val="20"/>
                <w:szCs w:val="20"/>
                <w:color w:val="auto"/>
              </w:rPr>
            </w:pPr>
          </w:p>
        </w:tc>
        <w:tc>
          <w:tcPr>
            <w:tcW w:w="2160" w:type="dxa"/>
            <w:vAlign w:val="bottom"/>
          </w:tcPr>
          <w:p>
            <w:pPr>
              <w:jc w:val="right"/>
              <w:ind w:right="750"/>
              <w:spacing w:after="0"/>
              <w:rPr>
                <w:sz w:val="20"/>
                <w:szCs w:val="20"/>
                <w:color w:val="auto"/>
              </w:rPr>
            </w:pPr>
            <w:r>
              <w:rPr>
                <w:rFonts w:ascii="Arial" w:cs="Arial" w:eastAsia="Arial" w:hAnsi="Arial"/>
                <w:sz w:val="18"/>
                <w:szCs w:val="18"/>
                <w:color w:val="auto"/>
              </w:rPr>
              <w:t>92,694</w:t>
            </w:r>
          </w:p>
        </w:tc>
        <w:tc>
          <w:tcPr>
            <w:tcW w:w="100" w:type="dxa"/>
            <w:vAlign w:val="bottom"/>
          </w:tcPr>
          <w:p>
            <w:pPr>
              <w:spacing w:after="0"/>
              <w:rPr>
                <w:sz w:val="20"/>
                <w:szCs w:val="20"/>
                <w:color w:val="auto"/>
              </w:rPr>
            </w:pPr>
          </w:p>
        </w:tc>
        <w:tc>
          <w:tcPr>
            <w:tcW w:w="2160" w:type="dxa"/>
            <w:vAlign w:val="bottom"/>
          </w:tcPr>
          <w:p>
            <w:pPr>
              <w:jc w:val="right"/>
              <w:ind w:right="630"/>
              <w:spacing w:after="0"/>
              <w:rPr>
                <w:sz w:val="20"/>
                <w:szCs w:val="20"/>
                <w:color w:val="auto"/>
              </w:rPr>
            </w:pPr>
            <w:r>
              <w:rPr>
                <w:rFonts w:ascii="Arial" w:cs="Arial" w:eastAsia="Arial" w:hAnsi="Arial"/>
                <w:sz w:val="18"/>
                <w:szCs w:val="18"/>
                <w:color w:val="auto"/>
              </w:rPr>
              <w:t>9,747,427</w:t>
            </w:r>
          </w:p>
        </w:tc>
      </w:tr>
    </w:tbl>
    <w:p>
      <w:pPr>
        <w:sectPr>
          <w:pgSz w:w="11900" w:h="16838" w:orient="portrait"/>
          <w:cols w:equalWidth="0" w:num="1">
            <w:col w:w="11400"/>
          </w:cols>
          <w:pgMar w:left="240" w:top="742" w:right="259" w:bottom="1440" w:gutter="0" w:footer="0" w:header="0"/>
        </w:sectPr>
      </w:pPr>
    </w:p>
    <w:bookmarkStart w:id="2" w:name="page3"/>
    <w:bookmarkEnd w:id="2"/>
    <w:p>
      <w:pPr>
        <w:ind w:left="400"/>
        <w:spacing w:after="0"/>
        <w:rPr>
          <w:sz w:val="20"/>
          <w:szCs w:val="20"/>
          <w:color w:val="auto"/>
        </w:rPr>
      </w:pPr>
      <w:r>
        <w:rPr>
          <w:rFonts w:ascii="Arial" w:cs="Arial" w:eastAsia="Arial" w:hAnsi="Arial"/>
          <w:sz w:val="18"/>
          <w:szCs w:val="18"/>
          <w:i w:val="1"/>
          <w:iCs w:val="1"/>
          <w:color w:val="auto"/>
        </w:rPr>
        <w:t>Proposal 5: Stockholder Proposal Regarding A Political Contributions Report</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 request that the Company provide a political contributions report, updated semiannually, setting forth specified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Against</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Abstain</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Broker Non-Votes</w:t>
            </w:r>
          </w:p>
        </w:tc>
      </w:tr>
      <w:tr>
        <w:trPr>
          <w:trHeight w:val="27"/>
        </w:trPr>
        <w:tc>
          <w:tcPr>
            <w:tcW w:w="2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2860" w:type="dxa"/>
            <w:vAlign w:val="bottom"/>
          </w:tcPr>
          <w:p>
            <w:pPr>
              <w:jc w:val="right"/>
              <w:ind w:right="930"/>
              <w:spacing w:after="0"/>
              <w:rPr>
                <w:sz w:val="20"/>
                <w:szCs w:val="20"/>
                <w:color w:val="auto"/>
              </w:rPr>
            </w:pPr>
            <w:r>
              <w:rPr>
                <w:rFonts w:ascii="Arial" w:cs="Arial" w:eastAsia="Arial" w:hAnsi="Arial"/>
                <w:sz w:val="18"/>
                <w:szCs w:val="18"/>
                <w:color w:val="auto"/>
              </w:rPr>
              <w:t>23,928,209</w:t>
            </w:r>
          </w:p>
        </w:tc>
        <w:tc>
          <w:tcPr>
            <w:tcW w:w="120" w:type="dxa"/>
            <w:vAlign w:val="bottom"/>
          </w:tcPr>
          <w:p>
            <w:pPr>
              <w:spacing w:after="0"/>
              <w:rPr>
                <w:sz w:val="20"/>
                <w:szCs w:val="20"/>
                <w:color w:val="auto"/>
              </w:rPr>
            </w:pPr>
          </w:p>
        </w:tc>
        <w:tc>
          <w:tcPr>
            <w:tcW w:w="2740" w:type="dxa"/>
            <w:vAlign w:val="bottom"/>
          </w:tcPr>
          <w:p>
            <w:pPr>
              <w:jc w:val="right"/>
              <w:ind w:right="890"/>
              <w:spacing w:after="0"/>
              <w:rPr>
                <w:sz w:val="20"/>
                <w:szCs w:val="20"/>
                <w:color w:val="auto"/>
              </w:rPr>
            </w:pPr>
            <w:r>
              <w:rPr>
                <w:rFonts w:ascii="Arial" w:cs="Arial" w:eastAsia="Arial" w:hAnsi="Arial"/>
                <w:sz w:val="18"/>
                <w:szCs w:val="18"/>
                <w:color w:val="auto"/>
              </w:rPr>
              <w:t>56,535,531</w:t>
            </w:r>
          </w:p>
        </w:tc>
        <w:tc>
          <w:tcPr>
            <w:tcW w:w="100" w:type="dxa"/>
            <w:vAlign w:val="bottom"/>
          </w:tcPr>
          <w:p>
            <w:pPr>
              <w:spacing w:after="0"/>
              <w:rPr>
                <w:sz w:val="20"/>
                <w:szCs w:val="20"/>
                <w:color w:val="auto"/>
              </w:rPr>
            </w:pPr>
          </w:p>
        </w:tc>
        <w:tc>
          <w:tcPr>
            <w:tcW w:w="2740" w:type="dxa"/>
            <w:vAlign w:val="bottom"/>
          </w:tcPr>
          <w:p>
            <w:pPr>
              <w:jc w:val="right"/>
              <w:ind w:right="930"/>
              <w:spacing w:after="0"/>
              <w:rPr>
                <w:sz w:val="20"/>
                <w:szCs w:val="20"/>
                <w:color w:val="auto"/>
              </w:rPr>
            </w:pPr>
            <w:r>
              <w:rPr>
                <w:rFonts w:ascii="Arial" w:cs="Arial" w:eastAsia="Arial" w:hAnsi="Arial"/>
                <w:sz w:val="18"/>
                <w:szCs w:val="18"/>
                <w:color w:val="auto"/>
              </w:rPr>
              <w:t>1,326,988</w:t>
            </w:r>
          </w:p>
        </w:tc>
        <w:tc>
          <w:tcPr>
            <w:tcW w:w="100" w:type="dxa"/>
            <w:vAlign w:val="bottom"/>
          </w:tcPr>
          <w:p>
            <w:pPr>
              <w:spacing w:after="0"/>
              <w:rPr>
                <w:sz w:val="20"/>
                <w:szCs w:val="20"/>
                <w:color w:val="auto"/>
              </w:rPr>
            </w:pPr>
          </w:p>
        </w:tc>
        <w:tc>
          <w:tcPr>
            <w:tcW w:w="2720" w:type="dxa"/>
            <w:vAlign w:val="bottom"/>
          </w:tcPr>
          <w:p>
            <w:pPr>
              <w:jc w:val="right"/>
              <w:ind w:right="910"/>
              <w:spacing w:after="0"/>
              <w:rPr>
                <w:sz w:val="20"/>
                <w:szCs w:val="20"/>
                <w:color w:val="auto"/>
              </w:rPr>
            </w:pPr>
            <w:r>
              <w:rPr>
                <w:rFonts w:ascii="Arial" w:cs="Arial" w:eastAsia="Arial" w:hAnsi="Arial"/>
                <w:sz w:val="18"/>
                <w:szCs w:val="18"/>
                <w:color w:val="auto"/>
              </w:rPr>
              <w:t>9,747,427</w:t>
            </w:r>
          </w:p>
        </w:tc>
      </w:tr>
    </w:tbl>
    <w:p>
      <w:pPr>
        <w:sectPr>
          <w:pgSz w:w="11900" w:h="16838" w:orient="portrait"/>
          <w:cols w:equalWidth="0" w:num="1">
            <w:col w:w="11380"/>
          </w:cols>
          <w:pgMar w:left="260" w:top="814" w:right="25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32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540" w:val="left"/>
          <w:tab w:leader="none" w:pos="7220" w:val="left"/>
        </w:tabs>
        <w:rPr>
          <w:sz w:val="20"/>
          <w:szCs w:val="20"/>
          <w:color w:val="auto"/>
        </w:rPr>
      </w:pPr>
      <w:r>
        <w:rPr>
          <w:rFonts w:ascii="Arial" w:cs="Arial" w:eastAsia="Arial" w:hAnsi="Arial"/>
          <w:sz w:val="18"/>
          <w:szCs w:val="18"/>
          <w:color w:val="auto"/>
        </w:rPr>
        <w:t>Dated: April 26,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Kim Sinatra</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Vice President and General Counsel</w:t>
      </w:r>
    </w:p>
    <w:sectPr>
      <w:pgSz w:w="11900" w:h="16838" w:orient="portrait"/>
      <w:cols w:equalWidth="0" w:num="1">
        <w:col w:w="11200"/>
      </w:cols>
      <w:pgMar w:left="240" w:top="101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2019-12-06T17:59:22Z</dcterms:created>
  <dcterms:modified xsi:type="dcterms:W3CDTF">2019-12-06T17:59:22Z</dcterms:modified>
</cp:coreProperties>
</file>