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99695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64" w:lineRule="exact"/>
        <w:rPr>
          <w:sz w:val="24"/>
          <w:szCs w:val="24"/>
          <w:color w:val="auto"/>
        </w:rPr>
      </w:pPr>
    </w:p>
    <w:p>
      <w:pPr>
        <w:ind w:left="460" w:right="420" w:hanging="452"/>
        <w:spacing w:after="0" w:line="275" w:lineRule="auto"/>
        <w:tabs>
          <w:tab w:leader="none" w:pos="449"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 For the fiscal year ended December 31, 2012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44"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28" w:lineRule="exact"/>
        <w:rPr>
          <w:sz w:val="24"/>
          <w:szCs w:val="24"/>
          <w:color w:val="auto"/>
        </w:rPr>
      </w:pPr>
    </w:p>
    <w:p>
      <w:pPr>
        <w:ind w:left="460"/>
        <w:spacing w:after="0"/>
        <w:tabs>
          <w:tab w:leader="none" w:pos="3820" w:val="left"/>
        </w:tabs>
        <w:rPr>
          <w:sz w:val="20"/>
          <w:szCs w:val="20"/>
          <w:color w:val="auto"/>
        </w:rPr>
      </w:pPr>
      <w:r>
        <w:rPr>
          <w:rFonts w:ascii="Arial" w:cs="Arial" w:eastAsia="Arial" w:hAnsi="Arial"/>
          <w:sz w:val="22"/>
          <w:szCs w:val="22"/>
          <w:b w:val="1"/>
          <w:bCs w:val="1"/>
          <w:color w:val="auto"/>
        </w:rPr>
        <w:t>For the transition period</w:t>
      </w:r>
      <w:r>
        <w:rPr>
          <w:sz w:val="20"/>
          <w:szCs w:val="20"/>
          <w:color w:val="auto"/>
        </w:rPr>
        <w:tab/>
      </w:r>
      <w:r>
        <w:rPr>
          <w:rFonts w:ascii="Arial" w:cs="Arial" w:eastAsia="Arial" w:hAnsi="Arial"/>
          <w:sz w:val="19"/>
          <w:szCs w:val="19"/>
          <w:b w:val="1"/>
          <w:bCs w:val="1"/>
          <w:color w:val="auto"/>
        </w:rPr>
        <w:t>to</w:t>
      </w:r>
    </w:p>
    <w:p>
      <w:pPr>
        <w:sectPr>
          <w:pgSz w:w="11900" w:h="16838" w:orient="portrait"/>
          <w:cols w:equalWidth="0" w:num="1">
            <w:col w:w="11420"/>
          </w:cols>
          <w:pgMar w:left="240" w:top="230" w:right="239" w:bottom="1440" w:gutter="0" w:footer="0" w:header="0"/>
          <w:type w:val="continuous"/>
        </w:sectPr>
      </w:pPr>
    </w:p>
    <w:p>
      <w:pPr>
        <w:spacing w:after="0" w:line="8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Commission File No. 333-100768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139700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7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LAS VEGAS, LLC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0" w:lineRule="exact"/>
        <w:rPr>
          <w:sz w:val="24"/>
          <w:szCs w:val="24"/>
          <w:color w:val="auto"/>
        </w:rPr>
      </w:pPr>
    </w:p>
    <w:tbl>
      <w:tblPr>
        <w:tblLayout w:type="fixed"/>
        <w:tblInd w:w="460" w:type="dxa"/>
        <w:tblCellMar>
          <w:top w:w="0" w:type="dxa"/>
          <w:left w:w="0" w:type="dxa"/>
          <w:bottom w:w="0" w:type="dxa"/>
          <w:right w:w="0" w:type="dxa"/>
        </w:tblCellMar>
      </w:tblPr>
      <w:tr>
        <w:trPr>
          <w:trHeight w:val="218"/>
        </w:trPr>
        <w:tc>
          <w:tcPr>
            <w:tcW w:w="7500" w:type="dxa"/>
            <w:vAlign w:val="bottom"/>
            <w:gridSpan w:val="3"/>
          </w:tcPr>
          <w:p>
            <w:pPr>
              <w:jc w:val="center"/>
              <w:ind w:right="2640"/>
              <w:spacing w:after="0"/>
              <w:rPr>
                <w:sz w:val="20"/>
                <w:szCs w:val="20"/>
                <w:color w:val="auto"/>
              </w:rPr>
            </w:pPr>
            <w:r>
              <w:rPr>
                <w:rFonts w:ascii="Arial" w:cs="Arial" w:eastAsia="Arial" w:hAnsi="Arial"/>
                <w:sz w:val="18"/>
                <w:szCs w:val="18"/>
                <w:b w:val="1"/>
                <w:bCs w:val="1"/>
                <w:color w:val="auto"/>
                <w:w w:val="90"/>
              </w:rPr>
              <w:t>Nevada</w:t>
            </w:r>
          </w:p>
        </w:tc>
        <w:tc>
          <w:tcPr>
            <w:tcW w:w="1460" w:type="dxa"/>
            <w:vAlign w:val="bottom"/>
          </w:tcPr>
          <w:p>
            <w:pPr>
              <w:jc w:val="center"/>
              <w:ind w:right="6"/>
              <w:spacing w:after="0"/>
              <w:rPr>
                <w:sz w:val="20"/>
                <w:szCs w:val="20"/>
                <w:color w:val="auto"/>
              </w:rPr>
            </w:pPr>
            <w:r>
              <w:rPr>
                <w:rFonts w:ascii="Arial" w:cs="Arial" w:eastAsia="Arial" w:hAnsi="Arial"/>
                <w:sz w:val="18"/>
                <w:szCs w:val="18"/>
                <w:b w:val="1"/>
                <w:bCs w:val="1"/>
                <w:color w:val="auto"/>
                <w:w w:val="89"/>
              </w:rPr>
              <w:t>88-0494875</w:t>
            </w:r>
          </w:p>
        </w:tc>
        <w:tc>
          <w:tcPr>
            <w:tcW w:w="620" w:type="dxa"/>
            <w:vAlign w:val="bottom"/>
          </w:tcPr>
          <w:p>
            <w:pPr>
              <w:spacing w:after="0"/>
              <w:rPr>
                <w:sz w:val="18"/>
                <w:szCs w:val="18"/>
                <w:color w:val="auto"/>
              </w:rPr>
            </w:pPr>
          </w:p>
        </w:tc>
      </w:tr>
      <w:tr>
        <w:trPr>
          <w:trHeight w:val="149"/>
        </w:trPr>
        <w:tc>
          <w:tcPr>
            <w:tcW w:w="7500" w:type="dxa"/>
            <w:vAlign w:val="bottom"/>
            <w:gridSpan w:val="3"/>
          </w:tcPr>
          <w:p>
            <w:pPr>
              <w:jc w:val="center"/>
              <w:ind w:right="264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460" w:type="dxa"/>
            <w:vAlign w:val="bottom"/>
          </w:tcPr>
          <w:p>
            <w:pPr>
              <w:jc w:val="center"/>
              <w:ind w:right="6"/>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620" w:type="dxa"/>
            <w:vAlign w:val="bottom"/>
          </w:tcPr>
          <w:p>
            <w:pPr>
              <w:spacing w:after="0"/>
              <w:rPr>
                <w:sz w:val="12"/>
                <w:szCs w:val="12"/>
                <w:color w:val="auto"/>
              </w:rPr>
            </w:pPr>
          </w:p>
        </w:tc>
      </w:tr>
      <w:tr>
        <w:trPr>
          <w:trHeight w:val="174"/>
        </w:trPr>
        <w:tc>
          <w:tcPr>
            <w:tcW w:w="7500" w:type="dxa"/>
            <w:vAlign w:val="bottom"/>
            <w:gridSpan w:val="3"/>
          </w:tcPr>
          <w:p>
            <w:pPr>
              <w:jc w:val="center"/>
              <w:ind w:right="2620"/>
              <w:spacing w:after="0"/>
              <w:rPr>
                <w:sz w:val="20"/>
                <w:szCs w:val="20"/>
                <w:color w:val="auto"/>
              </w:rPr>
            </w:pPr>
            <w:r>
              <w:rPr>
                <w:rFonts w:ascii="Arial" w:cs="Arial" w:eastAsia="Arial" w:hAnsi="Arial"/>
                <w:sz w:val="14"/>
                <w:szCs w:val="14"/>
                <w:b w:val="1"/>
                <w:bCs w:val="1"/>
                <w:color w:val="auto"/>
                <w:w w:val="88"/>
              </w:rPr>
              <w:t>incorporation or organization)</w:t>
            </w:r>
          </w:p>
        </w:tc>
        <w:tc>
          <w:tcPr>
            <w:tcW w:w="1460" w:type="dxa"/>
            <w:vAlign w:val="bottom"/>
          </w:tcPr>
          <w:p>
            <w:pPr>
              <w:jc w:val="center"/>
              <w:ind w:right="6"/>
              <w:spacing w:after="0"/>
              <w:rPr>
                <w:sz w:val="20"/>
                <w:szCs w:val="20"/>
                <w:color w:val="auto"/>
              </w:rPr>
            </w:pPr>
            <w:r>
              <w:rPr>
                <w:rFonts w:ascii="Arial" w:cs="Arial" w:eastAsia="Arial" w:hAnsi="Arial"/>
                <w:sz w:val="14"/>
                <w:szCs w:val="14"/>
                <w:b w:val="1"/>
                <w:bCs w:val="1"/>
                <w:color w:val="auto"/>
                <w:w w:val="90"/>
              </w:rPr>
              <w:t>Identification Number)</w:t>
            </w:r>
          </w:p>
        </w:tc>
        <w:tc>
          <w:tcPr>
            <w:tcW w:w="620" w:type="dxa"/>
            <w:vAlign w:val="bottom"/>
          </w:tcPr>
          <w:p>
            <w:pPr>
              <w:spacing w:after="0"/>
              <w:rPr>
                <w:sz w:val="15"/>
                <w:szCs w:val="15"/>
                <w:color w:val="auto"/>
              </w:rPr>
            </w:pPr>
          </w:p>
        </w:tc>
      </w:tr>
      <w:tr>
        <w:trPr>
          <w:trHeight w:val="285"/>
        </w:trPr>
        <w:tc>
          <w:tcPr>
            <w:tcW w:w="7500" w:type="dxa"/>
            <w:vAlign w:val="bottom"/>
            <w:gridSpan w:val="3"/>
          </w:tcPr>
          <w:p>
            <w:pPr>
              <w:jc w:val="center"/>
              <w:ind w:left="2940"/>
              <w:spacing w:after="0"/>
              <w:rPr>
                <w:sz w:val="20"/>
                <w:szCs w:val="20"/>
                <w:color w:val="auto"/>
              </w:rPr>
            </w:pPr>
            <w:r>
              <w:rPr>
                <w:rFonts w:ascii="Arial" w:cs="Arial" w:eastAsia="Arial" w:hAnsi="Arial"/>
                <w:sz w:val="18"/>
                <w:szCs w:val="18"/>
                <w:b w:val="1"/>
                <w:bCs w:val="1"/>
                <w:color w:val="auto"/>
                <w:w w:val="86"/>
              </w:rPr>
              <w:t>3131 Las Vegas Boulevard South - Las Vegas, Nevada 89109</w:t>
            </w: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4"/>
        </w:trPr>
        <w:tc>
          <w:tcPr>
            <w:tcW w:w="7500" w:type="dxa"/>
            <w:vAlign w:val="bottom"/>
            <w:gridSpan w:val="3"/>
          </w:tcPr>
          <w:p>
            <w:pPr>
              <w:jc w:val="center"/>
              <w:ind w:left="2920"/>
              <w:spacing w:after="0"/>
              <w:rPr>
                <w:sz w:val="20"/>
                <w:szCs w:val="20"/>
                <w:color w:val="auto"/>
              </w:rPr>
            </w:pPr>
            <w:r>
              <w:rPr>
                <w:rFonts w:ascii="Arial" w:cs="Arial" w:eastAsia="Arial" w:hAnsi="Arial"/>
                <w:sz w:val="14"/>
                <w:szCs w:val="14"/>
                <w:b w:val="1"/>
                <w:bCs w:val="1"/>
                <w:color w:val="auto"/>
                <w:w w:val="86"/>
              </w:rPr>
              <w:t>(Address of principal executive offices) (Zip Code)</w:t>
            </w:r>
          </w:p>
        </w:tc>
        <w:tc>
          <w:tcPr>
            <w:tcW w:w="14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71"/>
        </w:trPr>
        <w:tc>
          <w:tcPr>
            <w:tcW w:w="6440" w:type="dxa"/>
            <w:vAlign w:val="bottom"/>
            <w:gridSpan w:val="2"/>
          </w:tcPr>
          <w:p>
            <w:pPr>
              <w:jc w:val="center"/>
              <w:ind w:left="3980"/>
              <w:spacing w:after="0"/>
              <w:rPr>
                <w:sz w:val="20"/>
                <w:szCs w:val="20"/>
                <w:color w:val="auto"/>
              </w:rPr>
            </w:pPr>
            <w:r>
              <w:rPr>
                <w:rFonts w:ascii="Arial" w:cs="Arial" w:eastAsia="Arial" w:hAnsi="Arial"/>
                <w:sz w:val="18"/>
                <w:szCs w:val="18"/>
                <w:b w:val="1"/>
                <w:bCs w:val="1"/>
                <w:color w:val="auto"/>
                <w:w w:val="89"/>
              </w:rPr>
              <w:t>(702) 770-7555</w:t>
            </w:r>
          </w:p>
        </w:tc>
        <w:tc>
          <w:tcPr>
            <w:tcW w:w="10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174"/>
        </w:trPr>
        <w:tc>
          <w:tcPr>
            <w:tcW w:w="7500" w:type="dxa"/>
            <w:vAlign w:val="bottom"/>
            <w:gridSpan w:val="3"/>
          </w:tcPr>
          <w:p>
            <w:pPr>
              <w:jc w:val="center"/>
              <w:ind w:left="2920"/>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4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82"/>
        </w:trPr>
        <w:tc>
          <w:tcPr>
            <w:tcW w:w="7500" w:type="dxa"/>
            <w:vAlign w:val="bottom"/>
            <w:gridSpan w:val="3"/>
          </w:tcPr>
          <w:p>
            <w:pPr>
              <w:jc w:val="center"/>
              <w:ind w:left="2920"/>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97"/>
        </w:trPr>
        <w:tc>
          <w:tcPr>
            <w:tcW w:w="4060" w:type="dxa"/>
            <w:vAlign w:val="bottom"/>
          </w:tcPr>
          <w:p>
            <w:pPr>
              <w:spacing w:after="0"/>
              <w:rPr>
                <w:sz w:val="24"/>
                <w:szCs w:val="24"/>
                <w:color w:val="auto"/>
              </w:rPr>
            </w:pPr>
          </w:p>
        </w:tc>
        <w:tc>
          <w:tcPr>
            <w:tcW w:w="3440" w:type="dxa"/>
            <w:vAlign w:val="bottom"/>
            <w:gridSpan w:val="2"/>
          </w:tcPr>
          <w:p>
            <w:pPr>
              <w:jc w:val="center"/>
              <w:ind w:right="1060"/>
              <w:spacing w:after="0"/>
              <w:rPr>
                <w:sz w:val="20"/>
                <w:szCs w:val="20"/>
                <w:color w:val="auto"/>
              </w:rPr>
            </w:pPr>
            <w:r>
              <w:rPr>
                <w:rFonts w:ascii="Arial" w:cs="Arial" w:eastAsia="Arial" w:hAnsi="Arial"/>
                <w:sz w:val="18"/>
                <w:szCs w:val="18"/>
                <w:b w:val="1"/>
                <w:bCs w:val="1"/>
                <w:color w:val="auto"/>
                <w:w w:val="84"/>
              </w:rPr>
              <w:t>None</w:t>
            </w: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97"/>
        </w:trPr>
        <w:tc>
          <w:tcPr>
            <w:tcW w:w="7500" w:type="dxa"/>
            <w:vAlign w:val="bottom"/>
            <w:gridSpan w:val="3"/>
          </w:tcPr>
          <w:p>
            <w:pPr>
              <w:jc w:val="center"/>
              <w:ind w:left="2940"/>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86"/>
        </w:trPr>
        <w:tc>
          <w:tcPr>
            <w:tcW w:w="4060" w:type="dxa"/>
            <w:vAlign w:val="bottom"/>
          </w:tcPr>
          <w:p>
            <w:pPr>
              <w:spacing w:after="0"/>
              <w:rPr>
                <w:sz w:val="24"/>
                <w:szCs w:val="24"/>
                <w:color w:val="auto"/>
              </w:rPr>
            </w:pPr>
          </w:p>
        </w:tc>
        <w:tc>
          <w:tcPr>
            <w:tcW w:w="3440" w:type="dxa"/>
            <w:vAlign w:val="bottom"/>
            <w:gridSpan w:val="2"/>
          </w:tcPr>
          <w:p>
            <w:pPr>
              <w:jc w:val="center"/>
              <w:ind w:right="1060"/>
              <w:spacing w:after="0"/>
              <w:rPr>
                <w:sz w:val="20"/>
                <w:szCs w:val="20"/>
                <w:color w:val="auto"/>
              </w:rPr>
            </w:pPr>
            <w:r>
              <w:rPr>
                <w:rFonts w:ascii="Arial" w:cs="Arial" w:eastAsia="Arial" w:hAnsi="Arial"/>
                <w:sz w:val="18"/>
                <w:szCs w:val="18"/>
                <w:b w:val="1"/>
                <w:bCs w:val="1"/>
                <w:color w:val="auto"/>
                <w:w w:val="84"/>
              </w:rPr>
              <w:t>None</w:t>
            </w: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4"/>
        </w:trPr>
        <w:tc>
          <w:tcPr>
            <w:tcW w:w="4060" w:type="dxa"/>
            <w:vAlign w:val="bottom"/>
          </w:tcPr>
          <w:p>
            <w:pPr>
              <w:spacing w:after="0"/>
              <w:rPr>
                <w:sz w:val="15"/>
                <w:szCs w:val="15"/>
                <w:color w:val="auto"/>
              </w:rPr>
            </w:pPr>
          </w:p>
        </w:tc>
        <w:tc>
          <w:tcPr>
            <w:tcW w:w="344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87"/>
              </w:rPr>
              <w:t>(Title of Class)</w:t>
            </w:r>
          </w:p>
        </w:tc>
        <w:tc>
          <w:tcPr>
            <w:tcW w:w="14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49"/>
        </w:trPr>
        <w:tc>
          <w:tcPr>
            <w:tcW w:w="406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2520" w:type="dxa"/>
            <w:vAlign w:val="bottom"/>
            <w:gridSpan w:val="2"/>
          </w:tcPr>
          <w:p>
            <w:pPr>
              <w:spacing w:after="0"/>
              <w:rPr>
                <w:sz w:val="12"/>
                <w:szCs w:val="12"/>
                <w:color w:val="auto"/>
              </w:rPr>
            </w:pPr>
          </w:p>
        </w:tc>
        <w:tc>
          <w:tcPr>
            <w:tcW w:w="620" w:type="dxa"/>
            <w:vAlign w:val="bottom"/>
          </w:tcPr>
          <w:p>
            <w:pPr>
              <w:spacing w:after="0"/>
              <w:rPr>
                <w:sz w:val="12"/>
                <w:szCs w:val="12"/>
                <w:color w:val="auto"/>
              </w:rPr>
            </w:pPr>
          </w:p>
        </w:tc>
      </w:tr>
      <w:tr>
        <w:trPr>
          <w:trHeight w:val="309"/>
        </w:trPr>
        <w:tc>
          <w:tcPr>
            <w:tcW w:w="8960" w:type="dxa"/>
            <w:vAlign w:val="bottom"/>
            <w:gridSpan w:val="4"/>
          </w:tcPr>
          <w:p>
            <w:pPr>
              <w:spacing w:after="0" w:line="207" w:lineRule="exact"/>
              <w:rPr>
                <w:sz w:val="20"/>
                <w:szCs w:val="20"/>
                <w:color w:val="auto"/>
              </w:rPr>
            </w:pPr>
            <w:r>
              <w:rPr>
                <w:rFonts w:ascii="Arial" w:cs="Arial" w:eastAsia="Arial" w:hAnsi="Arial"/>
                <w:sz w:val="18"/>
                <w:szCs w:val="18"/>
                <w:color w:val="auto"/>
                <w:w w:val="90"/>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0"/>
              </w:rPr>
              <w:t>☐</w:t>
            </w:r>
          </w:p>
        </w:tc>
        <w:tc>
          <w:tcPr>
            <w:tcW w:w="620" w:type="dxa"/>
            <w:vAlign w:val="bottom"/>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297"/>
        </w:trPr>
        <w:tc>
          <w:tcPr>
            <w:tcW w:w="8960" w:type="dxa"/>
            <w:vAlign w:val="bottom"/>
            <w:gridSpan w:val="4"/>
          </w:tcPr>
          <w:p>
            <w:pPr>
              <w:spacing w:after="0" w:line="207" w:lineRule="exact"/>
              <w:rPr>
                <w:sz w:val="20"/>
                <w:szCs w:val="20"/>
                <w:color w:val="auto"/>
              </w:rPr>
            </w:pPr>
            <w:r>
              <w:rPr>
                <w:rFonts w:ascii="Arial" w:cs="Arial" w:eastAsia="Arial" w:hAnsi="Arial"/>
                <w:sz w:val="18"/>
                <w:szCs w:val="18"/>
                <w:color w:val="auto"/>
                <w:w w:val="89"/>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89"/>
              </w:rPr>
              <w:t>☐</w:t>
            </w:r>
          </w:p>
        </w:tc>
        <w:tc>
          <w:tcPr>
            <w:tcW w:w="620" w:type="dxa"/>
            <w:vAlign w:val="bottom"/>
          </w:tcPr>
          <w:p>
            <w:pPr>
              <w:ind w:left="16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r>
    </w:tbl>
    <w:p>
      <w:pPr>
        <w:spacing w:after="0" w:line="55" w:lineRule="exact"/>
        <w:rPr>
          <w:sz w:val="24"/>
          <w:szCs w:val="24"/>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right="1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8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7" w:lineRule="exact"/>
        <w:rPr>
          <w:sz w:val="24"/>
          <w:szCs w:val="24"/>
          <w:color w:val="auto"/>
        </w:rPr>
      </w:pPr>
    </w:p>
    <w:p>
      <w:pPr>
        <w:ind w:right="260" w:firstLine="456"/>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4">
            <w:col w:w="1500" w:space="420"/>
            <w:col w:w="6220" w:space="720"/>
            <w:col w:w="1920" w:space="480"/>
            <w:col w:w="16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 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89" w:lineRule="exact"/>
        <w:rPr>
          <w:sz w:val="24"/>
          <w:szCs w:val="24"/>
          <w:color w:val="auto"/>
        </w:rPr>
      </w:pPr>
    </w:p>
    <w:p>
      <w:pPr>
        <w:sectPr>
          <w:pgSz w:w="11900" w:h="16838" w:orient="portrait"/>
          <w:cols w:equalWidth="0" w:num="4">
            <w:col w:w="8720" w:space="100"/>
            <w:col w:w="140" w:space="180"/>
            <w:col w:w="220" w:space="100"/>
            <w:col w:w="1960"/>
          </w:cols>
          <w:pgMar w:left="240" w:top="230" w:right="239" w:bottom="1440" w:gutter="0" w:footer="0" w:header="0"/>
          <w:type w:val="continuous"/>
        </w:sectPr>
      </w:pPr>
    </w:p>
    <w:p>
      <w:pPr>
        <w:ind w:right="20" w:firstLine="456"/>
        <w:spacing w:after="0" w:line="268" w:lineRule="auto"/>
        <w:rPr>
          <w:sz w:val="20"/>
          <w:szCs w:val="20"/>
          <w:color w:val="auto"/>
        </w:rPr>
      </w:pPr>
      <w:r>
        <w:rPr>
          <w:rFonts w:ascii="Arial" w:cs="Arial" w:eastAsia="Arial" w:hAnsi="Arial"/>
          <w:sz w:val="18"/>
          <w:szCs w:val="18"/>
          <w:color w:val="auto"/>
        </w:rPr>
        <w:t>The aggregate market value of the registrant’s voting interests held by non-affiliates on June 30, 2012 was $0. Wynn Resorts Holdings, LLC owns all of the membership interests of the registrant.</w:t>
      </w:r>
    </w:p>
    <w:p>
      <w:pPr>
        <w:spacing w:after="0" w:line="45" w:lineRule="exact"/>
        <w:rPr>
          <w:sz w:val="24"/>
          <w:szCs w:val="24"/>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The registrant meets the conditions set forth in General Instruction I(1)(a) and (b) of Form 10-K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520" w:type="dxa"/>
            <w:vAlign w:val="bottom"/>
            <w:gridSpan w:val="3"/>
          </w:tcPr>
          <w:p>
            <w:pPr>
              <w:jc w:val="right"/>
              <w:ind w:right="4572"/>
              <w:spacing w:after="0"/>
              <w:rPr>
                <w:sz w:val="20"/>
                <w:szCs w:val="20"/>
                <w:color w:val="auto"/>
              </w:rPr>
            </w:pPr>
            <w:r>
              <w:rPr>
                <w:rFonts w:ascii="Arial" w:cs="Arial" w:eastAsia="Arial" w:hAnsi="Arial"/>
                <w:sz w:val="18"/>
                <w:szCs w:val="18"/>
                <w:b w:val="1"/>
                <w:bCs w:val="1"/>
                <w:color w:val="auto"/>
              </w:rPr>
              <w:t>TABLE OF CONTENTS</w:t>
            </w:r>
          </w:p>
        </w:tc>
      </w:tr>
      <w:tr>
        <w:trPr>
          <w:trHeight w:val="380"/>
        </w:trPr>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160" w:type="dxa"/>
            <w:vAlign w:val="bottom"/>
            <w:gridSpan w:val="2"/>
          </w:tcPr>
          <w:p>
            <w:pPr>
              <w:jc w:val="right"/>
              <w:ind w:right="5512"/>
              <w:spacing w:after="0"/>
              <w:rPr>
                <w:rFonts w:ascii="Arial" w:cs="Arial" w:eastAsia="Arial" w:hAnsi="Arial"/>
                <w:sz w:val="18"/>
                <w:szCs w:val="18"/>
                <w:b w:val="1"/>
                <w:bCs w:val="1"/>
                <w:color w:val="0000EE"/>
                <w:w w:val="91"/>
              </w:rPr>
            </w:pPr>
            <w:hyperlink w:anchor="page3">
              <w:r>
                <w:rPr>
                  <w:rFonts w:ascii="Arial" w:cs="Arial" w:eastAsia="Arial" w:hAnsi="Arial"/>
                  <w:sz w:val="18"/>
                  <w:szCs w:val="18"/>
                  <w:b w:val="1"/>
                  <w:bCs w:val="1"/>
                  <w:color w:val="0000EE"/>
                  <w:w w:val="91"/>
                </w:rPr>
                <w:t>PART I</w:t>
              </w:r>
            </w:hyperlink>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2960" w:type="dxa"/>
            <w:vAlign w:val="bottom"/>
            <w:gridSpan w:val="7"/>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1360" w:type="dxa"/>
            <w:vAlign w:val="bottom"/>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56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8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520" w:type="dxa"/>
            <w:vAlign w:val="bottom"/>
            <w:gridSpan w:val="3"/>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2960" w:type="dxa"/>
            <w:vAlign w:val="bottom"/>
            <w:gridSpan w:val="7"/>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75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8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520" w:type="dxa"/>
            <w:vAlign w:val="bottom"/>
            <w:gridSpan w:val="3"/>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2960" w:type="dxa"/>
            <w:vAlign w:val="bottom"/>
            <w:gridSpan w:val="7"/>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Unresolved Staff Comments</w:t>
              </w:r>
            </w:hyperlink>
          </w:p>
        </w:tc>
        <w:tc>
          <w:tcPr>
            <w:tcW w:w="75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20">
              <w:r>
                <w:rPr>
                  <w:rFonts w:ascii="Arial" w:cs="Arial" w:eastAsia="Arial" w:hAnsi="Arial"/>
                  <w:sz w:val="18"/>
                  <w:szCs w:val="18"/>
                  <w:color w:val="0000EE"/>
                  <w:w w:val="85"/>
                </w:rPr>
                <w:t>Properties</w:t>
              </w:r>
            </w:hyperlink>
          </w:p>
        </w:tc>
        <w:tc>
          <w:tcPr>
            <w:tcW w:w="1280" w:type="dxa"/>
            <w:vAlign w:val="bottom"/>
            <w:tcBorders>
              <w:top w:val="single" w:sz="8" w:color="0000EE"/>
            </w:tcBorders>
            <w:gridSpan w:val="4"/>
          </w:tcPr>
          <w:p>
            <w:pPr>
              <w:spacing w:after="0"/>
              <w:rPr>
                <w:sz w:val="17"/>
                <w:szCs w:val="17"/>
                <w:color w:val="auto"/>
              </w:rPr>
            </w:pPr>
          </w:p>
        </w:tc>
        <w:tc>
          <w:tcPr>
            <w:tcW w:w="960" w:type="dxa"/>
            <w:vAlign w:val="bottom"/>
          </w:tcPr>
          <w:p>
            <w:pPr>
              <w:spacing w:after="0"/>
              <w:rPr>
                <w:sz w:val="17"/>
                <w:szCs w:val="17"/>
                <w:color w:val="auto"/>
              </w:rPr>
            </w:pPr>
          </w:p>
        </w:tc>
        <w:tc>
          <w:tcPr>
            <w:tcW w:w="75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2960" w:type="dxa"/>
            <w:vAlign w:val="bottom"/>
            <w:gridSpan w:val="7"/>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Legal Proceedings</w:t>
              </w:r>
            </w:hyperlink>
          </w:p>
        </w:tc>
        <w:tc>
          <w:tcPr>
            <w:tcW w:w="75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84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520" w:type="dxa"/>
            <w:vAlign w:val="bottom"/>
            <w:gridSpan w:val="3"/>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Mine Safety Disclosures</w:t>
              </w:r>
            </w:hyperlink>
          </w:p>
        </w:tc>
        <w:tc>
          <w:tcPr>
            <w:tcW w:w="1220" w:type="dxa"/>
            <w:vAlign w:val="bottom"/>
            <w:gridSpan w:val="2"/>
          </w:tcPr>
          <w:p>
            <w:pPr>
              <w:spacing w:after="0"/>
              <w:rPr>
                <w:sz w:val="17"/>
                <w:szCs w:val="17"/>
                <w:color w:val="auto"/>
              </w:rPr>
            </w:pPr>
          </w:p>
        </w:tc>
        <w:tc>
          <w:tcPr>
            <w:tcW w:w="75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20</w:t>
            </w: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20" w:type="dxa"/>
            <w:vAlign w:val="bottom"/>
            <w:gridSpan w:val="5"/>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PART II</w:t>
              </w:r>
            </w:hyperlink>
          </w:p>
        </w:tc>
        <w:tc>
          <w:tcPr>
            <w:tcW w:w="138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9100" w:type="dxa"/>
            <w:vAlign w:val="bottom"/>
            <w:gridSpan w:val="11"/>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Market for Registrant’s Common Equity, Related Stockholder Matters and Issuer Purchases of Equity Securities</w:t>
              </w:r>
            </w:hyperlink>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8"/>
          </w:tcPr>
          <w:p>
            <w:pPr>
              <w:spacing w:after="0"/>
              <w:rPr>
                <w:sz w:val="17"/>
                <w:szCs w:val="17"/>
                <w:color w:val="auto"/>
              </w:rPr>
            </w:pPr>
          </w:p>
        </w:tc>
        <w:tc>
          <w:tcPr>
            <w:tcW w:w="1220" w:type="dxa"/>
            <w:vAlign w:val="bottom"/>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9100" w:type="dxa"/>
            <w:vAlign w:val="bottom"/>
            <w:gridSpan w:val="11"/>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3"/>
          </w:tcPr>
          <w:p>
            <w:pPr>
              <w:spacing w:after="0"/>
              <w:rPr>
                <w:sz w:val="17"/>
                <w:szCs w:val="17"/>
                <w:color w:val="auto"/>
              </w:rPr>
            </w:pPr>
          </w:p>
        </w:tc>
        <w:tc>
          <w:tcPr>
            <w:tcW w:w="2800" w:type="dxa"/>
            <w:vAlign w:val="bottom"/>
            <w:gridSpan w:val="3"/>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Financial Statements and Supplementary Data</w:t>
              </w:r>
            </w:hyperlink>
          </w:p>
        </w:tc>
        <w:tc>
          <w:tcPr>
            <w:tcW w:w="5840" w:type="dxa"/>
            <w:vAlign w:val="bottom"/>
            <w:gridSpan w:val="7"/>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636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63">
              <w:r>
                <w:rPr>
                  <w:rFonts w:ascii="Arial" w:cs="Arial" w:eastAsia="Arial" w:hAnsi="Arial"/>
                  <w:sz w:val="18"/>
                  <w:szCs w:val="18"/>
                  <w:color w:val="0000EE"/>
                  <w:w w:val="88"/>
                </w:rPr>
                <w:t>Changes in and Disagreements With Accountants on Accounting and Financial Disclosure</w:t>
              </w:r>
            </w:hyperlink>
          </w:p>
        </w:tc>
        <w:tc>
          <w:tcPr>
            <w:tcW w:w="2740" w:type="dxa"/>
            <w:vAlign w:val="bottom"/>
            <w:gridSpan w:val="2"/>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174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w:anchor="page63">
              <w:r>
                <w:rPr>
                  <w:rFonts w:ascii="Arial" w:cs="Arial" w:eastAsia="Arial" w:hAnsi="Arial"/>
                  <w:sz w:val="18"/>
                  <w:szCs w:val="18"/>
                  <w:color w:val="0000EE"/>
                  <w:w w:val="86"/>
                </w:rPr>
                <w:t>Controls and Procedures</w:t>
              </w:r>
            </w:hyperlink>
          </w:p>
        </w:tc>
        <w:tc>
          <w:tcPr>
            <w:tcW w:w="7360" w:type="dxa"/>
            <w:vAlign w:val="bottom"/>
            <w:gridSpan w:val="8"/>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9100" w:type="dxa"/>
            <w:vAlign w:val="bottom"/>
            <w:gridSpan w:val="11"/>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Other Information</w:t>
              </w:r>
            </w:hyperlink>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20"/>
        </w:trPr>
        <w:tc>
          <w:tcPr>
            <w:tcW w:w="84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720" w:type="dxa"/>
            <w:vAlign w:val="bottom"/>
            <w:gridSpan w:val="5"/>
          </w:tcPr>
          <w:p>
            <w:pPr>
              <w:ind w:left="260"/>
              <w:spacing w:after="0"/>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PART III</w:t>
              </w:r>
            </w:hyperlink>
          </w:p>
        </w:tc>
        <w:tc>
          <w:tcPr>
            <w:tcW w:w="1760" w:type="dxa"/>
            <w:vAlign w:val="bottom"/>
          </w:tcPr>
          <w:p>
            <w:pPr>
              <w:spacing w:after="0"/>
              <w:rPr>
                <w:sz w:val="17"/>
                <w:szCs w:val="17"/>
                <w:color w:val="auto"/>
              </w:rPr>
            </w:pPr>
          </w:p>
        </w:tc>
      </w:tr>
      <w:tr>
        <w:trPr>
          <w:trHeight w:val="196"/>
        </w:trPr>
        <w:tc>
          <w:tcPr>
            <w:tcW w:w="5100" w:type="dxa"/>
            <w:vAlign w:val="bottom"/>
            <w:gridSpan w:val="5"/>
          </w:tcPr>
          <w:p>
            <w:pPr>
              <w:spacing w:after="0" w:line="196" w:lineRule="exact"/>
              <w:rPr>
                <w:rFonts w:ascii="Arial" w:cs="Arial" w:eastAsia="Arial" w:hAnsi="Arial"/>
                <w:sz w:val="18"/>
                <w:szCs w:val="18"/>
                <w:color w:val="auto"/>
                <w:w w:val="95"/>
              </w:rPr>
            </w:pPr>
            <w:r>
              <w:rPr>
                <w:rFonts w:ascii="Arial" w:cs="Arial" w:eastAsia="Arial" w:hAnsi="Arial"/>
                <w:sz w:val="18"/>
                <w:szCs w:val="18"/>
                <w:color w:val="auto"/>
                <w:w w:val="95"/>
              </w:rPr>
              <w:t xml:space="preserve">Item 10.   </w:t>
            </w:r>
            <w:hyperlink w:anchor="page64">
              <w:r>
                <w:rPr>
                  <w:rFonts w:ascii="Arial" w:cs="Arial" w:eastAsia="Arial" w:hAnsi="Arial"/>
                  <w:sz w:val="18"/>
                  <w:szCs w:val="18"/>
                  <w:color w:val="0000EE"/>
                  <w:w w:val="95"/>
                </w:rPr>
                <w:t>Directors, Executive Officers and Corporate Governance</w:t>
              </w:r>
            </w:hyperlink>
          </w:p>
        </w:tc>
        <w:tc>
          <w:tcPr>
            <w:tcW w:w="700" w:type="dxa"/>
            <w:vAlign w:val="bottom"/>
            <w:tcBorders>
              <w:top w:val="single" w:sz="8" w:color="0000EE"/>
            </w:tcBorders>
          </w:tcPr>
          <w:p>
            <w:pPr>
              <w:spacing w:after="0"/>
              <w:rPr>
                <w:sz w:val="17"/>
                <w:szCs w:val="17"/>
                <w:color w:val="auto"/>
              </w:rPr>
            </w:pPr>
          </w:p>
        </w:tc>
        <w:tc>
          <w:tcPr>
            <w:tcW w:w="3760" w:type="dxa"/>
            <w:vAlign w:val="bottom"/>
            <w:gridSpan w:val="3"/>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40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Executive Compensation</w:t>
              </w:r>
            </w:hyperlink>
          </w:p>
        </w:tc>
        <w:tc>
          <w:tcPr>
            <w:tcW w:w="4720" w:type="dxa"/>
            <w:vAlign w:val="bottom"/>
            <w:gridSpan w:val="5"/>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20"/>
        </w:trPr>
        <w:tc>
          <w:tcPr>
            <w:tcW w:w="84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64">
              <w:r>
                <w:rPr>
                  <w:rFonts w:ascii="Arial" w:cs="Arial" w:eastAsia="Arial" w:hAnsi="Arial"/>
                  <w:sz w:val="18"/>
                  <w:szCs w:val="18"/>
                  <w:color w:val="0000EE"/>
                  <w:w w:val="88"/>
                </w:rPr>
                <w:t>Security Ownership of Certain Beneficial Owners and Management and Related Stockholder Matters</w:t>
              </w:r>
            </w:hyperlink>
          </w:p>
        </w:tc>
        <w:tc>
          <w:tcPr>
            <w:tcW w:w="1600" w:type="dxa"/>
            <w:vAlign w:val="bottom"/>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8720" w:type="dxa"/>
            <w:vAlign w:val="bottom"/>
            <w:gridSpan w:val="8"/>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Certain Relationships and Related Transactions, and Director Independence</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28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64">
              <w:r>
                <w:rPr>
                  <w:rFonts w:ascii="Arial" w:cs="Arial" w:eastAsia="Arial" w:hAnsi="Arial"/>
                  <w:sz w:val="18"/>
                  <w:szCs w:val="18"/>
                  <w:color w:val="0000EE"/>
                  <w:w w:val="87"/>
                </w:rPr>
                <w:t>Principal Accountant Fees and Services</w:t>
              </w:r>
            </w:hyperlink>
          </w:p>
        </w:tc>
        <w:tc>
          <w:tcPr>
            <w:tcW w:w="2520" w:type="dxa"/>
            <w:vAlign w:val="bottom"/>
            <w:tcBorders>
              <w:top w:val="single" w:sz="8" w:color="0000EE"/>
            </w:tcBorders>
            <w:gridSpan w:val="4"/>
          </w:tcPr>
          <w:p>
            <w:pPr>
              <w:spacing w:after="0"/>
              <w:rPr>
                <w:sz w:val="17"/>
                <w:szCs w:val="17"/>
                <w:color w:val="auto"/>
              </w:rPr>
            </w:pPr>
          </w:p>
        </w:tc>
        <w:tc>
          <w:tcPr>
            <w:tcW w:w="3400" w:type="dxa"/>
            <w:vAlign w:val="bottom"/>
            <w:gridSpan w:val="2"/>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0" w:type="dxa"/>
            <w:vAlign w:val="bottom"/>
            <w:gridSpan w:val="3"/>
          </w:tcPr>
          <w:p>
            <w:pPr>
              <w:jc w:val="right"/>
              <w:ind w:right="5432"/>
              <w:spacing w:after="0"/>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PART IV</w:t>
              </w:r>
            </w:hyperlink>
          </w:p>
        </w:tc>
      </w:tr>
      <w:tr>
        <w:trPr>
          <w:trHeight w:val="196"/>
        </w:trPr>
        <w:tc>
          <w:tcPr>
            <w:tcW w:w="4520" w:type="dxa"/>
            <w:vAlign w:val="bottom"/>
            <w:gridSpan w:val="4"/>
          </w:tcPr>
          <w:p>
            <w:pPr>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Item 15.   </w:t>
            </w:r>
            <w:hyperlink w:anchor="page65">
              <w:r>
                <w:rPr>
                  <w:rFonts w:ascii="Arial" w:cs="Arial" w:eastAsia="Arial" w:hAnsi="Arial"/>
                  <w:sz w:val="18"/>
                  <w:szCs w:val="18"/>
                  <w:color w:val="0000EE"/>
                </w:rPr>
                <w:t>Exhibits and Financial Statement Schedules</w:t>
              </w:r>
            </w:hyperlink>
          </w:p>
        </w:tc>
        <w:tc>
          <w:tcPr>
            <w:tcW w:w="580" w:type="dxa"/>
            <w:vAlign w:val="bottom"/>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55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840" w:type="dxa"/>
            <w:vAlign w:val="bottom"/>
            <w:gridSpan w:val="2"/>
          </w:tcPr>
          <w:p>
            <w:pPr>
              <w:spacing w:after="0" w:line="196" w:lineRule="exact"/>
              <w:rPr>
                <w:rFonts w:ascii="Arial" w:cs="Arial" w:eastAsia="Arial" w:hAnsi="Arial"/>
                <w:sz w:val="18"/>
                <w:szCs w:val="18"/>
                <w:color w:val="0000EE"/>
                <w:w w:val="95"/>
              </w:rPr>
            </w:pPr>
            <w:hyperlink w:anchor="page72">
              <w:r>
                <w:rPr>
                  <w:rFonts w:ascii="Arial" w:cs="Arial" w:eastAsia="Arial" w:hAnsi="Arial"/>
                  <w:sz w:val="18"/>
                  <w:szCs w:val="18"/>
                  <w:color w:val="0000EE"/>
                  <w:w w:val="95"/>
                </w:rPr>
                <w:t>Signatures</w:t>
              </w:r>
            </w:hyperlink>
          </w:p>
        </w:tc>
        <w:tc>
          <w:tcPr>
            <w:tcW w:w="308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68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72</w:t>
            </w:r>
          </w:p>
        </w:tc>
      </w:tr>
      <w:tr>
        <w:trPr>
          <w:trHeight w:val="383"/>
        </w:trPr>
        <w:tc>
          <w:tcPr>
            <w:tcW w:w="7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55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Wynn Las Vegas, LLC owns and operates Wynn Las Vegas I Encore (“Wynn Las Vegas”), a fully integrated destination casino resort on the “Strip” in Las Vegas, Nevada. Wynn Las Vegas, LLC was formed on April 17, 2001 as a Nevada limited liability company. Unless the context otherwise requires, all references herein to the “Company,” “we,” “us” or “our,” or similar terms, refer to Wynn Las Vegas, LLC and its consolidated subsidiaries. The sole member of the Company is Wynn Resorts Holdings, LLC (“Holdings”). The sole member of Holdings is Wynn Resorts, Limited (“Wynn Resorts”).</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Wynn Las Vegas Capital Corp. (“Wynn Capital”) is a wholly owned subsidiary of Wynn Las Vegas, LLC, incorporated on June 3, 2002, solely for the purpose of obtaining financing for Wynn Las Vegas. Wynn Capital is authorized to issue 2,000 shares of common stock, par value $0.01. At December 31, 2012, the Company owned the one share that was issued and outstanding. Wynn Capital has neither any significant net assets nor any operating activity. Its sole function is to serve as the co-issuer of the mortgage notes described below.</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We file annual reports on Form 10-K, quarterly reports on Form 10-Q, current reports on Form 8-K and amendments of such reports with the Securities and Exchange Commission (“SEC”). Any document we file may be inspected, without charge, at the SEC’s public reference room at 100 F Street, N.E. Washington, D.C. 20549 or at the SEC’s internet site address at </w:t>
      </w:r>
      <w:r>
        <w:rPr>
          <w:rFonts w:ascii="Arial" w:cs="Arial" w:eastAsia="Arial" w:hAnsi="Arial"/>
          <w:sz w:val="16"/>
          <w:szCs w:val="16"/>
          <w:u w:val="single" w:color="auto"/>
          <w:color w:val="auto"/>
        </w:rPr>
        <w:t>http://www.sec.gov</w:t>
      </w:r>
      <w:r>
        <w:rPr>
          <w:rFonts w:ascii="Arial" w:cs="Arial" w:eastAsia="Arial" w:hAnsi="Arial"/>
          <w:sz w:val="16"/>
          <w:szCs w:val="16"/>
          <w:color w:val="auto"/>
        </w:rPr>
        <w:t xml:space="preserve">. Information related to the operation of the SEC’s public reference room may be obtained by calling the SEC at 1-800-SEC-0330. In addition, through its own internet address at </w:t>
      </w:r>
      <w:r>
        <w:rPr>
          <w:rFonts w:ascii="Arial" w:cs="Arial" w:eastAsia="Arial" w:hAnsi="Arial"/>
          <w:sz w:val="16"/>
          <w:szCs w:val="16"/>
          <w:u w:val="single" w:color="auto"/>
          <w:color w:val="auto"/>
        </w:rPr>
        <w:t>www.wynnresorts.com</w:t>
      </w:r>
      <w:r>
        <w:rPr>
          <w:rFonts w:ascii="Arial" w:cs="Arial" w:eastAsia="Arial" w:hAnsi="Arial"/>
          <w:sz w:val="16"/>
          <w:szCs w:val="16"/>
          <w:color w:val="auto"/>
        </w:rPr>
        <w:t>, Wynn Resorts provides a hyperlink to a third-party SEC filing website which posts our filings as soon as reasonably practicable, where they can be reviewed without charge. The information found on our website is not a part of this Annual Report on Form 10-K or any other report we file or furnish to the SEC.</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believe that Wynn Las Vegas offers exceptional accommodations, amenities and service for our premium guests. Wynn Las Vegas features approximately 4,750 hotel rooms and suites, 240 table games, 2,195 slot machines, a race and sports book and a poker room in approximately 186,000 square feet of casino gaming space (including a sky casino and private gaming salons), casual and fine dining in 35 food and beverage outlets, two spas and salons, lounges, meeting facilities and approximately 95,000 square feet of retail space promenade featuring boutiques from Alexander McQueen, Brioni, Cartier, Chanel, Chloé, Chopard, Dior, Graff, Hermes, IWC Schaffhausen, Jaeger-Lecoultre, Loro Piana, Louis Vuitton, Manolo Blahnik, Oscar de la Renta, Piaget, Vertu and others. Our Las Vegas Operations also offers three nightclubs, a beach club, a Ferrari and Maserati automobile dealership, wedding chapels, an 18-hole golf course, approximately 283,000 square feet of meeting space, a specially designed theater presenting “Le Rêve,” a water-based theatrical production, and an Encore Theater presenting various headliner entertainment acts throughout the year. We believe that the unique experience of our resort drives the significant visitation experienced since opening.</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the seventh consecutive year, The Tower Suites at Wynn Las Vegas has received the Forbes five-star distinction. The Spa at Wynn Las Vegas earned five-star recognition from Forbes for the fifth year in a row. For the fourth consecutive year, the Encore Tower Suites has received the Forbes five-star distinction. The Spa at Encore also earned five-star recognition from Forbes for the fourth year in a row.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and Other Development</w:t>
      </w:r>
    </w:p>
    <w:p>
      <w:pPr>
        <w:spacing w:after="0" w:line="96"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In response to our evaluation of our property and the reaction of our guests, we have and expect to continue to remodel and make enhancements and refinements to our resort complex. During 2012, we remodeled two of our restaurants and rebranded several retail outlets.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believe that Steve Wynn is the preeminent designer, developer and operator of destination casino resorts and has developed brand name status. Mr. Wynn’s involvement with our casino resorts provides a distinct advantage over other gaming enterprises. We integrate luxurious surroundings, distinctive entertainment and superior amenities, including convention facilities, entertainment, fine dining and premium retail offerings, to create resorts that appeal to the global customer base.</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resort is designed and built to provide a premium experience for our guests. Wynn Las Vegas is dependent on repeat visitation from our guests and we believe superior customer experience and service is the best marketing strategy to attract and retain our customers. Wynn Las Vegas heavily emphasizes human resources and staff training to ensure our employees are prepared to provide the luxury service that our guests expect. In addition, we market our resort directly to gaming customers using database marketing techniques, as well as traditional incentives, including reduced room rates and complimentary meals and suites. Our rewards system offers discounted and complimentary meals, lodging and entertainment for our guests. We also create general market awareness for our resort through various media channels, including: social media, television, radio, newspapers, magazines, the internet, direct mail and billboards.</w:t>
      </w:r>
    </w:p>
    <w:p>
      <w:pPr>
        <w:spacing w:after="0" w:line="12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Mr. Wynn and his team bring significant experience in designing, developing and operating casino resorts. The senior executive team has an average of over 25 years of experience in the hotel and gaming industries. We also have an approximately 90-person design, development and construction affiliate, the senior management of which has significant experience in all major construction disciplines.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Competition</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Las Vegas</w:t>
      </w:r>
    </w:p>
    <w:p>
      <w:pPr>
        <w:spacing w:after="0" w:line="96" w:lineRule="exact"/>
        <w:rPr>
          <w:sz w:val="20"/>
          <w:szCs w:val="20"/>
          <w:color w:val="auto"/>
        </w:rPr>
      </w:pPr>
    </w:p>
    <w:p>
      <w:pPr>
        <w:ind w:right="80" w:firstLine="456"/>
        <w:spacing w:after="0" w:line="312" w:lineRule="auto"/>
        <w:rPr>
          <w:sz w:val="20"/>
          <w:szCs w:val="20"/>
          <w:color w:val="auto"/>
        </w:rPr>
      </w:pPr>
      <w:r>
        <w:rPr>
          <w:rFonts w:ascii="Arial" w:cs="Arial" w:eastAsia="Arial" w:hAnsi="Arial"/>
          <w:sz w:val="15"/>
          <w:szCs w:val="15"/>
          <w:color w:val="auto"/>
        </w:rPr>
        <w:t>Las Vegas is the largest gaming market in the United States. The casino/hotel industry in Las Vegas is highly competitive and, prior to the recent economic conditions and interruption in projects under development, had undergone a period of exceptional growth, particularly with the addition of projects targeting the premium customer. Wynn Las Vegas is located on the Las Vegas Strip and competes with other high-quality resorts and hotel casinos on the Strip, in downtown Las Vegas, and a large number of hotels in and near Las Vegas. Many competing properties draw a significant number of visitors and directly compete with our operations. Resorts located on or near the Las Vegas Strip compete with other Las Vegas Strip hotels and with other hotel casinos in Las Vegas on the basis of overall atmosphere, range of amenities, level of service, price, location, entertainment, themes and size, among other factors. We seek to differentiate Wynn Las Vegas from other major Las Vegas resorts by concentrating on our fundamental elements of design, atmosphere, personal service and luxury.</w:t>
      </w:r>
    </w:p>
    <w:p>
      <w:pPr>
        <w:spacing w:after="0" w:line="105"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Wynn Las Vegas also competes, to some extent, with other hotel/casino facilities in Nevada and throughout the Unites States, casino resorts throughout Asia and elsewhere in the world. In addition, the legalization of casino gaming in or near metropolitan areas from which we attract customers could have a negative effect on our business. New or renovated casinos in Asia, including our property in Macau, could draw Asian gaming customers away from Las Vegas.</w:t>
      </w:r>
    </w:p>
    <w:p>
      <w:pPr>
        <w:spacing w:after="0" w:line="8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2012, the economic environment in the gaming and hotel markets in Las Vegas continued to improve with increased levels of gaming revenue, visitation and hotel room demand. While these gaming and hotel statistics have increased from prior year levels, uncertainty still exists in the Las Vegas market. During 2012, the average daily room rate increased 2.8%, visitation increased 2.1% to 39.7 million visitors, and Las Vegas Strip gaming revenues increased 2.3%, all as compared to the year ended December 31, 2011. During 2011, the average daily room rate increased 10.7%, visitation increased 4.3% to 38.9 million visitors, and Las Vegas Strip gaming revenues increased 5.1%, all as compared to the year ended December 31, 2010.</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Licensing</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Introduction. </w:t>
      </w:r>
      <w:r>
        <w:rPr>
          <w:rFonts w:ascii="Arial" w:cs="Arial" w:eastAsia="Arial" w:hAnsi="Arial"/>
          <w:sz w:val="16"/>
          <w:szCs w:val="16"/>
          <w:color w:val="auto"/>
        </w:rPr>
        <w:t>The gaming industry is highly regulated. Gaming registrations, licenses and approvals, once obtained, can be suspended or revoked for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variety of reasons. We cannot assure you that we will obtain all required registrations, licenses and approvals on a timely basis or at all, or that, once obtained, the registrations, findings of suitability, licenses and approvals will not be suspended, conditioned, limited or revoked. If we ever are prohibited from operating Wynn Las Vegas or any other property we may own and operate in the future, we would, to the extent permitted by law, seek to recover our investment by selling the property affected, but we cannot assure you that we would recover its full value.</w:t>
      </w:r>
    </w:p>
    <w:p>
      <w:pPr>
        <w:spacing w:after="0" w:line="116"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The ownership and operation of casino gaming facilities in the State of Nevada are subject to the Nevada Gaming Control Act and the regulations made under the Act, as well as to various local ordinances. Our properties are subject to the licensing and regulatory control of the Nevada Gaming Commission, the Nevada State Gaming Control Board and the Clark County Liquor and Gaming Licensing Board, which we refer to herein collectively as the “Nevada Gaming Authorities.”</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Policy Concerns of Gaming Laws. </w:t>
      </w:r>
      <w:r>
        <w:rPr>
          <w:rFonts w:ascii="Arial" w:cs="Arial" w:eastAsia="Arial" w:hAnsi="Arial"/>
          <w:sz w:val="18"/>
          <w:szCs w:val="18"/>
          <w:color w:val="auto"/>
        </w:rPr>
        <w:t>The laws, regulations and supervisory procedures of the Nevada Gaming Authorities are based upon declarations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policy. Such public policy concerns include, among other things:</w:t>
      </w:r>
    </w:p>
    <w:p>
      <w:pPr>
        <w:spacing w:after="0" w:line="5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90" w:lineRule="exact"/>
        <w:rPr>
          <w:rFonts w:ascii="Arial" w:cs="Arial" w:eastAsia="Arial" w:hAnsi="Arial"/>
          <w:sz w:val="18"/>
          <w:szCs w:val="18"/>
          <w:color w:val="auto"/>
        </w:rPr>
      </w:pPr>
    </w:p>
    <w:p>
      <w:pPr>
        <w:ind w:left="900" w:right="140" w:hanging="325"/>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preventing cheating and fraudulent practices;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171"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Changes in applicable laws, regulations and procedures could have significant negative effects on our Las Vegas gaming operations and our financial condition and results of operations.</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Owner and Operator Licensing Requirements. </w:t>
      </w:r>
      <w:r>
        <w:rPr>
          <w:rFonts w:ascii="Arial" w:cs="Arial" w:eastAsia="Arial" w:hAnsi="Arial"/>
          <w:sz w:val="16"/>
          <w:szCs w:val="16"/>
          <w:color w:val="auto"/>
        </w:rPr>
        <w:t>Wynn Las Vegas, LLC, as the owner and operator of Wynn Las Vegas, has been approved by the Nevada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Gaming Authorities as a limited liability company licensee, referred to as a company licensee, which includes approval to conduct casino gaming operations, including a race book and sports pool and pari-mutuel wagering. These gaming licenses are not transferable.</w:t>
      </w:r>
    </w:p>
    <w:p>
      <w:pPr>
        <w:spacing w:after="0" w:line="10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Company Registration Requirements. </w:t>
      </w:r>
      <w:r>
        <w:rPr>
          <w:rFonts w:ascii="Arial" w:cs="Arial" w:eastAsia="Arial" w:hAnsi="Arial"/>
          <w:sz w:val="16"/>
          <w:szCs w:val="16"/>
          <w:color w:val="auto"/>
        </w:rPr>
        <w:t>Wynn Resorts was found suitable by the Nevada Gaming Commission to own the equity interests of Holdings,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wholly owned subsidiary of Wynn Resorts, and to be registered by the Nevada Gaming Commission as a publicly traded corporation, referred to as a registered company, for the purposes of the Nevada Gaming Control Act. Holdings was found suitable by the Nevada Gaming Commission to own the equity interests of Wynn Las Vegas, LLC and to be registered by the Nevada Gaming Commission as an intermediary company. In addition to being licensed, Wynn Las Vegas, LLC, as an issuer of first mortgage notes registered with the SEC, also qualified as a registered company. Wynn Las Vegas Capital Corp., a co-issuer of the first mortgage notes, was not required to be registered or licensed, but may be required to be found suitable as a lender or financing source.</w:t>
      </w:r>
    </w:p>
    <w:p>
      <w:pPr>
        <w:spacing w:after="0" w:line="12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Periodically, we are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and/or approved by, the Nevada Gaming Commission.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Individual Licensing Requirements. </w:t>
      </w:r>
      <w:r>
        <w:rPr>
          <w:rFonts w:ascii="Arial" w:cs="Arial" w:eastAsia="Arial" w:hAnsi="Arial"/>
          <w:sz w:val="16"/>
          <w:szCs w:val="16"/>
          <w:color w:val="auto"/>
        </w:rPr>
        <w:t>No person may become a more than 5% stockholder or member of, or receive any percentage of the profits of,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intermediary company or company licensee 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Certain of our officers, directors and key employees have been or may be required to file applications with the Nevada Gaming Authorities and are or may be required to be licensed or found suitable by the Nevada Gaming Authorities. All applications required as of the date of this report have been filed. However, the Nevada Gaming Authorities may require additional applications and may also deny an application for licensing for any reason which they deem appropriate. A 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2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 Gaming Commission may require us to terminate the employment of any person who refuses to file appropriate applications. Determinations of suitability or questions pertaining to licensing are not subject to judicial review in Nevada.</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Consequences of Violating Gaming Laws. </w:t>
      </w:r>
      <w:r>
        <w:rPr>
          <w:rFonts w:ascii="Arial" w:cs="Arial" w:eastAsia="Arial" w:hAnsi="Arial"/>
          <w:sz w:val="16"/>
          <w:szCs w:val="16"/>
          <w:color w:val="auto"/>
        </w:rPr>
        <w:t>If the Nevada Gaming Commission determines that we have violated the Nevada Gaming Control Act or any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regulations, it could limit, condition, suspend or revoke our registrations and gaming license. In addition, we and the persons involved could be subject to substantial fines for each separate violation of the Nevada Gaming Control Act, or of the regulations of the Nevada Gaming Commission, at the discretion of the Nevada Gaming Commission. Further, the Nevada Gaming Commission could appoint a supervisor to operate Wynn Las Vegas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Requirements for Voting or Nonvoting Securities Holders. </w:t>
      </w:r>
      <w:r>
        <w:rPr>
          <w:rFonts w:ascii="Arial" w:cs="Arial" w:eastAsia="Arial" w:hAnsi="Arial"/>
          <w:sz w:val="16"/>
          <w:szCs w:val="16"/>
          <w:color w:val="auto"/>
        </w:rPr>
        <w:t>Regardless of the number of shares held, any beneficial owner of Wynn Resorts’ voting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nonvoting securities may be required to file an application, be investigated and have that person’s suitability as a beneficial owner of voting securities determined if the Nevada Gaming Commission has reason to believe that the ownership would be inconsistent with the declared policies of the State of Nevada. If the beneficial owner of the voting or nonvoting securities of Wynn Resorts who must be found suitable is a corporation, partnership, limited partnership, limited liability company or trust, it must submit detailed business and financial information including a list of its beneficial owners. The applicant must pay all costs of the investigation incurred by the Nevada Gaming Authorities in conducting any investigation.</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Nevada Gaming Control Act requires any person who acquires more than 5% of the voting securities of a registered company to report the acquisition to the Nevada Gaming Commission. The Nevada Gaming Control Act requires beneficial owners of more than 10% of a registered company’s voting securities to apply to the Nevada Gaming Commission for a finding of suitability within 30 days after the Chairman of the Nevada State Gaming Control Board mails the written notice requiring such filing. However, an “institutional investor,” as defined in the Nevada Gaming Control Act, which beneficially owns more than 10% but not more than 11% of a registered company’s voting securities as a result of a stock repurchase by the registered company may not be required to file such an application. Further, an institutional investor which acquires more than 10%, but not more than 25%, of a registered company’s voting securities may apply to the Nevada Gaming Commission for a waiver of a finding of suitability if the institutional investor holds the voting securities for investment purposes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only. An institutional investor that has obtained a waiver may hold more than 25% but not more than 29% of a registered company’s voting securities and maintain its waiver where the additional ownership results from a stock repurchase by the registered company.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of directors of the registered company, a change in the corporate charter, bylaws, management, policies or operations of the registered company, or any of its gaming affiliates, or any other action which the Nevada Gaming Commission finds to be inconsistent with holding the registered company’s voting securities for investment purposes only. Activities which are not deemed to be inconsistent with holding voting securities for investment purposes only include:</w:t>
      </w:r>
    </w:p>
    <w:p>
      <w:pPr>
        <w:spacing w:after="0" w:line="37"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management, policies or operations;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activities that the Nevada Gaming Commission may determine to be consistent with such investment intent.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articles of incorporation of Wynn Resorts include provisions intended to assist its implementation of the above restrictions.</w:t>
      </w:r>
    </w:p>
    <w:p>
      <w:pPr>
        <w:spacing w:after="0" w:line="17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Wynn Resorts is required to maintain a current stock ledger in Nevada which may be examined by the Nevada Gaming Authorities at any time. If any securities are held in trust by an agent or by a nominee, the record holder may be required to disclose the identity of the beneficial owner to the Nevada Gaming Authorities. A failure to make the disclosure may be grounds for finding the record holder unsuitable. We are required to provide maximum assistance in determining the identity of the beneficial owner of any of Wynn Resorts’ voting securities. The Nevada Gaming Commission has the power to require the stock certificates of any registered company to bear a legend indicating that the securities are subject to the Nevada Gaming Control Act. The certificates representing shares of Wynn Resorts’ common stock note that the shares are subject to a right of redemption and other restrictions set forth in Wynn Resorts’ articles of incorporation and bylaws and that the shares are, or may become, subject to restrictions imposed by applicable gaming laws.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Consequences of Being Found Unsuitable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person who fails or refuses to apply for a finding of suitability or a license within 30 days after being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ordered to do so by the Nevada Gaming Commission or by the Chairman of the Nevada State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We will be subject to disciplinary action if, after we receive notice that a person is unsuitable to hold an equity interest or to have any other relationship with us, we:</w:t>
      </w:r>
    </w:p>
    <w:p>
      <w:pPr>
        <w:spacing w:after="0" w:line="37"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 that person any dividend or interest upon any voting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held by that person relating to Wynn Resorts;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Gaming Laws Relating to Debt Securities Ownership. </w:t>
      </w:r>
      <w:r>
        <w:rPr>
          <w:rFonts w:ascii="Arial" w:cs="Arial" w:eastAsia="Arial" w:hAnsi="Arial"/>
          <w:sz w:val="16"/>
          <w:szCs w:val="16"/>
          <w:color w:val="auto"/>
        </w:rPr>
        <w:t>The Nevada Gaming Commission may, in its discretion, require the owner of any debt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of a registered company, to file applications, be investigated and be found suitable to own the debt or other security of the registered company if the Nevada Gaming Commission has reason to believe that such ownership would otherwise be inconsistent with the declared policies of the State of Nevada. If the Nevada Gaming Commission decides that a person is unsuitable to own the security, then under the Nevada Gaming Control Act, the registered company can be sanctioned, including the loss of its approvals if, without the prior approval of the Nevada Gaming Commission, it:</w:t>
      </w:r>
    </w:p>
    <w:p>
      <w:pPr>
        <w:spacing w:after="0" w:line="35"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makes any payment to the unsuitable person by way of principal, redemption, conversion, exchange, liquidation or similar transaction.</w:t>
      </w:r>
    </w:p>
    <w:p>
      <w:pPr>
        <w:spacing w:after="0" w:line="19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t xml:space="preserve">Approval of Public Offerings. </w:t>
      </w:r>
      <w:r>
        <w:rPr>
          <w:rFonts w:ascii="Arial" w:cs="Arial" w:eastAsia="Arial" w:hAnsi="Arial"/>
          <w:sz w:val="16"/>
          <w:szCs w:val="16"/>
          <w:color w:val="auto"/>
        </w:rPr>
        <w:t>We may not make a public offering without the prior approval of the Nevada Gaming Commission if the proceeds from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offering are intended to be used to construct, acquire or finance gaming facilities in Nevada, or to retire or extend obligations incurred for those purposes or for similar transactions. On March 24, 2011, the Nevada Gaming Commission granted us and Wynn Resorts prior approval, subject to certain conditions, to make public offerings for a period of two years (the “Shelf Approval”). The Shelf Approval also applies to any affiliated company wholly owned by us which is a publicly traded corporation or would thereby become a publicly traded corporation pursuant to a public offering. The Shelf Approval may be rescinded for good cause without prior notice upon the issuance of an interlocutory stop order by the Chairman of the Nevada State Gaming Control Board. The Shelf Approval does not constitute a finding, recommendation or approval by any of the Nevada Gaming Authorities as to the accuracy or adequacy of the offering memorandum or the investment merits of the securities. Any representation to the contrary is unlawful.</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Approval of Changes in Control. </w:t>
      </w:r>
      <w:r>
        <w:rPr>
          <w:rFonts w:ascii="Arial" w:cs="Arial" w:eastAsia="Arial" w:hAnsi="Arial"/>
          <w:sz w:val="18"/>
          <w:szCs w:val="18"/>
          <w:color w:val="auto"/>
        </w:rPr>
        <w:t>A registered company must obtain the prior approval of the Nevada Gaming Commission with respect to a change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through merger; consolidation; stock or asset acquisitions; management or consulting agreements; or any act or conduct by a person by which the person obtains control of the registered company.</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Entities seeking to acquire control of a registered company must satisfy the Nevada State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43"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b w:val="1"/>
          <w:bCs w:val="1"/>
          <w:i w:val="1"/>
          <w:iCs w:val="1"/>
          <w:color w:val="auto"/>
        </w:rPr>
        <w:t xml:space="preserve">Approval of Defensive Tactics. </w:t>
      </w:r>
      <w:r>
        <w:rPr>
          <w:rFonts w:ascii="Arial" w:cs="Arial" w:eastAsia="Arial" w:hAnsi="Arial"/>
          <w:sz w:val="15"/>
          <w:szCs w:val="15"/>
          <w:color w:val="auto"/>
        </w:rPr>
        <w:t>The Nevada legislature has declared that some corporate acquisitions opposed by management, repurchases of voting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securities and corporate defense tactics affecting Nevada corporate gaming licensees or affecting registered companies that are affiliated with the operations of Nevada gaming licensees may be harmful to stable and productive corporate gaming. The Nevada Gaming Commission has established a regulatory scheme to reduce the potential adverse effects of these business practices upon Nevada’s gaming industry and to further Nevada’s policy in order to:</w:t>
      </w:r>
    </w:p>
    <w:p>
      <w:pPr>
        <w:spacing w:after="0" w:line="17"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licensees and their affiliated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17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Approvals may be required from the Nevada Gaming Commission before a registered company can make exceptional repurchases of voting securities above its current market price and before a corporate acquisition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opposed by management can be consummated. The Nevada Gaming Control Act also requires prior approval of a plan of recapitalization proposed by a registered company’s board of directors in response to a tender offer made directly to its stockholders for the purpose of acquiring control.</w:t>
      </w:r>
    </w:p>
    <w:p>
      <w:pPr>
        <w:spacing w:after="0" w:line="8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Fees and Taxes. </w:t>
      </w:r>
      <w:r>
        <w:rPr>
          <w:rFonts w:ascii="Arial" w:cs="Arial" w:eastAsia="Arial" w:hAnsi="Arial"/>
          <w:sz w:val="18"/>
          <w:szCs w:val="18"/>
          <w:color w:val="auto"/>
        </w:rPr>
        <w:t>License fees and taxes, computed in various ways depending on the type of gaming or activity involved, are payable to the State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Nevada and to the counties and cities in which the licensed subsidiaries’ respective operations are conducted. Depending upon the particular fee or tax involved, these fees and taxes are payable monthly, quarterly or annually and are based upon:</w:t>
      </w:r>
    </w:p>
    <w:p>
      <w:pPr>
        <w:spacing w:after="0" w:line="59"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percentage of the gross revenue received;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gaming devices operated;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table games operated.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live entertainment tax also is imposed on admission charges and sales of food, beverages and merchandise where live entertainment is furnished.</w:t>
      </w:r>
    </w:p>
    <w:p>
      <w:pPr>
        <w:spacing w:after="0" w:line="19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Foreign Gaming Investigations. </w:t>
      </w:r>
      <w:r>
        <w:rPr>
          <w:rFonts w:ascii="Arial" w:cs="Arial" w:eastAsia="Arial" w:hAnsi="Arial"/>
          <w:sz w:val="16"/>
          <w:szCs w:val="16"/>
          <w:color w:val="auto"/>
        </w:rPr>
        <w:t>Any person who is licensed, required to be licensed, registered, required to be registered in Nevada, or is under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control with such persons (collectively, “licensees”), and who proposes to become involved in a gaming venture outside of Nevada, is required to deposit with the Nevada State Gaming Control Board, and thereafter maintain, a revolving fund in the amount of $10,000 to pay the expenses of investigation of the Nevada State Gaming Control Board of the licensee’s or registrant’s participation in such foreign gaming. The revolving fund is subject to increase or decrease at the discretion of the Nevada Gaming Commission. Licensees and registrants are required to comply with the foreign gaming reporting requirements imposed by the Nevada Gaming Control Act. A licensee or registrant is also subject to disciplinary action by the Nevada Gaming Commission if it:</w:t>
      </w:r>
    </w:p>
    <w:p>
      <w:pPr>
        <w:spacing w:after="0" w:line="39"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fails to conduct the foreign gaming operation in accordance with the standards of honesty and integrity required of Nevada gaming operations;</w:t>
      </w:r>
    </w:p>
    <w:p>
      <w:pPr>
        <w:spacing w:after="0" w:line="113" w:lineRule="exact"/>
        <w:rPr>
          <w:rFonts w:ascii="Arial" w:cs="Arial" w:eastAsia="Arial" w:hAnsi="Arial"/>
          <w:sz w:val="16"/>
          <w:szCs w:val="16"/>
          <w:color w:val="auto"/>
        </w:rPr>
      </w:pPr>
    </w:p>
    <w:p>
      <w:pPr>
        <w:ind w:left="900" w:right="240" w:hanging="325"/>
        <w:spacing w:after="0" w:line="357" w:lineRule="auto"/>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engages in activities or enters into associations that are harmful to the State of Nevada or its ability to collect gaming taxes and fees; or,</w:t>
      </w:r>
    </w:p>
    <w:p>
      <w:pPr>
        <w:spacing w:after="0" w:line="113" w:lineRule="exact"/>
        <w:rPr>
          <w:rFonts w:ascii="Arial" w:cs="Arial" w:eastAsia="Arial" w:hAnsi="Arial"/>
          <w:sz w:val="16"/>
          <w:szCs w:val="16"/>
          <w:color w:val="auto"/>
        </w:rPr>
      </w:pPr>
    </w:p>
    <w:p>
      <w:pPr>
        <w:ind w:left="900" w:right="14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 xml:space="preserve">Licenses for Conduct of Gaming and Sale of Alcoholic Beverages. </w:t>
      </w:r>
      <w:r>
        <w:rPr>
          <w:rFonts w:ascii="Arial" w:cs="Arial" w:eastAsia="Arial" w:hAnsi="Arial"/>
          <w:sz w:val="18"/>
          <w:szCs w:val="18"/>
          <w:color w:val="auto"/>
        </w:rPr>
        <w:t>The conduct of gaming activities and the service and sale of alcoholic beverages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Wynn Las Vegas are subject to licensing, control and regulation by the Clark County Liquor and Gaming Licensing Board, which has granted Wynn Las Vegas, LLC licenses for such purposes. In addition to approving Wynn Las Vegas, LLC the Clark County Liquor and Gaming Licensing Board has the authority to approve all persons owning or controlling the stock of any corporation controlling a gaming license. Clark County gaming and liquor licenses are not transferable. The County has full power to limit, condition, suspend or revoke any license. Any disciplinary action could, and revocation would, have a substantial negative impact upon our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Regulations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addition to gaming regulations, we are subject to extensive local, state and federal laws and regulations. These include, but are not limited to, laws and regulations relating to alcoholic beverages, environmental matters,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employment and immigration, currency and other transactions, taxation, zoning and building codes, marketing and advertising, timeshare, lending, debt collection, privacy, telemarketing, money laundering, laws and regulations administered by the Office of Foreign Assets Control, and anti-bribery laws, including the Foreign Corrupt Practices Act. Such laws and regulations could change or could be interpreted differently in the future, or new laws and regulations could be enacted. Any material changes, new laws or regulations, or material differences in interpretations by courts or governmental authorities could adversely affect our business and operating results.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may experience fluctuations in revenues and cash flows from month to month, however, we do not believe that our business is materially impacted by seasonality.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2012, we had a total of approximately 8,800 full-time equivalent employees.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2006, we entered into a ten year collective bargaining agreement with the Culinary and Bartenders Union local covering approximately 5,500 of our employees. We also entered into a ten year collective bargaining agreement with the Transportation Workers Union in November 2010, which covers the table games dealers at Wynn Las Vegas. Certain other unions may seek to organize the workers at Wynn Las Vegas. Unionization, pressure to unionize, or other forms of collective bargaining could increase our labor costs.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Among our most important marks are our trademarks and service marks that use the name “WYNN.” Holdings has registered with the U.S. Patent and Trademark Office (“PTO”) and various foreign patent and trademark registries, a variety of the WYNN-related trademarks and service marks in connection with a variety of goods and services. These marks include “WYNN LAS VEGAS” and “ENCORE.” Some of the applications are based upon ongoing use and others are based upon a bona fide intent to use the marks.</w:t>
      </w:r>
    </w:p>
    <w:p>
      <w:pPr>
        <w:spacing w:after="0" w:line="14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A common element of most of these marks is the use of the surname “WYNN.” As a general rule, a surname (or the portion of a mark primarily constituting a surname) is not eligible for registration unless the surname has acquired “secondary meaning.” To date, Holdings has been successful in demonstrating to the PTO such secondary meaning for the Wynn name in certain of the applications based upon factors including Mr. Wynn’s prominence as a resort developer.</w:t>
      </w:r>
    </w:p>
    <w:p>
      <w:pPr>
        <w:spacing w:after="0" w:line="143"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8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have also filed applications with various foreign patent and trademark registries, including registries in Macau, China, Singapore, Hong Kong, Taiwan, Japan, certain European countries and various other jurisdictions throughout the world, to register a variety of WYNN-related trademarks and service marks in connection with a variety of goods and services. These marks include many of the same marks filed with the United States PTO and include “WYNN LAS VEGAS” and “ENCORE.” Some of the applications are based upon ongoing use and others are based upon a bona fide intent to use the marks.</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recognize that our intellectual property assets, including the word and logo version of “WYNN,” are among our most valuable assets. As a result, and in connection with expansion of our resort and gaming activities outside the United States, we have undertaken a program to register our trademarks and other intellectual property rights in relevant jurisdictions. We have retained counsel and intend to take all steps necessary to not only acquire, but protect our intellectual property rights against unauthorized use throughout the world.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August 6, 2004, Holdings entered into agreements with Mr. Wynn that confirm and clarify its rights to use the “Wynn” name and Mr. Wynn’s persona in connection with our casino resorts. Under a Surname Rights Agreement, Mr. Wynn has acknowledged Holdings’ exclusive, fully paid-up, perpetual, worldwide right to use, and to own and register trademarks and service marks incorporating, the “Wynn” name for casino resorts and related businesses, together with the right to sublicense the name and marks to our affiliates. Under a Rights of Publicity License, Mr. Wynn has granted Holdings the exclusive, royalty-free, worldwide right to use his full name, persona and related rights of publicity for casino resorts and related businesses, together with the ability to sublicense the persona and publicity rights to our affiliates, until October 24, 2017. Holdings has entered into sublicense agreements with us relating to our use of Mr. Wynn’s name and persona, as well as other intellectual property.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make forward-looking statements in this Annual Report on Form 10-K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which follow throughout this report and are often preceded by, followed by or that include the words “may,” “will,” “should,” “would,” “could,” “believe,” “expect,” “anticipate,” “estimate,” “intend,” “plan,” “continue” or the negative of these terms or similar expressions.</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Forward-looking statements are subject to a number of risks and uncertainties that could cause actual results to differ materially from those we express in these forward-looking statements, including the risks and uncertainties in Item 1A (Risk Factors), other factors we describe from time to time in our periodic filings with the SEC as well as the following:</w:t>
      </w:r>
    </w:p>
    <w:p>
      <w:pPr>
        <w:spacing w:after="0" w:line="59" w:lineRule="exact"/>
        <w:rPr>
          <w:sz w:val="20"/>
          <w:szCs w:val="20"/>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volatility and weakness in world-wide credit and financial markets and from governmental intervention in the financial markets;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or enforcement actions;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dependence on Wynn Las Vegas for all of our cash flow;</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tourism trends given the current domestic and international economic conditions;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decreases in levels of travel, leisure and consumer spending;</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continued high unemployment;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cyber security risk including misappropriation of customer information or other breaches of information security;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hanging="324"/>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or the impact of a natural disaster may have on the travel and leisure industry;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consequences of military conflicts in the Middle East and any future security alerts and/or terrorist attacks.</w:t>
      </w:r>
    </w:p>
    <w:p>
      <w:pPr>
        <w:spacing w:after="0" w:line="17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following risk factors, among others, could cause our financial performance to differ significantly from the goals, plans, objectives, intentions and expectations expressed in this Annual Report on Form 10-K. If any of the following risks and uncertainties or other risks and uncertainties not currently known to us or not currently considered to be material actually occurs, our business, financial condition or operating results could be harmed substantially.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Substantial Indebtedness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highly leveraged and future cash flow may not be sufficient for us to meet our obligations, and we might have difficulty obtaining more financing.</w:t>
      </w:r>
    </w:p>
    <w:p>
      <w:pPr>
        <w:spacing w:after="0" w:line="125"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 xml:space="preserve">We have a substantial amount of consolidated debt in relation to our equity. As of December 31, 2012, we had total outstanding debt of approximately $3.1 billion. In addition, the indentures governing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2017 Notes,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xml:space="preserve">% 2020 Notes and the 5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2022 Notes (the “Indentures” and, such Notes, the “Notes”) permit us to incur additional indebtedness in the future if certain conditions are met. Our substantial indebtedness could have important consequences. For example:</w:t>
      </w:r>
    </w:p>
    <w:p>
      <w:pPr>
        <w:spacing w:after="0" w:line="62" w:lineRule="exact"/>
        <w:rPr>
          <w:sz w:val="20"/>
          <w:szCs w:val="20"/>
          <w:color w:val="auto"/>
        </w:rPr>
      </w:pPr>
    </w:p>
    <w:p>
      <w:pPr>
        <w:ind w:left="440" w:right="180" w:hanging="324"/>
        <w:spacing w:after="0" w:line="259"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fail to meet our payment obligations or otherwise default under the agreements governing our indebtedness, the lenders under those agreements will have the right to accelerate the indebtedness and exercise other rights and remedies against us, including the right to petition a court to appoint a receiver for us or for substantially all of our assets;</w:t>
      </w:r>
    </w:p>
    <w:p>
      <w:pPr>
        <w:spacing w:after="0" w:line="59" w:lineRule="exact"/>
        <w:rPr>
          <w:rFonts w:ascii="Arial" w:cs="Arial" w:eastAsia="Arial" w:hAnsi="Arial"/>
          <w:sz w:val="18"/>
          <w:szCs w:val="18"/>
          <w:color w:val="auto"/>
        </w:rPr>
      </w:pPr>
    </w:p>
    <w:p>
      <w:pPr>
        <w:ind w:left="440" w:right="40" w:hanging="324"/>
        <w:spacing w:after="0" w:line="259"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required to use a substantial portion of our cash flow from the operations of Wynn Las Vegas to service our indebtedness, which will reduce the amount of available cash, if any, to fund working capital, other capital expenditures and other general corporate purposes, and may give us greater exposure to the current adverse economic and industry conditions;</w:t>
      </w:r>
    </w:p>
    <w:p>
      <w:pPr>
        <w:spacing w:after="0" w:line="59" w:lineRule="exact"/>
        <w:rPr>
          <w:rFonts w:ascii="Arial" w:cs="Arial" w:eastAsia="Arial" w:hAnsi="Arial"/>
          <w:sz w:val="18"/>
          <w:szCs w:val="18"/>
          <w:color w:val="auto"/>
        </w:rPr>
      </w:pPr>
    </w:p>
    <w:p>
      <w:pPr>
        <w:ind w:left="440" w:hanging="324"/>
        <w:spacing w:after="0" w:line="298" w:lineRule="auto"/>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may experience decreased revenues from our operations attributable to decreases in consumer spending levels and high unemployment due to the current adverse economic and industry conditions, and could fail to generate sufficient cash to fund our liquidity needs and/or fail to satisfy the covenants to which we are subject under our existing indebtedness. We cannot provide assurance that our business will generate sufficient cash flow from operations or that future borrowings will be available to us in an amount sufficient to enable us to pay our indebtedness or to fund our other liquidity needs;</w:t>
      </w:r>
    </w:p>
    <w:p>
      <w:pPr>
        <w:spacing w:after="0" w:line="31" w:lineRule="exact"/>
        <w:rPr>
          <w:rFonts w:ascii="Arial" w:cs="Arial" w:eastAsia="Arial" w:hAnsi="Arial"/>
          <w:sz w:val="16"/>
          <w:szCs w:val="16"/>
          <w:color w:val="auto"/>
        </w:rPr>
      </w:pPr>
    </w:p>
    <w:p>
      <w:pPr>
        <w:ind w:left="440" w:right="460" w:hanging="324"/>
        <w:spacing w:after="0" w:line="268"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have a limited ability to respond to changing business and economic conditions and to withstand competitive pressures, which may affect our financial condition;</w:t>
      </w:r>
    </w:p>
    <w:p>
      <w:pPr>
        <w:spacing w:after="0" w:line="50" w:lineRule="exact"/>
        <w:rPr>
          <w:rFonts w:ascii="Arial" w:cs="Arial" w:eastAsia="Arial" w:hAnsi="Arial"/>
          <w:sz w:val="18"/>
          <w:szCs w:val="18"/>
          <w:color w:val="auto"/>
        </w:rPr>
      </w:pPr>
    </w:p>
    <w:p>
      <w:pPr>
        <w:ind w:left="440" w:right="220" w:hanging="324"/>
        <w:spacing w:after="0" w:line="268"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obtain additional financing if needed, to satisfy working capital requirements, or pay for other capital expenditures, debt service or other obligations; and</w:t>
      </w:r>
    </w:p>
    <w:p>
      <w:pPr>
        <w:spacing w:after="0" w:line="50" w:lineRule="exact"/>
        <w:rPr>
          <w:rFonts w:ascii="Arial" w:cs="Arial" w:eastAsia="Arial" w:hAnsi="Arial"/>
          <w:sz w:val="18"/>
          <w:szCs w:val="18"/>
          <w:color w:val="auto"/>
        </w:rPr>
      </w:pPr>
    </w:p>
    <w:p>
      <w:pPr>
        <w:ind w:left="440" w:right="40" w:hanging="324"/>
        <w:spacing w:after="0" w:line="332" w:lineRule="auto"/>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we fail to pay our debts generally as they become due, unsecured creditors that we fail to pay may initiate involuntary bankruptcy proceedings against us, subject to the requirements of the United States Bankruptcy Code, and such bankruptcy proceedings will delay or impair the repayment of the Notes.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Under the terms of the Indentures, subject to certain limitations, we are permitted to incur additional indebtedness, including secured and unsecured senior and subordinated indebtedness. If we incur additional indebtedness, the risks described above will be exacerbated.</w:t>
      </w:r>
    </w:p>
    <w:p>
      <w:pPr>
        <w:spacing w:after="0" w:line="132"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Following Wynn Resorts’ press release on February 19, 2012 relating to the redemption of Aruze USA, Inc.’s shares of Wynn Resorts’ common stock and the issuance of a promissory note with a principal amount of approximately $1.9 billion in redemption of the shares (the “Redemption Price Promissory Note”), Standard &amp; Poor’s Ratings Services and Fitch Ratings revised their ratings outlooks on Wynn Resorts to stable from positive, although they did not change their ratings of Wynn Resorts. (Moody’s did not revise the ratings or outlook for Wynn Resorts as a result of the announcement.) Such ratings agency actions could make it more difficult for us to obtain additional financing on acceptable terms.</w:t>
      </w:r>
    </w:p>
    <w:p>
      <w:pPr>
        <w:spacing w:after="0" w:line="1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Indentures contain certain covenants that restrict our ability to engage in certain transactions and may impair our ability to respond to changing business and economic conditions.</w:t>
      </w:r>
    </w:p>
    <w:p>
      <w:pPr>
        <w:spacing w:after="0" w:line="13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Indentures require us to satisfy various covenants. Future indebtedness or other contracts, including any credit facility that we may enter into in the future, could contain covenants more restrictive than those contained in the Indentures and could also contain financial maintenance covenants which require us to maintain minimum financial ratios.</w:t>
      </w:r>
    </w:p>
    <w:p>
      <w:pPr>
        <w:spacing w:after="0" w:line="140"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The Indentures contain restrictions on our ability to engage in certain transactions and may limit our ability to respond to changing business and economic conditions. The restrictions include, among other things, limitations on our ability and the ability of our restricted subsidiaries to:</w:t>
      </w:r>
    </w:p>
    <w:p>
      <w:pPr>
        <w:spacing w:after="0" w:line="4" w:lineRule="exact"/>
        <w:rPr>
          <w:sz w:val="20"/>
          <w:szCs w:val="20"/>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dividends or distributions or repurchase equity;</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create liens on assets to secure debt;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issue stock of, or member’s interests in, subsidiaries;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issue disqualified stock;</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there were an event of default under one of the Indentures, the holders of the defaulted debt could cause all amounts outstanding with respect to that debt to be due and payable immediately, and such event also could result in an event of default under other debt. We cannot assure you that our assets or cash flow would be sufficient to fully repay borrowings under our outstanding debt if accelerated upon an event of default, or that we would be able to repay, refinance or restructure the payments on such debt.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Stephen A. Wynn could significantly harm our business.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Our ability to maintain our competitive position is dependent to a large degree on the efforts and skills of Stephen A. Wynn, the Chairman of the Board, Chief Executive Officer and one of the principal stockholders of</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Wynn Resorts. In 2008, Wynn Resorts extended the term of Mr. Wynn’s employment agreement until October 2020. However, we cannot assure you that</w:t>
      </w:r>
    </w:p>
    <w:p>
      <w:pPr>
        <w:spacing w:after="0" w:line="3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Mr. Wynn will remain with Wynn Resorts. If Wynn Resorts loses the services of Mr. Wynn, or if he is unable to devote sufficient attention to our operations for any other reason, our business may be significantly impaired.</w:t>
      </w:r>
    </w:p>
    <w:p>
      <w:pPr>
        <w:spacing w:after="0" w:line="21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Potential violations of law by Mr. Okada (formerly the largest beneficial owner of Wynn Resorts’ shares) and his affiliates could have adverse consequences to Wynn Resorts.</w:t>
      </w:r>
    </w:p>
    <w:p>
      <w:pPr>
        <w:spacing w:after="0" w:line="5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February 18, 2012, the Board of Directors of Wynn Resorts received a report from Freeh, Sporkin &amp; Sullivan, LLP (the “Freeh Report”) detailing numerous instances of conduct constituting prima facie violations of the FCPA by Kazuo Okada (formerly the largest beneficial owner of our shares) and certain of his affiliates. See Item 3—“Legal Proceedings”, and Item 8—“Notes to Consolidated Financial Statements”, Note 11 “Commitments and Contingencies.” Wynn Resorts has provided the Freeh Report to applicable regulators and intends to cooperate with any related investigation that such regulators may undertake. The conduct of Mr. Okada and his affiliates and any resulting regulatory investigations could have adverse consequences to Wynn Resorts. A finding by regulatory authorities that Mr. Okada violated the FCPA on Company property and/or otherwise involved Wynn Resorts in criminal or civil violations could result in actions by regulatory authorities against Wynn Resorts. Relatedly, regulators could pursue separate investigations into Wynn Resorts’s compliance with applicable laws, including in response to litigation filed by Mr. Okada suggesting improprieties in connection with Wynn Resorts’s donation to the University of Macau and a related informal inquiry by the SEC into this donation. While Wynn Resorts believes that it is in full compliance with all applicable laws, any such investigations could result in actions by regulators against Wynn Resorts.</w:t>
      </w:r>
    </w:p>
    <w:p>
      <w:pPr>
        <w:spacing w:after="0" w:line="204"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Mr. Okada and his affiliates have challenged the redemption of Aruze USA, Inc.’s Shares. An adverse judgment or settlement resulting from the related litigation could reduce Wynn Resorts’ profits or limit Wynn Resorts’ ability to operate its business.</w:t>
      </w:r>
    </w:p>
    <w:p>
      <w:pPr>
        <w:spacing w:after="0" w:line="51"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On February 18, 2012, after receiving the Freeh Report, the Board of Directors of Wynn Resorts determined that Aruze USA, Inc., Universal Entertainment Corporation and Mr. Okada were “unsuitable” within the meaning of Article VII of Wynn Resorts’ articles of incorporation and redeemed all of Aruze USA, Inc.’s shares of Wynn Resorts’ common stock. See Item 8—“Notes to Consolidated Financial Statements”, Note 11 “Commitments and Contingencies.” On February 19, 2012, Wynn Resorts filed a complaint in Nevada state court against Mr. Okada and other entities (the “Okada Parties”) alleging, among other things, breach of fiduciary duty in connection with alleged violations of the FCPA and seeking a declaration that the redemption was proper (collectively, the “Redemption Action”). On March 12, 2012, the Okada Parties filed and answer and cross claim against Wynn Resorts, each of the members of Wynn Resorts’s Board of Directors (other than Mr. Okada) and Wynn Resorts’ General Counsel seeking, among other things, a declaration that the redemption of Aruze USA , Inc.’s shares was void, an injunction restoring Aruze USA, Inc.’s share ownership, damages in an unspecified amount and rescission of the January 2010 Stockholders Agreement by an among Aruze USA, Inc., Steve Wynn, and Elaine Wynn (“Stockholders Agreement”). In connection with the Redemption Action and Okada Parties cross claim, (1) various Okada Parties filed a complaint in the Tokyo District Court against Wynn Resorts, all members of the Board (other than Mr. Okada) and Wynn Resorts’s General Counsel alleging that the press release issued by Wynn Resorts in connection with the Redemption Action has damaged their social evaluation and credibility and is seeking damages and legal fees, (2) four federal derivative actions were commenced against Wynn Resorts and all members of its Board of Directors and (3) two state derivative actions were commenced against Wynn Resorts and all members of its Board of Directors. On February 1, 2013, the federal court dismissed the complaint for failure to plead adequately the futility of a pre-suit demand on the Board of Directors. The dismissal was without prejudice to the federal plaintiffs’ ability to file a motion within 30 days seeking leave to file an amended complaint. Wynn Resorts intends to vigorously pursue its claims against the Okada Parties, and Wynn Resorts and the other counter-defendants intend to vigorously defend against the counterclaims asserted against them. However, as with all litigation, the outcome of these proceedings cannot be predicted. Any adverse judgments or settlements involving payment of a material sum of money could cause a material adverse effect on Wynn Resorts’ financial condition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and results of operations and could expose Wynn Resorts to additional claims by third parties including current or former investors or regulators. Any adverse judgments or settlements would reduce Wynn Resorts’ profits and could limit Wynn Resorts’ ability to operate its business.</w:t>
      </w:r>
    </w:p>
    <w:p>
      <w:pPr>
        <w:spacing w:after="0" w:line="16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Ongoing litigation and other disputes with Mr. Okada and certain of his affiliates could distract management and result in negative publicity and additional scrutiny of regulators.</w:t>
      </w:r>
    </w:p>
    <w:p>
      <w:pPr>
        <w:spacing w:after="0" w:line="5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There has been widespread publicity of the findings in the Freeh Report of prima facie violations of law by Mr. Okada and his affiliates, the Board’s unsuitability finding, the redemption of shares and related litigation. The actions, litigation, and publicity could reduce demand for shares of Wynn Resorts and Wynn Macau, Limited and thereby have a negative impact on the trading prices of their respective shares. The disputes may also lead to additional scrutiny from gaming regulators, which could lead to investigations relating to, and possibly a negative impact on, Wynn Resorts’s gaming licenses, including the gaming licenses held by Wynn Las Vegas and possibly have a negative impact on Wynn Resorts’s ability to bid successfully for new gaming market opportunities. See Item 8—“Notes to Consolidated Financial Statements”, Note 11 “Commitments and Contingencies.”</w:t>
      </w:r>
    </w:p>
    <w:p>
      <w:pPr>
        <w:spacing w:after="0" w:line="201"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We are entirely dependent on Wynn Las Vegas for all of our cash flow, which subjects us to greater risks than a gaming company with more operating properties.</w:t>
      </w:r>
    </w:p>
    <w:p>
      <w:pPr>
        <w:spacing w:after="0" w:line="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do not expect to have material assets or operations other than Wynn Las Vegas. We are entirely dependent upon Wynn Las Vegas for all of our cash flow. As a result, we are subject to a greater degree of risk than a gaming company with more operating properties. The risks to which we have a greater degree of exposure include the following:</w:t>
      </w:r>
    </w:p>
    <w:p>
      <w:pPr>
        <w:spacing w:after="0" w:line="59"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natural and other disasters;</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in the cost of utilities for our properties as a result of, among other things, power shortages in California or other western states with which Nevada shares a single regional power grid or a shortage of natural resources such as water;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decline in the number of visitors to Las Vegas;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 in gaming and non-gaming activities at Wynn Las Vegas;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outbreak of infectious diseases.</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Any of the factors outlined above could negatively affect our ability to generate sufficient cash flow to make payments or maintain our covenants with respect to our debt.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casino, hotel, convention and other facilities face intense competition.</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casino/hotel industry is highly competitive and additional developments have recently opened or are currently underway. Resorts located on or near the Las Vegas Strip compete with other Las Vegas Strip hotels and with other hotel casinos in Las Vegas on the basis of overall atmosphere, range of amenities, level of service, price, location, entertainment, theme and size, among other factors.</w:t>
      </w:r>
    </w:p>
    <w:p>
      <w:pPr>
        <w:spacing w:after="0" w:line="140"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Wynn Las Vegas also competes, to some extent, with other hotel/casino facilities in Nevada, throughout the United States and elsewhere in the world. In addition, the legalization of casino gaming in or near metropolitan areas from which we attract customers could have a negative effect on our business. New or renovated casinos in Asia, including our property in Macau, could draw Asian gaming customers away from Las Vegas.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Our business relies on high-end, international customers to whom we often extend credit, and we may not be able to collect gaming receivables from our credit players or credit play may decrease.</w:t>
      </w:r>
    </w:p>
    <w:p>
      <w:pPr>
        <w:spacing w:after="0" w:line="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significant portion of our table games revenue at Wynn Las Vegas is attributable to the play of a limited number of international customers. The loss or a reduction in the play of the most significant of these customers could have a substantial negative effect on our future operating results. A continued downturn in economic conditions in the countries in which these customers reside could cause a further reduction in the frequency of visits by and revenue generated from these customers.</w:t>
      </w:r>
    </w:p>
    <w:p>
      <w:pPr>
        <w:spacing w:after="0" w:line="143"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We conduct our gaming activities on a credit as well as a cash basis. This credit is unsecured. Table games players typically are extended more credit than slot players, and high-stakes players typically are extended more credit than patrons who tend to wager lower amounts. The collectability of receivables from international customers could be negatively affected by future business or economic trends or by significant events in the countries in which these customers reside. We will extend credit to those customers whose level of play and financial resources, in the opinion of management, warrant such an extension.</w:t>
      </w:r>
    </w:p>
    <w:p>
      <w:pPr>
        <w:spacing w:after="0" w:line="9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addition, high-end gaming is more volatile than other forms of gaming, and variances in win-loss results attributable to high-end gaming may have a positive or negative impact on cash flow and earnings in a particular quarter.</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While gaming debts evidenced by a credit instrument, including what is commonly referred to as a “marker,” are enforceable under the current laws of Nevada, and judgments on gaming debts are enforceable in all states under the Full Faith and Credit Clause of the United States Constitution, other jurisdictions may determine that direct or indirect enforcement of gaming debts is against public policy. Although courts of some foreign nations will enforce gaming debts directly and the assets in the United States of foreign debtors may be used to satisfy a judgment, judgments on gaming debts from U.S. courts are not binding on the courts of many foreign nations. We cannot assure you that we will be able to collect the full amount of gaming debts owed to us, even in jurisdictions that enforce them. Dramatic changes in economic conditions may make it more difficult to assess creditworthiness and more difficult to collect the full amount of any gaming debt owed to us. Our inability to collect gaming debts could have a significant negative impact on our operating results.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particularly sensitive to reductions in discretionary consumer spending as a result of downturns in the economy.</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Consumer demand for hotel/casino resorts, trade shows and conventions and for the type of luxury amenities that we offer is particularly sensitive to downturns in the economy which adversely impact discretionary spending on leisure activities. Changes in discretionary consumer spending or consumer preferences brought about by the factors such as perceived or actual general economic conditions, high unemployment, the current housing foreclosure crisis, the current credit crisis, bank failures and the potential for additional bank failures, perceived or actual changes to disposable consumer income and wealth, the current global economic uncertainty and changes in consumer confidence in the economy, or fears of war and future acts of terrorism could reduce customer demand for the luxury amenities and leisure activities we offer, and may have a significant negative impact on our operating results.</w:t>
      </w:r>
    </w:p>
    <w:p>
      <w:pPr>
        <w:spacing w:after="0" w:line="20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We are subject to extensive state and local regulation, and licensing and gaming authorities have significant control over our operations, which could have a negative effect on our business.</w:t>
      </w:r>
    </w:p>
    <w:p>
      <w:pPr>
        <w:spacing w:after="0" w:line="5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operations of Wynn Las Vegas are contingent upon maintaining all necessary regulatory licenses, permits, approvals, registrations, findings of suitability, orders and authorizations.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scope of the approvals required to open and operate a facility is extensive.</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We received all approvals for the opening of Wynn Las Vegas I Encore; however, we are subject to ongoing regulation to maintain these operations.</w:t>
      </w:r>
    </w:p>
    <w:p>
      <w:pPr>
        <w:spacing w:after="0" w:line="194"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Nevada Gaming Commission may, in its discretion, require the holder of any debt or securities that we or Wynn Resorts issue to file applications, be investigated and be found suitable to own our or Wynn Resorts’ securities if it has reason to believe that the security ownership would be inconsistent with the declared policies of the State of Nevada.</w:t>
      </w:r>
    </w:p>
    <w:p>
      <w:pPr>
        <w:spacing w:after="0" w:line="14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Nevada regulatory authorities have broad powers to request detailed financial and other information, to limit, condition, suspend or revoke a registration, gaming license or related approval and to approve changes in our operations. Substantial fines or forfeiture of assets 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 regulations applicable to our business or gaming licenses could require us to make substantial expenditures or could otherwise negatively affect our gaming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taxation by various governments and agencies. The rate of taxation could change.</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are subject to taxation in the United States at the federal, state and local level. Specific rates of taxation can be changed by legislative action. Increases in taxation could adversely affect our results.</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insurance coverage may not be adequate to cover all possible losses that we could suffer, including terrorism, and our insurance costs may increase.</w:t>
      </w:r>
    </w:p>
    <w:p>
      <w:pPr>
        <w:spacing w:after="0" w:line="125"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have comprehensive property and liability insurance policies for our properties with coverage features and insured limits that we believe are customary in their breadth and scope. Market forces beyond our control may nonetheless limit the scope of the insurance coverage we can obtain or our ability to obtain coverage at reasonable rates. Certain types of losses, generally of a catastrophic nature, such as earthquakes, hurricanes and floods, or terrorist acts, or certain liabilities may be uninsurable or too expensive to justify obtaining insurance. As a result, we may not be successful in obtaining insurance without increases in cost or decreases in coverage levels. In addition, in the event of a substantial loss, the insurance coverage we carry may not be sufficient to pay the full market value or replacement cost of our lost investment or in some cases could result in certain losses being totally uninsured. As a result, we could lose some or all of the capital we have invested in a property, as well as the anticipated future revenue from the property, and we could remain obligated for debt or other financial obligations related to the property.</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debt instruments and other material agreements require us to maintain a certain minimum level of insurance. Failure to satisfy these requirements could result in an event of default under these debt instruments or material agreements.</w:t>
      </w:r>
    </w:p>
    <w:p>
      <w:pPr>
        <w:spacing w:after="0" w:line="21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If a third party successfully challenges Holdings’ ownership of, or right to use, the Wynn-related trademarks and/or service marks, our business or results of operations could be harmed.</w:t>
      </w:r>
    </w:p>
    <w:p>
      <w:pPr>
        <w:spacing w:after="0" w:line="5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have sublicensed certain Wynn-related trademarks and service marks from Holdings. Holdings has filed applications with the United States Patent and Trademark Office (“PTO”), to register a variety of WYNN-related trademarks and service marks in connection with a variety of goods and services. These marks include “WYNN LAS VEGAS” and “ENCORE.” Some of the applications are based upon ongoing use and others are based upon a bona fide intent to use the marks.</w:t>
      </w:r>
    </w:p>
    <w:p>
      <w:pPr>
        <w:spacing w:after="0" w:line="143"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A common element of most of these marks is the use of the surname, “WYNN.” As a general rule, a surname (or the portion of a mark primarily constituting a surname) is not eligible for registration unless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surname has acquired “secondary meaning.” To date, Holdings has been successful in demonstrating to the PTO such secondary meaning for the Wynn name, in certain of the applications, based upon factors including Mr. Wynn’s prominence as a resort developer, but we cannot assure you that we will be successful with the other pending applications.</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Even if Holdings is able to obtain registration of the WYNN-related marks, such 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Our intellectual property assets, including the word and the logo version of “Wynn,” are among our most valuable assets. Efforts we take to acquire and protect our intellectual property rights against unauthorized use throughout the world, which may include retaining counsel and commencing litigation in various jurisdictions, may be costly and may not be successful in protecting and preserving the status and value of our intellectual property assets.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a third party asserts other forms of intellectual property claims against us, our business or results of operations could be adversely affected.</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Historically, trademarks and service marks have been the principal form of intellectual property rights relevant to the gaming industry. However,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claims are successfully prosecuted, may have a material impact on our business.</w:t>
      </w:r>
    </w:p>
    <w:p>
      <w:pPr>
        <w:spacing w:after="0" w:line="19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Our information technology and other systems are subject to cyber security risk including misappropriation of customer information or other breaches of information security.</w:t>
      </w:r>
    </w:p>
    <w:p>
      <w:pPr>
        <w:spacing w:after="0" w:line="51"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We rely on information technology and other systems to maintain and transmit customer financial information, credit card settlements, credit card funds transmissions, mailing lists and reservations information. In addition, our financial and recordkeeping processes are run from one central location at a secured off site Network Operations Center. We have implemented industry best practice systems that are designed to meet all requirements of the Payment Card Industry standards for data protection, however, our information and processes are subject to the ever-changing threat of compromised security, in the form of a risk of potential breach, system failure, computer virus, or unauthorized or fraudulent use by customers, company employees, or employees of third party vendors. The steps we take to deter and mitigate these risks may not be successful, and any resulting compromise or loss of data or systems could adversely impact operations or regulatory compliance and could result in remedial expenses, fines, litigation, and loss of reputation, potentially impacting our financial results.</w:t>
      </w:r>
    </w:p>
    <w:p>
      <w:pPr>
        <w:spacing w:after="0" w:line="18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Because we own real property, we are subject to extensive environmental regulation, which creates uncertainty regarding future environmental expenditures and liabilities.</w:t>
      </w:r>
    </w:p>
    <w:p>
      <w:pPr>
        <w:spacing w:after="0" w:line="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incurred costs to comply with environmental requirements, such as those relating to discharges into the air, water and land, the handling and disposal of solid and hazardous waste and the cleanup of properties affected by hazardous substances. Under these and other environmental requirements we may be required to investigate and clean up hazardous or toxic substances or chemical releases at our property. As an owner or operator, we could also be held responsible to a governmental entity or third parties for property damage, personal injury and investigation and cleanup costs incurred by them in connection with any contamination.</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These laws typically impose cleanup responsibility and liability without regard to whether the owner or operator knew of or caused the presence of the contaminants. The liability under those laws has been interpreted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use our property.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Wynn Resorts’ officers, directors and substantial stockholders are able to exert significant influence over our operations and future direction.</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ultimate parent company is Wynn Resorts. As of December 31, 2012, Mr. Wynn and Elaine P. Wynn own 10,026,708 shares and 9,742,150 shares, respectively, or in the aggregate approximately 19.6%, of Wynn Resorts’ outstanding common stock. As a result, Mr. Wynn and Elaine P. Wynn, to the extent they vote their shares in a similar manner, may be able to exert significant influence over all matters requiring our stockholders’ approval, including the approval of significant corporate transactions. In addition, until February 2012, Aruze USA, Inc. owned 24,549,222 shares of Wynn Resorts’ outstanding common stock. On February 18, 2012, Wynn Resorts redeemed all of the shares of Wynn Resorts’ common stock held by Aruze USA, Inc. For additional information on the redemption, see Item 8—“Notes to the Consolidated Financial Statements”, Note 11 “Commitments and Contingencies”.</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Under the Amended and Restated Stockholders Agreement, dated as of January 6, 2010, by and among Stephen A. Wynn, Elaine P. Wynn and Aruze USA, Inc. (the “Amended and Restated Stockholders Agreement”), Mr. Wynn and Elaine P. Wynn have agreed to vote the shares of Wynn Resorts’ common stock held by them subject to the terms of the Amended and Restated Stockholders Agreement in a manner so as to elect to our Board of Directors each of the nominees contained on each and every slate of directors endorsed by Mr. Wynn, which slate will include, subject to certain exceptions, Elaine P. Wynn. As a result of this voting arrangement, Mr. Wynn, as a practical matter, exercises significant influence over the slate of directors to be elected to Wynn Resorts’ Board of Directors. In addition, with stated exceptions, the Amended and Restated Stockholders Agreement requires the written consent of the other party prior to any party selling any shares of Wynn Resorts’ common stock that it owns.</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June 2012, in connection with the pending litigation between Wynn Resorts and Aruze USA, Inc., Elaine P. Wynn submitted a cross claim against Mr. Wynn and Kazuo Okada seeking to void the Amended and Restated Stockholders Agreement. The Wynn Las Vegas indentures provide that if Mr. Wynn, together with certain related parties, in the aggregate beneficially owns a lesser percentage of the outstanding common stock of Wynn Resorts than is beneficially owned by any other person, a change of control will have occurred. If Elaine Wynn prevails in her cross claim, Mr. Wynn would not beneficially own or control Elaine Wynn’s shares and a change in control may result under the Indentures. For additional information on the cross claim, see Item 8—“Notes to the Consolidated Financial Statements”, Note 6 “Long-Term Debt” and Note 11 “Commitments and Contingencies”.</w:t>
      </w:r>
    </w:p>
    <w:p>
      <w:pPr>
        <w:spacing w:after="0" w:line="12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November 2006, the Board of Directors of Wynn Resorts approved an amendment of its bylaws that exempts future acquisitions of shares of Wynn Resorts’ common stock by either Mr. Wynn or Aruze USA, Inc. from Nevada’s acquisition of controlling interest statutes. The Nevada acquisition of controlling interest statutes require stockholder approval in order to exercise voting rights in connection with any acquisition of a controlling interest in certain Nevada corporations unless the articles of incorporation or bylaws of the corporation in effect on the 10th day following the acquisition of a controlling interest by certain acquiring persons provide that these statutes do not apply to the corporation or to the acquisition specifically by types of existing or future stockholders. These statutes define a “controlling interest” as (i) one-fifth or more but less than one-third, (ii) one-third or more but less than a majority, or (iii) a majority or more, of the voting power in the election of directors. As a result of the bylaw amendment, either Mr. Wynn or Aruze USA, Inc. or their respective affiliates may acquire ownership of outstanding voting shares of Wynn Resorts permitting them to exercise more than one-third but less than a majority, or a majority or more, of all of the voting power of the corporation in the election of directors, without requiring a resolution of the stockholders of the corporation granting voting rights in the control shares acquired.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Land</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Wynn Las Vegas, located at the intersection of the Las Vegas Strip and Sands Avenue, occupies approximately 215 acres of land (of which approximately 140 acres comprise the Wynn Las Vegas golf course) fronting the Las Vegas Strip and utilizes approximately 18 additional acres across Sands Avenue, a portion of which is improved with an employee parking garage and approximately 5 acres adjacent to the golf course on which an office building is located. Commencing September 18, 2012, when the golf course land and related water rights were distributed to Wynn Resorts, we lease approximately 140 acres (upon which the golf course is located) and water rights from Wynn Resorts.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Water Rights</w:t>
      </w:r>
    </w:p>
    <w:p>
      <w:pPr>
        <w:spacing w:after="0" w:line="96"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Commencing September 18, 2012, when the golf course land and related water rights were distributed to Wynn Resorts, we lease from Wynn Resorts, approximately 834 acre-feet of permitted and certificated water rights, which we currently use to irrigate the golf course. We also lease from Wynn Resorts approximately 151.5 acre-feet of permitted and certificated water rights for commercial use.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For more information regarding the Company’s legal matters see Item 8—“Notes to the Consolidated Financial Statements”, Note 11 “Commitments and Contingencies” in this Annual Report on Form 10-K.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ind w:right="2040"/>
        <w:spacing w:after="0" w:line="34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There is no established trading market for our membership interests. We do not intend to list the membership interests on any national securities exchange or seek the admission thereof to trading in the National Association of Securities Dealers Automated Quotation System. We do not intend to make a market in the membership interests, nor are we obligated to do so.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Holdings owns all of the membership interests in the Company as of the date of this filing.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On September 18, 2012, the Company distributed to Wynn Resorts, Limited, the Wynn Las Vegas golf course land, the related water rights, and $700 million in cash.</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Restrictions imposed by our debt instruments significantly restrict us from making dividends or distributions. Specifically, we are restricted under the indentures governing the first mortgage notes from making certain “restricted payments” as defined in the indentures. These restricted payments include the payment of distributions to any direct or indirect holders of our membership interests. These restricted payments cannot be made unless certain financial and non-financial criteria have been satisfied.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following reflects the selected consolidated financial data of Wynn Las Vegas, LLC and its subsidiaries. This data should be read together with our consolidated financial statements and notes thereto, “Item 7. Management’s Discussion and Analysis of Financial Condition and Results of Operations” and the other information contained in this Annual Report on Form 10-K.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2"/>
          </w:tcPr>
          <w:p>
            <w:pPr>
              <w:jc w:val="center"/>
              <w:ind w:right="996"/>
              <w:spacing w:after="0"/>
              <w:rPr>
                <w:sz w:val="20"/>
                <w:szCs w:val="20"/>
                <w:color w:val="auto"/>
              </w:rPr>
            </w:pPr>
            <w:r>
              <w:rPr>
                <w:rFonts w:ascii="Arial" w:cs="Arial" w:eastAsia="Arial" w:hAnsi="Arial"/>
                <w:sz w:val="14"/>
                <w:szCs w:val="14"/>
                <w:b w:val="1"/>
                <w:bCs w:val="1"/>
                <w:color w:val="auto"/>
                <w:w w:val="85"/>
              </w:rPr>
              <w:t>Years Ended December 31,</w:t>
            </w:r>
          </w:p>
        </w:tc>
        <w:tc>
          <w:tcPr>
            <w:tcW w:w="10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Borders>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2012</w:t>
            </w:r>
          </w:p>
        </w:tc>
        <w:tc>
          <w:tcPr>
            <w:tcW w:w="124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2011</w:t>
            </w:r>
          </w:p>
        </w:tc>
        <w:tc>
          <w:tcPr>
            <w:tcW w:w="1400" w:type="dxa"/>
            <w:vAlign w:val="bottom"/>
            <w:tcBorders>
              <w:bottom w:val="single" w:sz="8" w:color="auto"/>
            </w:tcBorders>
          </w:tcPr>
          <w:p>
            <w:pPr>
              <w:jc w:val="center"/>
              <w:ind w:left="100"/>
              <w:spacing w:after="0" w:line="142" w:lineRule="exact"/>
              <w:rPr>
                <w:sz w:val="20"/>
                <w:szCs w:val="20"/>
                <w:color w:val="auto"/>
              </w:rPr>
            </w:pPr>
            <w:r>
              <w:rPr>
                <w:rFonts w:ascii="Arial" w:cs="Arial" w:eastAsia="Arial" w:hAnsi="Arial"/>
                <w:sz w:val="14"/>
                <w:szCs w:val="14"/>
                <w:b w:val="1"/>
                <w:bCs w:val="1"/>
                <w:color w:val="auto"/>
                <w:w w:val="83"/>
              </w:rPr>
              <w:t>2010</w:t>
            </w:r>
          </w:p>
        </w:tc>
        <w:tc>
          <w:tcPr>
            <w:tcW w:w="1300" w:type="dxa"/>
            <w:vAlign w:val="bottom"/>
            <w:tcBorders>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2009</w:t>
            </w:r>
          </w:p>
        </w:tc>
        <w:tc>
          <w:tcPr>
            <w:tcW w:w="102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0" w:type="dxa"/>
            <w:vAlign w:val="bottom"/>
          </w:tcPr>
          <w:p>
            <w:pPr>
              <w:jc w:val="center"/>
              <w:ind w:left="14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Net revenues [1]</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$1,487,606</w:t>
            </w:r>
          </w:p>
        </w:tc>
        <w:tc>
          <w:tcPr>
            <w:tcW w:w="1240" w:type="dxa"/>
            <w:vAlign w:val="bottom"/>
          </w:tcPr>
          <w:p>
            <w:pPr>
              <w:jc w:val="right"/>
              <w:spacing w:after="0"/>
              <w:rPr>
                <w:sz w:val="20"/>
                <w:szCs w:val="20"/>
                <w:color w:val="auto"/>
              </w:rPr>
            </w:pPr>
            <w:r>
              <w:rPr>
                <w:rFonts w:ascii="Arial" w:cs="Arial" w:eastAsia="Arial" w:hAnsi="Arial"/>
                <w:sz w:val="18"/>
                <w:szCs w:val="18"/>
                <w:color w:val="auto"/>
              </w:rPr>
              <w:t>$1,481,895</w:t>
            </w:r>
          </w:p>
        </w:tc>
        <w:tc>
          <w:tcPr>
            <w:tcW w:w="1400" w:type="dxa"/>
            <w:vAlign w:val="bottom"/>
          </w:tcPr>
          <w:p>
            <w:pPr>
              <w:jc w:val="right"/>
              <w:ind w:right="120"/>
              <w:spacing w:after="0"/>
              <w:rPr>
                <w:sz w:val="20"/>
                <w:szCs w:val="20"/>
                <w:color w:val="auto"/>
              </w:rPr>
            </w:pPr>
            <w:r>
              <w:rPr>
                <w:rFonts w:ascii="Arial" w:cs="Arial" w:eastAsia="Arial" w:hAnsi="Arial"/>
                <w:sz w:val="18"/>
                <w:szCs w:val="18"/>
                <w:color w:val="auto"/>
              </w:rPr>
              <w:t>$ 1,296,556</w:t>
            </w:r>
          </w:p>
        </w:tc>
        <w:tc>
          <w:tcPr>
            <w:tcW w:w="1300" w:type="dxa"/>
            <w:vAlign w:val="bottom"/>
          </w:tcPr>
          <w:p>
            <w:pPr>
              <w:jc w:val="right"/>
              <w:ind w:right="176"/>
              <w:spacing w:after="0"/>
              <w:rPr>
                <w:sz w:val="20"/>
                <w:szCs w:val="20"/>
                <w:color w:val="auto"/>
              </w:rPr>
            </w:pPr>
            <w:r>
              <w:rPr>
                <w:rFonts w:ascii="Arial" w:cs="Arial" w:eastAsia="Arial" w:hAnsi="Arial"/>
                <w:sz w:val="18"/>
                <w:szCs w:val="18"/>
                <w:color w:val="auto"/>
              </w:rPr>
              <w:t>$ 1,230,120</w:t>
            </w:r>
          </w:p>
        </w:tc>
        <w:tc>
          <w:tcPr>
            <w:tcW w:w="1020" w:type="dxa"/>
            <w:vAlign w:val="bottom"/>
          </w:tcPr>
          <w:p>
            <w:pPr>
              <w:jc w:val="right"/>
              <w:spacing w:after="0"/>
              <w:rPr>
                <w:sz w:val="20"/>
                <w:szCs w:val="20"/>
                <w:color w:val="auto"/>
              </w:rPr>
            </w:pPr>
            <w:r>
              <w:rPr>
                <w:rFonts w:ascii="Arial" w:cs="Arial" w:eastAsia="Arial" w:hAnsi="Arial"/>
                <w:sz w:val="18"/>
                <w:szCs w:val="18"/>
                <w:color w:val="auto"/>
              </w:rPr>
              <w:t>$ 1,099,891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2,479</w:t>
            </w:r>
          </w:p>
        </w:tc>
        <w:tc>
          <w:tcPr>
            <w:tcW w:w="130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346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Operating income (loss)</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74,027</w:t>
            </w:r>
          </w:p>
        </w:tc>
        <w:tc>
          <w:tcPr>
            <w:tcW w:w="1240" w:type="dxa"/>
            <w:vAlign w:val="bottom"/>
          </w:tcPr>
          <w:p>
            <w:pPr>
              <w:jc w:val="right"/>
              <w:spacing w:after="0"/>
              <w:rPr>
                <w:sz w:val="20"/>
                <w:szCs w:val="20"/>
                <w:color w:val="auto"/>
              </w:rPr>
            </w:pPr>
            <w:r>
              <w:rPr>
                <w:rFonts w:ascii="Arial" w:cs="Arial" w:eastAsia="Arial" w:hAnsi="Arial"/>
                <w:sz w:val="18"/>
                <w:szCs w:val="18"/>
                <w:color w:val="auto"/>
              </w:rPr>
              <w:t>101,319</w:t>
            </w:r>
          </w:p>
        </w:tc>
        <w:tc>
          <w:tcPr>
            <w:tcW w:w="1400" w:type="dxa"/>
            <w:vAlign w:val="bottom"/>
          </w:tcPr>
          <w:p>
            <w:pPr>
              <w:jc w:val="right"/>
              <w:ind w:right="60"/>
              <w:spacing w:after="0"/>
              <w:rPr>
                <w:sz w:val="20"/>
                <w:szCs w:val="20"/>
                <w:color w:val="auto"/>
              </w:rPr>
            </w:pPr>
            <w:r>
              <w:rPr>
                <w:rFonts w:ascii="Arial" w:cs="Arial" w:eastAsia="Arial" w:hAnsi="Arial"/>
                <w:sz w:val="18"/>
                <w:szCs w:val="18"/>
                <w:color w:val="auto"/>
              </w:rPr>
              <w:t>(81,314)</w:t>
            </w:r>
          </w:p>
        </w:tc>
        <w:tc>
          <w:tcPr>
            <w:tcW w:w="1300" w:type="dxa"/>
            <w:vAlign w:val="bottom"/>
          </w:tcPr>
          <w:p>
            <w:pPr>
              <w:jc w:val="right"/>
              <w:ind w:right="116"/>
              <w:spacing w:after="0"/>
              <w:rPr>
                <w:sz w:val="20"/>
                <w:szCs w:val="20"/>
                <w:color w:val="auto"/>
              </w:rPr>
            </w:pPr>
            <w:r>
              <w:rPr>
                <w:rFonts w:ascii="Arial" w:cs="Arial" w:eastAsia="Arial" w:hAnsi="Arial"/>
                <w:sz w:val="18"/>
                <w:szCs w:val="18"/>
                <w:color w:val="auto"/>
              </w:rPr>
              <w:t>(144,279)</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(58,616)</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(154,496)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(95,632)</w:t>
            </w:r>
          </w:p>
        </w:tc>
        <w:tc>
          <w:tcPr>
            <w:tcW w:w="140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(348,329)</w:t>
            </w:r>
          </w:p>
        </w:tc>
        <w:tc>
          <w:tcPr>
            <w:tcW w:w="13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(309,870)</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(129,794)</w:t>
            </w:r>
          </w:p>
        </w:tc>
      </w:tr>
      <w:tr>
        <w:trPr>
          <w:trHeight w:val="351"/>
        </w:trPr>
        <w:tc>
          <w:tcPr>
            <w:tcW w:w="4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86"/>
              </w:rPr>
              <w:t>As of December 31,</w:t>
            </w:r>
          </w:p>
        </w:tc>
        <w:tc>
          <w:tcPr>
            <w:tcW w:w="1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80" w:type="dxa"/>
            <w:vAlign w:val="bottom"/>
            <w:tcBorders>
              <w:bottom w:val="single" w:sz="8" w:color="auto"/>
            </w:tcBorders>
            <w:gridSpan w:val="2"/>
          </w:tcPr>
          <w:p>
            <w:pPr>
              <w:jc w:val="right"/>
              <w:ind w:right="762"/>
              <w:spacing w:after="0" w:line="142" w:lineRule="exact"/>
              <w:rPr>
                <w:sz w:val="20"/>
                <w:szCs w:val="20"/>
                <w:color w:val="auto"/>
              </w:rPr>
            </w:pPr>
            <w:r>
              <w:rPr>
                <w:rFonts w:ascii="Arial" w:cs="Arial" w:eastAsia="Arial" w:hAnsi="Arial"/>
                <w:sz w:val="14"/>
                <w:szCs w:val="14"/>
                <w:b w:val="1"/>
                <w:bCs w:val="1"/>
                <w:color w:val="auto"/>
              </w:rPr>
              <w:t>2012</w:t>
            </w:r>
          </w:p>
        </w:tc>
        <w:tc>
          <w:tcPr>
            <w:tcW w:w="1240" w:type="dxa"/>
            <w:vAlign w:val="bottom"/>
            <w:tcBorders>
              <w:bottom w:val="single" w:sz="8" w:color="auto"/>
            </w:tcBorders>
          </w:tcPr>
          <w:p>
            <w:pPr>
              <w:jc w:val="right"/>
              <w:ind w:right="616"/>
              <w:spacing w:after="0" w:line="142" w:lineRule="exact"/>
              <w:rPr>
                <w:sz w:val="20"/>
                <w:szCs w:val="20"/>
                <w:color w:val="auto"/>
              </w:rPr>
            </w:pPr>
            <w:r>
              <w:rPr>
                <w:rFonts w:ascii="Arial" w:cs="Arial" w:eastAsia="Arial" w:hAnsi="Arial"/>
                <w:sz w:val="14"/>
                <w:szCs w:val="14"/>
                <w:b w:val="1"/>
                <w:bCs w:val="1"/>
                <w:color w:val="auto"/>
              </w:rPr>
              <w:t>2011</w:t>
            </w:r>
          </w:p>
        </w:tc>
        <w:tc>
          <w:tcPr>
            <w:tcW w:w="1400" w:type="dxa"/>
            <w:vAlign w:val="bottom"/>
            <w:tcBorders>
              <w:bottom w:val="single" w:sz="8" w:color="auto"/>
            </w:tcBorders>
          </w:tcPr>
          <w:p>
            <w:pPr>
              <w:jc w:val="center"/>
              <w:ind w:right="200"/>
              <w:spacing w:after="0" w:line="142" w:lineRule="exact"/>
              <w:rPr>
                <w:sz w:val="20"/>
                <w:szCs w:val="20"/>
                <w:color w:val="auto"/>
              </w:rPr>
            </w:pPr>
            <w:r>
              <w:rPr>
                <w:rFonts w:ascii="Arial" w:cs="Arial" w:eastAsia="Arial" w:hAnsi="Arial"/>
                <w:sz w:val="14"/>
                <w:szCs w:val="14"/>
                <w:b w:val="1"/>
                <w:bCs w:val="1"/>
                <w:color w:val="auto"/>
                <w:w w:val="89"/>
              </w:rPr>
              <w:t>2010</w:t>
            </w:r>
          </w:p>
        </w:tc>
        <w:tc>
          <w:tcPr>
            <w:tcW w:w="1300" w:type="dxa"/>
            <w:vAlign w:val="bottom"/>
            <w:tcBorders>
              <w:bottom w:val="single" w:sz="8" w:color="auto"/>
            </w:tcBorders>
          </w:tcPr>
          <w:p>
            <w:pPr>
              <w:jc w:val="right"/>
              <w:ind w:right="516"/>
              <w:spacing w:after="0" w:line="142" w:lineRule="exact"/>
              <w:rPr>
                <w:sz w:val="20"/>
                <w:szCs w:val="20"/>
                <w:color w:val="auto"/>
              </w:rPr>
            </w:pPr>
            <w:r>
              <w:rPr>
                <w:rFonts w:ascii="Arial" w:cs="Arial" w:eastAsia="Arial" w:hAnsi="Arial"/>
                <w:sz w:val="14"/>
                <w:szCs w:val="14"/>
                <w:b w:val="1"/>
                <w:bCs w:val="1"/>
                <w:color w:val="auto"/>
              </w:rPr>
              <w:t>2009</w:t>
            </w:r>
          </w:p>
        </w:tc>
        <w:tc>
          <w:tcPr>
            <w:tcW w:w="102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0" w:type="dxa"/>
            <w:vAlign w:val="bottom"/>
          </w:tcPr>
          <w:p>
            <w:pPr>
              <w:jc w:val="center"/>
              <w:ind w:right="18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160" w:type="dxa"/>
            <w:vAlign w:val="bottom"/>
            <w:gridSpan w:val="3"/>
          </w:tcPr>
          <w:p>
            <w:pPr>
              <w:jc w:val="right"/>
              <w:ind w:right="502"/>
              <w:spacing w:after="0"/>
              <w:rPr>
                <w:sz w:val="20"/>
                <w:szCs w:val="20"/>
                <w:color w:val="auto"/>
              </w:rPr>
            </w:pPr>
            <w:r>
              <w:rPr>
                <w:rFonts w:ascii="Arial" w:cs="Arial" w:eastAsia="Arial" w:hAnsi="Arial"/>
                <w:sz w:val="18"/>
                <w:szCs w:val="18"/>
                <w:color w:val="auto"/>
              </w:rPr>
              <w:t>$  148,415</w:t>
            </w:r>
          </w:p>
        </w:tc>
        <w:tc>
          <w:tcPr>
            <w:tcW w:w="1240" w:type="dxa"/>
            <w:vAlign w:val="bottom"/>
          </w:tcPr>
          <w:p>
            <w:pPr>
              <w:jc w:val="right"/>
              <w:ind w:right="336"/>
              <w:spacing w:after="0"/>
              <w:rPr>
                <w:sz w:val="20"/>
                <w:szCs w:val="20"/>
                <w:color w:val="auto"/>
              </w:rPr>
            </w:pPr>
            <w:r>
              <w:rPr>
                <w:rFonts w:ascii="Arial" w:cs="Arial" w:eastAsia="Arial" w:hAnsi="Arial"/>
                <w:sz w:val="18"/>
                <w:szCs w:val="18"/>
                <w:color w:val="auto"/>
                <w:w w:val="93"/>
              </w:rPr>
              <w:t>$  201,399</w:t>
            </w:r>
          </w:p>
        </w:tc>
        <w:tc>
          <w:tcPr>
            <w:tcW w:w="1400" w:type="dxa"/>
            <w:vAlign w:val="bottom"/>
          </w:tcPr>
          <w:p>
            <w:pPr>
              <w:jc w:val="right"/>
              <w:ind w:right="360"/>
              <w:spacing w:after="0"/>
              <w:rPr>
                <w:sz w:val="20"/>
                <w:szCs w:val="20"/>
                <w:color w:val="auto"/>
              </w:rPr>
            </w:pPr>
            <w:r>
              <w:rPr>
                <w:rFonts w:ascii="Arial" w:cs="Arial" w:eastAsia="Arial" w:hAnsi="Arial"/>
                <w:sz w:val="18"/>
                <w:szCs w:val="18"/>
                <w:color w:val="auto"/>
              </w:rPr>
              <w:t>$   52,540</w:t>
            </w:r>
          </w:p>
        </w:tc>
        <w:tc>
          <w:tcPr>
            <w:tcW w:w="1300" w:type="dxa"/>
            <w:vAlign w:val="bottom"/>
          </w:tcPr>
          <w:p>
            <w:pPr>
              <w:jc w:val="right"/>
              <w:ind w:right="256"/>
              <w:spacing w:after="0"/>
              <w:rPr>
                <w:sz w:val="20"/>
                <w:szCs w:val="20"/>
                <w:color w:val="auto"/>
              </w:rPr>
            </w:pPr>
            <w:r>
              <w:rPr>
                <w:rFonts w:ascii="Arial" w:cs="Arial" w:eastAsia="Arial" w:hAnsi="Arial"/>
                <w:sz w:val="18"/>
                <w:szCs w:val="18"/>
                <w:color w:val="auto"/>
              </w:rPr>
              <w:t>$   66,354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123,315</w:t>
            </w: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160" w:type="dxa"/>
            <w:vAlign w:val="bottom"/>
            <w:gridSpan w:val="3"/>
            <w:shd w:val="clear" w:color="auto" w:fill="CCEEFF"/>
          </w:tcPr>
          <w:p>
            <w:pPr>
              <w:jc w:val="right"/>
              <w:ind w:right="502"/>
              <w:spacing w:after="0"/>
              <w:rPr>
                <w:sz w:val="20"/>
                <w:szCs w:val="20"/>
                <w:color w:val="auto"/>
              </w:rPr>
            </w:pPr>
            <w:r>
              <w:rPr>
                <w:rFonts w:ascii="Arial" w:cs="Arial" w:eastAsia="Arial" w:hAnsi="Arial"/>
                <w:sz w:val="18"/>
                <w:szCs w:val="18"/>
                <w:color w:val="auto"/>
              </w:rPr>
              <w:t>2,518</w:t>
            </w:r>
          </w:p>
        </w:tc>
        <w:tc>
          <w:tcPr>
            <w:tcW w:w="124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6,368</w:t>
            </w:r>
          </w:p>
        </w:tc>
        <w:tc>
          <w:tcPr>
            <w:tcW w:w="1400" w:type="dxa"/>
            <w:vAlign w:val="bottom"/>
            <w:shd w:val="clear" w:color="auto" w:fill="CCEEFF"/>
          </w:tcPr>
          <w:p>
            <w:pPr>
              <w:jc w:val="right"/>
              <w:ind w:right="360"/>
              <w:spacing w:after="0"/>
              <w:rPr>
                <w:sz w:val="20"/>
                <w:szCs w:val="20"/>
                <w:color w:val="auto"/>
              </w:rPr>
            </w:pPr>
            <w:r>
              <w:rPr>
                <w:rFonts w:ascii="Arial" w:cs="Arial" w:eastAsia="Arial" w:hAnsi="Arial"/>
                <w:sz w:val="18"/>
                <w:szCs w:val="18"/>
                <w:color w:val="auto"/>
              </w:rPr>
              <w:t>19,281</w:t>
            </w:r>
          </w:p>
        </w:tc>
        <w:tc>
          <w:tcPr>
            <w:tcW w:w="130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23,973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4,579</w:t>
            </w: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Total assets</w:t>
            </w:r>
          </w:p>
        </w:tc>
        <w:tc>
          <w:tcPr>
            <w:tcW w:w="2160" w:type="dxa"/>
            <w:vAlign w:val="bottom"/>
            <w:gridSpan w:val="3"/>
          </w:tcPr>
          <w:p>
            <w:pPr>
              <w:jc w:val="right"/>
              <w:ind w:right="502"/>
              <w:spacing w:after="0"/>
              <w:rPr>
                <w:sz w:val="20"/>
                <w:szCs w:val="20"/>
                <w:color w:val="auto"/>
              </w:rPr>
            </w:pPr>
            <w:r>
              <w:rPr>
                <w:rFonts w:ascii="Arial" w:cs="Arial" w:eastAsia="Arial" w:hAnsi="Arial"/>
                <w:sz w:val="18"/>
                <w:szCs w:val="18"/>
                <w:color w:val="auto"/>
              </w:rPr>
              <w:t>3,669,881</w:t>
            </w:r>
          </w:p>
        </w:tc>
        <w:tc>
          <w:tcPr>
            <w:tcW w:w="1240" w:type="dxa"/>
            <w:vAlign w:val="bottom"/>
          </w:tcPr>
          <w:p>
            <w:pPr>
              <w:jc w:val="right"/>
              <w:ind w:right="336"/>
              <w:spacing w:after="0"/>
              <w:rPr>
                <w:sz w:val="20"/>
                <w:szCs w:val="20"/>
                <w:color w:val="auto"/>
              </w:rPr>
            </w:pPr>
            <w:r>
              <w:rPr>
                <w:rFonts w:ascii="Arial" w:cs="Arial" w:eastAsia="Arial" w:hAnsi="Arial"/>
                <w:sz w:val="18"/>
                <w:szCs w:val="18"/>
                <w:color w:val="auto"/>
                <w:w w:val="99"/>
              </w:rPr>
              <w:t>4,035,398</w:t>
            </w:r>
          </w:p>
        </w:tc>
        <w:tc>
          <w:tcPr>
            <w:tcW w:w="1400" w:type="dxa"/>
            <w:vAlign w:val="bottom"/>
          </w:tcPr>
          <w:p>
            <w:pPr>
              <w:jc w:val="right"/>
              <w:ind w:right="360"/>
              <w:spacing w:after="0"/>
              <w:rPr>
                <w:sz w:val="20"/>
                <w:szCs w:val="20"/>
                <w:color w:val="auto"/>
              </w:rPr>
            </w:pPr>
            <w:r>
              <w:rPr>
                <w:rFonts w:ascii="Arial" w:cs="Arial" w:eastAsia="Arial" w:hAnsi="Arial"/>
                <w:sz w:val="18"/>
                <w:szCs w:val="18"/>
                <w:color w:val="auto"/>
              </w:rPr>
              <w:t>4,108,516</w:t>
            </w:r>
          </w:p>
        </w:tc>
        <w:tc>
          <w:tcPr>
            <w:tcW w:w="1300" w:type="dxa"/>
            <w:vAlign w:val="bottom"/>
          </w:tcPr>
          <w:p>
            <w:pPr>
              <w:jc w:val="right"/>
              <w:ind w:right="256"/>
              <w:spacing w:after="0"/>
              <w:rPr>
                <w:sz w:val="20"/>
                <w:szCs w:val="20"/>
                <w:color w:val="auto"/>
              </w:rPr>
            </w:pPr>
            <w:r>
              <w:rPr>
                <w:rFonts w:ascii="Arial" w:cs="Arial" w:eastAsia="Arial" w:hAnsi="Arial"/>
                <w:sz w:val="18"/>
                <w:szCs w:val="18"/>
                <w:color w:val="auto"/>
              </w:rPr>
              <w:t>4,254,324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4,584,271</w:t>
            </w: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obligations [2]</w:t>
            </w:r>
          </w:p>
        </w:tc>
        <w:tc>
          <w:tcPr>
            <w:tcW w:w="2160" w:type="dxa"/>
            <w:vAlign w:val="bottom"/>
            <w:gridSpan w:val="3"/>
            <w:shd w:val="clear" w:color="auto" w:fill="CCEEFF"/>
          </w:tcPr>
          <w:p>
            <w:pPr>
              <w:jc w:val="right"/>
              <w:ind w:right="502"/>
              <w:spacing w:after="0"/>
              <w:rPr>
                <w:sz w:val="20"/>
                <w:szCs w:val="20"/>
                <w:color w:val="auto"/>
              </w:rPr>
            </w:pPr>
            <w:r>
              <w:rPr>
                <w:rFonts w:ascii="Arial" w:cs="Arial" w:eastAsia="Arial" w:hAnsi="Arial"/>
                <w:sz w:val="18"/>
                <w:szCs w:val="18"/>
                <w:color w:val="auto"/>
              </w:rPr>
              <w:t>3,272,853</w:t>
            </w:r>
          </w:p>
        </w:tc>
        <w:tc>
          <w:tcPr>
            <w:tcW w:w="124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w w:val="99"/>
              </w:rPr>
              <w:t>2,632,164</w:t>
            </w:r>
          </w:p>
        </w:tc>
        <w:tc>
          <w:tcPr>
            <w:tcW w:w="1400" w:type="dxa"/>
            <w:vAlign w:val="bottom"/>
            <w:shd w:val="clear" w:color="auto" w:fill="CCEEFF"/>
          </w:tcPr>
          <w:p>
            <w:pPr>
              <w:jc w:val="right"/>
              <w:ind w:right="360"/>
              <w:spacing w:after="0"/>
              <w:rPr>
                <w:sz w:val="20"/>
                <w:szCs w:val="20"/>
                <w:color w:val="auto"/>
              </w:rPr>
            </w:pPr>
            <w:r>
              <w:rPr>
                <w:rFonts w:ascii="Arial" w:cs="Arial" w:eastAsia="Arial" w:hAnsi="Arial"/>
                <w:sz w:val="18"/>
                <w:szCs w:val="18"/>
                <w:color w:val="auto"/>
              </w:rPr>
              <w:t>2,730,738</w:t>
            </w:r>
          </w:p>
        </w:tc>
        <w:tc>
          <w:tcPr>
            <w:tcW w:w="130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2,638,083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2,897,328</w:t>
            </w:r>
          </w:p>
        </w:tc>
        <w:tc>
          <w:tcPr>
            <w:tcW w:w="100" w:type="dxa"/>
            <w:vAlign w:val="bottom"/>
            <w:shd w:val="clear" w:color="auto" w:fill="CCEEFF"/>
          </w:tcPr>
          <w:p>
            <w:pPr>
              <w:spacing w:after="0"/>
              <w:rPr>
                <w:sz w:val="18"/>
                <w:szCs w:val="18"/>
                <w:color w:val="auto"/>
              </w:rPr>
            </w:pPr>
          </w:p>
        </w:tc>
      </w:tr>
      <w:tr>
        <w:trPr>
          <w:trHeight w:val="222"/>
        </w:trPr>
        <w:tc>
          <w:tcPr>
            <w:tcW w:w="4180" w:type="dxa"/>
            <w:vAlign w:val="bottom"/>
          </w:tcPr>
          <w:p>
            <w:pPr>
              <w:spacing w:after="0"/>
              <w:rPr>
                <w:sz w:val="20"/>
                <w:szCs w:val="20"/>
                <w:color w:val="auto"/>
              </w:rPr>
            </w:pPr>
            <w:r>
              <w:rPr>
                <w:rFonts w:ascii="Arial" w:cs="Arial" w:eastAsia="Arial" w:hAnsi="Arial"/>
                <w:sz w:val="18"/>
                <w:szCs w:val="18"/>
                <w:color w:val="auto"/>
              </w:rPr>
              <w:t>Member’s equity</w:t>
            </w:r>
          </w:p>
        </w:tc>
        <w:tc>
          <w:tcPr>
            <w:tcW w:w="2160" w:type="dxa"/>
            <w:vAlign w:val="bottom"/>
            <w:gridSpan w:val="3"/>
          </w:tcPr>
          <w:p>
            <w:pPr>
              <w:jc w:val="right"/>
              <w:ind w:right="502"/>
              <w:spacing w:after="0"/>
              <w:rPr>
                <w:sz w:val="20"/>
                <w:szCs w:val="20"/>
                <w:color w:val="auto"/>
              </w:rPr>
            </w:pPr>
            <w:r>
              <w:rPr>
                <w:rFonts w:ascii="Arial" w:cs="Arial" w:eastAsia="Arial" w:hAnsi="Arial"/>
                <w:sz w:val="18"/>
                <w:szCs w:val="18"/>
                <w:color w:val="auto"/>
              </w:rPr>
              <w:t>67,085</w:t>
            </w:r>
          </w:p>
        </w:tc>
        <w:tc>
          <w:tcPr>
            <w:tcW w:w="1240" w:type="dxa"/>
            <w:vAlign w:val="bottom"/>
          </w:tcPr>
          <w:p>
            <w:pPr>
              <w:jc w:val="right"/>
              <w:ind w:right="336"/>
              <w:spacing w:after="0"/>
              <w:rPr>
                <w:sz w:val="20"/>
                <w:szCs w:val="20"/>
                <w:color w:val="auto"/>
              </w:rPr>
            </w:pPr>
            <w:r>
              <w:rPr>
                <w:rFonts w:ascii="Arial" w:cs="Arial" w:eastAsia="Arial" w:hAnsi="Arial"/>
                <w:sz w:val="18"/>
                <w:szCs w:val="18"/>
                <w:color w:val="auto"/>
                <w:w w:val="99"/>
              </w:rPr>
              <w:t>1,010,307</w:t>
            </w:r>
          </w:p>
        </w:tc>
        <w:tc>
          <w:tcPr>
            <w:tcW w:w="1400" w:type="dxa"/>
            <w:vAlign w:val="bottom"/>
          </w:tcPr>
          <w:p>
            <w:pPr>
              <w:jc w:val="right"/>
              <w:ind w:right="360"/>
              <w:spacing w:after="0"/>
              <w:rPr>
                <w:sz w:val="20"/>
                <w:szCs w:val="20"/>
                <w:color w:val="auto"/>
              </w:rPr>
            </w:pPr>
            <w:r>
              <w:rPr>
                <w:rFonts w:ascii="Arial" w:cs="Arial" w:eastAsia="Arial" w:hAnsi="Arial"/>
                <w:sz w:val="18"/>
                <w:szCs w:val="18"/>
                <w:color w:val="auto"/>
              </w:rPr>
              <w:t>1,098,502</w:t>
            </w:r>
          </w:p>
        </w:tc>
        <w:tc>
          <w:tcPr>
            <w:tcW w:w="1300" w:type="dxa"/>
            <w:vAlign w:val="bottom"/>
          </w:tcPr>
          <w:p>
            <w:pPr>
              <w:jc w:val="right"/>
              <w:ind w:right="256"/>
              <w:spacing w:after="0"/>
              <w:rPr>
                <w:sz w:val="20"/>
                <w:szCs w:val="20"/>
                <w:color w:val="auto"/>
              </w:rPr>
            </w:pPr>
            <w:r>
              <w:rPr>
                <w:rFonts w:ascii="Arial" w:cs="Arial" w:eastAsia="Arial" w:hAnsi="Arial"/>
                <w:sz w:val="18"/>
                <w:szCs w:val="18"/>
                <w:color w:val="auto"/>
              </w:rPr>
              <w:t>1,385,553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1,257,563</w:t>
            </w:r>
          </w:p>
        </w:tc>
        <w:tc>
          <w:tcPr>
            <w:tcW w:w="100" w:type="dxa"/>
            <w:vAlign w:val="bottom"/>
          </w:tcPr>
          <w:p>
            <w:pPr>
              <w:spacing w:after="0"/>
              <w:rPr>
                <w:sz w:val="19"/>
                <w:szCs w:val="19"/>
                <w:color w:val="auto"/>
              </w:rPr>
            </w:pPr>
          </w:p>
        </w:tc>
      </w:tr>
    </w:tbl>
    <w:p>
      <w:pPr>
        <w:spacing w:after="0" w:line="188"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Encore opened on December 22, 2008.</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long-term debt, interest rate swap and long-term amounts due to affiliates.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consolidated financial statements and the notes thereto included elsewhere in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a developer, owner and operator of destination casino resorts. We currently own and operate Wynn Las Vegas I Encore (‘Wynn Las Vegas”), a fully integrated destination casino resort in Las Vegas, Nevada. Wynn Las Vegas, located at the intersection of the Las Vegas Strip and Sands Avenue, occupies approximately 215 acres of land (of which approximately 140 acres comprise the Wynn Las Vegas golf course) fronting the Las Vegas Strip and utilizes approximately 18 additional acres across Sands Avenue, a portion of which is improved with an employee parking garage and approximately 5 acres adjacent to the golf course on which an office building is located. Commencing September 18, 2012, when the golf course land and related water rights were distributed to Wynn Resorts, we lease approximately 140 acres (upon which the golf course is located) and water rights from Wynn Resorts.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Las Vegas resort complex features:</w:t>
      </w:r>
    </w:p>
    <w:p>
      <w:pPr>
        <w:spacing w:after="0" w:line="90" w:lineRule="exact"/>
        <w:rPr>
          <w:sz w:val="20"/>
          <w:szCs w:val="20"/>
          <w:color w:val="auto"/>
        </w:rPr>
      </w:pPr>
    </w:p>
    <w:p>
      <w:pPr>
        <w:ind w:left="900" w:right="40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Approximately 186,000 square feet of casino space, offering 24-hour gaming and a full range of games, including private gaming salons, a sky casino, a poker room, and a race and sports book;</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Two luxury hotel towers with a total of 4,750 spacious hotel rooms, suites and villas;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35 food and beverage outlets featuring signature chefs;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jc w:val="both"/>
        <w:ind w:left="900" w:right="40" w:hanging="325"/>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Approximately 95,000 square feet of high-end, brand-name retail shopping, including stores and boutiques by Alexander McQueen, Brioni, Cartier, Chanel, Chloé, Chopard, Dior, Graff, Hermes, IWC Schaffhausen, Jaeger-Lecoultre, Loro Piana, Louis Vuitton, Manolo Blahnik, Oscar de la Renta, Piaget, Vertu and others;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swimming pools, private cabanas and two full service spas and salons;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Two showrooms;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Three nightclubs and a beach club.</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Construction and Future Development</w:t>
      </w:r>
    </w:p>
    <w:p>
      <w:pPr>
        <w:spacing w:after="0" w:line="90"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In response to our evaluation of our property and the reactions of our guests, we have and expect to continue to remodel and make enhancements and refinements to our resort complex. During 2012, we remodeled two of our restaurants and rebranded several retail outlets.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We offer gaming, hotel accommodations, dining, entertainment, retail shopping, convention services and other amenities at our resort. We currently rely solely upon the operations of Wynn Las Vegas for our operating cash flow. Concentration of our cash flows to Wynn Las Vegas exposes us to certain risks that competitors, whose operations are more diversified, may be better able to control. In addition to the concentration of</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45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operations to Wynn Las Vegas, many of our customers are premium gaming customers who wager on credit, thus exposing us to increased credit risk. High-end gaming also increases the potential for variability in our results.</w:t>
      </w:r>
    </w:p>
    <w:p>
      <w:pPr>
        <w:spacing w:after="0" w:line="132"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recorded a net loss for the year ended December 31, 2012 of $154.5 million compared to the net loss of $95.6 million recorded for the year ended December 31, 2011. Our results were negatively impacted by decreased profitability in the casino department ($42.5 million) where we experienced lower table games win percentage as compared to the prior year. We also experienced higher interest expense and recorded a loss on extinguishment of debt related to an amendment of our bank credit facilities in March 2012 and subsequent termination of the credit agreement in September 2012. See below for a more detailed discussion regarding our results.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Measures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key operating statistics specific to the gaming industry are included in our discussion of our operational performance for the periods for which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Operations and Comprehensive Loss is presented. Below are definitions of the gaming statistics discussed:</w:t>
      </w:r>
    </w:p>
    <w:p>
      <w:pPr>
        <w:spacing w:after="0" w:line="84"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Table games win is the amount of drop that is retained and recorded as casino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and is recorded as casino revenue.</w:t>
      </w:r>
    </w:p>
    <w:p>
      <w:pPr>
        <w:spacing w:after="0" w:line="9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including promotional allowances (less service charges, if any) by total rooms occupied, including complimentary rooms.</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including promotional allowances (less service charges, if any) by total rooms available.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Occupancy is calculated by dividing total occupied rooms including complimentary rooms by total rooms available.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year ended December 31, 2012 compared to the year ended December 31, 2011</w:t>
      </w:r>
      <w:r>
        <w:rPr>
          <w:rFonts w:ascii="Arial" w:cs="Arial" w:eastAsia="Arial" w:hAnsi="Arial"/>
          <w:sz w:val="18"/>
          <w:szCs w:val="18"/>
          <w:i w:val="1"/>
          <w:iCs w:val="1"/>
          <w:color w:val="auto"/>
        </w:rPr>
        <w:t>.</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Net revenues for the year ended December 31, 2012 are comprised of $592.3 million in casino revenues (39.8% of total net revenues) and $895.3 million of net non-casino revenues (60.2% of total net revenues). Net revenues for the year ended December 31, 2011 were comprised of $625.2 million in casino revenues (42.2% of total net revenues) and $856.7 million of net non-casino revenues (57.8% of total net revenues).</w:t>
      </w:r>
    </w:p>
    <w:p>
      <w:pPr>
        <w:spacing w:after="0" w:line="10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Casino revenues are comprised of the net win from our table games and slot machine operations. We experienced a decrease in casino revenues of $32.9 million (5.3%) to $592.3 million for the year ended December 31, 2012, compared to $625.2 million for the year ended December 31, 2011, due to a decrease in our table games win percentage. For the year ended December 31, 2012, we experienced a $225.1 million (9.5%) increase in drop to $2,591.8 million compared to $2,366.7 million for the prior year. Our average table games win percentage (before discounts) of 21.9% was within the expected range of 21% to 24% for the year ended December 31, 2012. For the year ended December 31, 2011, our average table games win percentage (before discounts) was 24.9%. Slot machine handle increased $170.4 million (6.2%) to $2,908.7 million compared to the prior year handle of $2,738.3 million. Slot machine win of $177.4 million was $7.4 million (4.3%) higher than the $170 million achieved in the prior year.</w:t>
      </w:r>
    </w:p>
    <w:p>
      <w:pPr>
        <w:spacing w:after="0" w:line="11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For the year ended December 31, 2012, room revenues were $362.3 million, which represents an $8.3 million (2.3%) increase over the $354 million generated in the year ended December 31, 2011. We experienced an increase in room rates during the year ended December 31, 2012, compared to the prior year, with a 3.2 percentage point decrease in occupancy rate. We were able to achieve an increase in ADR as we adjusted rates to</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attract a high quality customer who would take advantage of all aspects of our resort. See the table below for key operating measures related to our room revenue.</w:t>
      </w:r>
    </w:p>
    <w:p>
      <w:pPr>
        <w:spacing w:after="0" w:line="22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ind w:right="12"/>
              <w:spacing w:after="0"/>
              <w:rPr>
                <w:sz w:val="20"/>
                <w:szCs w:val="20"/>
                <w:color w:val="auto"/>
              </w:rPr>
            </w:pPr>
            <w:r>
              <w:rPr>
                <w:rFonts w:ascii="Arial" w:cs="Arial" w:eastAsia="Arial" w:hAnsi="Arial"/>
                <w:sz w:val="14"/>
                <w:szCs w:val="14"/>
                <w:b w:val="1"/>
                <w:bCs w:val="1"/>
                <w:color w:val="auto"/>
                <w:w w:val="96"/>
              </w:rPr>
              <w:t>Years Ended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39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920" w:type="dxa"/>
            <w:vAlign w:val="bottom"/>
            <w:tcBorders>
              <w:bottom w:val="single" w:sz="8" w:color="CCEEFF"/>
            </w:tcBorders>
          </w:tcPr>
          <w:p>
            <w:pPr>
              <w:spacing w:after="0"/>
              <w:rPr>
                <w:sz w:val="12"/>
                <w:szCs w:val="12"/>
                <w:color w:val="auto"/>
              </w:rPr>
            </w:pPr>
          </w:p>
        </w:tc>
        <w:tc>
          <w:tcPr>
            <w:tcW w:w="25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2012</w:t>
            </w:r>
          </w:p>
        </w:tc>
        <w:tc>
          <w:tcPr>
            <w:tcW w:w="9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83"/>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Average Daily Rate</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0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Occupancy</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712"/>
              <w:spacing w:after="0"/>
              <w:rPr>
                <w:sz w:val="20"/>
                <w:szCs w:val="20"/>
                <w:color w:val="auto"/>
              </w:rPr>
            </w:pPr>
            <w:r>
              <w:rPr>
                <w:rFonts w:ascii="Arial" w:cs="Arial" w:eastAsia="Arial" w:hAnsi="Arial"/>
                <w:sz w:val="18"/>
                <w:szCs w:val="18"/>
                <w:color w:val="auto"/>
              </w:rPr>
              <w:t>82.9%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86.1%</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9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Other non-casino revenues for the year ended December 31, 2012, included food and beverage revenues of $491 million, retail revenues of $85.1 million, entertainment revenues of $81.8 million, and other revenues from outlets such as the spa and salon of $61.7 million. Other non-gaming revenues for the year ended December 31, 2011, included food and beverage revenues of $454.7 million, retail revenues of $87.3 million, entertainment revenues of $82.2 million, and other revenues from outlets, including the spa and salon, of $60.1 million. The increase in food and beverage revenue is due primarily to strong business in our beach club and nightclubs. Entertainment revenues decreased from the prior year primarily due to a show in the Encore Theater that ended its run in April 2011 and another show that ended its run in November 2012. Retail revenues decreased as we reconfigured the Encore retail area and rebranded some of our retail outlets.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2012, departmental expenses included casino expenses of $307.8 million, room expenses of $124 million, food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beverage expenses of $290.1 million, and entertainment, retail and other expenses of $140.1 million. Also included are general and administrative expenses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$231.2 million and $18.3 million charged as a provision for doubtful accounts receivable. For the year ended December 31, 2011, departmental expenses included</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casino expenses of $298.2 million, room expenses of $122.2 million, food and beverage expenses of $264.9 million, and entertainment, retail and other expenses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$147 million. Also included are general and administrative expenses of $225.5 million and $20.3 million charged as a provision for doubtful accounts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receivable.</w:t>
      </w:r>
    </w:p>
    <w:p>
      <w:pPr>
        <w:spacing w:after="0" w:line="16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Casino expense increased due to higher promotional costs commensurate with the increase in table games drop and slot machine handle. Although our room revenues increased 2.3%, room expenses increased only 1.5% as the revenue increase was driven primarily by increased ADR. Food and beverage expenses increased primarily due to additional nightclub promotional costs. Entertainment, retail and other expenses decreased primarily due to shows in the Encore Theater that ended in April 2011 and November 2012. General and administrative expenses increased primarily due to higher advertising costs.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first mortgage notes indentures. Management fees were $22.3 million for the year ended December 31, 2012, compared to $22.2 million for the year ended December 31, 2011, as revenues increased.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incurred no pre-opening costs for the years ended December 31, 2012 and 2011.</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and amortization for the year ended December 31, 2012 was $250.2 million compared to $263.6 million for the year ended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 This decrease is primarily due to assets with a three and six year life being fully depreciated during 2011.</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Property charges and other for the year ended December 31, 2012, were $29.6 million compared to $16.6 million for the year ended December 31, 2011. Property charges and other for the year ended December 31, 2012, include the remodel of two restaurants, termination costs associated with a show that ended its run in November 2012, and miscellaneous renovations and abandonments at our resort. Property charges and other for the year ended December 31, 2011 included miscellaneous renovations and abandonments at our resort, including modifications of the Encore retail esplanade, the closure of Blush nightclub and the write off of certain off-site golf memberships. Property charges and other for the year ended December 31, 2011 also includes the write off of costs related to the Sinatra “Dance with Me” show that ended its run earlier in the year.</w:t>
      </w:r>
    </w:p>
    <w:p>
      <w:pPr>
        <w:spacing w:after="0" w:line="12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In response to our evaluation of our resort complex and the reactions of our guests, we continue to make enhancements and refinements. The costs relating to assets retired as a result of these enhancement and refinement efforts will be expensed as property charges.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Interest expense was $224.3 million for the year ended December 31, 2012, compared to $201.3 million for the year ended December 31, 2011. No interest was capitalized during either period. Our interest expense increased $23 million primarily due to the issuance of the $900 million 5 3/8% first mortgage notes in March 2012, offset by the reduction of $370.9 million in term loan borrowings as described in Item 8 – “Notes to Consolidated Financial Statements”, Note 6 “Long-Term Debt”.</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Changes in the fair value of our interest rate swaps are recorded as an increase (decrease) in swap fair value in each year. We recorded a gain of $2.3 million for the year ended December 31, 2012, resulting from the increase in the fair value of our interest rate swap during the year. This swap was terminated in June 2012. We recorded a gain of $3.8 million for the year ended December 31, 2011, resulting from the increase in the fair value of our interest rate swap from December 31, 2010 to December 31, 2011.</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March 12, 2012, we entered into an eighth amendment to our Amended and Restated Credit Agreement (the “Wynn Las Vegas Credit Agreement”). In connection with this amendment we prepaid all term loans under the Wynn Las Vegas Credit Agreement, terminated all of our revolving credit commitments that were due to expire in 2013, and terminated all but $100 million of our revolving credit commitments expiring in 2015. In connection with this transaction, we expensed deferred financing fees of $4.8 million.</w:t>
      </w:r>
    </w:p>
    <w:p>
      <w:pPr>
        <w:spacing w:after="0" w:line="143"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As described in Note 6 of the Consolidated Financial Statements, we terminated the Wynn Las Vegas Credit Agreement on September 17, 2012. In connection with the termination, we expensed $2.6 million of previously deferred financing costs and third party fees related to the Wynn Las Vegas Credit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year ended December 31, 2011 compared to the year ended December 31, 2010</w:t>
      </w:r>
      <w:r>
        <w:rPr>
          <w:rFonts w:ascii="Arial" w:cs="Arial" w:eastAsia="Arial" w:hAnsi="Arial"/>
          <w:sz w:val="18"/>
          <w:szCs w:val="18"/>
          <w:i w:val="1"/>
          <w:iCs w:val="1"/>
          <w:color w:val="auto"/>
        </w:rPr>
        <w:t>.</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Net revenues for the year ended December 31, 2011 are comprised of $625.2 million in casino revenues (42.2% of total net revenues) and $856.7 million of net non-casino revenues (57.8% of total net revenues). Net revenues for the year ended December 31, 2010 were comprised of $534.3 million in casino revenues (41.2% of total net revenues) and $762.3 million of net non-casino revenues (58.8% of total net revenues).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Casino revenues are comprised of the net win from our table games and slot machine operations. We experienced an increase in casino revenues of $90.9 million (17%) to $625.2 million for the year ended December 31, 2011, compared to $534.3 million for the year ended December 31, 2010. For the year ended December 31, 2011, we experienced a 9.9% increase in drop and an increase in the average table games win percentage compared to the prior year. Our average table games win percentage (before discounts) of 24.9% was above the expected range of 21% to 24% for the year ended December 31, 2011. For the year ended December 31, 2010, our average table games win percentage (before discounts) was 22.2%. Slot machine handle increased slightly compared to the prior year; however, slot machine win increased 7.0% as more play shifted to higher hold slot machines.</w:t>
      </w:r>
    </w:p>
    <w:p>
      <w:pPr>
        <w:spacing w:after="0" w:line="12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For the year ended December 31, 2011, room revenues were $354 million, which represents a $45.6 million (14.8%) increase over the $308.4 million generated in the year ended December 31, 2010. We experienced an increase in room rates during the year ended December 31, 2011, compared to the prior year, with a 1.9 percentage point decrease in occupancy rate. We were able to achieve an increase in ADR as we adjusted rates to attract a high quality customer who would take advantage of all aspects of our resort. See the table below for key operating measures related to our room revenue.</w:t>
      </w:r>
    </w:p>
    <w:p>
      <w:pPr>
        <w:spacing w:after="0" w:line="13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96"/>
              </w:rPr>
              <w:t>Years Ended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39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920" w:type="dxa"/>
            <w:vAlign w:val="bottom"/>
            <w:tcBorders>
              <w:bottom w:val="single" w:sz="8" w:color="CCEEFF"/>
            </w:tcBorders>
          </w:tcPr>
          <w:p>
            <w:pPr>
              <w:spacing w:after="0"/>
              <w:rPr>
                <w:sz w:val="12"/>
                <w:szCs w:val="12"/>
                <w:color w:val="auto"/>
              </w:rPr>
            </w:pPr>
          </w:p>
        </w:tc>
        <w:tc>
          <w:tcPr>
            <w:tcW w:w="25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2011</w:t>
            </w:r>
          </w:p>
        </w:tc>
        <w:tc>
          <w:tcPr>
            <w:tcW w:w="9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2010</w:t>
            </w:r>
          </w:p>
        </w:tc>
        <w:tc>
          <w:tcPr>
            <w:tcW w:w="200" w:type="dxa"/>
            <w:vAlign w:val="bottom"/>
            <w:tcBorders>
              <w:bottom w:val="single" w:sz="8" w:color="CCEEFF"/>
            </w:tcBorders>
          </w:tcPr>
          <w:p>
            <w:pPr>
              <w:spacing w:after="0"/>
              <w:rPr>
                <w:sz w:val="12"/>
                <w:szCs w:val="12"/>
                <w:color w:val="auto"/>
              </w:rPr>
            </w:pPr>
          </w:p>
        </w:tc>
      </w:tr>
      <w:tr>
        <w:trPr>
          <w:trHeight w:val="210"/>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Average Daily Rate</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Occupancy</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692"/>
              <w:spacing w:after="0"/>
              <w:rPr>
                <w:sz w:val="20"/>
                <w:szCs w:val="20"/>
                <w:color w:val="auto"/>
              </w:rPr>
            </w:pPr>
            <w:r>
              <w:rPr>
                <w:rFonts w:ascii="Arial" w:cs="Arial" w:eastAsia="Arial" w:hAnsi="Arial"/>
                <w:sz w:val="18"/>
                <w:szCs w:val="18"/>
                <w:color w:val="auto"/>
              </w:rPr>
              <w:t>86.1%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88.0%</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9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Other non-casino revenues for the year ended December 31, 2011, included food and beverage revenues of $454.7 million, retail revenues of $87.3 million, entertainment revenues of $82.2 million, and other revenues from outlets such as the spa and salon of $60.1 million. Other non-gaming revenues for the year ended December 31, 2010, included food and beverage revenues of $417.2 million, retail revenues of $83.1 million, entertainment revenues of $72 million, and other revenues from outlets, including the spa and salon, of $58.9 million. The increase in food and beverage revenue is due primarily to business in our nightclubs including the full year of operations of the Encore Beach Club and Surrender Nightclub which opened in May 2010, and increases in our catering and restaurant business that we experienced with the improving tourism and convention markets during 2011. Entertainment revenues increased over the prior year primarily due to revenue from Garth Brooks who performs in the Encore Theater, and the Sinatra “Dance with Me” show which ended its run on April 23, 2011.</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2011, departmental expenses included casino expenses of $298.2 million, room expenses of $122.2 million, food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beverage expenses of $264.9 million, and entertainment, retail and other expenses of $147 million. Also included are general and administrative expenses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$225.5 million and $20.3 million charged as a provision for doubtful accounts receivable. For the year ended December 31, 2010, departmental expenses included</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casino expenses of $288.3 million, room expenses of $119.4 million, food and beverage expenses of $256.2 million, and entertainment, retail and other expenses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$145.3 million. Also included are general and administrative expenses of $237.7 million and $15.7 million charged as a provision for doubtful accounts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receivable.</w:t>
      </w:r>
    </w:p>
    <w:p>
      <w:pPr>
        <w:spacing w:after="0" w:line="165"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Casino expense increased as a result of increased gaming revenue. Although our room revenues increased 14.8%, room expenses increased only 2.3% as the revenue increase was driven primarily by increased ADR. Food and beverage expenses increased commensurate with the increase in revenues. General and administrative expenses decreased primarily as a result of lower property tax expense and reduced utility costs. The provision for doubtful accounts receivable increased for the year ended December 31, 2011, primarily due to a higher casino revenue base, compared to the prior year.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first mortgage notes indentures. Management fees were $22.2 million for the year ended December 31, 2011, compared to $19.5 million for the year ended December 31, 2010, as revenues increased.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For the year ended December 31, 2011, we incurred no pre-opening costs. Pre-opening costs incurred for the year ended December 31, 2010 of $2.5 million were related to the Encore Beach Club and Surrender Nightclub which opened in May 2010.</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Depreciation and amortization for the year ended December 31, 2011 was $263.6 million compared to $274.3 million for the year ended December 31, 2010. This decrease is primarily due to assets with a 5-year life being fully depreciated as of April 2010 at Wynn Las Vegas, offset by depreciation of the assets of the Encore Beach Club which were placed into service in May 2010.</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Property charges and other for the year ended December 31, 2011, were $16.6 million compared to $19 million for the year ended December 31, 2010. Property charges and other for the year ended December 31, 2011, include miscellaneous renovations and abandonments at our resort, including modifications of the Encore retail esplanade, the closure of the Blush nightclub and the write off of certain off-site golf memberships. Property charges and other for the year ended December 31, 2011 also includes the write off of costs related to the Sinatra “Dance with Me” show that ended its run earlier in the year.</w:t>
      </w:r>
    </w:p>
    <w:p>
      <w:pPr>
        <w:spacing w:after="0" w:line="11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Property charges and other for the year ended December 31, 2010, include a contract termination payment of $14.9 million related to a management contract for certain of the nightclubs at Wynn Las Vegas and miscellaneous renovations and abandonments.</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response to our evaluation of our resort complex and the reactions of our guests, we continue to make enhancements. The costs relating to assets retired as a result of these enhancement and remodel efforts will be expensed as property charges.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Interest expense was $201.3 million, net of capitalized interest of $0, for the year ended December 31, 2011, compared to $193.4 million, net of capitalized interest of $0.6 million for the year ended December 31, 2010. Our interest expense increased compared to the prior year primarily due to higher interest rates on the first mortgage notes and the Wynn Las Vegas term loan facilities. This increase was partially offset by reduced outstanding balances on the Wynn Las Vegas revolver.</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Changes in the fair value of our interest rate swaps are recorded as an increase (decrease) in swap fair value in each year. We recorded a gain of $3.8 million for the year ended December 31, 2011, resulting from the increase in the fair value of our interest rate swap from December 31, 2010 to December 31, 2011. We recorded an expense of $4.2 million for the year ended December 31, 2010, resulting from the decrease in the fair value of our interest rate swap from December 31, 2009 to December 31, 2010.</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In April 2010 we completed an exchange offer for a portion of our outstanding 6 5/8% first mortgage notes, due 2014 (the “2014 Notes”). In connection with that exchange offer, the direct costs incurred with third parties of $4.6 million were expensed. In the third quarter of 2010, we completed a tender offer for the then outstanding 2014 Notes and subsequent call of all the remaining amounts once the tender was completed. In connection with this transaction, we recorded a loss on extinguishment of debt of $65.4 million. This included the tender offer consideration, the call premium and the related write off of the unamortized debt issue costs and original issue discount.</w:t>
      </w:r>
    </w:p>
    <w:p>
      <w:pPr>
        <w:spacing w:after="0" w:line="218" w:lineRule="exact"/>
        <w:rPr>
          <w:sz w:val="20"/>
          <w:szCs w:val="20"/>
          <w:color w:val="auto"/>
        </w:rPr>
      </w:pPr>
    </w:p>
    <w:p>
      <w:pPr>
        <w:jc w:val="center"/>
        <w:ind w:right="8980"/>
        <w:spacing w:after="0"/>
        <w:rPr>
          <w:sz w:val="20"/>
          <w:szCs w:val="20"/>
          <w:color w:val="auto"/>
        </w:rPr>
      </w:pPr>
      <w:r>
        <w:rPr>
          <w:rFonts w:ascii="Arial" w:cs="Arial" w:eastAsia="Arial" w:hAnsi="Arial"/>
          <w:sz w:val="16"/>
          <w:szCs w:val="16"/>
          <w:b w:val="1"/>
          <w:bCs w:val="1"/>
          <w:color w:val="auto"/>
        </w:rPr>
        <w:t>Liquidity and Capital Resources</w:t>
      </w:r>
    </w:p>
    <w:p>
      <w:pPr>
        <w:spacing w:after="0" w:line="119" w:lineRule="exact"/>
        <w:rPr>
          <w:sz w:val="20"/>
          <w:szCs w:val="20"/>
          <w:color w:val="auto"/>
        </w:rPr>
      </w:pPr>
    </w:p>
    <w:p>
      <w:pPr>
        <w:jc w:val="center"/>
        <w:ind w:right="8980"/>
        <w:spacing w:after="0"/>
        <w:rPr>
          <w:sz w:val="20"/>
          <w:szCs w:val="20"/>
          <w:color w:val="auto"/>
        </w:rPr>
      </w:pPr>
      <w:r>
        <w:rPr>
          <w:rFonts w:ascii="Arial" w:cs="Arial" w:eastAsia="Arial" w:hAnsi="Arial"/>
          <w:sz w:val="18"/>
          <w:szCs w:val="18"/>
          <w:i w:val="1"/>
          <w:iCs w:val="1"/>
          <w:color w:val="auto"/>
        </w:rPr>
        <w:t>Cash Flow from Operations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operating cash flows primarily consist of operating income generated by our resort (excluding depreciation and other non-cash charges), interest paid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high-end international customers who play on credit. Our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12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Net cash provided by operations for the year ended December 31, 2012 was $170.3 million compared to $228 million provided by operations for the year ended December 31, 2011. This decrease is primarily due to the decrease in operating income as a result of decreased casino department profitability. Cash flow from operations was also negatively impacted by changes in ordinary working capital and increased interest payments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Capital expenditures were approximately $41.6 million for the year ended December 31, 2012, and were primarily related to the remodel of two of our restaurants, the reconfiguration of the Encore retail area and general property maintenance. Capital expenditures were approximately $65.2 million for the year ended December 31, 2011 and were primarily related to the room and suite remodel at Wynn Las Vegas that began in 2010, the new high limit slot salon, the new Tower Suites lobby and lounge area and other property remodels. Capital expenditures were approximately $157.1 million for the year ended December 31, 2010 and were related primarily to the Wynn Las Vegas room and suite remodel and the Encore Beach Club and Surrender Nightclub.</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On March 12, 2012, the Company and Wynn Las Vegas Capital Corp. (together the “Issuers”) issued, in a private offering, $900 million aggregate principal amount of 5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first mortgage notes due 2022 (the “2022 Notes”) pursuant to an Indenture, dated as of March 12, 2012 (the “2022 Indenture”). A portion of the proceeds were used to repay all amounts outstanding under the Wynn Las Vegas term loan facilities. In October 2012, we commenced an offer to exchange all of the 2022 Notes for notes registered under the Securities Act of 1933, as amended. The exchange offer closed on November 6, 2012.</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On March 12, 2012, the Company entered into an eighth amendment (“Amendment No. 8”) to its Amended and Restated Credit Agreement (the “Wynn Las Vegas Credit Agreement”). Amendment No. 8 amends the Wynn Las Vegas Credit Agreement to, among other things, permit the issuance of the 2022 Notes. Concurrently with the issuance of the 2022 Notes, we prepaid all term loans under the Wynn Las Vegas Credit Agreement, terminated all of its revolving credit commitments that were due to expire in 2013, and terminated all but $100 million of its revolving credit commitments expiring in 2015. In connection with this transaction, the Company expensed deferred financing costs of $4.8 million.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The 2022 Notes will mature on March 15, 2022 and bear interest at the rate of 5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per annum. The Issuers may redeem all or a portion of the 2022 Notes at any time on or after March 15, 2017, at a premium decreasing ratably to zero, plus accrued and unpaid interest. In addition, prior to March 15, 2015, the Issuers may redeem up to 35% of the aggregate principal amount of the 2022 Notes with the net proceeds of one or more qualified equity contributions made to the Issuers by their parent, Wynn Resorts, Limited. The 2022 Notes are also subject to mandatory redemption requirements imposed by gaming laws and regulations of gaming authorities in Nevada.</w:t>
      </w:r>
    </w:p>
    <w:p>
      <w:pPr>
        <w:spacing w:after="0" w:line="14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2022 Indenture contains covenants limiting the Issuers’ and the Issuers’ restricted subsidiaries’ ability to: pay dividends or distributions or repurchase equity; incur additional debt; make investments; create liens on assets to secure debt; enter into transactions with affiliates; issue stock of, or member’s interests in, subsidiaries; enter into sale-leaseback transactions; engage in other businesses; merge or consolidate with another company; transfer and sell assets; issue disqualified stock; create dividend and other payment restrictions affecting subsidiaries; and designate restricted and unrestricted subsidiaries. These covenants are subject to a number of important and significant limitations, qualifications and exceptions.</w:t>
      </w:r>
    </w:p>
    <w:p>
      <w:pPr>
        <w:spacing w:after="0" w:line="11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 xml:space="preserve">The 2022 Notes rank pari passu in right of payment with the Issuers’ outstanding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first mortgage notes due 2017 (the “2017 Notes”),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first mortgage notes due 2020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and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xml:space="preserve">% first mortgage notes due 2020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xml:space="preserve">% 2020 Notes” and, together with the 2017 Notes and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2020 Notes, the “Existing Notes”).</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On September 17, 2012, we terminated the Wynn Las Vegas Credit Agreement and in accordance with the respective Indentures, the liens (other than the first priority pledge by Holdings of its equity interests in Wynn Las Vegas) on the assets of Wynn Las Vegas, LLC and its subsidiaries securing, and the subsidiary guarantees of,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2020 Notes and the 2022 Notes were released. No loans were outstanding under the Wynn Las Vegas Credit Agreement at the time of termination. Prior to such termination, certain letters of credit in which lenders had participated pursuant to the Wynn Las Vegas Credit Agreement were reallocated to a separate, unsecured letter of credit facility provided by Deutsche Bank, A.G. Wynn Las Vegas, LLC did not incur any early termination penalties in connection with the termination.</w:t>
      </w:r>
    </w:p>
    <w:p>
      <w:pPr>
        <w:spacing w:after="0" w:line="12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connection with the termination, the Company expensed $2.6 million of previously deferred financing costs and third party fees related to the Wynn Las Vegas Credit Agreement.</w:t>
      </w:r>
    </w:p>
    <w:p>
      <w:pPr>
        <w:spacing w:after="0" w:line="13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April 2010 we completed an exchange offer for a portion of our outstanding 2014 Notes. In connection with that exchange offer, the direct costs incurred with third parties of $4.6 million were expensed. In the third quarter of 2010, we completed a tender offer for the then outstanding 2014 Notes and subsequent call of all the remaining amounts once the tender was completed. In connection with this transaction, we recorded a loss on extinguishment of debt of $65.4 million. This included the tender offer consideration, the call premium and the related write off of the unamortized debt issue costs and original issue discount.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more information on our outstanding first mortgage notes, see Item 8 – “Notes to Consolidated Financial Statements”, Note 6 “Long-Term Debt”.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March 2012, we entered into an eighth amendment (“Amendment No. 8”) to our Amended and Restated Credit Agreement, dated as of August 15, 2006 (as amended, the “Wynn Las Vegas Credit Agreement”). Amendment No. 8 amended the Wynn Las Vegas Credit Agreement to, among other things, permit the issuance of the 2022 Notes. Concurrently with the issuance of the 2022 Notes, we prepaid all term loans under the Wynn Las Vegas Credit Agreement, terminated all of our revolving credit commitments that were due to expire in 2013, and terminated all but $100 million of our revolving credit commitments expiring in 2015. In connection with this transaction, we expensed deferred financing fees of $4.8 million, all related to the Wynn Las Vegas term loan and revolving credit facilities.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September 2012, we terminated the Wynn Las Vegas Credit Agreement. No loans were outstanding under the Wynn Las Vegas Credit Agreement at the time of termination. Prior to such termination, certain letters of credit in which lenders had participated pursuant to the Wynn Las Vegas Credit Agreement were reallocated to a separate, unsecured letter of credit facility provided by Deutsche Bank, A.G. We did not incur any early termination penalties related to the termination.</w:t>
      </w:r>
    </w:p>
    <w:p>
      <w:pPr>
        <w:spacing w:after="0" w:line="14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connection with the termination, we expensed $2.6 million of previously deferred financing costs and third party fees related to the Wynn Las Vegas Credit Agreement.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Resources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At December 31, 2012, we had approximately $148.4 million of cash and cash equivalents available for use without restriction, including for operations, debt service and retirement, new development activities, enhancements to our resort and general corporate purposes. We require a certain amount of cash on hand for operations. We anticipate such funds, together with any additional borrowings and cash generated from operations will satisfy our liquidity needs during 2013. Except for scheduled quarterly payments on one note payable, we have no debt maturities until April 2017.</w:t>
      </w:r>
    </w:p>
    <w:p>
      <w:pPr>
        <w:spacing w:after="0" w:line="113"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On September 17, 2012, the Company terminated its Amended and Restated Credit Agreement. No loans were outstanding at the time of termination. On September 18, 2012, the Company distributed to Wynn Resorts, Limited, the Wynn Las Vegas golf course land, the related water rights, and $700 million in cash.</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Parent Company contributions</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During the year ended December 31, 2010, Wynn Resorts made a cash capital contribution to us in the amount of $50 million. The proceeds from this contribution were used to fund paydowns of our outstanding debt.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previously discussed interest rate swaps. We do not have any retained or contingent interest in assets transferred to an unconsolidated entity. At December 31, 2012, we had unsecured outstanding letters of credit totaling $15.8 million.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scheduled contractual commitments at December 31, 2012 (amounts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14"/>
                <w:szCs w:val="14"/>
                <w:b w:val="1"/>
                <w:bCs w:val="1"/>
                <w:color w:val="auto"/>
                <w:w w:val="90"/>
              </w:rPr>
              <w:t>Payments Due By Period</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tcPr>
          <w:p>
            <w:pPr>
              <w:jc w:val="center"/>
              <w:ind w:right="500"/>
              <w:spacing w:after="0" w:line="129" w:lineRule="exact"/>
              <w:rPr>
                <w:sz w:val="20"/>
                <w:szCs w:val="20"/>
                <w:color w:val="auto"/>
              </w:rPr>
            </w:pPr>
            <w:r>
              <w:rPr>
                <w:rFonts w:ascii="Arial" w:cs="Arial" w:eastAsia="Arial" w:hAnsi="Arial"/>
                <w:sz w:val="14"/>
                <w:szCs w:val="14"/>
                <w:b w:val="1"/>
                <w:bCs w:val="1"/>
                <w:color w:val="auto"/>
                <w:w w:val="75"/>
              </w:rPr>
              <w:t>Less</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6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Than</w:t>
            </w:r>
          </w:p>
        </w:tc>
        <w:tc>
          <w:tcPr>
            <w:tcW w:w="100" w:type="dxa"/>
            <w:vAlign w:val="bottom"/>
          </w:tcPr>
          <w:p>
            <w:pPr>
              <w:spacing w:after="0"/>
              <w:rPr>
                <w:sz w:val="12"/>
                <w:szCs w:val="12"/>
                <w:color w:val="auto"/>
              </w:rPr>
            </w:pPr>
          </w:p>
        </w:tc>
        <w:tc>
          <w:tcPr>
            <w:tcW w:w="400" w:type="dxa"/>
            <w:vAlign w:val="bottom"/>
          </w:tcPr>
          <w:p>
            <w:pPr>
              <w:jc w:val="right"/>
              <w:ind w:right="54"/>
              <w:spacing w:after="0" w:line="149" w:lineRule="exact"/>
              <w:rPr>
                <w:sz w:val="20"/>
                <w:szCs w:val="20"/>
                <w:color w:val="auto"/>
              </w:rPr>
            </w:pPr>
            <w:r>
              <w:rPr>
                <w:rFonts w:ascii="Arial" w:cs="Arial" w:eastAsia="Arial" w:hAnsi="Arial"/>
                <w:sz w:val="14"/>
                <w:szCs w:val="14"/>
                <w:b w:val="1"/>
                <w:bCs w:val="1"/>
                <w:color w:val="auto"/>
                <w:w w:val="96"/>
              </w:rPr>
              <w:t>1 to</w:t>
            </w:r>
          </w:p>
        </w:tc>
        <w:tc>
          <w:tcPr>
            <w:tcW w:w="420" w:type="dxa"/>
            <w:vAlign w:val="bottom"/>
          </w:tcPr>
          <w:p>
            <w:pPr>
              <w:spacing w:after="0"/>
              <w:rPr>
                <w:sz w:val="12"/>
                <w:szCs w:val="12"/>
                <w:color w:val="auto"/>
              </w:rPr>
            </w:pPr>
          </w:p>
        </w:tc>
        <w:tc>
          <w:tcPr>
            <w:tcW w:w="500" w:type="dxa"/>
            <w:vAlign w:val="bottom"/>
          </w:tcPr>
          <w:p>
            <w:pPr>
              <w:jc w:val="right"/>
              <w:ind w:right="60"/>
              <w:spacing w:after="0" w:line="149" w:lineRule="exact"/>
              <w:rPr>
                <w:sz w:val="20"/>
                <w:szCs w:val="20"/>
                <w:color w:val="auto"/>
              </w:rPr>
            </w:pPr>
            <w:r>
              <w:rPr>
                <w:rFonts w:ascii="Arial" w:cs="Arial" w:eastAsia="Arial" w:hAnsi="Arial"/>
                <w:sz w:val="14"/>
                <w:szCs w:val="14"/>
                <w:b w:val="1"/>
                <w:bCs w:val="1"/>
                <w:color w:val="auto"/>
              </w:rPr>
              <w:t>4 to</w:t>
            </w:r>
          </w:p>
        </w:tc>
        <w:tc>
          <w:tcPr>
            <w:tcW w:w="420" w:type="dxa"/>
            <w:vAlign w:val="bottom"/>
          </w:tcPr>
          <w:p>
            <w:pPr>
              <w:spacing w:after="0"/>
              <w:rPr>
                <w:sz w:val="12"/>
                <w:szCs w:val="12"/>
                <w:color w:val="auto"/>
              </w:rPr>
            </w:pPr>
          </w:p>
        </w:tc>
        <w:tc>
          <w:tcPr>
            <w:tcW w:w="104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After</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6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5"/>
              </w:rPr>
              <w:t>1 Year</w:t>
            </w: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3 Years</w:t>
            </w:r>
          </w:p>
        </w:tc>
        <w:tc>
          <w:tcPr>
            <w:tcW w:w="4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8"/>
              </w:rPr>
              <w:t>5 Years</w:t>
            </w:r>
          </w:p>
        </w:tc>
        <w:tc>
          <w:tcPr>
            <w:tcW w:w="42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5 Years</w:t>
            </w:r>
          </w:p>
        </w:tc>
        <w:tc>
          <w:tcPr>
            <w:tcW w:w="7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210"/>
        </w:trPr>
        <w:tc>
          <w:tcPr>
            <w:tcW w:w="6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Long-term debt obligations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$530.1</w:t>
            </w: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$2,602.0</w:t>
            </w: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$3,136.0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Fixed interest payments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220.1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440.3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433.7</w:t>
            </w:r>
          </w:p>
        </w:tc>
        <w:tc>
          <w:tcPr>
            <w:tcW w:w="1460" w:type="dxa"/>
            <w:vAlign w:val="bottom"/>
            <w:gridSpan w:val="3"/>
          </w:tcPr>
          <w:p>
            <w:pPr>
              <w:jc w:val="right"/>
              <w:ind w:right="420"/>
              <w:spacing w:after="0"/>
              <w:rPr>
                <w:sz w:val="20"/>
                <w:szCs w:val="20"/>
                <w:color w:val="auto"/>
              </w:rPr>
            </w:pPr>
            <w:r>
              <w:rPr>
                <w:rFonts w:ascii="Arial" w:cs="Arial" w:eastAsia="Arial" w:hAnsi="Arial"/>
                <w:sz w:val="18"/>
                <w:szCs w:val="18"/>
                <w:color w:val="auto"/>
              </w:rPr>
              <w:t>542.3</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1,636.4</w:t>
            </w: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Estimated variable interest payments [1]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Operating leases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460" w:type="dxa"/>
            <w:vAlign w:val="bottom"/>
            <w:gridSpan w:val="3"/>
          </w:tcPr>
          <w:p>
            <w:pPr>
              <w:jc w:val="right"/>
              <w:ind w:right="420"/>
              <w:spacing w:after="0"/>
              <w:rPr>
                <w:sz w:val="20"/>
                <w:szCs w:val="20"/>
                <w:color w:val="auto"/>
              </w:rPr>
            </w:pPr>
            <w:r>
              <w:rPr>
                <w:rFonts w:ascii="Arial" w:cs="Arial" w:eastAsia="Arial" w:hAnsi="Arial"/>
                <w:sz w:val="18"/>
                <w:szCs w:val="18"/>
                <w:color w:val="auto"/>
              </w:rPr>
              <w:t>2.5</w:t>
            </w:r>
          </w:p>
        </w:tc>
        <w:tc>
          <w:tcPr>
            <w:tcW w:w="62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Construction contracts and commitments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Employment agreements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25.2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42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 [2]</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r>
      <w:tr>
        <w:trPr>
          <w:trHeight w:val="222"/>
        </w:trPr>
        <w:tc>
          <w:tcPr>
            <w:tcW w:w="6900" w:type="dxa"/>
            <w:vAlign w:val="bottom"/>
          </w:tcPr>
          <w:p>
            <w:pPr>
              <w:spacing w:after="0"/>
              <w:rPr>
                <w:sz w:val="20"/>
                <w:szCs w:val="20"/>
                <w:color w:val="auto"/>
              </w:rPr>
            </w:pPr>
            <w:r>
              <w:rPr>
                <w:rFonts w:ascii="Arial" w:cs="Arial" w:eastAsia="Arial" w:hAnsi="Arial"/>
                <w:sz w:val="18"/>
                <w:szCs w:val="18"/>
                <w:color w:val="auto"/>
              </w:rPr>
              <w:t>Total commitments</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262.4</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472.5</w:t>
            </w:r>
          </w:p>
        </w:tc>
        <w:tc>
          <w:tcPr>
            <w:tcW w:w="9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966.6</w:t>
            </w:r>
          </w:p>
        </w:tc>
        <w:tc>
          <w:tcPr>
            <w:tcW w:w="1460" w:type="dxa"/>
            <w:vAlign w:val="bottom"/>
            <w:gridSpan w:val="3"/>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3,146.8</w:t>
            </w:r>
          </w:p>
        </w:tc>
        <w:tc>
          <w:tcPr>
            <w:tcW w:w="62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4,848.3</w:t>
            </w:r>
          </w:p>
        </w:tc>
        <w:tc>
          <w:tcPr>
            <w:tcW w:w="100" w:type="dxa"/>
            <w:vAlign w:val="bottom"/>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620" w:hanging="452"/>
        <w:spacing w:after="0" w:line="25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Amounts for all periods represent our estimated future interest payments on our debt facilities based upon amounts outstanding and LIBOR rates at December 31, 2012. Actual rates will vary.</w:t>
      </w: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includes open purchase orders.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We are restricted under the indentures governing the Existing Notes and the 2022 Notes from making certain “restricted payments” as defined in the indentures. These restricted payments include the payments of dividends or distributions to any direct or indirect holders of equity interests of Wynn Las Vegas, LLC. These restricted payments may not be made until certain other financial and non-financial criteria have been satisfied.</w:t>
      </w:r>
    </w:p>
    <w:p>
      <w:pPr>
        <w:spacing w:after="0" w:line="10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intend to fund our operations and capital requirements from cash on hand and operating cash flow. We cannot be sure that we will generate sufficient cash flow from operations or that future borrowings that are available to us, if any, will be sufficient to enable us to service and repay our indebtedness and to fund our other liquidity needs. We cannot be sure that we will be able to refinance any of our indebtedness on acceptable terms or at all. Certain legal matters may also impact our liquidity. As described in our Consolidated Financial Statements, Note 11 – “Commitments and Contingencies”, Elaine Wynn has submitted a cross claim against Steve Wynn and Kazuo Okada. The indentures for the Wynn Las Vegas, LLC 2022 Notes and Existing Notes provide that if Steve Wynn, together with certain related parties, in the aggregate beneficially owns a lesser percentage of the outstanding common stock of Wynn Resorts than are beneficially owned by any other person, a change of control will have occurred. If Elaine Wynn prevails in her cross claim, Steve Wynn would not beneficially own or control Elaine Wynn’s shares and a change in control may result under the Company’s debt documents.</w:t>
      </w:r>
    </w:p>
    <w:p>
      <w:pPr>
        <w:spacing w:after="0" w:line="11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as well as other domestic or international markets. There can be no assurances regarding the business prospects with respect to any other opportunity. Any other development would require us to obtain additional financing.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Management’s discussion and analysis of our results of operations and liquidity and capital resources are based on our consolidated financial statements. Our consolidated financial statements were prepared in conformity with accounting principles generally accepted in the United States of America. Certain of our accounting policies require management to apply significant judgment in defining the appropriate assumptions integral to financial estimates. On an ongoing basis, management evaluates those estimates, including those relating to the estimated lives of depreciable assets, asset impairment, allowances for doubtful accounts, accruals for customer loyalty rewards, self-insurance, contingencies, litigation and other items.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Development, Construction and Property and Equipment Estimates</w:t>
      </w:r>
    </w:p>
    <w:p>
      <w:pPr>
        <w:spacing w:after="0" w:line="9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During the construction and development of a resort, pre-opening or start-up costs are expensed when incurred. In connection with the construction and development of our resort, significant start-up costs were incurred and charged to pre-opening costs prior to the opening date. Once open, expenses associated with the opening of the resort are no longer charged as pre-opening costs.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the construction and development stage, direct costs such as those incurred for the design and construction of our properties, including applicable portions of interest, are capitalized. Accordingly, the recorded amounts of property and equipment increase significantly during construction periods. Depreciation expense related to capitalized construction costs is recognized when the related assets are placed in service. Upon the opening of our resorts, we begin recognizing depreciation expense on the fixed assets.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remaining estimated useful lives of assets are periodically reviewed and adjusted as necessary.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Costs of repairs and maintenance are charged to expense when incurred. The cost and accumulated depreciation of property and equipment retired or otherwise disposed of are eliminated from the respective accounts and any resulting gain or loss is included in operating income or loss.</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also evaluate our property and equipment and other long-lived assets for impairment in accordance with accounting standards for the impairment or disposal of long-lived assets. For assets to be disposed of, we recognize the asset at the lower of carrying value or fair market value less costs of disposal, as estimated based on comparable asset sales, solicited offers, or a discounted cash flow model. For assets to be held and used, we review for impairment whenever indicators of impairment exist. In reviewing for impairment we compare the estimated future cash flows of the asset, on an undiscounted basis, to the carrying value of the asset. If the undiscounted cash flows exceed the carrying value, no impairment is indicated. If the undiscounted cash flows do not exceed the carrying value, then an impairment is recorded based on the fair value of the asset, typically measured using a discounted cash flow model. If an asset is still under development, future cash flows include remaining construction costs. All recognized impairment losses, whether for assets to be disposed of or assets to be held and used, are recorded as operating expenses.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Allowance for Estimated Doubtful Accounts Receivable</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 substantial portion of our outstanding receivables relate to casino credit play. Credit play, through the issuance of markers, represents a significant portion of the table games volume at Wynn Las Vegas. We maintain strict controls over the issuance of markers and aggressively pursue collection from those customers who fail to pay their balances in a timely fashion. These collection efforts may include the mailing of statements and delinquency notices, personal contacts, the use of outside collection agencies, and litigation. Markers are generally legally enforceable instruments in the United States. Markers are not legally enforceable instruments in some foreign countries, but the United States assets of foreign customers may be used to satisfy judgments entered in the United States. At December 31, 2012 and 2011, approximately 78% and 75%, respectively, of our casino accounts receivable were owed by customers from foreign countries, primarily in Asia. The collectability of markers given by foreign customers is affected by a number of factors including changes in currency exchange rates and economic conditions in the customers’ home countries.</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regularly evaluate our reserve for bad debts based on a specific review of customer accounts as well as management’s prior experience with collection trends in the casino industry and current economic and business conditions. In determining our allowance for estimated doubtful accounts receivable, we apply loss factors based on historical marker collection history to aged account balances and we specifically analyze the collectability of each account with a balance over a specified dollar amount, based upon the age, the customer’s financial condition, collection history and any other known information.</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reserve for doubtful casino accounts receivable is based on our estimates of amounts collectible and depends on the risk assessments and judgments by our employees regarding realizability, the state of the economy and our credit policy. In June 2012, we recorded an adjustment to our reserve estimates for casino accounts receivable based on the results of historical collection patterns and current collection trends. For the year ended December 31, 2012, this adjustment benefitted operating income and net loss by $9.6 million. The following table presents key statistics related to our casino accounts receivables (amounts in thousands):</w:t>
      </w:r>
    </w:p>
    <w:p>
      <w:pPr>
        <w:spacing w:after="0" w:line="16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9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14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53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r>
      <w:tr>
        <w:trPr>
          <w:trHeight w:val="210"/>
        </w:trPr>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Casino accounts receivable</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190,528</w:t>
            </w: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156,469</w:t>
            </w:r>
          </w:p>
        </w:tc>
        <w:tc>
          <w:tcPr>
            <w:tcW w:w="20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Allowance for doubtful casino accounts receivable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63,635</w:t>
            </w:r>
          </w:p>
        </w:tc>
        <w:tc>
          <w:tcPr>
            <w:tcW w:w="5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56,190</w:t>
            </w:r>
          </w:p>
        </w:tc>
        <w:tc>
          <w:tcPr>
            <w:tcW w:w="20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Allowance as a percentage of casino accounts receivable</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33.4%</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35.9%</w:t>
            </w:r>
          </w:p>
        </w:tc>
      </w:tr>
      <w:tr>
        <w:trPr>
          <w:trHeight w:val="222"/>
        </w:trPr>
        <w:tc>
          <w:tcPr>
            <w:tcW w:w="5300" w:type="dxa"/>
            <w:vAlign w:val="bottom"/>
          </w:tcPr>
          <w:p>
            <w:pPr>
              <w:spacing w:after="0"/>
              <w:rPr>
                <w:sz w:val="20"/>
                <w:szCs w:val="20"/>
                <w:color w:val="auto"/>
              </w:rPr>
            </w:pPr>
            <w:r>
              <w:rPr>
                <w:rFonts w:ascii="Arial" w:cs="Arial" w:eastAsia="Arial" w:hAnsi="Arial"/>
                <w:sz w:val="18"/>
                <w:szCs w:val="18"/>
                <w:color w:val="auto"/>
                <w:w w:val="96"/>
              </w:rPr>
              <w:t>Percentage of casino accounts receivable outstanding over 180 days</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29.6%</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26.1%</w:t>
            </w:r>
          </w:p>
        </w:tc>
      </w:tr>
      <w:tr>
        <w:trPr>
          <w:trHeight w:val="356"/>
        </w:trPr>
        <w:tc>
          <w:tcPr>
            <w:tcW w:w="5300" w:type="dxa"/>
            <w:vAlign w:val="bottom"/>
          </w:tcPr>
          <w:p>
            <w:pPr>
              <w:ind w:left="4240"/>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At December 31, 2012, a 100 basis-point change in the allowance for doubtful accounts as a percentage of casino accounts receivable would change the provision for doubtful accounts by approximately $1.9 million.</w:t>
      </w:r>
    </w:p>
    <w:p>
      <w:pPr>
        <w:spacing w:after="0" w:line="132"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As our customer payment experience evolves, we will continue to refine our estimated reserve for bad debts. Accordingly, the associated provision for doubtful accounts charge may fluctuate. Because individual customer account balances can be significant, the reserve and the provision can change significantly between periods, as we become aware of additional information about a customer or as changes occur in a region’s economy or legal system.</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had managed our market risk, including interest rate risk associated with variable rate borrowings, through balancing fixed-rate and variable-rate borrowings and the use of derivative financial instruments. We account for derivative financial instruments in accordance with applicable accounting standards. Derivative financial instruments are recognized as assets or liabilities, with changes in fair value affecting net income or comprehensive income, as applicable. In June 2012, we terminated our only interest rate swap. For the year ended December 31, 2012, changes in our interest rate swap fair value were recorded in our Consolidated Statements of Operations and Comprehensive Loss, as the swap did not qualify for hedge accounting.</w:t>
      </w:r>
    </w:p>
    <w:p>
      <w:pPr>
        <w:spacing w:after="0" w:line="11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measured the fair value of our interest rate swap on a recurring basis. Accounting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We categorized our interest rate swap contract as Level 2. The fair value approximates the amount we would receive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 We adjust this amount by applying a non-performance valuation, considering our creditworthiness or the creditworthiness of our counterparties at each settlement date, as applicable.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 Equity Instruments Issued to Employees—Stock-Based Compensation</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Accounting standards for stock-based payments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We use the Black-Scholes valuation model to value the equity instruments we issue. The Black-Scholes valuation model uses assumptions of expected volatility, risk-free interest rates, the expected term of options granted, and expected rates of dividends. Management determines these assumptions by reviewing current market rates, making industry comparisons and reviewing conditions relevant to our Company.</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expected volatility and expected term assumptions can significantly impact the fair value of stock options. We believe that the valuation techniques and the approach utilized to develop our assumptions are reasonable in calculating the fair value of the options granted by Wynn Resorts. We estimate the expected stock price volatility using a combination of implied and historical factors related to our stock price in accordance with applicable accounting standards. During 2012, there were 100,000 Wynn Resorts stock options granted to a Wynn Las Vegas employee. As the Wynn Resorts stock price fluctuates, this estimate will change. For example, a 10% change in the volatility assumption for the 100,000 options granted in 2012 would have resulted in an approximate $335,000 change in fair value. Expected term represents the estimated average time between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370" w:lineRule="auto"/>
        <w:rPr>
          <w:sz w:val="20"/>
          <w:szCs w:val="20"/>
          <w:color w:val="auto"/>
        </w:rPr>
      </w:pPr>
      <w:r>
        <w:rPr>
          <w:rFonts w:ascii="Arial" w:cs="Arial" w:eastAsia="Arial" w:hAnsi="Arial"/>
          <w:sz w:val="15"/>
          <w:szCs w:val="15"/>
          <w:color w:val="auto"/>
        </w:rPr>
        <w:t>option’s grant date and its exercise date. A 10% change in the expected term assumption for the 100,000 options granted in 2012 would have resulted in an approximate $42,000 change in fair value. These assumed changes in fair value would have been recognized over the vesting schedule of such awards.</w:t>
      </w:r>
    </w:p>
    <w:p>
      <w:pPr>
        <w:spacing w:after="0" w:line="62"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Accounting standards also require the classification of stock compensation expense in the same financial statement line items as cash compensation, and therefore impacts our departmental expenses (and related operating margins), pre-opening costs and construction in progress for our development projects, and our general and administrative expenses (including corporate expenses).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July 2012, the Financial Accounting Standards Board (“FASB”) issued an accounting standards update that is intended to simplify the guidance for testing the decline in the realizable value (impairment) of indefinite-lived intangible assets other than goodwill. The update allows for the consideration of qualitative factors in determining whether it is necessary to perform quantitative impairment tests. The effective date for this update is for the annual, and interim impairment tests performed for years beginning after September 15, 2012. This update is not expected to have a material impact on our financial statements.</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May 2011, the FASB issued an accounting standards update that is intended to align the principles for fair value measurements and the related disclosure requirements under GAAP and IFRS. From a GAAP perspective, the updates are largely clarifications and certain additional disclosures. The effective date for this update is for years, and the interim periods within those years, beginning after December 15, 2011. The adoption of this guidance did not have a material impact on our financial statements.</w:t>
      </w:r>
    </w:p>
    <w:p>
      <w:pPr>
        <w:spacing w:after="0" w:line="143" w:lineRule="exact"/>
        <w:rPr>
          <w:sz w:val="20"/>
          <w:szCs w:val="20"/>
          <w:color w:val="auto"/>
        </w:rPr>
      </w:pPr>
    </w:p>
    <w:p>
      <w:pPr>
        <w:jc w:val="both"/>
        <w:ind w:right="320" w:firstLine="456"/>
        <w:spacing w:after="0" w:line="298" w:lineRule="auto"/>
        <w:rPr>
          <w:sz w:val="20"/>
          <w:szCs w:val="20"/>
          <w:color w:val="auto"/>
        </w:rPr>
      </w:pPr>
      <w:r>
        <w:rPr>
          <w:rFonts w:ascii="Arial" w:cs="Arial" w:eastAsia="Arial" w:hAnsi="Arial"/>
          <w:sz w:val="16"/>
          <w:szCs w:val="16"/>
          <w:color w:val="auto"/>
        </w:rPr>
        <w:t>In June 2011, the FASB issued an accounting standards update that will require items of net income, items of other comprehensive income (“OCI”) and total comprehensive income to be presented in one continuous statement or two separate but consecutive statements. This will make the presentation of items within OCI more prominent. Companies will no longer be allowed to present OCI in the statement of stockholders’ equity. We adopted this standard and have included a Consolidated Statement of Operations and Comprehensive Loss in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9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attempt to manage interest rate risk by managing the mix of long-term fixed rate borrowings and variable rate borrowings. See “Item 7. Management’s Discussion and Analysis of Financial Condition and Results of Operations – Liquidity and Capital Resources – Financing Activities.” The following table provides estimated future cash flow and related weighted average interest rates by expected maturity date, as derived from our best estimates of repayments at December 31, 2012 on our expected long-term indebtedness. However, we cannot predict the LIBOR rate that will be in effect in the future. Actual rates will vary. The one-month LIBOR rate at December 31, 2012 of 0.2087% was used for all variable rate calculations in the table below.</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80" w:type="dxa"/>
            <w:vAlign w:val="bottom"/>
            <w:gridSpan w:val="4"/>
          </w:tcPr>
          <w:p>
            <w:pPr>
              <w:jc w:val="right"/>
              <w:ind w:right="536"/>
              <w:spacing w:after="0"/>
              <w:rPr>
                <w:sz w:val="20"/>
                <w:szCs w:val="20"/>
                <w:color w:val="auto"/>
              </w:rPr>
            </w:pPr>
            <w:r>
              <w:rPr>
                <w:rFonts w:ascii="Arial" w:cs="Arial" w:eastAsia="Arial" w:hAnsi="Arial"/>
                <w:sz w:val="14"/>
                <w:szCs w:val="14"/>
                <w:b w:val="1"/>
                <w:bCs w:val="1"/>
                <w:color w:val="auto"/>
                <w:w w:val="95"/>
              </w:rPr>
              <w:t>As of December 31,</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3200" w:type="dxa"/>
            <w:vAlign w:val="bottom"/>
          </w:tcPr>
          <w:p>
            <w:pPr>
              <w:spacing w:after="0"/>
              <w:rPr>
                <w:sz w:val="14"/>
                <w:szCs w:val="14"/>
                <w:color w:val="auto"/>
              </w:rPr>
            </w:pPr>
          </w:p>
        </w:tc>
        <w:tc>
          <w:tcPr>
            <w:tcW w:w="2360" w:type="dxa"/>
            <w:vAlign w:val="bottom"/>
            <w:gridSpan w:val="3"/>
          </w:tcPr>
          <w:p>
            <w:pPr>
              <w:jc w:val="right"/>
              <w:ind w:right="192"/>
              <w:spacing w:after="0"/>
              <w:rPr>
                <w:sz w:val="20"/>
                <w:szCs w:val="20"/>
                <w:color w:val="auto"/>
              </w:rPr>
            </w:pPr>
            <w:r>
              <w:rPr>
                <w:rFonts w:ascii="Arial" w:cs="Arial" w:eastAsia="Arial" w:hAnsi="Arial"/>
                <w:sz w:val="14"/>
                <w:szCs w:val="14"/>
                <w:b w:val="1"/>
                <w:bCs w:val="1"/>
                <w:color w:val="auto"/>
              </w:rPr>
              <w:t>2013</w:t>
            </w:r>
          </w:p>
        </w:tc>
        <w:tc>
          <w:tcPr>
            <w:tcW w:w="96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rPr>
              <w:t>2014</w:t>
            </w:r>
          </w:p>
        </w:tc>
        <w:tc>
          <w:tcPr>
            <w:tcW w:w="86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2015</w:t>
            </w:r>
          </w:p>
        </w:tc>
        <w:tc>
          <w:tcPr>
            <w:tcW w:w="1060" w:type="dxa"/>
            <w:vAlign w:val="bottom"/>
            <w:gridSpan w:val="2"/>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720" w:type="dxa"/>
            <w:vAlign w:val="bottom"/>
          </w:tcPr>
          <w:p>
            <w:pPr>
              <w:jc w:val="right"/>
              <w:ind w:right="336"/>
              <w:spacing w:after="0"/>
              <w:rPr>
                <w:sz w:val="20"/>
                <w:szCs w:val="20"/>
                <w:color w:val="auto"/>
              </w:rPr>
            </w:pPr>
            <w:r>
              <w:rPr>
                <w:rFonts w:ascii="Arial" w:cs="Arial" w:eastAsia="Arial" w:hAnsi="Arial"/>
                <w:sz w:val="14"/>
                <w:szCs w:val="14"/>
                <w:b w:val="1"/>
                <w:bCs w:val="1"/>
                <w:color w:val="auto"/>
                <w:w w:val="89"/>
              </w:rPr>
              <w:t>2017</w:t>
            </w: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Thereafter</w:t>
            </w:r>
          </w:p>
        </w:tc>
        <w:tc>
          <w:tcPr>
            <w:tcW w:w="28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142"/>
        </w:trPr>
        <w:tc>
          <w:tcPr>
            <w:tcW w:w="32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debt:</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Fixed rate</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476"/>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236"/>
              <w:spacing w:after="0"/>
              <w:rPr>
                <w:sz w:val="20"/>
                <w:szCs w:val="20"/>
                <w:color w:val="auto"/>
              </w:rPr>
            </w:pPr>
            <w:r>
              <w:rPr>
                <w:rFonts w:ascii="Arial" w:cs="Arial" w:eastAsia="Arial" w:hAnsi="Arial"/>
                <w:sz w:val="18"/>
                <w:szCs w:val="18"/>
                <w:color w:val="auto"/>
                <w:w w:val="84"/>
              </w:rPr>
              <w:t>500.0</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272"/>
              <w:spacing w:after="0"/>
              <w:rPr>
                <w:sz w:val="20"/>
                <w:szCs w:val="20"/>
                <w:color w:val="auto"/>
              </w:rPr>
            </w:pPr>
            <w:r>
              <w:rPr>
                <w:rFonts w:ascii="Arial" w:cs="Arial" w:eastAsia="Arial" w:hAnsi="Arial"/>
                <w:sz w:val="18"/>
                <w:szCs w:val="18"/>
                <w:color w:val="auto"/>
                <w:w w:val="83"/>
              </w:rPr>
              <w:t>2,602.0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3,102.0</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88"/>
              </w:rPr>
              <w:t>7.875%</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6.95%</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7.10%</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Variable rate</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1.1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212"/>
              <w:spacing w:after="0"/>
              <w:rPr>
                <w:sz w:val="20"/>
                <w:szCs w:val="20"/>
                <w:color w:val="auto"/>
              </w:rPr>
            </w:pPr>
            <w:r>
              <w:rPr>
                <w:rFonts w:ascii="Arial" w:cs="Arial" w:eastAsia="Arial" w:hAnsi="Arial"/>
                <w:sz w:val="18"/>
                <w:szCs w:val="18"/>
                <w:color w:val="auto"/>
              </w:rPr>
              <w:t>1.4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92"/>
              <w:spacing w:after="0"/>
              <w:rPr>
                <w:sz w:val="20"/>
                <w:szCs w:val="20"/>
                <w:color w:val="auto"/>
              </w:rPr>
            </w:pPr>
            <w:r>
              <w:rPr>
                <w:rFonts w:ascii="Arial" w:cs="Arial" w:eastAsia="Arial" w:hAnsi="Arial"/>
                <w:sz w:val="18"/>
                <w:szCs w:val="18"/>
                <w:color w:val="auto"/>
              </w:rPr>
              <w:t>1.4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76"/>
              <w:spacing w:after="0"/>
              <w:rPr>
                <w:sz w:val="20"/>
                <w:szCs w:val="20"/>
                <w:color w:val="auto"/>
              </w:rPr>
            </w:pPr>
            <w:r>
              <w:rPr>
                <w:rFonts w:ascii="Arial" w:cs="Arial" w:eastAsia="Arial" w:hAnsi="Arial"/>
                <w:sz w:val="18"/>
                <w:szCs w:val="18"/>
                <w:color w:val="auto"/>
              </w:rPr>
              <w:t>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236"/>
              <w:spacing w:after="0"/>
              <w:rPr>
                <w:sz w:val="20"/>
                <w:szCs w:val="20"/>
                <w:color w:val="auto"/>
              </w:rPr>
            </w:pPr>
            <w:r>
              <w:rPr>
                <w:rFonts w:ascii="Arial" w:cs="Arial" w:eastAsia="Arial" w:hAnsi="Arial"/>
                <w:sz w:val="18"/>
                <w:szCs w:val="18"/>
                <w:color w:val="auto"/>
              </w:rPr>
              <w:t>28.7</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34.0</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1.46%</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86"/>
              </w:rPr>
              <w:t>1.46%</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6"/>
              </w:rPr>
              <w:t>1.46%</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86"/>
              </w:rPr>
              <w:t>1.46%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1.46%</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w:t>
            </w:r>
          </w:p>
        </w:tc>
      </w:tr>
      <w:tr>
        <w:trPr>
          <w:trHeight w:val="363"/>
        </w:trPr>
        <w:tc>
          <w:tcPr>
            <w:tcW w:w="3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jc w:val="right"/>
              <w:ind w:right="17"/>
              <w:spacing w:after="0"/>
              <w:rPr>
                <w:sz w:val="20"/>
                <w:szCs w:val="20"/>
                <w:color w:val="auto"/>
              </w:rPr>
            </w:pPr>
            <w:r>
              <w:rPr>
                <w:rFonts w:ascii="Arial" w:cs="Arial" w:eastAsia="Arial" w:hAnsi="Arial"/>
                <w:sz w:val="18"/>
                <w:szCs w:val="18"/>
                <w:color w:val="auto"/>
              </w:rPr>
              <w:t>34</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of December 31, 2012, we had no outstanding interest rate swaps. We terminated our only swap in June 2012.</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2012, our long term-debt was essentially based on fixed rates.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219"/>
          </w:cols>
          <w:pgMar w:left="240" w:top="459" w:right="1440"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INDEX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gridSpan w:val="7"/>
            <w:vMerge w:val="restart"/>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Report of Independent Registered Public Accounting Firm</w:t>
              </w:r>
            </w:hyperlink>
          </w:p>
        </w:tc>
        <w:tc>
          <w:tcPr>
            <w:tcW w:w="59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5100" w:type="dxa"/>
            <w:vAlign w:val="bottom"/>
            <w:gridSpan w:val="7"/>
            <w:vMerge w:val="continue"/>
          </w:tcPr>
          <w:p>
            <w:pPr>
              <w:spacing w:after="0"/>
              <w:rPr>
                <w:sz w:val="13"/>
                <w:szCs w:val="13"/>
                <w:color w:val="auto"/>
              </w:rPr>
            </w:pPr>
          </w:p>
        </w:tc>
        <w:tc>
          <w:tcPr>
            <w:tcW w:w="5940" w:type="dxa"/>
            <w:vAlign w:val="bottom"/>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0"/>
        </w:trPr>
        <w:tc>
          <w:tcPr>
            <w:tcW w:w="4120" w:type="dxa"/>
            <w:vAlign w:val="bottom"/>
            <w:tcBorders>
              <w:top w:val="single" w:sz="8" w:color="0000EE"/>
            </w:tcBorders>
            <w:gridSpan w:val="5"/>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Consolidated Balance Sheets</w:t>
              </w:r>
            </w:hyperlink>
          </w:p>
        </w:tc>
        <w:tc>
          <w:tcPr>
            <w:tcW w:w="980" w:type="dxa"/>
            <w:vAlign w:val="bottom"/>
            <w:gridSpan w:val="2"/>
          </w:tcPr>
          <w:p>
            <w:pPr>
              <w:spacing w:after="0"/>
              <w:rPr>
                <w:sz w:val="18"/>
                <w:szCs w:val="18"/>
                <w:color w:val="auto"/>
              </w:rPr>
            </w:pPr>
          </w:p>
        </w:tc>
        <w:tc>
          <w:tcPr>
            <w:tcW w:w="62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39">
              <w:r>
                <w:rPr>
                  <w:rFonts w:ascii="Arial" w:cs="Arial" w:eastAsia="Arial" w:hAnsi="Arial"/>
                  <w:sz w:val="18"/>
                  <w:szCs w:val="18"/>
                  <w:color w:val="0000EE"/>
                  <w:w w:val="87"/>
                </w:rPr>
                <w:t>Consolidated Statements of Operations and Comprehensive Loss</w:t>
              </w:r>
            </w:hyperlink>
          </w:p>
        </w:tc>
        <w:tc>
          <w:tcPr>
            <w:tcW w:w="520" w:type="dxa"/>
            <w:vAlign w:val="bottom"/>
          </w:tcPr>
          <w:p>
            <w:pPr>
              <w:spacing w:after="0"/>
              <w:rPr>
                <w:sz w:val="17"/>
                <w:szCs w:val="17"/>
                <w:color w:val="auto"/>
              </w:rPr>
            </w:pPr>
          </w:p>
        </w:tc>
        <w:tc>
          <w:tcPr>
            <w:tcW w:w="6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40">
              <w:r>
                <w:rPr>
                  <w:rFonts w:ascii="Arial" w:cs="Arial" w:eastAsia="Arial" w:hAnsi="Arial"/>
                  <w:sz w:val="18"/>
                  <w:szCs w:val="18"/>
                  <w:color w:val="0000EE"/>
                  <w:w w:val="88"/>
                </w:rPr>
                <w:t>Consolidated Statements of Member’s Equity</w:t>
              </w:r>
            </w:hyperlink>
          </w:p>
        </w:tc>
        <w:tc>
          <w:tcPr>
            <w:tcW w:w="1880" w:type="dxa"/>
            <w:vAlign w:val="bottom"/>
            <w:gridSpan w:val="3"/>
          </w:tcPr>
          <w:p>
            <w:pPr>
              <w:spacing w:after="0"/>
              <w:rPr>
                <w:sz w:val="17"/>
                <w:szCs w:val="17"/>
                <w:color w:val="auto"/>
              </w:rPr>
            </w:pPr>
          </w:p>
        </w:tc>
        <w:tc>
          <w:tcPr>
            <w:tcW w:w="6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5100" w:type="dxa"/>
            <w:vAlign w:val="bottom"/>
            <w:gridSpan w:val="7"/>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Consolidated Statements of Cash Flows</w:t>
              </w:r>
            </w:hyperlink>
          </w:p>
        </w:tc>
        <w:tc>
          <w:tcPr>
            <w:tcW w:w="6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8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00" w:type="dxa"/>
            <w:vAlign w:val="bottom"/>
            <w:gridSpan w:val="7"/>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Notes to Consolidated Financial Statements</w:t>
              </w:r>
            </w:hyperlink>
          </w:p>
        </w:tc>
        <w:tc>
          <w:tcPr>
            <w:tcW w:w="6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83"/>
        </w:trPr>
        <w:tc>
          <w:tcPr>
            <w:tcW w:w="20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940" w:type="dxa"/>
            <w:vAlign w:val="bottom"/>
          </w:tcPr>
          <w:p>
            <w:pPr>
              <w:jc w:val="right"/>
              <w:ind w:right="5152"/>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0"/>
        <w:spacing w:after="0" w:line="36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Member of Wynn Las Vegas, LLC and subsidiaries:</w:t>
      </w:r>
    </w:p>
    <w:p>
      <w:pPr>
        <w:spacing w:after="0" w:line="45"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We have audited the accompanying consolidated balance sheets of Wynn Las Vegas, LLC and subsidiaries (the “Company”) as of December 31, 2012 and 2011, and the related consolidated statements of operations and comprehensive loss, member’s equity, and cash flows for each of the three years in the period ended December 31, 2012. Our audits also included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98"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Wynn Las Vegas, LLC and subsidiaries at December 31, 2012 and 2011, and the consolidated results of their operations and their cash flows for each of the three years in the period ended December 31, 2012, in conformity with U.S. generally accepted accounting principles. Also, in our opinion, the related financial statement schedule referred to above, when considered in relation to the basic financial statements taken as a whole, presents fairly in all material respects the information set forth therein.</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2013</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ind w:left="410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148,415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162,395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140,229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42,229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26,697</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379,736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3,215,605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3,529,376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40,871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3,918</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3,669,881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4,035,398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vMerge w:val="restart"/>
          </w:tcPr>
          <w:p>
            <w:pPr>
              <w:ind w:left="280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20" w:type="dxa"/>
            <w:vAlign w:val="bottom"/>
          </w:tcPr>
          <w:p>
            <w:pPr>
              <w:spacing w:after="0"/>
              <w:rPr>
                <w:sz w:val="24"/>
                <w:szCs w:val="24"/>
                <w:color w:val="auto"/>
              </w:rPr>
            </w:pPr>
          </w:p>
        </w:tc>
        <w:tc>
          <w:tcPr>
            <w:tcW w:w="91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1,050</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89,425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64,048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50,086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45,580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14,023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Customer deposits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106,243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104,204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37,755</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329,943</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392,927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3,125,424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2,507,921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146,345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124,027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3,602,796</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3,025,091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11)</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1,192,135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1,980,861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(1,125,050)</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(970,554)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67,085</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1,010,307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3,669,881</w:t>
            </w:r>
          </w:p>
        </w:tc>
        <w:tc>
          <w:tcPr>
            <w:tcW w:w="4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4,035,398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left="260" w:right="2380"/>
        <w:spacing w:after="0" w:line="255" w:lineRule="auto"/>
        <w:rPr>
          <w:sz w:val="20"/>
          <w:szCs w:val="20"/>
          <w:color w:val="auto"/>
        </w:rPr>
      </w:pPr>
      <w:r>
        <w:rPr>
          <w:rFonts w:ascii="Arial" w:cs="Arial" w:eastAsia="Arial" w:hAnsi="Arial"/>
          <w:sz w:val="18"/>
          <w:szCs w:val="18"/>
          <w:b w:val="1"/>
          <w:bCs w:val="1"/>
          <w:color w:val="auto"/>
        </w:rPr>
        <w:t>(A WHOLLY OWNED INDIRECT SUBSIDIARY OF WYNN RESORTS, LIMITED) CONSOLIDATED STATEMENTS OF OPERATIONS AND COMPREHENSIVE LOSS (amounts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88"/>
              </w:rPr>
              <w:t>Years Ended December 31,</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Borders>
              <w:bottom w:val="single" w:sz="8" w:color="CCEEFF"/>
            </w:tcBorders>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Casino</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592,308</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625,207</w:t>
            </w:r>
          </w:p>
        </w:tc>
        <w:tc>
          <w:tcPr>
            <w:tcW w:w="5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534,286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362,317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354,040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490,963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454,712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417,240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20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228,607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229,586</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0" w:type="dxa"/>
            <w:vAlign w:val="bottom"/>
          </w:tcPr>
          <w:p>
            <w:pPr>
              <w:ind w:left="860"/>
              <w:spacing w:after="0"/>
              <w:rPr>
                <w:sz w:val="20"/>
                <w:szCs w:val="20"/>
                <w:color w:val="auto"/>
              </w:rPr>
            </w:pPr>
            <w:r>
              <w:rPr>
                <w:rFonts w:ascii="Arial" w:cs="Arial" w:eastAsia="Arial" w:hAnsi="Arial"/>
                <w:sz w:val="18"/>
                <w:szCs w:val="18"/>
                <w:color w:val="auto"/>
              </w:rPr>
              <w:t>Gross revenues</w:t>
            </w: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1,674,195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1,663,545</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1,473,939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(186,589)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(181,650)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(177,383)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tcPr>
          <w:p>
            <w:pPr>
              <w:ind w:left="860"/>
              <w:spacing w:after="0"/>
              <w:rPr>
                <w:sz w:val="20"/>
                <w:szCs w:val="20"/>
                <w:color w:val="auto"/>
              </w:rPr>
            </w:pPr>
            <w:r>
              <w:rPr>
                <w:rFonts w:ascii="Arial" w:cs="Arial" w:eastAsia="Arial" w:hAnsi="Arial"/>
                <w:sz w:val="18"/>
                <w:szCs w:val="18"/>
                <w:color w:val="auto"/>
              </w:rPr>
              <w:t>Net revenues</w:t>
            </w:r>
          </w:p>
        </w:tc>
        <w:tc>
          <w:tcPr>
            <w:tcW w:w="20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1,487,606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1,481,895</w:t>
            </w:r>
          </w:p>
        </w:tc>
        <w:tc>
          <w:tcPr>
            <w:tcW w:w="5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1,296,556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Casino</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307,826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298,229</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288,263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124,000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122,200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290,114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264,878</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256,234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140,085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146,989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231,214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225,457</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237,678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22,318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22,229</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250,153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263,639</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274,305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20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29,563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16,623</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20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1,413,579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1,380,576</w:t>
            </w:r>
          </w:p>
        </w:tc>
        <w:tc>
          <w:tcPr>
            <w:tcW w:w="5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1,377,870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74,027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101,319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(81,314)</w:t>
            </w:r>
          </w:p>
        </w:tc>
        <w:tc>
          <w:tcPr>
            <w:tcW w:w="0" w:type="dxa"/>
            <w:vAlign w:val="bottom"/>
          </w:tcPr>
          <w:p>
            <w:pPr>
              <w:spacing w:after="0"/>
              <w:rPr>
                <w:sz w:val="1"/>
                <w:szCs w:val="1"/>
                <w:color w:val="auto"/>
              </w:rPr>
            </w:pPr>
          </w:p>
        </w:tc>
      </w:tr>
      <w:tr>
        <w:trPr>
          <w:trHeight w:val="222"/>
        </w:trPr>
        <w:tc>
          <w:tcPr>
            <w:tcW w:w="58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0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 and other</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Interest expense, net of amounts capitalized</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(224,271)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(201,339)</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(193,444)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swap fair value</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Loss on extinguishment of debt/exchange offer</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(7,449)</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(70,055)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20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0" w:type="dxa"/>
            <w:vAlign w:val="bottom"/>
          </w:tcPr>
          <w:p>
            <w:pPr>
              <w:ind w:left="860"/>
              <w:spacing w:after="0"/>
              <w:rPr>
                <w:sz w:val="20"/>
                <w:szCs w:val="20"/>
                <w:color w:val="auto"/>
              </w:rPr>
            </w:pPr>
            <w:r>
              <w:rPr>
                <w:rFonts w:ascii="Arial" w:cs="Arial" w:eastAsia="Arial" w:hAnsi="Arial"/>
                <w:sz w:val="18"/>
                <w:szCs w:val="18"/>
                <w:color w:val="auto"/>
              </w:rPr>
              <w:t>Other income (expense), net</w:t>
            </w: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(228,523)</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(196,951)</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(267,015)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(154,496)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(95,632)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(348,329)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0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2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(154,496)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(95,632)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(348,329)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CONSOLIDATED STATEMENTS OF MEMBER’S EQUITY (amounts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1,385,553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(348,329)</w:t>
            </w: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Parent company stock-based compensation</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Contributions from Wynn Resorts, Limited</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1,098,502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(95,632)</w:t>
            </w: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Parent company stock-based compensation</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7,437</w:t>
            </w:r>
          </w:p>
        </w:tc>
        <w:tc>
          <w:tcPr>
            <w:tcW w:w="120" w:type="dxa"/>
            <w:vAlign w:val="bottom"/>
            <w:shd w:val="clear" w:color="auto" w:fill="CCEEFF"/>
          </w:tcPr>
          <w:p>
            <w:pPr>
              <w:spacing w:after="0"/>
              <w:rPr>
                <w:sz w:val="18"/>
                <w:szCs w:val="18"/>
                <w:color w:val="auto"/>
              </w:rPr>
            </w:pPr>
          </w:p>
        </w:tc>
      </w:tr>
      <w:tr>
        <w:trPr>
          <w:trHeight w:val="221"/>
        </w:trPr>
        <w:tc>
          <w:tcPr>
            <w:tcW w:w="10480" w:type="dxa"/>
            <w:vAlign w:val="bottom"/>
            <w:gridSpan w:val="2"/>
          </w:tcPr>
          <w:p>
            <w:pPr>
              <w:spacing w:after="0"/>
              <w:rPr>
                <w:sz w:val="20"/>
                <w:szCs w:val="20"/>
                <w:color w:val="auto"/>
              </w:rPr>
            </w:pPr>
            <w:r>
              <w:rPr>
                <w:rFonts w:ascii="Arial" w:cs="Arial" w:eastAsia="Arial" w:hAnsi="Arial"/>
                <w:sz w:val="18"/>
                <w:szCs w:val="18"/>
                <w:color w:val="auto"/>
              </w:rPr>
              <w:t>Balance at December 31, 2011</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1,010,307</w:t>
            </w:r>
          </w:p>
        </w:tc>
        <w:tc>
          <w:tcPr>
            <w:tcW w:w="1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(154,496)</w:t>
            </w:r>
          </w:p>
        </w:tc>
      </w:tr>
      <w:tr>
        <w:trPr>
          <w:trHeight w:val="216"/>
        </w:trPr>
        <w:tc>
          <w:tcPr>
            <w:tcW w:w="20" w:type="dxa"/>
            <w:vAlign w:val="bottom"/>
          </w:tcPr>
          <w:p>
            <w:pPr>
              <w:spacing w:after="0"/>
              <w:rPr>
                <w:sz w:val="18"/>
                <w:szCs w:val="18"/>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Parent company stock-based compensation</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5,291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Distribution to Wynn Resorts, Limited</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(794,017)</w:t>
            </w:r>
          </w:p>
        </w:tc>
      </w:tr>
      <w:tr>
        <w:trPr>
          <w:trHeight w:val="222"/>
        </w:trPr>
        <w:tc>
          <w:tcPr>
            <w:tcW w:w="10480" w:type="dxa"/>
            <w:vAlign w:val="bottom"/>
            <w:gridSpan w:val="2"/>
          </w:tcPr>
          <w:p>
            <w:pPr>
              <w:spacing w:after="0"/>
              <w:rPr>
                <w:sz w:val="20"/>
                <w:szCs w:val="20"/>
                <w:color w:val="auto"/>
              </w:rPr>
            </w:pPr>
            <w:r>
              <w:rPr>
                <w:rFonts w:ascii="Arial" w:cs="Arial" w:eastAsia="Arial" w:hAnsi="Arial"/>
                <w:sz w:val="18"/>
                <w:szCs w:val="18"/>
                <w:color w:val="auto"/>
              </w:rPr>
              <w:t>Balance at December 31, 2012</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67,085</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CONSOLIDATED STATEMENTS OF CASH FLOWS (amounts in thousands)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5"/>
              </w:rPr>
              <w:t>Years Ended December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60" w:type="dxa"/>
            <w:vAlign w:val="bottom"/>
          </w:tcPr>
          <w:p>
            <w:pPr>
              <w:spacing w:after="0"/>
              <w:rPr>
                <w:sz w:val="12"/>
                <w:szCs w:val="12"/>
                <w:color w:val="auto"/>
              </w:rPr>
            </w:pPr>
          </w:p>
        </w:tc>
        <w:tc>
          <w:tcPr>
            <w:tcW w:w="72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2"/>
                <w:szCs w:val="12"/>
                <w:color w:val="auto"/>
              </w:rPr>
            </w:pPr>
          </w:p>
        </w:tc>
        <w:tc>
          <w:tcPr>
            <w:tcW w:w="106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Net loss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87"/>
              </w:rPr>
              <w:t>$(154,496)</w:t>
            </w:r>
          </w:p>
        </w:tc>
        <w:tc>
          <w:tcPr>
            <w:tcW w:w="1480" w:type="dxa"/>
            <w:vAlign w:val="bottom"/>
            <w:gridSpan w:val="3"/>
          </w:tcPr>
          <w:p>
            <w:pPr>
              <w:jc w:val="right"/>
              <w:ind w:right="360"/>
              <w:spacing w:after="0"/>
              <w:rPr>
                <w:sz w:val="20"/>
                <w:szCs w:val="20"/>
                <w:color w:val="auto"/>
              </w:rPr>
            </w:pPr>
            <w:r>
              <w:rPr>
                <w:rFonts w:ascii="Arial" w:cs="Arial" w:eastAsia="Arial" w:hAnsi="Arial"/>
                <w:sz w:val="18"/>
                <w:szCs w:val="18"/>
                <w:color w:val="auto"/>
              </w:rPr>
              <w:t>$ (95,632)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(348,329)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250,153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263,639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274,305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5,291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7,437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Loss on extinguishment of debt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7,449</w:t>
            </w:r>
          </w:p>
        </w:tc>
        <w:tc>
          <w:tcPr>
            <w:tcW w:w="38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64,673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and write-offs of deferred financing costs and other</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12,449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13,822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Equity in income from unconsolidated affiliates, net of distributions</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18,306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20,332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26,332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14,689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swap fair value</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14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(3,829)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(43,541)</w:t>
            </w:r>
          </w:p>
        </w:tc>
        <w:tc>
          <w:tcPr>
            <w:tcW w:w="14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(35,747)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3,033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13,237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31,013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5,679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860"/>
              <w:spacing w:after="0"/>
              <w:rPr>
                <w:sz w:val="20"/>
                <w:szCs w:val="20"/>
                <w:color w:val="auto"/>
              </w:rPr>
            </w:pPr>
            <w:r>
              <w:rPr>
                <w:rFonts w:ascii="Arial" w:cs="Arial" w:eastAsia="Arial" w:hAnsi="Arial"/>
                <w:sz w:val="18"/>
                <w:szCs w:val="18"/>
                <w:color w:val="auto"/>
              </w:rPr>
              <w:t>Due to affiliates, net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16,513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24,242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31,746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170,300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227,962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104,645</w:t>
            </w:r>
          </w:p>
        </w:tc>
        <w:tc>
          <w:tcPr>
            <w:tcW w:w="0" w:type="dxa"/>
            <w:vAlign w:val="bottom"/>
          </w:tcPr>
          <w:p>
            <w:pPr>
              <w:spacing w:after="0"/>
              <w:rPr>
                <w:sz w:val="1"/>
                <w:szCs w:val="1"/>
                <w:color w:val="auto"/>
              </w:rPr>
            </w:pPr>
          </w:p>
        </w:tc>
      </w:tr>
      <w:tr>
        <w:trPr>
          <w:trHeight w:val="222"/>
        </w:trPr>
        <w:tc>
          <w:tcPr>
            <w:tcW w:w="8180" w:type="dxa"/>
            <w:vAlign w:val="bottom"/>
            <w:gridSpan w:val="2"/>
          </w:tcPr>
          <w:p>
            <w:pPr>
              <w:spacing w:after="0"/>
              <w:rPr>
                <w:sz w:val="20"/>
                <w:szCs w:val="20"/>
                <w:color w:val="auto"/>
              </w:rPr>
            </w:pPr>
            <w:r>
              <w:rPr>
                <w:rFonts w:ascii="Arial" w:cs="Arial" w:eastAsia="Arial" w:hAnsi="Arial"/>
                <w:sz w:val="18"/>
                <w:szCs w:val="18"/>
                <w:color w:val="auto"/>
              </w:rPr>
              <w:t>Cash flows used in investing activities:</w:t>
            </w: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(41,552)</w:t>
            </w:r>
          </w:p>
        </w:tc>
        <w:tc>
          <w:tcPr>
            <w:tcW w:w="14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(65,207)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Deposits and purchase of other assets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(2,603)</w:t>
            </w:r>
          </w:p>
        </w:tc>
        <w:tc>
          <w:tcPr>
            <w:tcW w:w="1480" w:type="dxa"/>
            <w:vAlign w:val="bottom"/>
            <w:gridSpan w:val="3"/>
          </w:tcPr>
          <w:p>
            <w:pPr>
              <w:jc w:val="right"/>
              <w:ind w:right="360"/>
              <w:spacing w:after="0"/>
              <w:rPr>
                <w:sz w:val="20"/>
                <w:szCs w:val="20"/>
                <w:color w:val="auto"/>
              </w:rPr>
            </w:pPr>
            <w:r>
              <w:rPr>
                <w:rFonts w:ascii="Arial" w:cs="Arial" w:eastAsia="Arial" w:hAnsi="Arial"/>
                <w:sz w:val="18"/>
                <w:szCs w:val="18"/>
                <w:color w:val="auto"/>
              </w:rPr>
              <w:t>(2,348)</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7,319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13,728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Proceeds from sale of equipment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477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255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(36,359)</w:t>
            </w:r>
          </w:p>
        </w:tc>
        <w:tc>
          <w:tcPr>
            <w:tcW w:w="14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(53,572)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(158,061)</w:t>
            </w:r>
          </w:p>
        </w:tc>
        <w:tc>
          <w:tcPr>
            <w:tcW w:w="0" w:type="dxa"/>
            <w:vAlign w:val="bottom"/>
          </w:tcPr>
          <w:p>
            <w:pPr>
              <w:spacing w:after="0"/>
              <w:rPr>
                <w:sz w:val="1"/>
                <w:szCs w:val="1"/>
                <w:color w:val="auto"/>
              </w:rPr>
            </w:pPr>
          </w:p>
        </w:tc>
      </w:tr>
      <w:tr>
        <w:trPr>
          <w:trHeight w:val="222"/>
        </w:trPr>
        <w:tc>
          <w:tcPr>
            <w:tcW w:w="81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(372,267)</w:t>
            </w:r>
          </w:p>
        </w:tc>
        <w:tc>
          <w:tcPr>
            <w:tcW w:w="14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(25,473)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(1,933,238)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900,000</w:t>
            </w:r>
          </w:p>
        </w:tc>
        <w:tc>
          <w:tcPr>
            <w:tcW w:w="38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1,995,686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(to) from Parent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(700,025)</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Interest rate swap settlement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(2,368)</w:t>
            </w:r>
          </w:p>
        </w:tc>
        <w:tc>
          <w:tcPr>
            <w:tcW w:w="38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financing costs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(12,265)</w:t>
            </w:r>
          </w:p>
        </w:tc>
        <w:tc>
          <w:tcPr>
            <w:tcW w:w="14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(72,846)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vMerge w:val="restart"/>
          </w:tcPr>
          <w:p>
            <w:pPr>
              <w:ind w:left="860"/>
              <w:spacing w:after="0"/>
              <w:rPr>
                <w:sz w:val="20"/>
                <w:szCs w:val="20"/>
                <w:color w:val="auto"/>
              </w:rPr>
            </w:pPr>
            <w:r>
              <w:rPr>
                <w:rFonts w:ascii="Arial" w:cs="Arial" w:eastAsia="Arial" w:hAnsi="Arial"/>
                <w:sz w:val="18"/>
                <w:szCs w:val="18"/>
                <w:color w:val="auto"/>
              </w:rPr>
              <w:t>Net cash (used in) provided by financing activities</w:t>
            </w: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160" w:type="dxa"/>
            <w:vAlign w:val="bottom"/>
            <w:vMerge w:val="continue"/>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(186,925)</w:t>
            </w:r>
          </w:p>
        </w:tc>
        <w:tc>
          <w:tcPr>
            <w:tcW w:w="1480" w:type="dxa"/>
            <w:vAlign w:val="bottom"/>
            <w:gridSpan w:val="3"/>
          </w:tcPr>
          <w:p>
            <w:pPr>
              <w:jc w:val="right"/>
              <w:ind w:right="360"/>
              <w:spacing w:after="0"/>
              <w:rPr>
                <w:sz w:val="20"/>
                <w:szCs w:val="20"/>
                <w:color w:val="auto"/>
              </w:rPr>
            </w:pPr>
            <w:r>
              <w:rPr>
                <w:rFonts w:ascii="Arial" w:cs="Arial" w:eastAsia="Arial" w:hAnsi="Arial"/>
                <w:sz w:val="18"/>
                <w:szCs w:val="18"/>
                <w:color w:val="auto"/>
              </w:rPr>
              <w:t>(25,531)</w:t>
            </w: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39,602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(52,984)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148,859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(13,814)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year</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201,399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52,540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vMerge w:val="restart"/>
          </w:tcPr>
          <w:p>
            <w:pPr>
              <w:ind w:left="420"/>
              <w:spacing w:after="0"/>
              <w:rPr>
                <w:sz w:val="20"/>
                <w:szCs w:val="20"/>
                <w:color w:val="auto"/>
              </w:rPr>
            </w:pPr>
            <w:r>
              <w:rPr>
                <w:rFonts w:ascii="Arial" w:cs="Arial" w:eastAsia="Arial" w:hAnsi="Arial"/>
                <w:sz w:val="18"/>
                <w:szCs w:val="18"/>
                <w:color w:val="auto"/>
              </w:rPr>
              <w:t>Balance, end of year</w:t>
            </w: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160" w:type="dxa"/>
            <w:vAlign w:val="bottom"/>
            <w:vMerge w:val="continue"/>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$ 148,415</w:t>
            </w:r>
          </w:p>
        </w:tc>
        <w:tc>
          <w:tcPr>
            <w:tcW w:w="10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201,399</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52,540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disclosures:</w:t>
            </w: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Cash paid for interest, net of amounts capitalized</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$ 203,618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$197,949</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147,542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Golf course and water rights distribution</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93,992</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Change in construction payables and retention</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(6,017)</w:t>
            </w:r>
          </w:p>
        </w:tc>
        <w:tc>
          <w:tcPr>
            <w:tcW w:w="1480" w:type="dxa"/>
            <w:vAlign w:val="bottom"/>
            <w:gridSpan w:val="3"/>
          </w:tcPr>
          <w:p>
            <w:pPr>
              <w:jc w:val="right"/>
              <w:ind w:right="360"/>
              <w:spacing w:after="0"/>
              <w:rPr>
                <w:sz w:val="20"/>
                <w:szCs w:val="20"/>
                <w:color w:val="auto"/>
              </w:rPr>
            </w:pPr>
            <w:r>
              <w:rPr>
                <w:rFonts w:ascii="Arial" w:cs="Arial" w:eastAsia="Arial" w:hAnsi="Arial"/>
                <w:sz w:val="18"/>
                <w:szCs w:val="18"/>
                <w:color w:val="auto"/>
              </w:rPr>
              <w:t>(3,479)</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 transfers from affiliate</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1,176</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Capitalized stock-based compensation</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512</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Wynn Las Vegas, LLC was formed on April 17, 2001 as a Nevada limited liability company. Unless the context otherwise requires, all references herein to the “Company” refer to Wynn Las Vegas, LLC, a Nevada limited liability company and its consolidated subsidiaries. The sole member of the Company is Wynn Resorts Holdings, LLC (“Holdings”). The sole member of Holdings is Wynn Resorts, Limited (“Wynn Resorts”). The Company was organized primarily to construct and operate Wynn Las Vegas I Encore (“Wynn Las Vegas”), a fully intergrated destination resort and casino on the “Strip” in Las Vegas, Nevada.</w:t>
      </w:r>
    </w:p>
    <w:p>
      <w:pPr>
        <w:spacing w:after="0" w:line="113"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December 31, 2012, the Company owned the one share that was issued and outstanding. Wynn Capital has neither any significant net assets nor has had any operating activity. Its sole function is to serve as the co-issuer of the mortgage notes described below. Wynn Las Vegas, LLC and Wynn Capital together are hereinafter referred to as the “Issuers”.</w:t>
      </w:r>
    </w:p>
    <w:p>
      <w:pPr>
        <w:spacing w:after="0" w:line="218" w:lineRule="exact"/>
        <w:rPr>
          <w:sz w:val="20"/>
          <w:szCs w:val="20"/>
          <w:color w:val="auto"/>
        </w:rPr>
      </w:pPr>
    </w:p>
    <w:p>
      <w:pPr>
        <w:ind w:right="7920" w:firstLine="8"/>
        <w:spacing w:after="0" w:line="347" w:lineRule="auto"/>
        <w:tabs>
          <w:tab w:leader="none" w:pos="176"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Principles of Consolidation</w:t>
      </w:r>
    </w:p>
    <w:p>
      <w:pPr>
        <w:spacing w:after="0" w:line="2"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The accompanying consolidated financial statements include the accounts of the Company and its wholly owned subsidiaries. The Company’s investment in the 50%-owned joint venture operating the Ferrari and Maserati automobile dealership inside Wynn Las Vegas is accounted for under the equity method. All significant intercompany accounts and transactions have been eliminated. Certain amounts in the consolidated financial statements for the previous periods have been reclassified to be consistent with the current period presentation. These reclassifications had no effect on the previously reported net loss.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purchase maturities of three months or less. Cash equivalents are carried at cost, which approximates fair value.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Credit Risk</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December 31, 2012 and 2011, approximately 78% and 75%, respectively, of the Company’s markers were due from customers residing outside the United States, primarily in Asia. Business or economic conditions or other significant events in these countries could affect the collectability of such receivables.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estimated allowance for doubtful accounts is maintained to reduce the Company’s receivables to their carrying amount, which approximates fair value. The allowance is estimated based on specific review of customer accounts as well as management’s experience with collection trends in the casino industry and current economic and business conditions. In June 2012, the Company recorded an adjustment to its reserve estimates for casino accounts receivable based on the results of historical collection patterns and current collection trends. For the year ended December 31, 2012, this adjustment benefitted operating income and net loss by $9.6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Inventories consist of retail merchandise, food and beverage items, which are stated at the lower of cost or market value, and certain operating supplies.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Cost is determined by the first-in, first-out, average and specific identification methods.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Purchases of property and equipment are stated at cost. Depreciation is provided over the estimated useful lives of the assets using the straight-line method as follows:</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3440" w:type="dxa"/>
            <w:vAlign w:val="bottom"/>
            <w:shd w:val="clear" w:color="auto" w:fill="CCEEFF"/>
          </w:tcPr>
          <w:p>
            <w:pPr>
              <w:ind w:left="1940"/>
              <w:spacing w:after="0"/>
              <w:rPr>
                <w:sz w:val="20"/>
                <w:szCs w:val="20"/>
                <w:color w:val="auto"/>
              </w:rPr>
            </w:pPr>
            <w:r>
              <w:rPr>
                <w:rFonts w:ascii="Arial" w:cs="Arial" w:eastAsia="Arial" w:hAnsi="Arial"/>
                <w:sz w:val="18"/>
                <w:szCs w:val="18"/>
                <w:color w:val="auto"/>
              </w:rPr>
              <w:t>10 to 45 years</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Land improvements</w:t>
            </w:r>
          </w:p>
        </w:tc>
        <w:tc>
          <w:tcPr>
            <w:tcW w:w="3440" w:type="dxa"/>
            <w:vAlign w:val="bottom"/>
          </w:tcPr>
          <w:p>
            <w:pPr>
              <w:ind w:left="1940"/>
              <w:spacing w:after="0"/>
              <w:rPr>
                <w:sz w:val="20"/>
                <w:szCs w:val="20"/>
                <w:color w:val="auto"/>
              </w:rPr>
            </w:pPr>
            <w:r>
              <w:rPr>
                <w:rFonts w:ascii="Arial" w:cs="Arial" w:eastAsia="Arial" w:hAnsi="Arial"/>
                <w:sz w:val="18"/>
                <w:szCs w:val="18"/>
                <w:color w:val="auto"/>
              </w:rPr>
              <w:t>10 to 45 years</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3440" w:type="dxa"/>
            <w:vAlign w:val="bottom"/>
            <w:shd w:val="clear" w:color="auto" w:fill="CCEEFF"/>
          </w:tcPr>
          <w:p>
            <w:pPr>
              <w:ind w:left="1940"/>
              <w:spacing w:after="0"/>
              <w:rPr>
                <w:sz w:val="20"/>
                <w:szCs w:val="20"/>
                <w:color w:val="auto"/>
              </w:rPr>
            </w:pPr>
            <w:r>
              <w:rPr>
                <w:rFonts w:ascii="Arial" w:cs="Arial" w:eastAsia="Arial" w:hAnsi="Arial"/>
                <w:sz w:val="18"/>
                <w:szCs w:val="18"/>
                <w:color w:val="auto"/>
              </w:rPr>
              <w:t>18 years</w:t>
            </w:r>
          </w:p>
        </w:tc>
      </w:tr>
      <w:tr>
        <w:trPr>
          <w:trHeight w:val="222"/>
        </w:trPr>
        <w:tc>
          <w:tcPr>
            <w:tcW w:w="432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3440" w:type="dxa"/>
            <w:vAlign w:val="bottom"/>
          </w:tcPr>
          <w:p>
            <w:pPr>
              <w:ind w:left="1940"/>
              <w:spacing w:after="0"/>
              <w:rPr>
                <w:sz w:val="20"/>
                <w:szCs w:val="20"/>
                <w:color w:val="auto"/>
              </w:rPr>
            </w:pPr>
            <w:r>
              <w:rPr>
                <w:rFonts w:ascii="Arial" w:cs="Arial" w:eastAsia="Arial" w:hAnsi="Arial"/>
                <w:sz w:val="18"/>
                <w:szCs w:val="18"/>
                <w:color w:val="auto"/>
              </w:rPr>
              <w:t>3 to 20 years</w:t>
            </w:r>
          </w:p>
        </w:tc>
      </w:tr>
    </w:tbl>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Costs related to improvements are capitalized, while costs of building repairs and maintenance are charged to expense as incurred. The cost and accumulated depreciation of property and equipment retired or otherwise disposed of are eliminated from the respective accounts and any resulting gain or loss is included in operating loss.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Interest</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interest cost associated with major development and construction projects is capitalized and included in the cost of the project. Interest capitalization ceases once a project is substantially complete or no longer undergoing construction activities to prepare it for its intended use. When no debt is specifically identified as being incurred in connection with a construction project, the Company capitalizes interest on amounts expended on the project at the Company’s weighted average cost of borrowed money. There was no interest capitalized during the years ended December 31, 2012 and 2011. Interest of $0.6 million was capitalized for the year ended December 31, 2010.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Intangibles</w:t>
      </w:r>
    </w:p>
    <w:p>
      <w:pPr>
        <w:spacing w:after="0" w:line="9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Company’s indefinite-lived intangible assets consist primarily of trademarks. Indefinite-lived intangible assets are not amortized, but are reviewed annually for impairment. The Company’s finite-lived intangible assets consist of show production rights. Finite-lived intangible assets are amortized over the shorter of their contractual terms or estimated useful lives.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Long-lived assets, which are not to be disposed of, including intangibles and property and equipment, are periodically reviewed by management for impairment whenever events or changes in circumstances indicate that the carrying value of the asset may not be recoverable. For assets to be held and used, the Company reviews these assets for impairment whenever indicators of impairment exist. If an indicator of impairment exists, the Company compares the estimated future cash flows of the asset, on an undiscounted basis, to the carrying value of the asset. If the undiscounted cash flows exceed the carrying value, no impairment is indicated. If the undiscounted cash flows do not exceed the carrying value, then impairment is measured as the difference between fair value and carrying value, with fair value typically based on a discounted cash flow model. If an asset is still under development, future cash flows include remaining construction costs.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Financing Costs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Direct and incremental costs incurred in obtaining loans or in connection with the issuance of long-tem debt are capitalized and amortized to interest expense over the terms of the related debt agreements. Approximately $5.2 million, $6.1 million and $7.7 million, was amortized to interest expense during the years ended December 31, 2012, 2011 and 2010, respectively. Debt discounts incurred in connection with the issuance of debt have been capitalized and are being amortized to interest expense using the effective interest method.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Company has managed its market risk, including interest rate risk associated with variable rate borrowings, through balancing fixed-rate and variable-rate borrowings with the use of derivative financial instruments. The fair value of derivative financial instruments are recognized as assets or liabilities at each balance sheet date, with changes in fair value affecting net income (loss) or comprehensive income (loss) as applicable. The Company’s interest rate swaps did not qualify for hedge accounting. Accordingly, changes in the fair value of the interest rate swaps are presented as an increase (decrease) in fair value of swaps in the accompanying Consolidated Statements of Operations and Comprehensive Loss.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32"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Entertainment, retail, and other revenue include rental income which is recognized on a time proportion basis over the lease terms. Contingent rental income is recognized when the right to receive such rental income is established according to the lease agreements. Advance deposits on rooms and advance ticket sales are recorded as customer deposits until services are provided to the customer.</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Revenues are recognized net of certain sales incentives which are required to be recorded as a reduction of revenues; consequently, the Company’s casino revenues are reduced by discounts and points earned in the player’s club loyalty program.</w:t>
      </w:r>
    </w:p>
    <w:p>
      <w:pPr>
        <w:spacing w:after="0" w:line="132"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revenues and then deducted as promotional allowances. The estimated cost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providing such promotional allowances is primarily included in casino expenses as follows (amounts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88"/>
              </w:rPr>
              <w:t>Years Ended December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3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36,974</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36,160</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40,911</w:t>
            </w: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58,566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57,420</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59,111</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13,740</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15,231</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19,515</w:t>
            </w:r>
          </w:p>
        </w:tc>
        <w:tc>
          <w:tcPr>
            <w:tcW w:w="100" w:type="dxa"/>
            <w:vAlign w:val="bottom"/>
            <w:shd w:val="clear" w:color="auto" w:fill="CCEEFF"/>
          </w:tcPr>
          <w:p>
            <w:pPr>
              <w:spacing w:after="0"/>
              <w:rPr>
                <w:sz w:val="18"/>
                <w:szCs w:val="18"/>
                <w:color w:val="auto"/>
              </w:rPr>
            </w:pPr>
          </w:p>
        </w:tc>
      </w:tr>
      <w:tr>
        <w:trPr>
          <w:trHeight w:val="222"/>
        </w:trPr>
        <w:tc>
          <w:tcPr>
            <w:tcW w:w="6320" w:type="dxa"/>
            <w:vAlign w:val="bottom"/>
          </w:tcPr>
          <w:p>
            <w:pPr>
              <w:ind w:left="440"/>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109,280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108,811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119,537</w:t>
            </w:r>
          </w:p>
        </w:tc>
      </w:tr>
      <w:tr>
        <w:trPr>
          <w:trHeight w:val="20"/>
        </w:trPr>
        <w:tc>
          <w:tcPr>
            <w:tcW w:w="6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Loyalty Program</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Company offers a slot club program whereby customers may earn points based on their level of play that may be redeemed for free credit that must be replayed in the slot machine. The Company accrues a liability based on the points earned times the redemption value, less an estimate for breakage, and records a related reduction in casino revenue.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Slot Machine Jackpots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With respect to base and progressive jackpots, the Company does not accrue a liability when it has the ability to avoid payment of the base jackpot because the machine can legally be removed from the gaming floor without payment of the base amount. Conversely, if the Company is unable to avoid payment of the jackpot (i.e. the incremental amount on a progressive machine) due to legal requirements, the jackpot is accrued as the obligation becomes unavoidable. This liability is accrued over the time period in which the incremental progressive jackpot amount is generated with a related reduction in casino revenue. No liability is accrued with respect to the base jackpot.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Taxes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is subject to taxes based on gross gaming revenue in the jurisdictions in which it operates, subject to applicable jurisdictional adjustments.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These gaming taxes are an assessment on the Company’s gaming revenue and are recorded as an expense within the “Casino” line item in the accompanying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Statements of Operations and Comprehensive Loss. These taxes totaled $41.8 million, $43.9 million and $37.7 million for the years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2011 and 2010,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Company expenses advertising costs the first time the advertising takes place. Advertising costs incurred in development periods are included in pre-opening costs. Once a project is completed, advertising costs are primarily included in general and administrative expenses. Total advertising costs were $19.5 million, $16.3 million and $14.7 million for the years ended December 31, 2012, 2011 and 2010,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Pre-opening costs, consisting primarily of direct salaries and wages, legal and consulting fees, insurance, utilities and advertising, are expensed as incurred.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Company incurred pre-opening costs in connection with the Encore Beach Club and Surrender Nightclub prior to their opening in May 2010.</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is organized as a limited liability company with one member. As a limited liability company, the Company is considered a flow-through entity for U.S. income tax purposes resulting in its owner being obligated for any taxes resulting from its operations. Accordingly, no provision has been made for federal income taxes as such taxes are the responsibility of its member.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Resorts’ Equity Instruments Issued to Employees</w:t>
      </w:r>
    </w:p>
    <w:p>
      <w:pPr>
        <w:spacing w:after="0" w:line="171"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Accounting standards require an entity to measure the cost of employee services received in exchange for an award of equity instruments based on the grant-date fair value of the award and recognize that cost over the service period. The Company uses the Black-Scholes valuation model to determine the estimated fair value for each option grant issued. The Black-Scholes determined fair value net of estimated forfeitures is amortized as compensation cost on a straight line basis over the service period.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 information on the Company’s stock-based compensation arrangements is included in Note 10 “Benefit Plans”.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July 2012, the Financial Accounting Standards Board (“FASB”) issued an accounting standards update that is intended to simplify the guidance for testing the decline in the realizable value (impairment) of indefinite-lived intangible assets other than goodwill. The update allows for the consideration of qualitative factors in determining whether it is necessary to perform quantitative impairment tests. The effective date for this update is for the annual, and interim impairment tests performed for years beginning after September 15, 2012. This update is not expected to have a material impact on the Company’s financial statements.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May 2011, the FASB issued an accounting standards update that is intended to align the principles for fair value measurements and the related disclosure requirements under GAAP and IFRS. From a GAAP perspective, the updates are largely clarifications and certain additional disclosures. The effective date for this update is for years, and the interim periods within those years, beginning after December 15, 2011. The adoption of this standard did not have a material impact on the Company’s financial statements.</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June 2011, the FASB issued an accounting standards update that requires items of net income, items of other comprehensive income (“OCI”) and total comprehensive income to be presented in one continuous statement or two separate but consecutive statements. This makes the presentation of items within OCI more prominent. Companies are no longer allowed to present OCI in the statement of stockholders’ equity. The effective date for this update was for the years, and the interim periods within those years, beginning after December 15, 2011. The Company has adopted this guidance and Consolidated Statements of Operations and Comprehensive Loss are included in the Company’s financial statements.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Receivables,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84"/>
              </w:rPr>
              <w:t>As of 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3"/>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Casino</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$190,528</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$156,469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Hotel</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16,914</w:t>
            </w:r>
          </w:p>
        </w:tc>
        <w:tc>
          <w:tcPr>
            <w:tcW w:w="2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19,738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Retail leases and other</w:t>
            </w:r>
          </w:p>
        </w:tc>
        <w:tc>
          <w:tcPr>
            <w:tcW w:w="460" w:type="dxa"/>
            <w:vAlign w:val="bottom"/>
            <w:gridSpan w:val="2"/>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19,234</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8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226,676</w:t>
            </w:r>
          </w:p>
        </w:tc>
        <w:tc>
          <w:tcPr>
            <w:tcW w:w="22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197,006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38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460" w:type="dxa"/>
            <w:vAlign w:val="bottom"/>
            <w:gridSpan w:val="2"/>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(64,281)</w:t>
            </w:r>
          </w:p>
        </w:tc>
        <w:tc>
          <w:tcPr>
            <w:tcW w:w="11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(56,777)</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38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162,395</w:t>
            </w:r>
          </w:p>
        </w:tc>
        <w:tc>
          <w:tcPr>
            <w:tcW w:w="22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140,229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Property and Equipment, net</w:t>
            </w: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5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52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38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80" w:type="dxa"/>
            <w:vAlign w:val="bottom"/>
            <w:gridSpan w:val="7"/>
          </w:tcPr>
          <w:p>
            <w:pPr>
              <w:ind w:left="2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3"/>
          </w:tcPr>
          <w:p>
            <w:pPr>
              <w:jc w:val="right"/>
              <w:ind w:right="212"/>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Land and improvements</w:t>
            </w:r>
          </w:p>
        </w:tc>
        <w:tc>
          <w:tcPr>
            <w:tcW w:w="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   622,942</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717,156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2,626,384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2,617,523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44,364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44,364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1,336,661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1,350,525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6,368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8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4,632,869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4,735,936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38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w w:val="95"/>
              </w:rPr>
              <w:t>(1,417,264)</w:t>
            </w:r>
          </w:p>
        </w:tc>
        <w:tc>
          <w:tcPr>
            <w:tcW w:w="22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(1,206,560)</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38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w w:val="88"/>
              </w:rPr>
              <w:t>$ 3,215,605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$ 3,529,376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expense for the years ended December 31, 2012, 2011 and 2010 was $246.4 million, $257.8 million and $266 million,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Intangibles, net consisted of the following (amounts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0"/>
              </w:rPr>
              <w:t>Show</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Production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7"/>
              </w:rPr>
              <w:t>Water</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Intangibles,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7"/>
              </w:rPr>
              <w:t>Rights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77"/>
              </w:rPr>
              <w:t>Rights</w:t>
            </w:r>
          </w:p>
        </w:tc>
        <w:tc>
          <w:tcPr>
            <w:tcW w:w="28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Trademarks</w:t>
            </w:r>
          </w:p>
        </w:tc>
        <w:tc>
          <w:tcPr>
            <w:tcW w:w="140" w:type="dxa"/>
            <w:vAlign w:val="bottom"/>
          </w:tcPr>
          <w:p>
            <w:pPr>
              <w:spacing w:after="0"/>
              <w:rPr>
                <w:sz w:val="14"/>
                <w:szCs w:val="14"/>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January 1, 2011</w:t>
            </w:r>
          </w:p>
        </w:tc>
        <w:tc>
          <w:tcPr>
            <w:tcW w:w="2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5,005</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6,400</w:t>
            </w: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7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12,804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Amortization</w:t>
            </w: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(2,071)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56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2011</w:t>
            </w: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6,400</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88"/>
              </w:rPr>
              <w:t>1,399</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Amortization</w:t>
            </w: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(2,071)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56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Distribution to Parent</w:t>
            </w: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(6,400)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(6,400)</w:t>
            </w: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2012</w:t>
            </w:r>
          </w:p>
        </w:tc>
        <w:tc>
          <w:tcPr>
            <w:tcW w:w="2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340" w:type="dxa"/>
            <w:vAlign w:val="bottom"/>
            <w:gridSpan w:val="2"/>
            <w:vMerge w:val="continue"/>
          </w:tcPr>
          <w:p>
            <w:pPr>
              <w:spacing w:after="0"/>
              <w:rPr>
                <w:sz w:val="19"/>
                <w:szCs w:val="19"/>
                <w:color w:val="auto"/>
              </w:rPr>
            </w:pPr>
          </w:p>
        </w:tc>
        <w:tc>
          <w:tcPr>
            <w:tcW w:w="24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863</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center"/>
              <w:ind w:right="620"/>
              <w:spacing w:after="0"/>
              <w:rPr>
                <w:sz w:val="20"/>
                <w:szCs w:val="20"/>
                <w:color w:val="auto"/>
              </w:rPr>
            </w:pPr>
            <w:r>
              <w:rPr>
                <w:rFonts w:ascii="Arial" w:cs="Arial" w:eastAsia="Arial" w:hAnsi="Arial"/>
                <w:sz w:val="18"/>
                <w:szCs w:val="18"/>
                <w:color w:val="auto"/>
                <w:w w:val="88"/>
              </w:rPr>
              <w:t>1,399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2,262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400" w:type="dxa"/>
            <w:vAlign w:val="bottom"/>
            <w:vMerge w:val="restart"/>
          </w:tcPr>
          <w:p>
            <w:pPr>
              <w:jc w:val="right"/>
              <w:ind w:right="312"/>
              <w:spacing w:after="0"/>
              <w:rPr>
                <w:sz w:val="20"/>
                <w:szCs w:val="20"/>
                <w:color w:val="auto"/>
              </w:rPr>
            </w:pPr>
            <w:r>
              <w:rPr>
                <w:rFonts w:ascii="Arial" w:cs="Arial" w:eastAsia="Arial" w:hAnsi="Arial"/>
                <w:sz w:val="18"/>
                <w:szCs w:val="18"/>
                <w:color w:val="auto"/>
              </w:rPr>
              <w:t>47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Show production rights represent the amounts paid to purchase the rights to present the “Le Rêve” production show. The Company expects show production rights amortization of $0.9 million in 2013, which is the final year of amortization.</w:t>
      </w:r>
    </w:p>
    <w:p>
      <w:pPr>
        <w:spacing w:after="0" w:line="132"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Water rights reflect the fair value allocation determined in the purchase of the property on which Wynn Las Vegas is located in April 2000. On September 18, 2012, the Company distributed to Wynn Resorts, Limited, the Wynn Las Vegas water rights valued at $6.4 million. The value of the trademarks primarily represents the costs to acquire the “Le Rêve” name. The trademarks are indefinite-lived assets and, accordingly, not amortized.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 (amounts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82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r>
      <w:tr>
        <w:trPr>
          <w:trHeight w:val="188"/>
        </w:trPr>
        <w:tc>
          <w:tcPr>
            <w:tcW w:w="828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w w:val="94"/>
              </w:rPr>
              <w:t xml:space="preserve">7 </w:t>
            </w:r>
            <w:r>
              <w:rPr>
                <w:rFonts w:ascii="Arial" w:cs="Arial" w:eastAsia="Arial" w:hAnsi="Arial"/>
                <w:sz w:val="11"/>
                <w:szCs w:val="11"/>
                <w:color w:val="auto"/>
                <w:w w:val="94"/>
              </w:rPr>
              <w:t>7</w:t>
            </w:r>
            <w:r>
              <w:rPr>
                <w:rFonts w:ascii="Arial" w:cs="Arial" w:eastAsia="Arial" w:hAnsi="Arial"/>
                <w:sz w:val="18"/>
                <w:szCs w:val="18"/>
                <w:color w:val="auto"/>
                <w:w w:val="94"/>
              </w:rPr>
              <w:t>/</w:t>
            </w:r>
            <w:r>
              <w:rPr>
                <w:rFonts w:ascii="Arial" w:cs="Arial" w:eastAsia="Arial" w:hAnsi="Arial"/>
                <w:sz w:val="11"/>
                <w:szCs w:val="11"/>
                <w:color w:val="auto"/>
                <w:w w:val="94"/>
              </w:rPr>
              <w:t>8</w:t>
            </w:r>
            <w:r>
              <w:rPr>
                <w:rFonts w:ascii="Arial" w:cs="Arial" w:eastAsia="Arial" w:hAnsi="Arial"/>
                <w:sz w:val="18"/>
                <w:szCs w:val="18"/>
                <w:color w:val="auto"/>
                <w:w w:val="94"/>
              </w:rPr>
              <w:t>% First Mortgage Notes, due November 1, 2017, net of original issue discount of $7,384 at December 31,</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24"/>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2012 and $8,578 at December 31, 2011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492,616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491,422</w:t>
            </w:r>
          </w:p>
        </w:tc>
        <w:tc>
          <w:tcPr>
            <w:tcW w:w="120" w:type="dxa"/>
            <w:vAlign w:val="bottom"/>
            <w:shd w:val="clear" w:color="auto" w:fill="CCEEFF"/>
          </w:tcPr>
          <w:p>
            <w:pPr>
              <w:spacing w:after="0"/>
              <w:rPr>
                <w:sz w:val="19"/>
                <w:szCs w:val="19"/>
                <w:color w:val="auto"/>
              </w:rPr>
            </w:pPr>
          </w:p>
        </w:tc>
      </w:tr>
      <w:tr>
        <w:trPr>
          <w:trHeight w:val="208"/>
        </w:trPr>
        <w:tc>
          <w:tcPr>
            <w:tcW w:w="8280" w:type="dxa"/>
            <w:vAlign w:val="bottom"/>
          </w:tcPr>
          <w:p>
            <w:pPr>
              <w:spacing w:after="0"/>
              <w:rPr>
                <w:sz w:val="20"/>
                <w:szCs w:val="20"/>
                <w:color w:val="auto"/>
              </w:rPr>
            </w:pPr>
            <w:r>
              <w:rPr>
                <w:rFonts w:ascii="Arial" w:cs="Arial" w:eastAsia="Arial" w:hAnsi="Arial"/>
                <w:sz w:val="18"/>
                <w:szCs w:val="18"/>
                <w:color w:val="auto"/>
                <w:w w:val="95"/>
              </w:rPr>
              <w:t xml:space="preserve">7 </w:t>
            </w:r>
            <w:r>
              <w:rPr>
                <w:rFonts w:ascii="Arial" w:cs="Arial" w:eastAsia="Arial" w:hAnsi="Arial"/>
                <w:sz w:val="11"/>
                <w:szCs w:val="11"/>
                <w:color w:val="auto"/>
                <w:w w:val="95"/>
              </w:rPr>
              <w:t>7</w:t>
            </w:r>
            <w:r>
              <w:rPr>
                <w:rFonts w:ascii="Arial" w:cs="Arial" w:eastAsia="Arial" w:hAnsi="Arial"/>
                <w:sz w:val="18"/>
                <w:szCs w:val="18"/>
                <w:color w:val="auto"/>
                <w:w w:val="95"/>
              </w:rPr>
              <w:t>/</w:t>
            </w:r>
            <w:r>
              <w:rPr>
                <w:rFonts w:ascii="Arial" w:cs="Arial" w:eastAsia="Arial" w:hAnsi="Arial"/>
                <w:sz w:val="11"/>
                <w:szCs w:val="11"/>
                <w:color w:val="auto"/>
                <w:w w:val="95"/>
              </w:rPr>
              <w:t>8</w:t>
            </w:r>
            <w:r>
              <w:rPr>
                <w:rFonts w:ascii="Arial" w:cs="Arial" w:eastAsia="Arial" w:hAnsi="Arial"/>
                <w:sz w:val="18"/>
                <w:szCs w:val="18"/>
                <w:color w:val="auto"/>
                <w:w w:val="95"/>
              </w:rPr>
              <w:t>% First Mortgage Notes, due May 1, 2020, net of original issue discount of $2,102 at December 31, 2012</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8280" w:type="dxa"/>
            <w:vAlign w:val="bottom"/>
          </w:tcPr>
          <w:p>
            <w:pPr>
              <w:ind w:left="220"/>
              <w:spacing w:after="0"/>
              <w:rPr>
                <w:sz w:val="20"/>
                <w:szCs w:val="20"/>
                <w:color w:val="auto"/>
              </w:rPr>
            </w:pPr>
            <w:r>
              <w:rPr>
                <w:rFonts w:ascii="Arial" w:cs="Arial" w:eastAsia="Arial" w:hAnsi="Arial"/>
                <w:sz w:val="18"/>
                <w:szCs w:val="18"/>
                <w:color w:val="auto"/>
              </w:rPr>
              <w:t>and $2,303 at December 31, 2011</w:t>
            </w:r>
          </w:p>
        </w:tc>
        <w:tc>
          <w:tcPr>
            <w:tcW w:w="12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349,908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349,707</w:t>
            </w:r>
          </w:p>
        </w:tc>
        <w:tc>
          <w:tcPr>
            <w:tcW w:w="120" w:type="dxa"/>
            <w:vAlign w:val="bottom"/>
          </w:tcPr>
          <w:p>
            <w:pPr>
              <w:spacing w:after="0"/>
              <w:rPr>
                <w:sz w:val="19"/>
                <w:szCs w:val="19"/>
                <w:color w:val="auto"/>
              </w:rPr>
            </w:pPr>
          </w:p>
        </w:tc>
      </w:tr>
      <w:tr>
        <w:trPr>
          <w:trHeight w:val="218"/>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First Mortgage Notes, due August 15, 2020</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1,320,000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1,320,000</w:t>
            </w:r>
          </w:p>
        </w:tc>
        <w:tc>
          <w:tcPr>
            <w:tcW w:w="120" w:type="dxa"/>
            <w:vAlign w:val="bottom"/>
            <w:shd w:val="clear" w:color="auto" w:fill="CCEEFF"/>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First Mortgage Notes, due March 15, 2022</w:t>
            </w:r>
          </w:p>
        </w:tc>
        <w:tc>
          <w:tcPr>
            <w:tcW w:w="1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900,000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Term Loan Facility, due August 15, 2013; interest at LIBOR plus 1.875%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40,262</w:t>
            </w:r>
          </w:p>
        </w:tc>
        <w:tc>
          <w:tcPr>
            <w:tcW w:w="120" w:type="dxa"/>
            <w:vAlign w:val="bottom"/>
            <w:shd w:val="clear" w:color="auto" w:fill="CCEEFF"/>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Term Loan Facility, due August 17, 2015; interest at LIBOR plus 3.0%</w:t>
            </w: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330,605</w:t>
            </w:r>
          </w:p>
        </w:tc>
        <w:tc>
          <w:tcPr>
            <w:tcW w:w="120" w:type="dxa"/>
            <w:vAlign w:val="bottom"/>
          </w:tcPr>
          <w:p>
            <w:pPr>
              <w:spacing w:after="0"/>
              <w:rPr>
                <w:sz w:val="18"/>
                <w:szCs w:val="18"/>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33,950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35,350</w:t>
            </w:r>
          </w:p>
        </w:tc>
        <w:tc>
          <w:tcPr>
            <w:tcW w:w="120" w:type="dxa"/>
            <w:vAlign w:val="bottom"/>
            <w:shd w:val="clear" w:color="auto" w:fill="CCEEFF"/>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Payable to Affiliate</w:t>
            </w:r>
          </w:p>
        </w:tc>
        <w:tc>
          <w:tcPr>
            <w:tcW w:w="1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18"/>
                <w:szCs w:val="18"/>
                <w:color w:val="auto"/>
              </w:rPr>
            </w:pPr>
          </w:p>
        </w:tc>
      </w:tr>
      <w:tr>
        <w:trPr>
          <w:trHeight w:val="27"/>
        </w:trPr>
        <w:tc>
          <w:tcPr>
            <w:tcW w:w="8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3,126,474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2,597,346</w:t>
            </w:r>
          </w:p>
        </w:tc>
        <w:tc>
          <w:tcPr>
            <w:tcW w:w="120" w:type="dxa"/>
            <w:vAlign w:val="bottom"/>
            <w:shd w:val="clear" w:color="auto" w:fill="CCEEFF"/>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(1,050)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(89,425)</w:t>
            </w:r>
          </w:p>
        </w:tc>
      </w:tr>
      <w:tr>
        <w:trPr>
          <w:trHeight w:val="27"/>
        </w:trPr>
        <w:tc>
          <w:tcPr>
            <w:tcW w:w="8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3,125,424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2,507,921</w:t>
            </w:r>
          </w:p>
        </w:tc>
        <w:tc>
          <w:tcPr>
            <w:tcW w:w="120" w:type="dxa"/>
            <w:vAlign w:val="bottom"/>
            <w:shd w:val="clear" w:color="auto" w:fill="CCEEFF"/>
          </w:tcPr>
          <w:p>
            <w:pPr>
              <w:spacing w:after="0"/>
              <w:rPr>
                <w:sz w:val="18"/>
                <w:szCs w:val="18"/>
                <w:color w:val="auto"/>
              </w:rPr>
            </w:pPr>
          </w:p>
        </w:tc>
      </w:tr>
      <w:tr>
        <w:trPr>
          <w:trHeight w:val="20"/>
        </w:trPr>
        <w:tc>
          <w:tcPr>
            <w:tcW w:w="8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7 </w:t>
      </w:r>
      <w:r>
        <w:rPr>
          <w:rFonts w:ascii="Arial" w:cs="Arial" w:eastAsia="Arial" w:hAnsi="Arial"/>
          <w:sz w:val="11"/>
          <w:szCs w:val="11"/>
          <w:i w:val="1"/>
          <w:iCs w:val="1"/>
          <w:color w:val="auto"/>
        </w:rPr>
        <w:t>7</w:t>
      </w:r>
      <w:r>
        <w:rPr>
          <w:rFonts w:ascii="Arial" w:cs="Arial" w:eastAsia="Arial" w:hAnsi="Arial"/>
          <w:sz w:val="18"/>
          <w:szCs w:val="18"/>
          <w:i w:val="1"/>
          <w:iCs w:val="1"/>
          <w:color w:val="auto"/>
        </w:rPr>
        <w:t>/</w:t>
      </w:r>
      <w:r>
        <w:rPr>
          <w:rFonts w:ascii="Arial" w:cs="Arial" w:eastAsia="Arial" w:hAnsi="Arial"/>
          <w:sz w:val="11"/>
          <w:szCs w:val="11"/>
          <w:i w:val="1"/>
          <w:iCs w:val="1"/>
          <w:color w:val="auto"/>
        </w:rPr>
        <w:t>8</w:t>
      </w:r>
      <w:r>
        <w:rPr>
          <w:rFonts w:ascii="Arial" w:cs="Arial" w:eastAsia="Arial" w:hAnsi="Arial"/>
          <w:sz w:val="18"/>
          <w:szCs w:val="18"/>
          <w:i w:val="1"/>
          <w:iCs w:val="1"/>
          <w:color w:val="auto"/>
        </w:rPr>
        <w:t>% First Mortgage Notes due 2017</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In October 2009, the Issuers issued, in a private offering, $500 million aggregate principal amount of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first mortgage notes due November 1, 2017 (the “2017 Notes”) at a price of 97.823% of the principal amount. Interest is due on the 2017 Notes on May 1st and November 1st of each year. Commencing November 1, 2013, the 2017 Notes are redeemable at the Issuers’ option at a price equal to 103.938% of the principal amount redeemed and the premium over the principal amount declines ratably on November 1st of each year thereafter to zero on or after November 1, 2015. The 2017 Notes are senior obligations of the Issuers and are unsecured (except by the first priority pledge by Wynn Resorts Holdings, LLC of its equity interests in Wynn Las Vegas, LLC (the “Holdings pledge”)). The Issuers’ obligations under the 2017 Notes rank pari passu in right of payment with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(as defined below),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2020 Notes (as defined below) and the 2022 Notes (as defined below). The 2017 Notes are not guaranteed by any of our subsidiaries. If the Issuers undergo a change of control, they must offer to repurchase the 2017 Notes at 101% of the principal amount, plus accrued and unpaid interest. The indenture governing the 2017 Notes contains customary negative covenants and financial covenants, including, but not limited to, covenants that restrict Wynn Las Vegas, LLC’s ability to: pay dividends or distributions or repurchase equity; incur additional debt; make investments; create liens on assets to secure debt; enter into transactions with affiliates; enter into sale-leaseback transactions; merge or consolidate with another company; transfer and sell assets or create dividend and other payment restrictions affecting subsidiaries.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7 </w:t>
      </w:r>
      <w:r>
        <w:rPr>
          <w:rFonts w:ascii="Arial" w:cs="Arial" w:eastAsia="Arial" w:hAnsi="Arial"/>
          <w:sz w:val="11"/>
          <w:szCs w:val="11"/>
          <w:i w:val="1"/>
          <w:iCs w:val="1"/>
          <w:color w:val="auto"/>
        </w:rPr>
        <w:t>7</w:t>
      </w:r>
      <w:r>
        <w:rPr>
          <w:rFonts w:ascii="Arial" w:cs="Arial" w:eastAsia="Arial" w:hAnsi="Arial"/>
          <w:sz w:val="18"/>
          <w:szCs w:val="18"/>
          <w:i w:val="1"/>
          <w:iCs w:val="1"/>
          <w:color w:val="auto"/>
        </w:rPr>
        <w:t>/</w:t>
      </w:r>
      <w:r>
        <w:rPr>
          <w:rFonts w:ascii="Arial" w:cs="Arial" w:eastAsia="Arial" w:hAnsi="Arial"/>
          <w:sz w:val="11"/>
          <w:szCs w:val="11"/>
          <w:i w:val="1"/>
          <w:iCs w:val="1"/>
          <w:color w:val="auto"/>
        </w:rPr>
        <w:t>8</w:t>
      </w:r>
      <w:r>
        <w:rPr>
          <w:rFonts w:ascii="Arial" w:cs="Arial" w:eastAsia="Arial" w:hAnsi="Arial"/>
          <w:sz w:val="18"/>
          <w:szCs w:val="18"/>
          <w:i w:val="1"/>
          <w:iCs w:val="1"/>
          <w:color w:val="auto"/>
        </w:rPr>
        <w:t>% First Mortgage Notes due 2020</w:t>
      </w:r>
    </w:p>
    <w:p>
      <w:pPr>
        <w:spacing w:after="0" w:line="90"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 xml:space="preserve">In April 2010, the Issuers issued, in a private offering, $382 million aggregate principal amount of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first mortgage notes due May 1, 2020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of which Wynn Resorts owns a face amount of $30 million.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were issued pursuant to an exchange offer for previously issued notes that were to mature in December 2014. Interest is due on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on May 1st and November 1st of each year. Commencing May 1, 2015,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are redeemable at the Issuers’ option at a price equal to 103.938% of the principal amount redeemed and the premium over the principal amount declines ratably on May 1st of each year thereafter to zero on or after May 1, 2018.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are senior obligations of the Issuers and are unsecured (except by the Holdings pledge). The Issuers’ obligations under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2020 Notes rank pari passu in right of payment with the 2017 Notes, the</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xml:space="preserve">% 2020 Notes (as defined below) and the 2022 Notes (as defined below).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are not guaranteed by any of our subsidiaries. If the Issuers undergo a change of control, they must offer to repurchase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at 101% of the principal amount, plus accrued and unpaid interest. The indenture governing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2020 Notes contains customary negative covenants and financial covenants, including, but not limited to, covenants that restrict Wynn Las Vegas, LLC’s ability to: pay dividends or distributions or repurchase equity; incur additional debt; make investments; create liens on assets to secure debt; enter into transactions with affiliates; enter into sale-leaseback transactions; merge or consolidate with another company; transfer and sell assets or create dividend and other payment restrictions affecting subsidiaries.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7 </w:t>
      </w:r>
      <w:r>
        <w:rPr>
          <w:rFonts w:ascii="Arial" w:cs="Arial" w:eastAsia="Arial" w:hAnsi="Arial"/>
          <w:sz w:val="11"/>
          <w:szCs w:val="11"/>
          <w:i w:val="1"/>
          <w:iCs w:val="1"/>
          <w:color w:val="auto"/>
        </w:rPr>
        <w:t>3</w:t>
      </w:r>
      <w:r>
        <w:rPr>
          <w:rFonts w:ascii="Arial" w:cs="Arial" w:eastAsia="Arial" w:hAnsi="Arial"/>
          <w:sz w:val="18"/>
          <w:szCs w:val="18"/>
          <w:i w:val="1"/>
          <w:iCs w:val="1"/>
          <w:color w:val="auto"/>
        </w:rPr>
        <w:t>/</w:t>
      </w:r>
      <w:r>
        <w:rPr>
          <w:rFonts w:ascii="Arial" w:cs="Arial" w:eastAsia="Arial" w:hAnsi="Arial"/>
          <w:sz w:val="11"/>
          <w:szCs w:val="11"/>
          <w:i w:val="1"/>
          <w:iCs w:val="1"/>
          <w:color w:val="auto"/>
        </w:rPr>
        <w:t>4</w:t>
      </w:r>
      <w:r>
        <w:rPr>
          <w:rFonts w:ascii="Arial" w:cs="Arial" w:eastAsia="Arial" w:hAnsi="Arial"/>
          <w:sz w:val="18"/>
          <w:szCs w:val="18"/>
          <w:i w:val="1"/>
          <w:iCs w:val="1"/>
          <w:color w:val="auto"/>
        </w:rPr>
        <w:t>% First Mortgage Notes due 2020</w:t>
      </w:r>
    </w:p>
    <w:p>
      <w:pPr>
        <w:spacing w:after="0" w:line="90" w:lineRule="exact"/>
        <w:rPr>
          <w:sz w:val="20"/>
          <w:szCs w:val="20"/>
          <w:color w:val="auto"/>
        </w:rPr>
      </w:pPr>
    </w:p>
    <w:p>
      <w:pPr>
        <w:ind w:right="140" w:firstLine="456"/>
        <w:spacing w:after="0" w:line="305" w:lineRule="auto"/>
        <w:rPr>
          <w:sz w:val="20"/>
          <w:szCs w:val="20"/>
          <w:color w:val="auto"/>
        </w:rPr>
      </w:pPr>
      <w:r>
        <w:rPr>
          <w:rFonts w:ascii="Arial" w:cs="Arial" w:eastAsia="Arial" w:hAnsi="Arial"/>
          <w:sz w:val="15"/>
          <w:szCs w:val="15"/>
          <w:color w:val="auto"/>
        </w:rPr>
        <w:t xml:space="preserve">In August 2010, the Issuers issued $1.32 billion aggregate principal amount of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xml:space="preserve">% first mortgage notes due August 15, 2020 (the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xml:space="preserve">% 2020 Notes”). The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xml:space="preserve">% 2020 Notes were issued at par. The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2020 Notes refinanced a previous notes issue that was to mature in December 2014. Interest is due on the</w:t>
      </w:r>
    </w:p>
    <w:p>
      <w:pPr>
        <w:ind w:right="20"/>
        <w:spacing w:after="0" w:line="308" w:lineRule="auto"/>
        <w:rPr>
          <w:sz w:val="20"/>
          <w:szCs w:val="20"/>
          <w:color w:val="auto"/>
        </w:rPr>
      </w:pPr>
      <w:r>
        <w:rPr>
          <w:rFonts w:ascii="Arial" w:cs="Arial" w:eastAsia="Arial" w:hAnsi="Arial"/>
          <w:sz w:val="15"/>
          <w:szCs w:val="15"/>
          <w:color w:val="auto"/>
        </w:rPr>
        <w:t xml:space="preserve">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xml:space="preserve">% 2020 Notes on February 15th and August 15th of each year. Commencing August 15, 2015, the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xml:space="preserve">% 2020 Notes are redeemable at the Issuers’ option at a price equal to 103.875% of the principal amount redeemed and the premium over the principal amount declines ratably on August 15th of each year thereafter to zero on or after August 15, 2018. The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xml:space="preserve">% 2020 Notes are senior obligations of the Issuers and are unsecured (except by the Holdings pledge). The Issuers’ obligations under the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xml:space="preserve">% 2020 Notes rank pari passu in right of payment with the 2017 Notes, the 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0"/>
          <w:szCs w:val="10"/>
          <w:color w:val="auto"/>
        </w:rPr>
        <w:t>8</w:t>
      </w:r>
      <w:r>
        <w:rPr>
          <w:rFonts w:ascii="Arial" w:cs="Arial" w:eastAsia="Arial" w:hAnsi="Arial"/>
          <w:sz w:val="15"/>
          <w:szCs w:val="15"/>
          <w:color w:val="auto"/>
        </w:rPr>
        <w:t xml:space="preserve">% 2020 Notes and the 2022 Notes (as defined below). The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xml:space="preserve">% 2020 Notes are not guaranteed by any of our subsidiaries. If the Issuers undergo a change of control, they must offer to repurchase the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xml:space="preserve">% 2020 Notes at 101% of the principal amount, plus accrued and unpaid interest. The indenture governing the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2020 Notes contains customary negative covenants and financial covenants, including, but not limited to, covenants that restrict Wynn Las Vegas, LLC’s ability to: pay dividends or distributions or repurchase equity; incur additional debt; make investments; create liens on assets to secure debt; enter into transactions with affiliates; enter into sale-leaseback transactions; merge or consolidate with another company; transfer and sell assets or create dividend and other payment restrictions affecting subsidiaries.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5 </w:t>
      </w:r>
      <w:r>
        <w:rPr>
          <w:rFonts w:ascii="Arial" w:cs="Arial" w:eastAsia="Arial" w:hAnsi="Arial"/>
          <w:sz w:val="11"/>
          <w:szCs w:val="11"/>
          <w:i w:val="1"/>
          <w:iCs w:val="1"/>
          <w:color w:val="auto"/>
        </w:rPr>
        <w:t>3</w:t>
      </w:r>
      <w:r>
        <w:rPr>
          <w:rFonts w:ascii="Arial" w:cs="Arial" w:eastAsia="Arial" w:hAnsi="Arial"/>
          <w:sz w:val="18"/>
          <w:szCs w:val="18"/>
          <w:i w:val="1"/>
          <w:iCs w:val="1"/>
          <w:color w:val="auto"/>
        </w:rPr>
        <w:t>/</w:t>
      </w:r>
      <w:r>
        <w:rPr>
          <w:rFonts w:ascii="Arial" w:cs="Arial" w:eastAsia="Arial" w:hAnsi="Arial"/>
          <w:sz w:val="11"/>
          <w:szCs w:val="11"/>
          <w:i w:val="1"/>
          <w:iCs w:val="1"/>
          <w:color w:val="auto"/>
        </w:rPr>
        <w:t>8</w:t>
      </w:r>
      <w:r>
        <w:rPr>
          <w:rFonts w:ascii="Arial" w:cs="Arial" w:eastAsia="Arial" w:hAnsi="Arial"/>
          <w:sz w:val="18"/>
          <w:szCs w:val="18"/>
          <w:color w:val="auto"/>
        </w:rPr>
        <w:t>%</w:t>
      </w:r>
      <w:r>
        <w:rPr>
          <w:rFonts w:ascii="Arial" w:cs="Arial" w:eastAsia="Arial" w:hAnsi="Arial"/>
          <w:sz w:val="18"/>
          <w:szCs w:val="18"/>
          <w:i w:val="1"/>
          <w:iCs w:val="1"/>
          <w:color w:val="auto"/>
        </w:rPr>
        <w:t xml:space="preserve"> First Mortgage Notes due 2022</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In March 2012, the Issuers issued, in a private offering, $900 million aggregate principal amount of 5.375% first mortgage notes due 2022 (the “2022 Notes”). A portion of the proceeds were used to repay all amounts outstanding under the Wynn Las Vegas term loan facilities. In October 2012, the Issuers commenced an offer to exchange all of the 2022 Notes for notes registered under the Securities Act of 1933, as amended. The exchange offer closed on November 6, 2012. Interest is due on the 2022 Notes on March 15th and September 15th of each year. Commencing March 15, 2017, the 2022 Notes are redeemable at the Issuers’ option at a price equal to 102.688% of the principal amount redeemed and the premium over the principal amount declines ratably on March 15th of each year thereafter to zero on or after March 15, 2022. The 2022 Notes are senior obligations of</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the Issuers and are unsecured (except by the Holdings pledge). The Issuers’ obligations under the 2022 Notes rank pari passu in right of payment with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and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2020 Notes. The 2022 Notes are not guaranteed by any of our subsidiaries. If the Issuers undergo a change of control, they must offer to repurchase the 2022 Notes at 101% of the principal amount, plus accrued and unpaid interest. The indenture governing the 2022 Notes contains customary negative covenants and financial covenants, including, but not limited to, covenants that restrict Wynn Las Vegas, LLC’s ability to: pay dividends or distributions or repurchase equity; incur additional debt; make investments; create liens on assets to secure debt; enter into transactions with affiliates; enter into sale-leaseback transactions; merge or consolidate with another company; transfer and sell assets or create dividend and other payment restrictions affecting subsidiaries.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As described in Note 11 of the Consolidated Financial Statements, Elaine Wynn has submitted a cross claim against Steve Wynn and Kazuo Okada. The indentures for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2020 Notes and the 2022 Notes (collectively, the “Indentures”) provide that if Steve Wynn, together with certain related parties, in the aggregate beneficially owns a lesser percentage of the outstanding common stock of the Company than are beneficially owned by any other person, a change of control will have occurred. If Elaine Wynn prevails in her cross claim, Steve Wynn would not beneficially own or control Elaine Wynn’s shares and a change in control may result under the Indentures and the Company’s other debt documents.</w:t>
      </w:r>
    </w:p>
    <w:p>
      <w:pPr>
        <w:spacing w:after="0" w:line="116"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 xml:space="preserve">In September 2012, as discussed below, the Wynn Las Vegas Credit Agreement (as defined below) was terminated, and in accordance with the respective Indentures, the liens (other than the Holdings pledge) on the assets of Wynn Las Vegas, LLC and its subsidiaries securing, and the subsidiary guarantees of,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2020 Notes and the 2022 Notes were released.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90"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In March 2012, Wynn Las Vegas entered into an eighth amendment (“Amendment No. 8”) to our Amended and Restated Credit Agreement, dated as of August 15, 2006 (as amended, the “Wynn Las Vegas Credit Agreement”). Amendment No. 8 amended the Wynn Las Vegas Credit Agreement to, among other things, permit the issuance of the 2022 Notes. Concurrently with the issuance of the 2022 Notes, we prepaid all term loans under the Wynn Las Vegas Credit Agreement, terminated all of our revolving credit commitments that were due to expire in 2013, and terminated all but $100 million of our revolving credit commitments expiring in 2015. In connection with this transaction, the Company expensed deferred financing fees of $4.8 million, all related to the Wynn Las Vegas term loan and revolving credit facilities.</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September 2012, Wynn Las Vegas terminated the Wynn Las Vegas Credit Agreement. No loans were outstanding under the Wynn Las Vegas Credit Agreement at the time of termination. Prior to such termination, certain letters of credit in which lenders had participated pursuant to the Wynn Las Vegas Credit Agreement were reallocated to a separate, unsecured letter of credit facility provided by Deutsche Bank, A.G. Wynn Las Vegas did not incur any early termination penalties related to the termination.</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connection with the termination, the Company expensed $2.6 million of previously deferred financing costs and third party fees related to the Wynn Las Vegas Credit Agreement.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$42 Million Note Payable for Aircraft</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March 30, 2007, World Travel, LLC, a subsidiary of Wynn Las Vegas, entered into a loan agreement with a principal balance of $42 million. The loan is guaranteed by Wynn Las Vegas, LLC and secured by a first priority security interest in the Company’s aircraft. Principal payments of $350,000 plus interest are made quarterly with a balloon payment of $28 million due at maturity, April 1, 2017. Interest is calculated at 90-day LIBOR plus 125 basis points.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Long-term Debt</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net book value of the first mortgage notes was $3.1 billion and $2.2 billion at December 31, 2012 and 2011, respectively. The estimated fair value of the first mortgage notes based upon most recent trades (using level 2 inputs) at December 31, 2012 and 2011 was approximately $3.4 billion and $2.4 billion, respectively. The net book value of the Company’s other debt instrument was $34 million and the fair value of such debt was approximately $34 million as of December 31, 2012.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Scheduled Maturities of Long-Term Debt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Scheduled maturities of long-term debt including the accretion of debt discounts of $9.5 million are as follows (amounts in thousands):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700" w:type="dxa"/>
            <w:vAlign w:val="bottom"/>
            <w:gridSpan w:val="2"/>
          </w:tcPr>
          <w:p>
            <w:pPr>
              <w:spacing w:after="0"/>
              <w:rPr>
                <w:sz w:val="20"/>
                <w:szCs w:val="20"/>
                <w:color w:val="auto"/>
              </w:rPr>
            </w:pPr>
            <w:r>
              <w:rPr>
                <w:rFonts w:ascii="Arial" w:cs="Arial" w:eastAsia="Arial" w:hAnsi="Arial"/>
                <w:sz w:val="14"/>
                <w:szCs w:val="14"/>
                <w:b w:val="1"/>
                <w:bCs w:val="1"/>
                <w:color w:val="auto"/>
                <w:w w:val="91"/>
              </w:rPr>
              <w:t>Years Ending December 31,</w:t>
            </w:r>
          </w:p>
        </w:tc>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2013</w:t>
            </w:r>
          </w:p>
        </w:tc>
        <w:tc>
          <w:tcPr>
            <w:tcW w:w="5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2014</w:t>
            </w:r>
          </w:p>
        </w:tc>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2016</w:t>
            </w:r>
          </w:p>
        </w:tc>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528,700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Thereafter</w:t>
            </w:r>
          </w:p>
        </w:tc>
        <w:tc>
          <w:tcPr>
            <w:tcW w:w="5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2,602,010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3,135,960</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Interest Rate Swap</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June 2012, the Company terminated its only outstanding interest rate swap for a payment of $2.4 million. The Company had entered into floating-for-fixed interest rate swap arrangements in order to manage interest rate risk relating to certain of its debt facilities. This interest rate swap agreement modified the Company’s exposure to interest rate risk by converting a portion of the Company’s floating-rate debt to a fixed rate. This interest rate swap essentially fixed the interest rate at the percentage noted below; however, changes in the fair value of the interest rate swap for each reporting period have been recorded as an increase (decrease) in swap fair value in the accompanying Consolidated Statements of Operations and Comprehensive Loss as the interest rate swap did not qualify for hedge accounting.</w:t>
      </w:r>
    </w:p>
    <w:p>
      <w:pPr>
        <w:spacing w:after="0" w:line="14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measured the fair value of its interest rate swap on a recurring basis pursuant to accounting standards for fair value measurements. These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The Company categorizes this interest rate swap as Level 2.</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Company’s interest rate swap agreement intended to hedge a portion of the underlying interest rate risk on borrowings under the Wynn Las Vegas credit facilities. Under this swap agreement, the Company paid a fixed interest rate of 2.485% on borrowings of $250 million incurred under the Wynn Las Vegas credit facilities in exchange for receipts on the same amount at a variable interest rate based on the applicable LIBOR at the time of payment. This interest rate swap fixed the interest rate on $250 million of borrowings at approximately 5.485%. As of December 31, 2011, the fair value of this interest rate swap was a current liability of $4.6 million.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right="8860" w:firstLine="8"/>
        <w:spacing w:after="0" w:line="391" w:lineRule="auto"/>
        <w:tabs>
          <w:tab w:leader="none" w:pos="176"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Related Party Transactions, net </w:t>
      </w:r>
      <w:r>
        <w:rPr>
          <w:rFonts w:ascii="Arial" w:cs="Arial" w:eastAsia="Arial" w:hAnsi="Arial"/>
          <w:sz w:val="16"/>
          <w:szCs w:val="16"/>
          <w:i w:val="1"/>
          <w:iCs w:val="1"/>
          <w:color w:val="auto"/>
        </w:rPr>
        <w:t>Amounts Due to Affiliates, net</w:t>
      </w:r>
    </w:p>
    <w:p>
      <w:pPr>
        <w:spacing w:after="0" w:line="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As of December 31, 2012, the Company’s current Due to Affiliates, net was comprised of $33.7 million including corporate allocations discussed below and $4.1 million of construction related payables. The long-term Due to Affiliates is management fees of $146.3 million (equal to 1.5% of net revenues and payable upon meeting certain leverage ratios as specified in the documents governing the first mortgage notes indentures).</w:t>
      </w:r>
    </w:p>
    <w:p>
      <w:pPr>
        <w:spacing w:after="0" w:line="10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As of December 31, 2011, the Company’s current Due to Affiliates, net was comprised of $31 million including corporate allocations discussed below and $10.1 million of construction related payables. The long-term Due to Affiliates is management fees of $124 million (equal to 1.5% of net revenues and payable upon meeting certain leverage ratios as specified in the documents governing the first mortgage notes indentures).</w:t>
      </w:r>
    </w:p>
    <w:p>
      <w:pPr>
        <w:spacing w:after="0" w:line="10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Company periodically settles amounts Due to Affiliates with cash receipts and payments, except for the management fee, which is payable upon meeting certain leverage ratios specified in the documents governing the first mortgage notes indenture.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Allocations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accompanying Consolidated Statements of Operations and Comprehensive Loss include allocations from Wynn Resorts for legal, accounting, human resource,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Wynn Resorts maintains corporate offices at Wynn Las Vegas without charge from the Company. The Company settles these corporate allocation charges with Wynn Resorts on a periodic basis as discussed in “Amounts Due to Affiliates, net” above. During the years ended December 31, 2012, 2011 and 2010, $26.2 million, $28.6 million, and $25.9 million, respectively, was charged to the Company for such corporate allocations.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due to Officers, net</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and directors of Wynn Resorts. These services include household services, construction work and other personal services. The cost of these services is transferred to Wynn Resorts, Limited on a periodic basis. Mr. Wynn and these other officers and directors have amounts on deposit with Wynn Resorts to prepay any such items, which are replenished on an ongoing basis as needed.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Villa Suite Lease</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March 18, 2010, Mr. Wynn and Wynn Las Vegas entered into an Amended and Restated Agreement of Lease (the “SW Lease”) for a villa suite to serve as Mr. Wynn’s personal residence. The SW Lease amends and restates a prior lease. The SW Lease was approved by the Audit Committee of the Board of Directors of Wynn Resorts, Limited (the “Audit Committee”). The term of the SW Lease commenced as of March 1, 2010 and runs concurrent with Mr. Wynn’s employment agreement with Wynn Resorts; provided that either party may terminate on 90 days notice. Pursuant to the SW Lease, the rental value of the villa suite will be treated as imputed income to Mr. Wynn, and will be equal to the fair market value of the accommodations provided. Effective March 1, 2010, and for the first two years of the term of the SW Lease, the rental value was $503,831</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per year. Effective March 1, 2012, the rental value is $440,000 per year based on the current fair market value as established by the Audit Committee of Wynn Resorts with the assistance of an independent third-party appraisal. The rental value for the villa suite will be re-determined every two years during the term of the lease by the Audit Committee, with the assistance of an independent third-party appraisal. Certain services for, and maintenance of, the villa suite, as well as minimal warehouse space are included in the rental.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“Wynn” Surname Rights Agreement</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Golf Course Lease</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September 18, 2012, the Company distributed to Wynn Resorts, Limited, the Wynn Las Vegas golf course land and the related water rights. Commencing September 18, 2012, the Company leases approximately 140 acres (upon which the golf course is located) and water rights from Wynn Resorts. The term of this lease is on a month-to-month basis provided, however, that either party may terminate this lease by providing written notice of such termination to the other party no later than thirty (30) days prior to the expiration of any monthly period. The combined rental value for both the golf course land and the water rights is $598,000 per month.</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Property Charges and Other</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Property charges and other for the years ended December 31, 2012, 2011 and 2010, were $29.6 million, $16.6 million and $19 million, respectively. In response to the Company’s evaluation of its resort and the reactions of its guests, the Company makes enhancements and refinements to the resort. Costs relating to assets retired as a result of these enhancement and remodel efforts have been expensed as property charges.</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Property charges and other for the year ended December 31, 2012 include a remodel of two restaurants, charges associated with the termination of a show that ended its run in November 2012, and miscellaneous renovations and abandonments at our resort.</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Property charges and other for the year ended December 31, 2011 include the write off of certain off-site golf memberships, miscellaneous renovations and abandonments, including modifications of the Encore retail esplanade, closure of the Blush nightclub and the write off of certain costs related to a show that ended its run in April 2011.</w:t>
      </w:r>
    </w:p>
    <w:p>
      <w:pPr>
        <w:spacing w:after="0" w:line="140" w:lineRule="exact"/>
        <w:rPr>
          <w:sz w:val="20"/>
          <w:szCs w:val="20"/>
          <w:color w:val="auto"/>
        </w:rPr>
      </w:pPr>
    </w:p>
    <w:p>
      <w:pPr>
        <w:ind w:right="600" w:firstLine="456"/>
        <w:spacing w:after="0" w:line="370" w:lineRule="auto"/>
        <w:rPr>
          <w:sz w:val="20"/>
          <w:szCs w:val="20"/>
          <w:color w:val="auto"/>
        </w:rPr>
      </w:pPr>
      <w:r>
        <w:rPr>
          <w:rFonts w:ascii="Arial" w:cs="Arial" w:eastAsia="Arial" w:hAnsi="Arial"/>
          <w:sz w:val="15"/>
          <w:szCs w:val="15"/>
          <w:color w:val="auto"/>
        </w:rPr>
        <w:t>Property charges and other for the year ended December 31, 2010 include a contract termination payment of $14.9 million related to a management contract for certain of the nightclubs at Wynn Las Vegas as well as miscellaneous renovations, abandonments and gain/loss on sale of equipment.</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right="9760" w:firstLine="8"/>
        <w:spacing w:after="0" w:line="417" w:lineRule="auto"/>
        <w:tabs>
          <w:tab w:leader="none" w:pos="263" w:val="left"/>
        </w:tabs>
        <w:numPr>
          <w:ilvl w:val="0"/>
          <w:numId w:val="2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Benefit Plans </w:t>
      </w:r>
      <w:r>
        <w:rPr>
          <w:rFonts w:ascii="Arial" w:cs="Arial" w:eastAsia="Arial" w:hAnsi="Arial"/>
          <w:sz w:val="15"/>
          <w:szCs w:val="15"/>
          <w:i w:val="1"/>
          <w:iCs w:val="1"/>
          <w:color w:val="auto"/>
        </w:rPr>
        <w:t>Employee Savings Plan</w:t>
      </w:r>
    </w:p>
    <w:p>
      <w:pPr>
        <w:spacing w:after="0" w:line="1"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Wynn Resorts established a retirement savings plan under Section 401(k) of the Internal Revenue Code covering its non-union employees in July 2000. The plan allows employees to defer, within prescribed limits, a percentage of their income on a pre-tax basis through contributions to this plan. The Company suspended matching contributions to this plan effective March 2009 and no amounts were expensed during the years ended December 31, 2012, 2011 and 2010.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Multi-employer pension plan</w:t>
      </w:r>
    </w:p>
    <w:p>
      <w:pPr>
        <w:spacing w:after="0" w:line="9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Wynn Las Vegas contributes to a multi-employer defined benefit pension plan for certain of its union employees under the terms of the Southern Nevada Culinary and Bartenders Union collective-bargaining agreement. The collective-bargaining agreement that covers these union-represented employees expires in 2016. The legal name of the multi-employer pension plan is the Southern Nevada Culinary and Bartenders Pension Plan (the “Plan”) (EIN: 88-6016617 Plan Number: 001). The Company recorded an expense of $8.6 million, $7.6 million and $6.8 million for contributions to the Plan for the years ended December 31, 2012, 2011 and 2010, respectively. For the 2011 plan year, the most recent for which plan data is available, the Company’s contributions were identified by the Plan to exceed 5% of total contributions for that year. Based on the information we received from the Plan, it was certified to be in neither endangered nor critical status for the 2011 plan year. Risks of participating in a multi-employer plan differs from single-employer plans for the following reasons: (1) assets contributed to a multi-employer plan by one employer may be used to provide benefits to employees of other participating employers; (2) if a participating employer stops contributing to the plan, the unfunded obligations of the plan may be borne by the remaining participating employers; and (3) if a participating employer stops participating, it may be required to pay those plans an amount based on the underfunded status of the plan, referred to as a withdrawal liability.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Wynn Resorts established the 2002 Stock Incentive Plan (the “Stock Plan”) which provides for the grant of (i) Incentive Stock Options, (ii) compensatory (i.e. nonqualified) stock options, and (iii) nonvested shares of Wynn Resorts’ common stock for employees, directors and independent contractors or consultants of Wynn Resorts and its subsidiaries, including the Company. However, only employees are eligible to receive incentive stock options.</w:t>
      </w:r>
    </w:p>
    <w:p>
      <w:pPr>
        <w:spacing w:after="0" w:line="10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total compensation cost relating both to stock options and nonvested stock for the years ended December 31, 2012, 2011 and 2010 is allocated as follows (amounts in thousands):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8"/>
              </w:rPr>
              <w:t>Years Ended 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50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rPr>
              <w:t>2012</w:t>
            </w:r>
          </w:p>
        </w:tc>
        <w:tc>
          <w:tcPr>
            <w:tcW w:w="1060" w:type="dxa"/>
            <w:vAlign w:val="bottom"/>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Casino</w:t>
            </w:r>
          </w:p>
        </w:tc>
        <w:tc>
          <w:tcPr>
            <w:tcW w:w="28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$3,047</w:t>
            </w:r>
          </w:p>
        </w:tc>
        <w:tc>
          <w:tcPr>
            <w:tcW w:w="5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$4,165</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Rooms</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293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8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5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00" w:type="dxa"/>
            <w:vAlign w:val="bottom"/>
          </w:tcPr>
          <w:p>
            <w:pPr>
              <w:ind w:left="440"/>
              <w:spacing w:after="0"/>
              <w:rPr>
                <w:sz w:val="20"/>
                <w:szCs w:val="20"/>
                <w:color w:val="auto"/>
              </w:rPr>
            </w:pPr>
            <w:r>
              <w:rPr>
                <w:rFonts w:ascii="Arial" w:cs="Arial" w:eastAsia="Arial" w:hAnsi="Arial"/>
                <w:sz w:val="18"/>
                <w:szCs w:val="18"/>
                <w:color w:val="auto"/>
              </w:rPr>
              <w:t>Total stock-based compensation expense</w:t>
            </w:r>
          </w:p>
        </w:tc>
        <w:tc>
          <w:tcPr>
            <w:tcW w:w="3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5,291</w:t>
            </w:r>
          </w:p>
        </w:tc>
        <w:tc>
          <w:tcPr>
            <w:tcW w:w="10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7,437</w:t>
            </w:r>
          </w:p>
        </w:tc>
        <w:tc>
          <w:tcPr>
            <w:tcW w:w="6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11,278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800" w:type="dxa"/>
            <w:vAlign w:val="bottom"/>
            <w:vMerge w:val="restart"/>
          </w:tcPr>
          <w:p>
            <w:pPr>
              <w:jc w:val="right"/>
              <w:ind w:right="1832"/>
              <w:spacing w:after="0"/>
              <w:rPr>
                <w:sz w:val="20"/>
                <w:szCs w:val="20"/>
                <w:color w:val="auto"/>
              </w:rPr>
            </w:pPr>
            <w:r>
              <w:rPr>
                <w:rFonts w:ascii="Arial" w:cs="Arial" w:eastAsia="Arial" w:hAnsi="Arial"/>
                <w:sz w:val="18"/>
                <w:szCs w:val="18"/>
                <w:color w:val="auto"/>
              </w:rPr>
              <w:t>54</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0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right="8520" w:firstLine="8"/>
        <w:spacing w:after="0" w:line="417" w:lineRule="auto"/>
        <w:tabs>
          <w:tab w:leader="none" w:pos="254" w:val="left"/>
        </w:tabs>
        <w:numPr>
          <w:ilvl w:val="0"/>
          <w:numId w:val="2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i w:val="1"/>
          <w:iCs w:val="1"/>
          <w:color w:val="auto"/>
        </w:rPr>
        <w:t>Leases and other arrangements</w:t>
      </w:r>
    </w:p>
    <w:p>
      <w:pPr>
        <w:spacing w:after="0" w:line="1"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The Company is the lessor under several retail leases and has entered into license and distribution agreements for additional retail outlets. The Company also is a party to joint venture agreements for the operation of one other retail outlet and the Ferrari and Maserati automobile dealership at Wynn Las Vegas.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represents the future minimum rentals to be received under the operating leases (amounts in thousands):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700" w:type="dxa"/>
            <w:vAlign w:val="bottom"/>
            <w:gridSpan w:val="2"/>
          </w:tcPr>
          <w:p>
            <w:pPr>
              <w:spacing w:after="0"/>
              <w:rPr>
                <w:sz w:val="20"/>
                <w:szCs w:val="20"/>
                <w:color w:val="auto"/>
              </w:rPr>
            </w:pPr>
            <w:r>
              <w:rPr>
                <w:rFonts w:ascii="Arial" w:cs="Arial" w:eastAsia="Arial" w:hAnsi="Arial"/>
                <w:sz w:val="14"/>
                <w:szCs w:val="14"/>
                <w:b w:val="1"/>
                <w:bCs w:val="1"/>
                <w:color w:val="auto"/>
                <w:w w:val="91"/>
              </w:rPr>
              <w:t>Years Ending December 31,</w:t>
            </w:r>
          </w:p>
        </w:tc>
        <w:tc>
          <w:tcPr>
            <w:tcW w:w="5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2013</w:t>
            </w:r>
          </w:p>
        </w:tc>
        <w:tc>
          <w:tcPr>
            <w:tcW w:w="5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2014</w:t>
            </w:r>
          </w:p>
        </w:tc>
        <w:tc>
          <w:tcPr>
            <w:tcW w:w="5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4,012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5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2016</w:t>
            </w:r>
          </w:p>
        </w:tc>
        <w:tc>
          <w:tcPr>
            <w:tcW w:w="5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2,583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5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Thereafter</w:t>
            </w:r>
          </w:p>
        </w:tc>
        <w:tc>
          <w:tcPr>
            <w:tcW w:w="5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16,196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In addition, the Company is the lessee under leases for certain land, buildings and office equipment. At December 31, 2012, the Company was obligated under non-cancellable operating leases, to make future minimum lease payments as follows (amounts in thousands):</w:t>
      </w:r>
    </w:p>
    <w:p>
      <w:pPr>
        <w:spacing w:after="0" w:line="12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700" w:type="dxa"/>
            <w:vAlign w:val="bottom"/>
            <w:gridSpan w:val="2"/>
          </w:tcPr>
          <w:p>
            <w:pPr>
              <w:spacing w:after="0"/>
              <w:rPr>
                <w:sz w:val="20"/>
                <w:szCs w:val="20"/>
                <w:color w:val="auto"/>
              </w:rPr>
            </w:pPr>
            <w:r>
              <w:rPr>
                <w:rFonts w:ascii="Arial" w:cs="Arial" w:eastAsia="Arial" w:hAnsi="Arial"/>
                <w:sz w:val="14"/>
                <w:szCs w:val="14"/>
                <w:b w:val="1"/>
                <w:bCs w:val="1"/>
                <w:color w:val="auto"/>
                <w:w w:val="91"/>
              </w:rPr>
              <w:t>Years Ending December 31,</w:t>
            </w:r>
          </w:p>
        </w:tc>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2013</w:t>
            </w:r>
          </w:p>
        </w:tc>
        <w:tc>
          <w:tcPr>
            <w:tcW w:w="5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2014</w:t>
            </w:r>
          </w:p>
        </w:tc>
        <w:tc>
          <w:tcPr>
            <w:tcW w:w="5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2,905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5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2016</w:t>
            </w:r>
          </w:p>
        </w:tc>
        <w:tc>
          <w:tcPr>
            <w:tcW w:w="5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1,214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5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Thereafter</w:t>
            </w:r>
          </w:p>
        </w:tc>
        <w:tc>
          <w:tcPr>
            <w:tcW w:w="5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11,821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Rent expense for the years ended December 31, 2012, 2011 and 2010 was $17.1 million, $16.2 million and $16.1 million,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has entered into employment agreements with several executive officers, other members of management and certain key employees. These agreements generally have three- to five-year terms and typically indicate a base salary and often contain provisions for discretionary bonuses. Certain of the executives are also entitled to a separation payment if terminated without “cause” or upon voluntary termination of employment for “good reason” following a “change of control” (as these terms are defined in the employment contracts).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9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Company and its affiliates are involved in litigation in addition to the actions noted below arising in the normal course of business. In the opinion of management, such litigation and claims will not have a material effect on the Company’s financial condition, results of operations or cash flows.</w:t>
      </w:r>
    </w:p>
    <w:p>
      <w:pPr>
        <w:spacing w:after="0" w:line="7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60"/>
          </w:cols>
          <w:pgMar w:left="240" w:top="459" w:right="3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Matters Related to Wynn Resorts, Limited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Unsuitability and Redemption of Aruze USA, Inc. and Affiliates</w:t>
      </w:r>
    </w:p>
    <w:p>
      <w:pPr>
        <w:spacing w:after="0" w:line="90"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On February 18, 2012, Wynn Resorts’ Gaming Compliance Committee concluded an investigation after receiving an independent report by Freeh, Sporkin &amp; Sullivan, LLP (the “Freeh Report”) detailing a pattern of misconduct by Aruze USA, Inc., at the time a stockholder of Wynn Resorts, Universal Entertainment Corporation, Aruze USA, Inc.’s parent company, and Kazuo Okada, the majority shareholder of Universal Entertainment Corporation, who, until February 21, 2013, was also a member of Wynn Resorts’ Board of Directors and was at the time a director of Wynn Macau, Limited. The factual record presented in the Freeh Report included evidence that Aruze USA, Inc., Universal Entertainment Corporation and Mr. Okada had provided valuable items to certain foreign gaming officials who were responsible for regulating gaming in a jurisdiction in which entities controlled by Mr. Okada were developing a gaming resort.</w:t>
      </w:r>
    </w:p>
    <w:p>
      <w:pPr>
        <w:spacing w:after="0" w:line="1" w:lineRule="exact"/>
        <w:rPr>
          <w:sz w:val="20"/>
          <w:szCs w:val="20"/>
          <w:color w:val="auto"/>
        </w:rPr>
      </w:pPr>
    </w:p>
    <w:p>
      <w:pPr>
        <w:ind w:right="400"/>
        <w:spacing w:after="0" w:line="323" w:lineRule="auto"/>
        <w:rPr>
          <w:sz w:val="20"/>
          <w:szCs w:val="20"/>
          <w:color w:val="auto"/>
        </w:rPr>
      </w:pPr>
      <w:r>
        <w:rPr>
          <w:rFonts w:ascii="Arial" w:cs="Arial" w:eastAsia="Arial" w:hAnsi="Arial"/>
          <w:sz w:val="16"/>
          <w:szCs w:val="16"/>
          <w:color w:val="auto"/>
        </w:rPr>
        <w:t>Mr. Okada has denied the impropriety of such conduct to members of the Board of Directors of Wynn Resorts and Mr. Okada has refused to acknowledge or abide by Wynn Resorts’ anti-bribery policies and has refused to participate in the training all other directors have received concerning these policies.</w:t>
      </w:r>
    </w:p>
    <w:p>
      <w:pPr>
        <w:spacing w:after="0" w:line="9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Based on the Freeh Report, the Board of Directors of Wynn Resorts determined that Aruze USA, Inc., Universal Entertainment Corporation and Mr. Okada are “unsuitable persons” under Article VII of the Company’s articles of incorporation. The Board of Directors was unanimous (other than Mr. Okada) in its determination. The Board of Directors also requested that Mr. Okada resign as a director of Wynn Resorts (under Nevada corporation law, a board of directors does not have the power to remove a director) and recommended that Mr. Okada be removed as a member of the Board of Directors of Wynn Macau, Limited. In addition, on February 18, 2012, Mr. Okada was removed from the Board of Directors of Wynn Las Vegas Capital Corp., an indirect wholly owned subsidiary of Wynn Resorts. On February 24, 2012, Mr. Okada was removed from the Board of Directors of Wynn Macau, Limited and on February 22, 2013, he was removed from the Board of Directors of Wynn Resorts by a stockholder vote in which 99.6% of the over 86 million shares voted were cast in favor of removal. Additionally, Mr. Okada resigned from the Board of Directors of Wynn Resorts on February 21, 2013.</w:t>
      </w:r>
    </w:p>
    <w:p>
      <w:pPr>
        <w:spacing w:after="0" w:line="118" w:lineRule="exact"/>
        <w:rPr>
          <w:sz w:val="20"/>
          <w:szCs w:val="20"/>
          <w:color w:val="auto"/>
        </w:rPr>
      </w:pPr>
    </w:p>
    <w:p>
      <w:pPr>
        <w:ind w:right="60" w:firstLine="456"/>
        <w:spacing w:after="0" w:line="302" w:lineRule="auto"/>
        <w:rPr>
          <w:sz w:val="20"/>
          <w:szCs w:val="20"/>
          <w:color w:val="auto"/>
        </w:rPr>
      </w:pPr>
      <w:r>
        <w:rPr>
          <w:rFonts w:ascii="Arial" w:cs="Arial" w:eastAsia="Arial" w:hAnsi="Arial"/>
          <w:sz w:val="15"/>
          <w:szCs w:val="15"/>
          <w:color w:val="auto"/>
        </w:rPr>
        <w:t>Based on the Board of Directors’ finding of “unsuitability,” on February 18, 2012, Wynn Resorts redeemed and cancelled Aruze USA, Inc.’s 24,549,222 shares of Wynn Resorts’ common stock. Following a finding of “unsuitability,” Article VII of Wynn Resorts’ articles of incorporation authorizes redemption at “fair value” of the shares held by unsuitable persons. Wynn Resorts engaged an independent financial advisor to assist in the fair value calculation and concluded that a discount to the then current trading price was appropriate because of, among other things, restrictions on most of the shares held by Aruze USA, Inc. under the terms of the Stockholders Agreement (as defined below). Pursuant to the articles of incorporation, Wynn Resorts issued the Redemption Note to Aruze USA, Inc. in redemption of the shares. The Redemption Note has a principal amount of $1.94 billion, matures on February 18, 2022 and bears interest at the rate of</w:t>
      </w:r>
    </w:p>
    <w:p>
      <w:pPr>
        <w:spacing w:after="0" w:line="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2% per annum, payable annually in arrears on each anniversary of the date of the Redemption Note. Wynn Resorts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or any of its affiliates in respect of indebtedness for borrowed money of any kind or nature.</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After authorizing the redemption of the Aruze USA, Inc. shares, the Board of Directors took certain actions to protect Wynn Resorts and its operations from any influence of an unsuitable person, including placing limitations on the provision of certain operating information to unsuitable persons, evaluating whether to seek the removal of Mr. Okada from Wynn Resorts’ Board of Directors, and the formation of an Executive Committee of the Board to manage the business and affairs of Wynn Resorts during the period between each annual meeting. The Charter of the Executive Committee provides that “Unsuitable Persons” are not permitted to serve on the Committee. All members of the Board, other than Mr. Okada, were appointed to the Executive Committee on February 18, 2012. On February 24, 2012, the Board of Directors of Wynn Macau, Limited removed Mr. Kazuo Okada from the board. On January 3, 2013, Wynn Resorts filed a definitive proxy statement on Schedule 14A (“Proxy Statement”) for a special meeting of the stockholders to consider and vote upon a proposal to remove Mr. Okada as a director of Wynn Resorts (“Removal Proposal”). On January 24, 2013, Mr. Okada filed a complaint in the United States District Court, District of Nevada against Wynn Resorts, alleging that Proxy Statement was materially false and misleading in contravention of Section 14(a) of the Securities Exchange Act of 1934, as amended, and Securities and Exchange Commission Rule 14a-9 promulgated there under. Mr. Okada also filed a motion for a preliminary injunction on January 28, 2013, in which he sought an order preliminarily enjoining the special meeting of stockholders until such time as Wynn Resorts corrected certain alleged misstatements and omissions in its Proxy Statement. At the conclusion of a hearing held on February 15, 2013, the federal court denied Mr. Okada’s motion.</w:t>
      </w:r>
    </w:p>
    <w:p>
      <w:pPr>
        <w:spacing w:after="0" w:line="12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On the afternoon of February 21, 2013, Mr. Okada resigned as a director of Wynn Resorts. On February 22, 2013, the special meeting of stockholders was held and the stockholders approved the Removal Proposal with an affirmative vote of 85.7% of the shares entitled to vote at the special meeting (99.6% of the shares that were voted at the special meeting of stockholders were voted in favor of the Removal Proposal).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Action and Counterclaim</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February 19, 2012, Wynn Resorts filed a complaint in the Eighth Judicial District Court, Clark County, Nevada against Mr. Okada, Aruze USA, Inc. and Universal Entertainment Corporation (companies controlled by Mr. Okada) (the “Okada Parties”), alleging breaches of fiduciary duty and related claims. Wynn Resorts is seeking compensatory and special damages as well as a declaration that it acted lawfully and in full compliance with its articles of incorporation, bylaws and other governing documents in redeeming and cancelling the shares of Aruze,USA, Inc.</w:t>
      </w:r>
    </w:p>
    <w:p>
      <w:pPr>
        <w:spacing w:after="0" w:line="113"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On March 12, 2012, the Okada Parties removed the action to the United States District Court for the District of Nevada (the action was subsequently remanded to Nevada state court). On that same date, the Okada Parties filed an answer denying the claims and a counterclaim that purports to assert claims against Wynn Resorts, each of the members of Wynn Resorts’ Board of Directors (other than Mr. Okada) and Wynn Resorts’ General Counsel (the “Wynn Parties”). As amended, the Okada Parties’ counterclaim alleges, among other things: (1) that the shares of Wynn Resorts common stock owned by Aruze USA, Inc. were exempt from the redemption-for-unsuitability provisions in the Wynn Resorts articles of incorporation pursuant to certain agreements executed in 2002;</w:t>
      </w:r>
    </w:p>
    <w:p>
      <w:pPr>
        <w:spacing w:after="0" w:line="2" w:lineRule="exact"/>
        <w:rPr>
          <w:sz w:val="20"/>
          <w:szCs w:val="20"/>
          <w:color w:val="auto"/>
        </w:rPr>
      </w:pPr>
    </w:p>
    <w:p>
      <w:pPr>
        <w:ind w:firstLine="8"/>
        <w:spacing w:after="0" w:line="290" w:lineRule="auto"/>
        <w:tabs>
          <w:tab w:leader="none" w:pos="2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that the Wynn Resorts directors who authorized the redemption of Aruze USA, Inc.’s shares acted at the direction of Stephen A. Wynn and did not independently and objectively evaluate Mr. Okada’s, Universal Entertainment Corporation’s, and Aruze USA, Inc.’s suitability, and by so doing, breached their fiduciary duties; (3) that the Wynn Resorts directors violated the terms of the Wynn Resorts articles of incorporation by failing to pay Aruze USA, Inc. fair value for the redeemed shares; and (4) that the terms of the Redemption Note that Aruze USA, Inc. received in exchange for the redeemed shares, including the Redemption Note’s principal amount, duration, interest rate, and subordinated status, were unconscionable. Among other relief, the amended counterclaim seeks a declaration that the redemption of Aruze USA, Inc.’s shares was void, an injunction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restoring Aruze USA, Inc.’s share ownership, damages in an unspecified amount and rescission of the Amended and Restated Stockholders Agreement. On August 31, 2012, Aruze USA, Inc. filed a motion for preliminary injunction with the Nevada state court. The motion sought an order that would prohibit Wynn Resorts from barring or preventing Aruze USA, Inc. from exercising rights as a stockholder at the November 2, 2012 annual meeting of Wynn Resorts’ stockholders. On October 2, 2012, the Nevada state court denied Aruze USA, Inc.’s motion for preliminary injunction. On October 19, 2012, Aruze USA, Inc. filed a notice of appeal with the Nevada Supreme Court. The appeal was assigned to the Nevada Supreme Court’s mediation program, has not progressed, and is pending. Wynn Resorts intends to vigorously defend against the appeal and to argue that the Nevada Supreme Court should affirm the state court’s decision denying Aruze USA, Inc.’s motion for a preliminary injunction.</w:t>
      </w:r>
    </w:p>
    <w:p>
      <w:pPr>
        <w:spacing w:after="0" w:line="11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Wynn Resorts’ complaint, as amended, and the Okada Parties’ counterclaim, as amended, were challenged at the pleading stage through motion practice. At a hearing held on November 13, 2012, the Nevada state court denied the Wynn Parties’ motion to dismiss the Okada Parties’ amended counterclaim, but dismissed the Okada Parties’ claims under the Nevada Racketeer Influenced and Corrupt Organizations Act. At a hearing held on January 15, 2013, the court denied the Okada Parties’ motion to dismiss Wynn Resorts’ amended complaint.</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February 13, 2013, the Okada Parties filed a motion in the Nevada state court in which they asked the court to establish a “disputed ownership fund” as defined in a federal tax regulation. Specifically, the motion sought an order establishing an escrow account to hold the Redemption Note issued to Aruze USA, Inc. as compensation for the shares of Wynn Resorts common stock redeemed by the board of directors in February 2012 in light of the board’s determination of unsuitability, as well as the redeemed shares themselves (although those shares were previously cancelled in February 2012), pending a resolution of the state court action. The order sought by the Okada Parties would also require Wynn Resorts to, among other things, make any payments on the Redemption Note into the escrow account. A hearing on the motion has been set for March 22, 2013. Wynn Resorts believes there is no basis for the relief requested in the motion and intends to oppose the motion vigorously.</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Wynn Resorts is vigorously pursuing its claims against the Okada Parties, and Wynn Resorts and the other counter-defendants are vigorously defending against the counterclaims asserted against them. Wynn Resorts’ claims and the Okada Parties’ counterclaims are in a preliminary stage and management has determined that based on proceedings to date, it is currently unable to determine the probability of the outcome of this matter or the range of reasonably possible loss, if any. Any adverse judgments or settlements involving payment of a material sum of money could cause a material adverse effect on Wynn Resorts’ financial condition and results of operations and could expose Wynn Resorts’ to additional claims by third parties, including current or former investors or regulators. Any adverse judgments or settlements would reduce Wynn Resorts’ profits and could limit Wynn Resorts’ ability to operate its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Matters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Wynn Resorts provided the Freeh Report to appropriate regulators and law enforcement agencies and is cooperating with related investigations that such regulators and agencies have undertaken. The conduct of the Okada Parties and any resulting regulatory investigations could have adverse consequences to Wynn Resorts and its subsidiaries. A finding by regulatory authorities that Mr. Okada violated anti-corruption statutes and/or other laws or regulations applicable to persons affiliated with a gaming licensee on Company property and/or otherwise involved Wynn Resorts in criminal or civil violations could result in actions by regulatory authorities against Wynn Resorts. Relatedly, as described below, the Salt Lake Regional Office of the U.S. Securities and Exchange Commission (“SEC”) has commenced an informal inquiry into, and other regulators could pursue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459" w:right="2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separate investigations into, Wynn Resorts’ compliance with applicable laws arising from the allegations in the matters described above and in response to litigation filed by Mr. Okada suggesting improprieties in connection with Wynn Resorts’ donation to the University of Macau. While Wynn Resorts believes that it is in full compliance with all applicable laws, any such investigations could result in actions by regulators against Wynn Resorts. In February 2013, the Nevada Gaming Control Board informed Wynn Resorts that it has completed its investigation of allegations made by Mr. Okada against Wynn Resorts regarding the activities of Mr. Wynn and related entities in Macau and found no violations of the Gaming Control Act or the Nevada Gaming Commission Regulations.</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June 19, 2012, Elaine Wynn responded to the Okada Parties’ counterclaim and asserted a cross claim against Steve Wynn and Kazuo Okada seeking a declaration that (1) any and all of Elaine Wynn’s duties under the January 2010 Stockholders Agreement (the “Stockholders Agreement”) by and among Aruze USA, Inc., Steve Wynn, and Elaine Wynn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Mr. Wynn filed his answer to Elaine Wynn’s cross claim on September 24, 2012. The indentures for the Wynn Las Vegas, LLC 2022 Notes and Existing Notes (the “Indentures”) provide that if Steve Wynn, together with certain related parties, in the aggregate beneficially owns a lesser percentage of the outstanding common stock of Wynn Resorts than are beneficially owned by any other person, a change of control will have occurred. If Elaine Wynn prevails in her cross claim, Steve Wynn would not beneficially own or control Elaine Wynn’s shares and a change in control may result under Wynn Resorts’ debt documents. Under the Indentures, the occurrence of a change of control requires that Wynn Resorts make an offer (unless the notes have been previously called for redemption) to each holder to repurchase all or any part of such holder’s Notes at a purchase price equal to 101% of the aggregate principal amount thereof plus accrued and unpaid interest on the Notes purchased, if any, to the date of repurchase.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Commenced by Kazuo Okada and Related Matters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Books and Records Action</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January 11, 2012, Mr. Okada, in his role as a Wynn Resorts’ director, commenced a writ proceeding in the Eighth Judicial District Court, Clark County, Nevada, seeking to compel Wynn Resorts to produce certain books and records relating to a donation to the University of Macau, among other things.</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May 2011, Wynn Macau, a majority owned subsidiary of Wynn Resorts, made a commitment to the University of Macau Development Foundation in support of the new Asia-Pacific Academy of Economics and Management. This contribution consists of a $25 million payment made in May 2011 and a commitment for additional donations of $10 million each year for the calendar years 2012 through 2022 inclusive. The pledge was consistent with Wynn Resorts’ long-standing practice of providing philanthropic support for deserving institutions in the markets in which it operates. The pledge was made following an extensive analysis which concluded that the gift was made in accordance with all applicable laws. The pledge was considered by the boards of directors of both Wynn Resorts and Wynn Macau, Limited and approved by 15 of the 16 directors who served on those boards. The sole dissenting vote was cast by Mr. Okada whose stated objection was to the length of time over which the donation would occur, not its propriety.</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At a hearing on February 9, 2012, the Nevada state court held that, as a director of Wynn Resorts, Mr. Okada had the right to make a reasonable inspection of Wynn Resorts’ corporate books and records. Following the hearing, Wynn Resorts released certain documents to Mr. Okada for his inspection. At a subsequent hearing on March 8, 2012, the court considered Mr. Okada’s request that Wynn Resorts’ Board of</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Directors make additional documents available to him, and ruled that Mr. Okada was entitled to inspect two additional pages of documents. Wynn Resorts promptly complied with the court’s ruling.</w:t>
      </w:r>
    </w:p>
    <w:p>
      <w:pPr>
        <w:spacing w:after="0" w:line="132" w:lineRule="exact"/>
        <w:rPr>
          <w:sz w:val="20"/>
          <w:szCs w:val="20"/>
          <w:color w:val="auto"/>
        </w:rPr>
      </w:pPr>
    </w:p>
    <w:p>
      <w:pPr>
        <w:jc w:val="both"/>
        <w:ind w:firstLine="456"/>
        <w:spacing w:after="0" w:line="284" w:lineRule="auto"/>
        <w:rPr>
          <w:sz w:val="20"/>
          <w:szCs w:val="20"/>
          <w:color w:val="auto"/>
        </w:rPr>
      </w:pPr>
      <w:r>
        <w:rPr>
          <w:rFonts w:ascii="Arial" w:cs="Arial" w:eastAsia="Arial" w:hAnsi="Arial"/>
          <w:sz w:val="16"/>
          <w:szCs w:val="16"/>
          <w:color w:val="auto"/>
        </w:rPr>
        <w:t>On May 25, 2012, Mr. Okada amended his petition to request inspection of additional records. Following a hearing held on October 2, 2012, the court ruled that Mr. Okada is entitled to review certain additional Company documents from the 2000 to 2002 time period. Wynn Resorts promptly complied with the court’s ruling. On November 2, 2012, Mr. Okada filed a motion to compel the production of additional documents and to depose a witness designated by Wynn Resorts.</w:t>
      </w:r>
    </w:p>
    <w:p>
      <w:pPr>
        <w:spacing w:after="0" w:line="1"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At the conclusion of a hearing held on November 8, 2012, the court denied Mr. Okada’s motion. Wynn Resorts has not received any further requests for information by Mr. Okada in relation to this matter as of the date of this report.</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 Inquiry</w:t>
      </w:r>
      <w:r>
        <w:rPr>
          <w:rFonts w:ascii="Arial" w:cs="Arial" w:eastAsia="Arial" w:hAnsi="Arial"/>
          <w:sz w:val="18"/>
          <w:szCs w:val="18"/>
          <w:color w:val="auto"/>
        </w:rPr>
        <w:t>:</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 February 8, 2012, following Mr. Okada’s lawsuit, Wynn Resorts received a letter from the Salt Lake Regional Office of the SEC requesting that, in connection with an informal inquiry by the SEC, Wynn Resorts preserve information relating to the donation to the University of Macau, any donations by Wynn Resorts to any other educational charitable institutions, including the University of Macau Development Foundation, and Wynn Resorts’ casino or concession gaming licenses or renewals in Macau. Wynn Resorts is fully cooperating with the Salt Lake Regional Office staff.</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Japan Action</w:t>
      </w:r>
      <w:r>
        <w:rPr>
          <w:rFonts w:ascii="Arial" w:cs="Arial" w:eastAsia="Arial" w:hAnsi="Arial"/>
          <w:sz w:val="18"/>
          <w:szCs w:val="18"/>
          <w:color w:val="auto"/>
        </w:rPr>
        <w:t>:</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On August 28, 2012, Mr. Okada, Universal Entertainment Corporation and Okada Holdings filed a complaint in Tokyo District Court against Wynn Resorts, all members of the Board of Directors (other than Mr. Okada) and Wynn Resorts’ General Counsel, alleging that the press release issued by Wynn Resorts with respect to the redemption has damaged plaintiffs’ social evaluation and credibility. The plaintiffs seek damages and legal fees from the defendants. Wynn Resorts and the other counter-defendants are vigorously defending against the claims asserted against them in this matter.</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Federal Securities Action</w:t>
      </w:r>
      <w:r>
        <w:rPr>
          <w:rFonts w:ascii="Arial" w:cs="Arial" w:eastAsia="Arial" w:hAnsi="Arial"/>
          <w:sz w:val="18"/>
          <w:szCs w:val="18"/>
          <w:color w:val="auto"/>
        </w:rPr>
        <w:t>:</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January 3, 2013, Wynn Resorts filed a definitive proxy statement on Schedule 14A (“Proxy Statement”) for a special meeting of the stockholders to consider and vote upon a proposal to remove Mr. Okada as a director of Wynn Resorts (“Removal Proposal”). On January 24, 2013, Mr. Okada filed a complaint in the United States District Court, District of Nevada against Wynn Resorts, alleging that Proxy Statement was materially false and misleading in contravention of Section 14(a) of the Securities Exchange Act of 1934, as amended, and Securities and Exchange Commission Rule 14a-9 promulgated there under. Mr. Okada also filed a motion for a preliminary injunction on January 28, 2013, in which he sought an order preliminarily enjoining the special meeting of stockholders until such time as Wynn Resorts corrected certain alleged misstatements and omissions in its Proxy Statement. At the conclusion of a hearing held on February 15, 2013, the federal court denied Mr. Okada’s motion.</w:t>
      </w:r>
    </w:p>
    <w:p>
      <w:pPr>
        <w:spacing w:after="0" w:line="11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On the afternoon of February 21, 2013, Mr. Okada resigned as a director of Wynn Resorts. On February 22, 2013, the special meeting of stockholders was held and the stockholders approved the Removal Proposal with an affirmative vote of 85.7% of the shares entitled to vote at the special meeting (99.6% of the shares that were voted at the special meeting of stockholders were voted in favor of the Removal Proposal).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Derivative Litigation</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Six derivative actions were commenced against Wynn Resorts and all members of its Board of Directors: four in the United States District Court, District of Nevada, and two in the Eighth Judicial District Court of Clark County, Nevada.</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four federal actions brought by the following plaintiffs have been consolidated: (1) The Louisiana Municipal Police Employees’ Retirement System,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 Maryanne Solak, (3) Excavators Union Local 731 Welfare Fund, and (4) Boilermakers Lodge No. 154 Retirement Fund (collectively, the “Federal Plaintiffs”).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Federal Plaintiffs filed a consolidated complaint on August 6, 2012, asserting claims for: (1) breach of fiduciary duty; (2) waste of corporate assets;</w:t>
      </w:r>
    </w:p>
    <w:p>
      <w:pPr>
        <w:spacing w:after="0" w:line="38" w:lineRule="exact"/>
        <w:rPr>
          <w:sz w:val="20"/>
          <w:szCs w:val="20"/>
          <w:color w:val="auto"/>
        </w:rPr>
      </w:pPr>
    </w:p>
    <w:p>
      <w:pPr>
        <w:ind w:right="140" w:firstLine="8"/>
        <w:spacing w:after="0" w:line="287" w:lineRule="auto"/>
        <w:tabs>
          <w:tab w:leader="none" w:pos="2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injunctive relief; and (4) unjust enrichment. The claims are against Wynn Resorts all Company directors, including Mr. Okada, however, the plaintiffs voluntarily dismissed Mr. Okada as a defendant in this consolidated action on September 27, 2012. The Federal Plaintiffs claim that the individual defendants breached their fiduciary duties and wasted assets by: (a) failing to ensure Wynn Resorts’ officers and directors complied with federal and state laws and Wynn Resorts’ Code of Conduct; (b) voting to allow Wynn Resorts’ subsidiary to make the donation to the University of Macau; and (c) redeeming Aruze USA, Inc.’s stock such that Wynn Resorts incurs the debt associated with the redemption. The Federal Plaintiffs seek unspecified compensatory damages, restitution in the form of disgorgement, reformation of corporate governance procedures, an injunction against all future payments related to the donation/pledge, and all fees (attorneys, accountants, and experts) and costs. The directors responded to the consolidated complaint by filing a motion to dismiss on September 14, 2012. On February 1, 2013, the federal court dismissed the complaint for failure to plead adequately the futility of a pre-suit demand on the Board of Directors. The dismissal was without prejudice to the Federal Plaintiffs’ ability to file a motion within 30 days seeking leave to file an amended complaint.</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two state court actions brought by the following plaintiffs have also been consolidated: (1) IBEW Local 98 Pension Fund and (2) Danny Hinson (collectively, the “State Plaintiffs”). Through a coordination of efforts by all parties, the directors and Wynn Resorts (a nominal defendant) have been served in all of the actions.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State Plaintiffs filed a consolidated complaint on July 20, 2012 asserting claims for (1) breach of fiduciary duty; (2) abuse of control; (3) gross mismanagement; and (4) unjust enrichment. The claims are against Wynn Resorts and all Company directors, including Mr. Okada, as well as Wynn Resorts’ Chief Financial Officer, who signs financial disclosures filed with the SEC. The State Plaintiffs claim that the individual defendants failed to disclose to Wynn Resorts’ stockholders the investigation into, and the dispute with director Okada as well as the alleged potential violations of the FCPA related to, the University of Macau Development Foundation donation. The State Plaintiffs seek unspecified monetary damages (compensatory and punitive), disgorgement, reformation of corporate governance procedures, an order directing Wynn Resorts to internally investigate the donation, as well as attorneys’ fees and costs. On October 13, 2012, the court entered the parties’ stipulation providing for a stay of the state derivative action for 90 days, subject to the parties’ obligation to monitor the progress of the pending litigation, discussed above, between Wynn Resorts (among others) and Mr. Okada (among others). Per the stipulation, Wynn Resorts and the individual defendants were not required to respond to the consolidated complaint while the stay remained in effect. Although the stay has now expired, the State Plaintiffs have agreed to further extend the defendants’ time to respond to the consolidated complaint to allow the State Plaintiffs additional time to consider their plans for the action going forward, including a possible extension by agreement of the stay in the state derivative action.</w:t>
      </w:r>
    </w:p>
    <w:p>
      <w:pPr>
        <w:spacing w:after="0" w:line="12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individual defendants are vigorously defending against the claims pleaded against them in these derivative actions. We are unable to predict the outcome of these litigations at this time.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Member’s Equity</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During the year ended December 31, 2012, the Company distributed to Wynn Resorts, Limited, the Wynn Las Vegas golf course and the related water rights valued at $94 million, and $700 million in cash.</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During the year ended December 31, 2010, Wynn Resorts made a cash capital contribution to the Company totaling $50 million. The proceeds from this contribution were used to fund paydowns of the Company’s debt.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Quarterly Financial Information (Unaudited)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selected quarterly financial information for 2012 and 2011 (amounts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8"/>
          </w:tcPr>
          <w:p>
            <w:pPr>
              <w:jc w:val="right"/>
              <w:ind w:right="920"/>
              <w:spacing w:after="0"/>
              <w:rPr>
                <w:sz w:val="20"/>
                <w:szCs w:val="20"/>
                <w:color w:val="auto"/>
              </w:rPr>
            </w:pPr>
            <w:r>
              <w:rPr>
                <w:rFonts w:ascii="Arial" w:cs="Arial" w:eastAsia="Arial" w:hAnsi="Arial"/>
                <w:sz w:val="14"/>
                <w:szCs w:val="14"/>
                <w:b w:val="1"/>
                <w:bCs w:val="1"/>
                <w:color w:val="auto"/>
              </w:rPr>
              <w:t>Year Ended December 31, 2012</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080" w:type="dxa"/>
            <w:vAlign w:val="bottom"/>
          </w:tcPr>
          <w:p>
            <w:pPr>
              <w:spacing w:after="0"/>
              <w:rPr>
                <w:sz w:val="12"/>
                <w:szCs w:val="12"/>
                <w:color w:val="auto"/>
              </w:rPr>
            </w:pPr>
          </w:p>
        </w:tc>
        <w:tc>
          <w:tcPr>
            <w:tcW w:w="92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First</w:t>
            </w:r>
          </w:p>
        </w:tc>
        <w:tc>
          <w:tcPr>
            <w:tcW w:w="200" w:type="dxa"/>
            <w:vAlign w:val="bottom"/>
          </w:tcPr>
          <w:p>
            <w:pPr>
              <w:spacing w:after="0"/>
              <w:rPr>
                <w:sz w:val="12"/>
                <w:szCs w:val="12"/>
                <w:color w:val="auto"/>
              </w:rPr>
            </w:pPr>
          </w:p>
        </w:tc>
        <w:tc>
          <w:tcPr>
            <w:tcW w:w="92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Second</w:t>
            </w:r>
          </w:p>
        </w:tc>
        <w:tc>
          <w:tcPr>
            <w:tcW w:w="180" w:type="dxa"/>
            <w:vAlign w:val="bottom"/>
          </w:tcPr>
          <w:p>
            <w:pPr>
              <w:spacing w:after="0"/>
              <w:rPr>
                <w:sz w:val="12"/>
                <w:szCs w:val="12"/>
                <w:color w:val="auto"/>
              </w:rPr>
            </w:pPr>
          </w:p>
        </w:tc>
        <w:tc>
          <w:tcPr>
            <w:tcW w:w="92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Third</w:t>
            </w:r>
          </w:p>
        </w:tc>
        <w:tc>
          <w:tcPr>
            <w:tcW w:w="180" w:type="dxa"/>
            <w:vAlign w:val="bottom"/>
          </w:tcPr>
          <w:p>
            <w:pPr>
              <w:spacing w:after="0"/>
              <w:rPr>
                <w:sz w:val="12"/>
                <w:szCs w:val="12"/>
                <w:color w:val="auto"/>
              </w:rPr>
            </w:pPr>
          </w:p>
        </w:tc>
        <w:tc>
          <w:tcPr>
            <w:tcW w:w="112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Fourth</w:t>
            </w:r>
          </w:p>
        </w:tc>
        <w:tc>
          <w:tcPr>
            <w:tcW w:w="800" w:type="dxa"/>
            <w:vAlign w:val="bottom"/>
          </w:tcPr>
          <w:p>
            <w:pPr>
              <w:jc w:val="right"/>
              <w:ind w:right="197"/>
              <w:spacing w:after="0" w:line="142"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2"/>
                <w:szCs w:val="12"/>
                <w:color w:val="auto"/>
              </w:rPr>
            </w:pPr>
          </w:p>
        </w:tc>
      </w:tr>
      <w:tr>
        <w:trPr>
          <w:trHeight w:val="210"/>
        </w:trPr>
        <w:tc>
          <w:tcPr>
            <w:tcW w:w="6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$363,147</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$345,717</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$388,096</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$390,646</w:t>
            </w:r>
          </w:p>
        </w:tc>
        <w:tc>
          <w:tcPr>
            <w:tcW w:w="4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$1,487,606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Operating income</w:t>
            </w:r>
          </w:p>
        </w:tc>
        <w:tc>
          <w:tcPr>
            <w:tcW w:w="680" w:type="dxa"/>
            <w:vAlign w:val="bottom"/>
          </w:tcPr>
          <w:p>
            <w:pPr>
              <w:jc w:val="right"/>
              <w:spacing w:after="0"/>
              <w:rPr>
                <w:sz w:val="20"/>
                <w:szCs w:val="20"/>
                <w:color w:val="auto"/>
              </w:rPr>
            </w:pPr>
            <w:r>
              <w:rPr>
                <w:rFonts w:ascii="Arial" w:cs="Arial" w:eastAsia="Arial" w:hAnsi="Arial"/>
                <w:sz w:val="18"/>
                <w:szCs w:val="18"/>
                <w:color w:val="auto"/>
              </w:rPr>
              <w:t>20,426</w:t>
            </w: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3,538</w:t>
            </w:r>
          </w:p>
        </w:tc>
        <w:tc>
          <w:tcPr>
            <w:tcW w:w="26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12,314</w:t>
            </w: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37,749</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74,027</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(35,430)</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(53,200)</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(46,142)</w:t>
            </w: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(19,724)</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(154,496)</w:t>
            </w:r>
          </w:p>
        </w:tc>
      </w:tr>
      <w:tr>
        <w:trPr>
          <w:trHeight w:val="365"/>
        </w:trPr>
        <w:tc>
          <w:tcPr>
            <w:tcW w:w="608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8"/>
          </w:tcPr>
          <w:p>
            <w:pPr>
              <w:jc w:val="right"/>
              <w:ind w:right="920"/>
              <w:spacing w:after="0"/>
              <w:rPr>
                <w:sz w:val="20"/>
                <w:szCs w:val="20"/>
                <w:color w:val="auto"/>
              </w:rPr>
            </w:pPr>
            <w:r>
              <w:rPr>
                <w:rFonts w:ascii="Arial" w:cs="Arial" w:eastAsia="Arial" w:hAnsi="Arial"/>
                <w:sz w:val="14"/>
                <w:szCs w:val="14"/>
                <w:b w:val="1"/>
                <w:bCs w:val="1"/>
                <w:color w:val="auto"/>
              </w:rPr>
              <w:t>Year Ended December 31, 2011</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080" w:type="dxa"/>
            <w:vAlign w:val="bottom"/>
          </w:tcPr>
          <w:p>
            <w:pPr>
              <w:spacing w:after="0"/>
              <w:rPr>
                <w:sz w:val="12"/>
                <w:szCs w:val="12"/>
                <w:color w:val="auto"/>
              </w:rPr>
            </w:pPr>
          </w:p>
        </w:tc>
        <w:tc>
          <w:tcPr>
            <w:tcW w:w="92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First</w:t>
            </w:r>
          </w:p>
        </w:tc>
        <w:tc>
          <w:tcPr>
            <w:tcW w:w="200" w:type="dxa"/>
            <w:vAlign w:val="bottom"/>
          </w:tcPr>
          <w:p>
            <w:pPr>
              <w:spacing w:after="0"/>
              <w:rPr>
                <w:sz w:val="12"/>
                <w:szCs w:val="12"/>
                <w:color w:val="auto"/>
              </w:rPr>
            </w:pPr>
          </w:p>
        </w:tc>
        <w:tc>
          <w:tcPr>
            <w:tcW w:w="92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Second</w:t>
            </w:r>
          </w:p>
        </w:tc>
        <w:tc>
          <w:tcPr>
            <w:tcW w:w="180" w:type="dxa"/>
            <w:vAlign w:val="bottom"/>
          </w:tcPr>
          <w:p>
            <w:pPr>
              <w:spacing w:after="0"/>
              <w:rPr>
                <w:sz w:val="12"/>
                <w:szCs w:val="12"/>
                <w:color w:val="auto"/>
              </w:rPr>
            </w:pPr>
          </w:p>
        </w:tc>
        <w:tc>
          <w:tcPr>
            <w:tcW w:w="92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Third</w:t>
            </w:r>
          </w:p>
        </w:tc>
        <w:tc>
          <w:tcPr>
            <w:tcW w:w="180" w:type="dxa"/>
            <w:vAlign w:val="bottom"/>
          </w:tcPr>
          <w:p>
            <w:pPr>
              <w:spacing w:after="0"/>
              <w:rPr>
                <w:sz w:val="12"/>
                <w:szCs w:val="12"/>
                <w:color w:val="auto"/>
              </w:rPr>
            </w:pPr>
          </w:p>
        </w:tc>
        <w:tc>
          <w:tcPr>
            <w:tcW w:w="112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Fourth</w:t>
            </w:r>
          </w:p>
        </w:tc>
        <w:tc>
          <w:tcPr>
            <w:tcW w:w="800" w:type="dxa"/>
            <w:vAlign w:val="bottom"/>
          </w:tcPr>
          <w:p>
            <w:pPr>
              <w:jc w:val="right"/>
              <w:ind w:right="197"/>
              <w:spacing w:after="0" w:line="142"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2"/>
                <w:szCs w:val="12"/>
                <w:color w:val="auto"/>
              </w:rPr>
            </w:pPr>
          </w:p>
        </w:tc>
      </w:tr>
      <w:tr>
        <w:trPr>
          <w:trHeight w:val="210"/>
        </w:trPr>
        <w:tc>
          <w:tcPr>
            <w:tcW w:w="6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$395,037</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$391,014</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$347,254</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$348,590</w:t>
            </w:r>
          </w:p>
        </w:tc>
        <w:tc>
          <w:tcPr>
            <w:tcW w:w="4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$1,481,895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Operating income (loss)</w:t>
            </w:r>
          </w:p>
        </w:tc>
        <w:tc>
          <w:tcPr>
            <w:tcW w:w="680" w:type="dxa"/>
            <w:vAlign w:val="bottom"/>
          </w:tcPr>
          <w:p>
            <w:pPr>
              <w:jc w:val="right"/>
              <w:spacing w:after="0"/>
              <w:rPr>
                <w:sz w:val="20"/>
                <w:szCs w:val="20"/>
                <w:color w:val="auto"/>
              </w:rPr>
            </w:pPr>
            <w:r>
              <w:rPr>
                <w:rFonts w:ascii="Arial" w:cs="Arial" w:eastAsia="Arial" w:hAnsi="Arial"/>
                <w:sz w:val="18"/>
                <w:szCs w:val="18"/>
                <w:color w:val="auto"/>
              </w:rPr>
              <w:t>49,174</w:t>
            </w: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48,609</w:t>
            </w:r>
          </w:p>
        </w:tc>
        <w:tc>
          <w:tcPr>
            <w:tcW w:w="260" w:type="dxa"/>
            <w:vAlign w:val="bottom"/>
          </w:tcPr>
          <w:p>
            <w:pPr>
              <w:spacing w:after="0"/>
              <w:rPr>
                <w:sz w:val="18"/>
                <w:szCs w:val="18"/>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(415)</w:t>
            </w: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3,951</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101,319</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(1,517)</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(49,509)</w:t>
            </w: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(45,040)</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(95,632)</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January 3, 2013, Wynn Resorts filed a definitive proxy statement on Schedule 14A (“Proxy Statement”) for a special meeting of its stockholders to consider and vote upon a proposal to remove Mr. Okada as a director of Wynn Resorts (“Removal Proposal”). On January 24, 2013, Mr. Okada filed a complaint in the United States District Court, District of Nevada against Wynn Resorts, alleging that Proxy Statement was materially false and misleading in contravention of Section 14(a) of the Securities Exchange Act of 1934, as amended, and Securities and Exchange Commission Rule 14a-9 promulgated thereunder. Mr. Okada also filed a motion for a preliminary injunction on January 28, 2013, in which he sought an order preliminarily enjoining the special meeting of stockholders until such time as Wynn Resorts corrected certain alleged misstatements and omissions in its Proxy Statement. At the conclusion of a hearing held on February 15, 2013, the federal court denied Mr. Okada’s motion.</w:t>
      </w:r>
    </w:p>
    <w:p>
      <w:pPr>
        <w:spacing w:after="0" w:line="11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On the afternoon of February 21, 2013, Mr. Okada resigned as a director of Wynn Resorts. On February 22, 2013, the special meeting of stockholders was held and the stockholders approved the Removal Proposal with an affirmative vote of 85.7% of the shares entitled to vote at the special meeting (99.6% of the shares that were voted at the special meeting of stockholders were voted in favor of the Removal Proposal).</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9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6" w:lineRule="exact"/>
        <w:rPr>
          <w:sz w:val="20"/>
          <w:szCs w:val="20"/>
          <w:color w:val="auto"/>
        </w:rPr>
      </w:pPr>
    </w:p>
    <w:p>
      <w:pPr>
        <w:ind w:right="20" w:firstLine="464"/>
        <w:spacing w:after="0" w:line="286" w:lineRule="auto"/>
        <w:tabs>
          <w:tab w:leader="none" w:pos="1002"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Chief Executive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December 31, 2012, the Company’s disclosure controls and procedures are effective, at the reasonable assurance level, in recording, processing, summarizing and reporting, on a timely basis, information required to be disclosed by the Company in the reports that it files or submits under the Exchange Act and in ensuring that information required to be disclosed by the Company in the reports that it files or submits under the Exchange Act is accumulated and communicated to the Company’s management, including the Chief Executive Officer and Chief Financial Officer, as appropriate to allow timely discussions regarding required disclosure.</w:t>
      </w:r>
    </w:p>
    <w:p>
      <w:pPr>
        <w:spacing w:after="0" w:line="127" w:lineRule="exact"/>
        <w:rPr>
          <w:rFonts w:ascii="Arial" w:cs="Arial" w:eastAsia="Arial" w:hAnsi="Arial"/>
          <w:sz w:val="16"/>
          <w:szCs w:val="16"/>
          <w:color w:val="auto"/>
        </w:rPr>
      </w:pPr>
    </w:p>
    <w:p>
      <w:pPr>
        <w:ind w:right="160" w:firstLine="464"/>
        <w:spacing w:after="0" w:line="268" w:lineRule="auto"/>
        <w:tabs>
          <w:tab w:leader="none" w:pos="1012"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Management Report on Internal Control Over Financial Reporting. </w:t>
      </w:r>
      <w:r>
        <w:rPr>
          <w:rFonts w:ascii="Arial" w:cs="Arial" w:eastAsia="Arial" w:hAnsi="Arial"/>
          <w:sz w:val="18"/>
          <w:szCs w:val="18"/>
          <w:color w:val="auto"/>
        </w:rPr>
        <w:t>Management of the Company is responsible for establishing and maintaining</w:t>
      </w:r>
      <w:r>
        <w:rPr>
          <w:rFonts w:ascii="Arial" w:cs="Arial" w:eastAsia="Arial" w:hAnsi="Arial"/>
          <w:sz w:val="18"/>
          <w:szCs w:val="18"/>
          <w:i w:val="1"/>
          <w:iCs w:val="1"/>
          <w:color w:val="auto"/>
        </w:rPr>
        <w:t xml:space="preserve"> </w:t>
      </w:r>
      <w:r>
        <w:rPr>
          <w:rFonts w:ascii="Arial" w:cs="Arial" w:eastAsia="Arial" w:hAnsi="Arial"/>
          <w:sz w:val="18"/>
          <w:szCs w:val="18"/>
          <w:color w:val="auto"/>
        </w:rPr>
        <w:t>adequate internal control over financial reporting, as defined in Rule 13a-15(f) and 15d-15(f) under the Exchange Act.</w:t>
      </w:r>
    </w:p>
    <w:p>
      <w:pPr>
        <w:spacing w:after="0" w:line="132"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40"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2012.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Based on our assessment, management believes that, as of December 31, 2012, the Company’s internal control over financial reporting was effective.</w:t>
      </w:r>
    </w:p>
    <w:p>
      <w:pPr>
        <w:spacing w:after="0" w:line="19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This annual report does not include an attestation report of the Company’s registered public accounting firm regarding internal control over financial reporting. The attestation report of the Company’s registered public accounting firm is not required in this annual report under the SEC’s rules, which permit the Company to provide only management’s report in this annual report.</w:t>
      </w:r>
    </w:p>
    <w:p>
      <w:pPr>
        <w:spacing w:after="0" w:line="140" w:lineRule="exact"/>
        <w:rPr>
          <w:sz w:val="20"/>
          <w:szCs w:val="20"/>
          <w:color w:val="auto"/>
        </w:rPr>
      </w:pPr>
    </w:p>
    <w:p>
      <w:pPr>
        <w:jc w:val="both"/>
        <w:ind w:firstLine="464"/>
        <w:spacing w:after="0" w:line="306" w:lineRule="auto"/>
        <w:tabs>
          <w:tab w:leader="none" w:pos="1002"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Changes in Internal Control Over Financial Reporting</w:t>
      </w:r>
      <w:r>
        <w:rPr>
          <w:rFonts w:ascii="Arial" w:cs="Arial" w:eastAsia="Arial" w:hAnsi="Arial"/>
          <w:sz w:val="16"/>
          <w:szCs w:val="16"/>
          <w:color w:val="auto"/>
        </w:rPr>
        <w:t>. There have not been any changes in the Company’s internal control over financial reporting</w:t>
      </w:r>
      <w:r>
        <w:rPr>
          <w:rFonts w:ascii="Arial" w:cs="Arial" w:eastAsia="Arial" w:hAnsi="Arial"/>
          <w:sz w:val="16"/>
          <w:szCs w:val="16"/>
          <w:i w:val="1"/>
          <w:iCs w:val="1"/>
          <w:color w:val="auto"/>
        </w:rPr>
        <w:t xml:space="preserve"> </w:t>
      </w:r>
      <w:r>
        <w:rPr>
          <w:rFonts w:ascii="Arial" w:cs="Arial" w:eastAsia="Arial" w:hAnsi="Arial"/>
          <w:sz w:val="16"/>
          <w:szCs w:val="16"/>
          <w:color w:val="auto"/>
        </w:rPr>
        <w:t>(as such term is defined in Rules 13a-15(f) and 15d-15(f) under the Exchange Act) during our fourth fiscal quarter to which this report relates that have materially affected, or are reasonably likely to materially affect, the Company’s internal control over financial reporting.</w:t>
      </w:r>
    </w:p>
    <w:p>
      <w:pPr>
        <w:spacing w:after="0" w:line="22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jc w:val="both"/>
        <w:ind w:right="280" w:firstLine="913"/>
        <w:spacing w:after="0" w:line="259" w:lineRule="auto"/>
        <w:rPr>
          <w:sz w:val="20"/>
          <w:szCs w:val="20"/>
          <w:color w:val="auto"/>
        </w:rPr>
      </w:pPr>
      <w:r>
        <w:rPr>
          <w:rFonts w:ascii="Arial" w:cs="Arial" w:eastAsia="Arial" w:hAnsi="Arial"/>
          <w:sz w:val="18"/>
          <w:szCs w:val="18"/>
          <w:color w:val="auto"/>
        </w:rPr>
        <w:t>On February 21, 2013, Wynn Resorts, Limited announced that Marilyn Spiegel will step down as president of Wynn Las Vegas. Ms. Spiegel will remain with the company to work on design and development of company projects. The company announced that Maurice Wooden, who previously served as chief operating officer of Wynn Las Vegas, will serve as president.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omitted this section pursuant to Instruction I(2) of Form 10-K.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omitted this section pursuant to Instruction I(2) of Form 10-K.</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omitted this section pursuant to Instruction I(2) of Form 10-K.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omitted this section pursuant to Instruction I(2) of Form 10-K.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following table shows the fees paid or accrued by us for audit and other services provided by our auditors, Ernst &amp; Young LLP, during each of the years ended December 31, 2012 and 2011:</w:t>
      </w:r>
    </w:p>
    <w:p>
      <w:pPr>
        <w:spacing w:after="0" w:line="26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88"/>
              </w:rPr>
              <w:t>Category</w:t>
            </w:r>
          </w:p>
        </w:tc>
        <w:tc>
          <w:tcPr>
            <w:tcW w:w="3360" w:type="dxa"/>
            <w:vAlign w:val="bottom"/>
            <w:vMerge w:val="restart"/>
          </w:tcPr>
          <w:p>
            <w:pPr>
              <w:spacing w:after="0"/>
              <w:rPr>
                <w:sz w:val="14"/>
                <w:szCs w:val="14"/>
                <w:color w:val="auto"/>
              </w:rPr>
            </w:pPr>
          </w:p>
        </w:tc>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ind w:left="440"/>
              <w:spacing w:after="0"/>
              <w:rPr>
                <w:sz w:val="20"/>
                <w:szCs w:val="20"/>
                <w:color w:val="auto"/>
              </w:rPr>
            </w:pPr>
            <w:r>
              <w:rPr>
                <w:rFonts w:ascii="Arial" w:cs="Arial" w:eastAsia="Arial" w:hAnsi="Arial"/>
                <w:sz w:val="14"/>
                <w:szCs w:val="14"/>
                <w:b w:val="1"/>
                <w:bCs w:val="1"/>
                <w:color w:val="auto"/>
              </w:rPr>
              <w:t>Aggregate Fees</w:t>
            </w:r>
          </w:p>
        </w:tc>
        <w:tc>
          <w:tcPr>
            <w:tcW w:w="0" w:type="dxa"/>
            <w:vAlign w:val="bottom"/>
          </w:tcPr>
          <w:p>
            <w:pPr>
              <w:spacing w:after="0"/>
              <w:rPr>
                <w:sz w:val="1"/>
                <w:szCs w:val="1"/>
                <w:color w:val="auto"/>
              </w:rPr>
            </w:pPr>
          </w:p>
        </w:tc>
      </w:tr>
      <w:tr>
        <w:trPr>
          <w:trHeight w:val="149"/>
        </w:trPr>
        <w:tc>
          <w:tcPr>
            <w:tcW w:w="560" w:type="dxa"/>
            <w:vAlign w:val="bottom"/>
            <w:tcBorders>
              <w:bottom w:val="single" w:sz="8" w:color="auto"/>
            </w:tcBorders>
            <w:vMerge w:val="continue"/>
          </w:tcPr>
          <w:p>
            <w:pPr>
              <w:spacing w:after="0"/>
              <w:rPr>
                <w:sz w:val="12"/>
                <w:szCs w:val="12"/>
                <w:color w:val="auto"/>
              </w:rPr>
            </w:pPr>
          </w:p>
        </w:tc>
        <w:tc>
          <w:tcPr>
            <w:tcW w:w="3360" w:type="dxa"/>
            <w:vAlign w:val="bottom"/>
            <w:vMerge w:val="continue"/>
          </w:tcPr>
          <w:p>
            <w:pPr>
              <w:spacing w:after="0"/>
              <w:rPr>
                <w:sz w:val="12"/>
                <w:szCs w:val="12"/>
                <w:color w:val="auto"/>
              </w:rPr>
            </w:pPr>
          </w:p>
        </w:tc>
        <w:tc>
          <w:tcPr>
            <w:tcW w:w="26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9"/>
              <w:spacing w:after="0" w:line="129" w:lineRule="exact"/>
              <w:rPr>
                <w:sz w:val="20"/>
                <w:szCs w:val="20"/>
                <w:color w:val="auto"/>
              </w:rPr>
            </w:pPr>
            <w:r>
              <w:rPr>
                <w:rFonts w:ascii="Arial" w:cs="Arial" w:eastAsia="Arial" w:hAnsi="Arial"/>
                <w:sz w:val="14"/>
                <w:szCs w:val="14"/>
                <w:b w:val="1"/>
                <w:bCs w:val="1"/>
                <w:color w:val="auto"/>
              </w:rPr>
              <w:t>2012</w:t>
            </w: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6"/>
              <w:spacing w:after="0" w:line="129"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9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Audit fees</w:t>
            </w:r>
          </w:p>
        </w:tc>
        <w:tc>
          <w:tcPr>
            <w:tcW w:w="2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307,174</w:t>
            </w: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253,320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200,000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92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“Audit fees” includes the aggregate fees billed by our principal auditors for professional services rendered for the audit of our consolidated financial statements for the year ended December 31. “Audit fees” also includes amounts billed for services provided in connection with debt offerings in 2012. “Tax fees” include amounts billed for domestic tax planning.</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All of the principal accounting fees and services were pre-approved by the Audit Committee in 2012 and 2011. The Audit Committee pre-approves services either by: (1) approving a request from management to engage our principal auditors for a specific project at a specific fee or rate or (2) by pre-approving certain types of services that would comprise the fees within each of the above categories at our principal auditors usual and customary rates.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IV</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(a)1. The following consolidated financial statements of the Company are filed as part of this report under Item 8 – Financial Statements and Supplemental Data.</w:t>
      </w:r>
    </w:p>
    <w:p>
      <w:pPr>
        <w:spacing w:after="0" w:line="125"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Consolidated Balance Sheets as of December 31, 2012 and 2011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Consolidated Statements of Operations and Comprehensive Loss for the years ended December 31, 2012, 2011 and 2010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Consolidated Statements of Member’s Equity for the years ended December 31, 2012, 2011 and 2010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2012, 2011 and 2010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387"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Schedule II – Valuation and Qualifying Accounts</w:t>
      </w:r>
    </w:p>
    <w:p>
      <w:pPr>
        <w:spacing w:after="0" w:line="171"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We have omitted all other financial statement schedules because they are not required or are not applicable, or the required information is shown in the consolidated financial statements or notes to the consolidated financial statements.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20"/>
          </w:cols>
          <w:pgMar w:left="240" w:top="459" w:right="3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60"/>
        <w:spacing w:after="0"/>
        <w:rPr>
          <w:sz w:val="20"/>
          <w:szCs w:val="20"/>
          <w:color w:val="auto"/>
        </w:rPr>
      </w:pPr>
      <w:r>
        <w:rPr>
          <w:rFonts w:ascii="Arial" w:cs="Arial" w:eastAsia="Arial" w:hAnsi="Arial"/>
          <w:sz w:val="14"/>
          <w:szCs w:val="14"/>
          <w:b w:val="1"/>
          <w:bCs w:val="1"/>
          <w:u w:val="single" w:color="auto"/>
          <w:color w:val="auto"/>
        </w:rPr>
        <w:t>Description</w:t>
      </w:r>
    </w:p>
    <w:p>
      <w:pPr>
        <w:spacing w:after="0" w:line="13"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Allowance for doubtful accounts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60"/>
        <w:spacing w:after="0"/>
        <w:rPr>
          <w:sz w:val="20"/>
          <w:szCs w:val="20"/>
          <w:color w:val="auto"/>
        </w:rPr>
      </w:pPr>
      <w:r>
        <w:rPr>
          <w:rFonts w:ascii="Arial" w:cs="Arial" w:eastAsia="Arial" w:hAnsi="Arial"/>
          <w:sz w:val="14"/>
          <w:szCs w:val="14"/>
          <w:b w:val="1"/>
          <w:bCs w:val="1"/>
          <w:u w:val="single" w:color="auto"/>
          <w:color w:val="auto"/>
        </w:rPr>
        <w:t>Description</w:t>
      </w:r>
    </w:p>
    <w:p>
      <w:pPr>
        <w:spacing w:after="0" w:line="13"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Allowance for doubtful accounts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60"/>
        <w:spacing w:after="0"/>
        <w:rPr>
          <w:sz w:val="20"/>
          <w:szCs w:val="20"/>
          <w:color w:val="auto"/>
        </w:rPr>
      </w:pPr>
      <w:r>
        <w:rPr>
          <w:rFonts w:ascii="Arial" w:cs="Arial" w:eastAsia="Arial" w:hAnsi="Arial"/>
          <w:sz w:val="14"/>
          <w:szCs w:val="14"/>
          <w:b w:val="1"/>
          <w:bCs w:val="1"/>
          <w:u w:val="single" w:color="auto"/>
          <w:color w:val="auto"/>
        </w:rPr>
        <w:t>Description</w:t>
      </w:r>
    </w:p>
    <w:p>
      <w:pPr>
        <w:spacing w:after="0" w:line="13"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Allowance for doubtful accounts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jc w:val="center"/>
        <w:ind w:right="2700"/>
        <w:spacing w:after="0"/>
        <w:rPr>
          <w:sz w:val="20"/>
          <w:szCs w:val="20"/>
          <w:color w:val="auto"/>
        </w:rPr>
      </w:pPr>
      <w:r>
        <w:rPr>
          <w:rFonts w:ascii="Arial" w:cs="Arial" w:eastAsia="Arial" w:hAnsi="Arial"/>
          <w:sz w:val="16"/>
          <w:szCs w:val="16"/>
          <w:b w:val="1"/>
          <w:bCs w:val="1"/>
          <w:color w:val="auto"/>
        </w:rPr>
        <w:t>SCHEDULE II-VALUATION AND QUALIFYING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-2089785</wp:posOffset>
            </wp:positionH>
            <wp:positionV relativeFrom="paragraph">
              <wp:posOffset>-647065</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 w:lineRule="exact"/>
        <w:rPr>
          <w:sz w:val="20"/>
          <w:szCs w:val="20"/>
          <w:color w:val="auto"/>
        </w:rPr>
      </w:pPr>
    </w:p>
    <w:p>
      <w:pPr>
        <w:jc w:val="center"/>
        <w:ind w:right="2700"/>
        <w:spacing w:after="0"/>
        <w:rPr>
          <w:sz w:val="20"/>
          <w:szCs w:val="20"/>
          <w:color w:val="auto"/>
        </w:rPr>
      </w:pPr>
      <w:r>
        <w:rPr>
          <w:rFonts w:ascii="Arial" w:cs="Arial" w:eastAsia="Arial" w:hAnsi="Arial"/>
          <w:sz w:val="18"/>
          <w:szCs w:val="18"/>
          <w:b w:val="1"/>
          <w:bCs w:val="1"/>
          <w:color w:val="auto"/>
        </w:rPr>
        <w:t>(amounts in thousands)</w:t>
      </w:r>
    </w:p>
    <w:p>
      <w:pPr>
        <w:spacing w:after="0" w:line="188" w:lineRule="exact"/>
        <w:rPr>
          <w:sz w:val="20"/>
          <w:szCs w:val="20"/>
          <w:color w:val="auto"/>
        </w:rPr>
      </w:pPr>
    </w:p>
    <w:tbl>
      <w:tblPr>
        <w:tblLayout w:type="fixed"/>
        <w:tblInd w:w="292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3"/>
              </w:rPr>
              <w:t>Provisions</w:t>
            </w: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9"/>
        </w:trPr>
        <w:tc>
          <w:tcPr>
            <w:tcW w:w="13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Balance at</w:t>
            </w:r>
          </w:p>
        </w:tc>
        <w:tc>
          <w:tcPr>
            <w:tcW w:w="13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6"/>
              </w:rPr>
              <w:t>for</w:t>
            </w:r>
          </w:p>
        </w:tc>
        <w:tc>
          <w:tcPr>
            <w:tcW w:w="12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Write-offs,</w:t>
            </w:r>
          </w:p>
        </w:tc>
        <w:tc>
          <w:tcPr>
            <w:tcW w:w="100" w:type="dxa"/>
            <w:vAlign w:val="bottom"/>
          </w:tcPr>
          <w:p>
            <w:pPr>
              <w:spacing w:after="0"/>
              <w:rPr>
                <w:sz w:val="12"/>
                <w:szCs w:val="12"/>
                <w:color w:val="auto"/>
              </w:rPr>
            </w:pPr>
          </w:p>
        </w:tc>
        <w:tc>
          <w:tcPr>
            <w:tcW w:w="70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5"/>
              </w:rPr>
              <w:t>Balance at</w:t>
            </w:r>
          </w:p>
        </w:tc>
      </w:tr>
      <w:tr>
        <w:trPr>
          <w:trHeight w:val="149"/>
        </w:trPr>
        <w:tc>
          <w:tcPr>
            <w:tcW w:w="13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9"/>
              </w:rPr>
              <w:t>January 1,</w:t>
            </w:r>
          </w:p>
        </w:tc>
        <w:tc>
          <w:tcPr>
            <w:tcW w:w="13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Doubtful</w:t>
            </w: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Net of</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December 31,</w:t>
            </w:r>
          </w:p>
        </w:tc>
      </w:tr>
      <w:tr>
        <w:trPr>
          <w:trHeight w:val="161"/>
        </w:trPr>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2012</w:t>
            </w:r>
          </w:p>
        </w:tc>
        <w:tc>
          <w:tcPr>
            <w:tcW w:w="700" w:type="dxa"/>
            <w:vAlign w:val="bottom"/>
          </w:tcPr>
          <w:p>
            <w:pPr>
              <w:spacing w:after="0"/>
              <w:rPr>
                <w:sz w:val="14"/>
                <w:szCs w:val="14"/>
                <w:color w:val="auto"/>
              </w:rPr>
            </w:pPr>
          </w:p>
        </w:tc>
        <w:tc>
          <w:tcPr>
            <w:tcW w:w="13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4"/>
              </w:rPr>
              <w:t>Accounts</w:t>
            </w:r>
          </w:p>
        </w:tc>
        <w:tc>
          <w:tcPr>
            <w:tcW w:w="12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2"/>
              </w:rPr>
              <w:t>Recoveries</w:t>
            </w:r>
          </w:p>
        </w:tc>
        <w:tc>
          <w:tcPr>
            <w:tcW w:w="100" w:type="dxa"/>
            <w:vAlign w:val="bottom"/>
          </w:tcPr>
          <w:p>
            <w:pPr>
              <w:spacing w:after="0"/>
              <w:rPr>
                <w:sz w:val="14"/>
                <w:szCs w:val="14"/>
                <w:color w:val="auto"/>
              </w:rPr>
            </w:pPr>
          </w:p>
        </w:tc>
        <w:tc>
          <w:tcPr>
            <w:tcW w:w="700" w:type="dxa"/>
            <w:vAlign w:val="bottom"/>
          </w:tcPr>
          <w:p>
            <w:pPr>
              <w:jc w:val="center"/>
              <w:ind w:right="6"/>
              <w:spacing w:after="0"/>
              <w:rPr>
                <w:sz w:val="20"/>
                <w:szCs w:val="20"/>
                <w:color w:val="auto"/>
              </w:rPr>
            </w:pPr>
            <w:r>
              <w:rPr>
                <w:rFonts w:ascii="Arial" w:cs="Arial" w:eastAsia="Arial" w:hAnsi="Arial"/>
                <w:sz w:val="14"/>
                <w:szCs w:val="14"/>
                <w:b w:val="1"/>
                <w:bCs w:val="1"/>
                <w:color w:val="auto"/>
                <w:w w:val="83"/>
              </w:rPr>
              <w:t>2012</w:t>
            </w:r>
          </w:p>
        </w:tc>
      </w:tr>
      <w:tr>
        <w:trPr>
          <w:trHeight w:val="216"/>
        </w:trPr>
        <w:tc>
          <w:tcPr>
            <w:tcW w:w="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$ 56,777</w:t>
            </w:r>
          </w:p>
        </w:tc>
        <w:tc>
          <w:tcPr>
            <w:tcW w:w="70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18,306</w:t>
            </w:r>
          </w:p>
        </w:tc>
        <w:tc>
          <w:tcPr>
            <w:tcW w:w="68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(10,802)</w:t>
            </w: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64,281</w:t>
            </w:r>
          </w:p>
        </w:tc>
      </w:tr>
      <w:tr>
        <w:trPr>
          <w:trHeight w:val="346"/>
        </w:trPr>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3"/>
              </w:rPr>
              <w:t>Provisions</w:t>
            </w: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49"/>
        </w:trPr>
        <w:tc>
          <w:tcPr>
            <w:tcW w:w="13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Balance at</w:t>
            </w:r>
          </w:p>
        </w:tc>
        <w:tc>
          <w:tcPr>
            <w:tcW w:w="13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6"/>
              </w:rPr>
              <w:t>for</w:t>
            </w:r>
          </w:p>
        </w:tc>
        <w:tc>
          <w:tcPr>
            <w:tcW w:w="12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Write-offs,</w:t>
            </w:r>
          </w:p>
        </w:tc>
        <w:tc>
          <w:tcPr>
            <w:tcW w:w="100" w:type="dxa"/>
            <w:vAlign w:val="bottom"/>
          </w:tcPr>
          <w:p>
            <w:pPr>
              <w:spacing w:after="0"/>
              <w:rPr>
                <w:sz w:val="12"/>
                <w:szCs w:val="12"/>
                <w:color w:val="auto"/>
              </w:rPr>
            </w:pPr>
          </w:p>
        </w:tc>
        <w:tc>
          <w:tcPr>
            <w:tcW w:w="70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5"/>
              </w:rPr>
              <w:t>Balance at</w:t>
            </w:r>
          </w:p>
        </w:tc>
      </w:tr>
      <w:tr>
        <w:trPr>
          <w:trHeight w:val="149"/>
        </w:trPr>
        <w:tc>
          <w:tcPr>
            <w:tcW w:w="13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9"/>
              </w:rPr>
              <w:t>January 1,</w:t>
            </w:r>
          </w:p>
        </w:tc>
        <w:tc>
          <w:tcPr>
            <w:tcW w:w="13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Doubtful</w:t>
            </w: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Net of</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December 31,</w:t>
            </w:r>
          </w:p>
        </w:tc>
      </w:tr>
      <w:tr>
        <w:trPr>
          <w:trHeight w:val="161"/>
        </w:trPr>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3"/>
              </w:rPr>
              <w:t>2011</w:t>
            </w:r>
          </w:p>
        </w:tc>
        <w:tc>
          <w:tcPr>
            <w:tcW w:w="700" w:type="dxa"/>
            <w:vAlign w:val="bottom"/>
          </w:tcPr>
          <w:p>
            <w:pPr>
              <w:spacing w:after="0"/>
              <w:rPr>
                <w:sz w:val="14"/>
                <w:szCs w:val="14"/>
                <w:color w:val="auto"/>
              </w:rPr>
            </w:pPr>
          </w:p>
        </w:tc>
        <w:tc>
          <w:tcPr>
            <w:tcW w:w="13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4"/>
              </w:rPr>
              <w:t>Accounts</w:t>
            </w:r>
          </w:p>
        </w:tc>
        <w:tc>
          <w:tcPr>
            <w:tcW w:w="12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2"/>
              </w:rPr>
              <w:t>Recoveries</w:t>
            </w:r>
          </w:p>
        </w:tc>
        <w:tc>
          <w:tcPr>
            <w:tcW w:w="100" w:type="dxa"/>
            <w:vAlign w:val="bottom"/>
          </w:tcPr>
          <w:p>
            <w:pPr>
              <w:spacing w:after="0"/>
              <w:rPr>
                <w:sz w:val="14"/>
                <w:szCs w:val="14"/>
                <w:color w:val="auto"/>
              </w:rPr>
            </w:pPr>
          </w:p>
        </w:tc>
        <w:tc>
          <w:tcPr>
            <w:tcW w:w="700" w:type="dxa"/>
            <w:vAlign w:val="bottom"/>
          </w:tcPr>
          <w:p>
            <w:pPr>
              <w:jc w:val="center"/>
              <w:ind w:right="6"/>
              <w:spacing w:after="0"/>
              <w:rPr>
                <w:sz w:val="20"/>
                <w:szCs w:val="20"/>
                <w:color w:val="auto"/>
              </w:rPr>
            </w:pPr>
            <w:r>
              <w:rPr>
                <w:rFonts w:ascii="Arial" w:cs="Arial" w:eastAsia="Arial" w:hAnsi="Arial"/>
                <w:sz w:val="14"/>
                <w:szCs w:val="14"/>
                <w:b w:val="1"/>
                <w:bCs w:val="1"/>
                <w:color w:val="auto"/>
                <w:w w:val="83"/>
              </w:rPr>
              <w:t>2011</w:t>
            </w:r>
          </w:p>
        </w:tc>
      </w:tr>
      <w:tr>
        <w:trPr>
          <w:trHeight w:val="216"/>
        </w:trPr>
        <w:tc>
          <w:tcPr>
            <w:tcW w:w="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$ 44,306</w:t>
            </w:r>
          </w:p>
        </w:tc>
        <w:tc>
          <w:tcPr>
            <w:tcW w:w="70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20,332</w:t>
            </w:r>
          </w:p>
        </w:tc>
        <w:tc>
          <w:tcPr>
            <w:tcW w:w="68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(7,861)</w:t>
            </w: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56,777</w:t>
            </w:r>
          </w:p>
        </w:tc>
      </w:tr>
      <w:tr>
        <w:trPr>
          <w:trHeight w:val="346"/>
        </w:trPr>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3"/>
              </w:rPr>
              <w:t>Provisions</w:t>
            </w: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49"/>
        </w:trPr>
        <w:tc>
          <w:tcPr>
            <w:tcW w:w="13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Balance at</w:t>
            </w:r>
          </w:p>
        </w:tc>
        <w:tc>
          <w:tcPr>
            <w:tcW w:w="13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6"/>
              </w:rPr>
              <w:t>for</w:t>
            </w:r>
          </w:p>
        </w:tc>
        <w:tc>
          <w:tcPr>
            <w:tcW w:w="12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Write-offs,</w:t>
            </w:r>
          </w:p>
        </w:tc>
        <w:tc>
          <w:tcPr>
            <w:tcW w:w="100" w:type="dxa"/>
            <w:vAlign w:val="bottom"/>
          </w:tcPr>
          <w:p>
            <w:pPr>
              <w:spacing w:after="0"/>
              <w:rPr>
                <w:sz w:val="12"/>
                <w:szCs w:val="12"/>
                <w:color w:val="auto"/>
              </w:rPr>
            </w:pPr>
          </w:p>
        </w:tc>
        <w:tc>
          <w:tcPr>
            <w:tcW w:w="70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5"/>
              </w:rPr>
              <w:t>Balance at</w:t>
            </w:r>
          </w:p>
        </w:tc>
      </w:tr>
      <w:tr>
        <w:trPr>
          <w:trHeight w:val="149"/>
        </w:trPr>
        <w:tc>
          <w:tcPr>
            <w:tcW w:w="13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9"/>
              </w:rPr>
              <w:t>January 1,</w:t>
            </w:r>
          </w:p>
        </w:tc>
        <w:tc>
          <w:tcPr>
            <w:tcW w:w="13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Doubtful</w:t>
            </w: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Net of</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December 31,</w:t>
            </w:r>
          </w:p>
        </w:tc>
      </w:tr>
      <w:tr>
        <w:trPr>
          <w:trHeight w:val="161"/>
        </w:trPr>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2010</w:t>
            </w:r>
          </w:p>
        </w:tc>
        <w:tc>
          <w:tcPr>
            <w:tcW w:w="700" w:type="dxa"/>
            <w:vAlign w:val="bottom"/>
          </w:tcPr>
          <w:p>
            <w:pPr>
              <w:spacing w:after="0"/>
              <w:rPr>
                <w:sz w:val="14"/>
                <w:szCs w:val="14"/>
                <w:color w:val="auto"/>
              </w:rPr>
            </w:pPr>
          </w:p>
        </w:tc>
        <w:tc>
          <w:tcPr>
            <w:tcW w:w="13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4"/>
              </w:rPr>
              <w:t>Accounts</w:t>
            </w:r>
          </w:p>
        </w:tc>
        <w:tc>
          <w:tcPr>
            <w:tcW w:w="12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2"/>
              </w:rPr>
              <w:t>Recoveries</w:t>
            </w:r>
          </w:p>
        </w:tc>
        <w:tc>
          <w:tcPr>
            <w:tcW w:w="100" w:type="dxa"/>
            <w:vAlign w:val="bottom"/>
          </w:tcPr>
          <w:p>
            <w:pPr>
              <w:spacing w:after="0"/>
              <w:rPr>
                <w:sz w:val="14"/>
                <w:szCs w:val="14"/>
                <w:color w:val="auto"/>
              </w:rPr>
            </w:pPr>
          </w:p>
        </w:tc>
        <w:tc>
          <w:tcPr>
            <w:tcW w:w="700" w:type="dxa"/>
            <w:vAlign w:val="bottom"/>
          </w:tcPr>
          <w:p>
            <w:pPr>
              <w:jc w:val="center"/>
              <w:ind w:right="6"/>
              <w:spacing w:after="0"/>
              <w:rPr>
                <w:sz w:val="20"/>
                <w:szCs w:val="20"/>
                <w:color w:val="auto"/>
              </w:rPr>
            </w:pPr>
            <w:r>
              <w:rPr>
                <w:rFonts w:ascii="Arial" w:cs="Arial" w:eastAsia="Arial" w:hAnsi="Arial"/>
                <w:sz w:val="14"/>
                <w:szCs w:val="14"/>
                <w:b w:val="1"/>
                <w:bCs w:val="1"/>
                <w:color w:val="auto"/>
                <w:w w:val="83"/>
              </w:rPr>
              <w:t>2010</w:t>
            </w:r>
          </w:p>
        </w:tc>
      </w:tr>
      <w:tr>
        <w:trPr>
          <w:trHeight w:val="216"/>
        </w:trPr>
        <w:tc>
          <w:tcPr>
            <w:tcW w:w="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$ 49,487</w:t>
            </w:r>
          </w:p>
        </w:tc>
        <w:tc>
          <w:tcPr>
            <w:tcW w:w="70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15,729</w:t>
            </w:r>
          </w:p>
        </w:tc>
        <w:tc>
          <w:tcPr>
            <w:tcW w:w="68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(20,910)</w:t>
            </w: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-1785620</wp:posOffset>
            </wp:positionH>
            <wp:positionV relativeFrom="paragraph">
              <wp:posOffset>-1470025</wp:posOffset>
            </wp:positionV>
            <wp:extent cx="6663690"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63690" cy="146050"/>
                    </a:xfrm>
                    <a:prstGeom prst="rect">
                      <a:avLst/>
                    </a:prstGeom>
                    <a:noFill/>
                  </pic:spPr>
                </pic:pic>
              </a:graphicData>
            </a:graphic>
          </wp:anchor>
        </w:drawing>
        <w:drawing>
          <wp:anchor simplePos="0" relativeHeight="251657728" behindDoc="1" locked="0" layoutInCell="0" allowOverlap="1">
            <wp:simplePos x="0" y="0"/>
            <wp:positionH relativeFrom="column">
              <wp:posOffset>-1785620</wp:posOffset>
            </wp:positionH>
            <wp:positionV relativeFrom="paragraph">
              <wp:posOffset>-809625</wp:posOffset>
            </wp:positionV>
            <wp:extent cx="666369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63690" cy="146050"/>
                    </a:xfrm>
                    <a:prstGeom prst="rect">
                      <a:avLst/>
                    </a:prstGeom>
                    <a:noFill/>
                  </pic:spPr>
                </pic:pic>
              </a:graphicData>
            </a:graphic>
          </wp:anchor>
        </w:drawing>
        <w:drawing>
          <wp:anchor simplePos="0" relativeHeight="251657728" behindDoc="1" locked="0" layoutInCell="0" allowOverlap="1">
            <wp:simplePos x="0" y="0"/>
            <wp:positionH relativeFrom="column">
              <wp:posOffset>-1785620</wp:posOffset>
            </wp:positionH>
            <wp:positionV relativeFrom="paragraph">
              <wp:posOffset>-149225</wp:posOffset>
            </wp:positionV>
            <wp:extent cx="666369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114"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66</w:t>
      </w:r>
    </w:p>
    <w:p>
      <w:pPr>
        <w:sectPr>
          <w:pgSz w:w="11900" w:h="16838" w:orient="portrait"/>
          <w:cols w:equalWidth="0" w:num="2">
            <w:col w:w="2780" w:space="500"/>
            <w:col w:w="7580"/>
          </w:cols>
          <w:pgMar w:left="240" w:top="459" w:right="7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Exhibits that are not filed herewith have been previously filed with the SEC and are incorporated herein by reference.</w:t>
      </w:r>
    </w:p>
    <w:p>
      <w:pPr>
        <w:spacing w:after="0" w:line="327" w:lineRule="exact"/>
        <w:rPr>
          <w:sz w:val="20"/>
          <w:szCs w:val="20"/>
          <w:color w:val="auto"/>
        </w:rPr>
      </w:pPr>
    </w:p>
    <w:tbl>
      <w:tblPr>
        <w:tblLayout w:type="fixed"/>
        <w:tblInd w:w="12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jc w:val="center"/>
              <w:ind w:right="1053"/>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580" w:type="dxa"/>
            <w:vAlign w:val="bottom"/>
          </w:tcPr>
          <w:p>
            <w:pPr>
              <w:spacing w:after="0"/>
              <w:rPr>
                <w:sz w:val="24"/>
                <w:szCs w:val="24"/>
                <w:color w:val="auto"/>
              </w:rPr>
            </w:pPr>
          </w:p>
        </w:tc>
        <w:tc>
          <w:tcPr>
            <w:tcW w:w="10260" w:type="dxa"/>
            <w:vAlign w:val="bottom"/>
          </w:tcPr>
          <w:p>
            <w:pPr>
              <w:spacing w:after="0"/>
              <w:rPr>
                <w:sz w:val="24"/>
                <w:szCs w:val="24"/>
                <w:color w:val="auto"/>
              </w:rPr>
            </w:pPr>
          </w:p>
        </w:tc>
      </w:tr>
      <w:tr>
        <w:trPr>
          <w:trHeight w:val="168"/>
        </w:trPr>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580" w:type="dxa"/>
            <w:vAlign w:val="bottom"/>
          </w:tcPr>
          <w:p>
            <w:pPr>
              <w:spacing w:after="0"/>
              <w:rPr>
                <w:sz w:val="14"/>
                <w:szCs w:val="14"/>
                <w:color w:val="auto"/>
              </w:rPr>
            </w:pPr>
          </w:p>
        </w:tc>
        <w:tc>
          <w:tcPr>
            <w:tcW w:w="10260" w:type="dxa"/>
            <w:vAlign w:val="bottom"/>
            <w:tcBorders>
              <w:bottom w:val="single" w:sz="8" w:color="auto"/>
            </w:tcBorders>
          </w:tcPr>
          <w:p>
            <w:pPr>
              <w:ind w:left="4800"/>
              <w:spacing w:after="0"/>
              <w:rPr>
                <w:sz w:val="20"/>
                <w:szCs w:val="20"/>
                <w:color w:val="auto"/>
              </w:rPr>
            </w:pPr>
            <w:r>
              <w:rPr>
                <w:rFonts w:ascii="Arial" w:cs="Arial" w:eastAsia="Arial" w:hAnsi="Arial"/>
                <w:sz w:val="14"/>
                <w:szCs w:val="14"/>
                <w:b w:val="1"/>
                <w:bCs w:val="1"/>
                <w:color w:val="auto"/>
              </w:rPr>
              <w:t>Description</w:t>
            </w:r>
          </w:p>
        </w:tc>
      </w:tr>
      <w:tr>
        <w:trPr>
          <w:trHeight w:val="309"/>
        </w:trPr>
        <w:tc>
          <w:tcPr>
            <w:tcW w:w="460" w:type="dxa"/>
            <w:vAlign w:val="bottom"/>
          </w:tcPr>
          <w:p>
            <w:pPr>
              <w:ind w:left="60"/>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Second Amended and Restated Articles of Organization of Wynn Las Vegas, LLC. (1)</w:t>
            </w:r>
          </w:p>
        </w:tc>
      </w:tr>
      <w:tr>
        <w:trPr>
          <w:trHeight w:val="324"/>
        </w:trPr>
        <w:tc>
          <w:tcPr>
            <w:tcW w:w="460" w:type="dxa"/>
            <w:vAlign w:val="bottom"/>
          </w:tcPr>
          <w:p>
            <w:pPr>
              <w:ind w:left="60"/>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Second Amended and Restated Operating Agreement of Wynn Las Vegas, LLC. (1)</w:t>
            </w:r>
          </w:p>
        </w:tc>
      </w:tr>
      <w:tr>
        <w:trPr>
          <w:trHeight w:val="324"/>
        </w:trPr>
        <w:tc>
          <w:tcPr>
            <w:tcW w:w="460" w:type="dxa"/>
            <w:vAlign w:val="bottom"/>
          </w:tcPr>
          <w:p>
            <w:pPr>
              <w:ind w:left="60"/>
              <w:spacing w:after="0"/>
              <w:rPr>
                <w:sz w:val="20"/>
                <w:szCs w:val="20"/>
                <w:color w:val="auto"/>
              </w:rPr>
            </w:pPr>
            <w:r>
              <w:rPr>
                <w:rFonts w:ascii="Arial" w:cs="Arial" w:eastAsia="Arial" w:hAnsi="Arial"/>
                <w:sz w:val="18"/>
                <w:szCs w:val="18"/>
                <w:color w:val="auto"/>
              </w:rPr>
              <w:t>3.3</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First Amended and Restated Articles of Incorporation of Wynn Las Vegas Capital Corp. (1)</w:t>
            </w:r>
          </w:p>
        </w:tc>
      </w:tr>
      <w:tr>
        <w:trPr>
          <w:trHeight w:val="324"/>
        </w:trPr>
        <w:tc>
          <w:tcPr>
            <w:tcW w:w="460" w:type="dxa"/>
            <w:vAlign w:val="bottom"/>
          </w:tcPr>
          <w:p>
            <w:pPr>
              <w:ind w:left="60"/>
              <w:spacing w:after="0"/>
              <w:rPr>
                <w:sz w:val="20"/>
                <w:szCs w:val="20"/>
                <w:color w:val="auto"/>
              </w:rPr>
            </w:pPr>
            <w:r>
              <w:rPr>
                <w:rFonts w:ascii="Arial" w:cs="Arial" w:eastAsia="Arial" w:hAnsi="Arial"/>
                <w:sz w:val="18"/>
                <w:szCs w:val="18"/>
                <w:color w:val="auto"/>
              </w:rPr>
              <w:t>3.4</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Certificate of Amendment of the Articles of Incorporation of Wynn Las Vegas Capital Corp. (1)</w:t>
            </w:r>
          </w:p>
        </w:tc>
      </w:tr>
      <w:tr>
        <w:trPr>
          <w:trHeight w:val="324"/>
        </w:trPr>
        <w:tc>
          <w:tcPr>
            <w:tcW w:w="460" w:type="dxa"/>
            <w:vAlign w:val="bottom"/>
          </w:tcPr>
          <w:p>
            <w:pPr>
              <w:ind w:left="60"/>
              <w:spacing w:after="0"/>
              <w:rPr>
                <w:sz w:val="20"/>
                <w:szCs w:val="20"/>
                <w:color w:val="auto"/>
              </w:rPr>
            </w:pPr>
            <w:r>
              <w:rPr>
                <w:rFonts w:ascii="Arial" w:cs="Arial" w:eastAsia="Arial" w:hAnsi="Arial"/>
                <w:sz w:val="18"/>
                <w:szCs w:val="18"/>
                <w:color w:val="auto"/>
              </w:rPr>
              <w:t>3.5</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First Amended and Restated Bylaws of Wynn Las Vegas Capital Corp. (1)</w:t>
            </w:r>
          </w:p>
        </w:tc>
      </w:tr>
      <w:tr>
        <w:trPr>
          <w:trHeight w:val="324"/>
        </w:trPr>
        <w:tc>
          <w:tcPr>
            <w:tcW w:w="460" w:type="dxa"/>
            <w:vAlign w:val="bottom"/>
          </w:tcPr>
          <w:p>
            <w:pPr>
              <w:ind w:left="60"/>
              <w:spacing w:after="0"/>
              <w:rPr>
                <w:sz w:val="20"/>
                <w:szCs w:val="20"/>
                <w:color w:val="auto"/>
              </w:rPr>
            </w:pPr>
            <w:r>
              <w:rPr>
                <w:rFonts w:ascii="Arial" w:cs="Arial" w:eastAsia="Arial" w:hAnsi="Arial"/>
                <w:sz w:val="18"/>
                <w:szCs w:val="18"/>
                <w:color w:val="auto"/>
              </w:rPr>
              <w:t>3.6</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First Amendment to the First Amended and Restated Bylaws of Wynn Las Vegas Capital Corp. (1)</w:t>
            </w:r>
          </w:p>
        </w:tc>
      </w:tr>
      <w:tr>
        <w:trPr>
          <w:trHeight w:val="324"/>
        </w:trPr>
        <w:tc>
          <w:tcPr>
            <w:tcW w:w="460" w:type="dxa"/>
            <w:vAlign w:val="bottom"/>
          </w:tcPr>
          <w:p>
            <w:pPr>
              <w:ind w:left="60"/>
              <w:spacing w:after="0"/>
              <w:rPr>
                <w:sz w:val="20"/>
                <w:szCs w:val="20"/>
                <w:color w:val="auto"/>
              </w:rPr>
            </w:pPr>
            <w:r>
              <w:rPr>
                <w:rFonts w:ascii="Arial" w:cs="Arial" w:eastAsia="Arial" w:hAnsi="Arial"/>
                <w:sz w:val="18"/>
                <w:szCs w:val="18"/>
                <w:color w:val="auto"/>
              </w:rPr>
              <w:t>3.7</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Second Amendment to the First Amended and Restated Bylaws of Wynn Las Vegas Capital Corp. (1)</w:t>
            </w:r>
          </w:p>
        </w:tc>
      </w:tr>
      <w:tr>
        <w:trPr>
          <w:trHeight w:val="324"/>
        </w:trPr>
        <w:tc>
          <w:tcPr>
            <w:tcW w:w="460" w:type="dxa"/>
            <w:vAlign w:val="bottom"/>
          </w:tcPr>
          <w:p>
            <w:pPr>
              <w:ind w:left="60"/>
              <w:spacing w:after="0"/>
              <w:rPr>
                <w:sz w:val="20"/>
                <w:szCs w:val="20"/>
                <w:color w:val="auto"/>
              </w:rPr>
            </w:pPr>
            <w:r>
              <w:rPr>
                <w:rFonts w:ascii="Arial" w:cs="Arial" w:eastAsia="Arial" w:hAnsi="Arial"/>
                <w:sz w:val="18"/>
                <w:szCs w:val="18"/>
                <w:color w:val="auto"/>
              </w:rPr>
              <w:t>3.8</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Articles of Organization of Kevyn, LLC. (13)</w:t>
            </w:r>
          </w:p>
        </w:tc>
      </w:tr>
      <w:tr>
        <w:trPr>
          <w:trHeight w:val="324"/>
        </w:trPr>
        <w:tc>
          <w:tcPr>
            <w:tcW w:w="460" w:type="dxa"/>
            <w:vAlign w:val="bottom"/>
          </w:tcPr>
          <w:p>
            <w:pPr>
              <w:ind w:left="60"/>
              <w:spacing w:after="0"/>
              <w:rPr>
                <w:sz w:val="20"/>
                <w:szCs w:val="20"/>
                <w:color w:val="auto"/>
              </w:rPr>
            </w:pPr>
            <w:r>
              <w:rPr>
                <w:rFonts w:ascii="Arial" w:cs="Arial" w:eastAsia="Arial" w:hAnsi="Arial"/>
                <w:sz w:val="18"/>
                <w:szCs w:val="18"/>
                <w:color w:val="auto"/>
              </w:rPr>
              <w:t>3.9</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Operating Agreement of Kevyn, LLC. (13)</w:t>
            </w:r>
          </w:p>
        </w:tc>
      </w:tr>
      <w:tr>
        <w:trPr>
          <w:trHeight w:val="324"/>
        </w:trPr>
        <w:tc>
          <w:tcPr>
            <w:tcW w:w="460" w:type="dxa"/>
            <w:vAlign w:val="bottom"/>
          </w:tcPr>
          <w:p>
            <w:pPr>
              <w:ind w:left="60"/>
              <w:spacing w:after="0"/>
              <w:rPr>
                <w:sz w:val="20"/>
                <w:szCs w:val="20"/>
                <w:color w:val="auto"/>
              </w:rPr>
            </w:pPr>
            <w:r>
              <w:rPr>
                <w:rFonts w:ascii="Arial" w:cs="Arial" w:eastAsia="Arial" w:hAnsi="Arial"/>
                <w:sz w:val="18"/>
                <w:szCs w:val="18"/>
                <w:color w:val="auto"/>
              </w:rPr>
              <w:t>3.10</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Amended and Restated Articles of Organization of Wynn Golf, LLC. (1)</w:t>
            </w:r>
          </w:p>
        </w:tc>
      </w:tr>
      <w:tr>
        <w:trPr>
          <w:trHeight w:val="324"/>
        </w:trPr>
        <w:tc>
          <w:tcPr>
            <w:tcW w:w="460" w:type="dxa"/>
            <w:vAlign w:val="bottom"/>
          </w:tcPr>
          <w:p>
            <w:pPr>
              <w:ind w:left="60"/>
              <w:spacing w:after="0"/>
              <w:rPr>
                <w:sz w:val="20"/>
                <w:szCs w:val="20"/>
                <w:color w:val="auto"/>
              </w:rPr>
            </w:pPr>
            <w:r>
              <w:rPr>
                <w:rFonts w:ascii="Arial" w:cs="Arial" w:eastAsia="Arial" w:hAnsi="Arial"/>
                <w:sz w:val="18"/>
                <w:szCs w:val="18"/>
                <w:color w:val="auto"/>
              </w:rPr>
              <w:t>3.11</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First Amended and Restated Operating Agreement of Wynn Golf, LLC. (1)</w:t>
            </w:r>
          </w:p>
        </w:tc>
      </w:tr>
      <w:tr>
        <w:trPr>
          <w:trHeight w:val="324"/>
        </w:trPr>
        <w:tc>
          <w:tcPr>
            <w:tcW w:w="460" w:type="dxa"/>
            <w:vAlign w:val="bottom"/>
          </w:tcPr>
          <w:p>
            <w:pPr>
              <w:ind w:left="60"/>
              <w:spacing w:after="0"/>
              <w:rPr>
                <w:sz w:val="20"/>
                <w:szCs w:val="20"/>
                <w:color w:val="auto"/>
              </w:rPr>
            </w:pPr>
            <w:r>
              <w:rPr>
                <w:rFonts w:ascii="Arial" w:cs="Arial" w:eastAsia="Arial" w:hAnsi="Arial"/>
                <w:sz w:val="18"/>
                <w:szCs w:val="18"/>
                <w:color w:val="auto"/>
              </w:rPr>
              <w:t>3.12</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Second Amended and Restated Articles of Organization of Las Vegas Jet, LLC. (1)</w:t>
            </w:r>
          </w:p>
        </w:tc>
      </w:tr>
      <w:tr>
        <w:trPr>
          <w:trHeight w:val="324"/>
        </w:trPr>
        <w:tc>
          <w:tcPr>
            <w:tcW w:w="460" w:type="dxa"/>
            <w:vAlign w:val="bottom"/>
          </w:tcPr>
          <w:p>
            <w:pPr>
              <w:ind w:left="60"/>
              <w:spacing w:after="0"/>
              <w:rPr>
                <w:sz w:val="20"/>
                <w:szCs w:val="20"/>
                <w:color w:val="auto"/>
              </w:rPr>
            </w:pPr>
            <w:r>
              <w:rPr>
                <w:rFonts w:ascii="Arial" w:cs="Arial" w:eastAsia="Arial" w:hAnsi="Arial"/>
                <w:sz w:val="18"/>
                <w:szCs w:val="18"/>
                <w:color w:val="auto"/>
              </w:rPr>
              <w:t>3.13</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Second Amended and Restated Operating Agreement of Las Vegas Jet, LLC. (1)</w:t>
            </w:r>
          </w:p>
        </w:tc>
      </w:tr>
      <w:tr>
        <w:trPr>
          <w:trHeight w:val="324"/>
        </w:trPr>
        <w:tc>
          <w:tcPr>
            <w:tcW w:w="460" w:type="dxa"/>
            <w:vAlign w:val="bottom"/>
          </w:tcPr>
          <w:p>
            <w:pPr>
              <w:ind w:left="60"/>
              <w:spacing w:after="0"/>
              <w:rPr>
                <w:sz w:val="20"/>
                <w:szCs w:val="20"/>
                <w:color w:val="auto"/>
              </w:rPr>
            </w:pPr>
            <w:r>
              <w:rPr>
                <w:rFonts w:ascii="Arial" w:cs="Arial" w:eastAsia="Arial" w:hAnsi="Arial"/>
                <w:sz w:val="18"/>
                <w:szCs w:val="18"/>
                <w:color w:val="auto"/>
              </w:rPr>
              <w:t>3.14</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Articles of Organization of Wynn Sunrise, LLC. (1)</w:t>
            </w:r>
          </w:p>
        </w:tc>
      </w:tr>
      <w:tr>
        <w:trPr>
          <w:trHeight w:val="324"/>
        </w:trPr>
        <w:tc>
          <w:tcPr>
            <w:tcW w:w="460" w:type="dxa"/>
            <w:vAlign w:val="bottom"/>
          </w:tcPr>
          <w:p>
            <w:pPr>
              <w:ind w:left="60"/>
              <w:spacing w:after="0"/>
              <w:rPr>
                <w:sz w:val="20"/>
                <w:szCs w:val="20"/>
                <w:color w:val="auto"/>
              </w:rPr>
            </w:pPr>
            <w:r>
              <w:rPr>
                <w:rFonts w:ascii="Arial" w:cs="Arial" w:eastAsia="Arial" w:hAnsi="Arial"/>
                <w:sz w:val="18"/>
                <w:szCs w:val="18"/>
                <w:color w:val="auto"/>
              </w:rPr>
              <w:t>3.15</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First Amended and Restated Operating Agreement of Wynn Sunrise, LLC. (1)</w:t>
            </w:r>
          </w:p>
        </w:tc>
      </w:tr>
      <w:tr>
        <w:trPr>
          <w:trHeight w:val="324"/>
        </w:trPr>
        <w:tc>
          <w:tcPr>
            <w:tcW w:w="460" w:type="dxa"/>
            <w:vAlign w:val="bottom"/>
          </w:tcPr>
          <w:p>
            <w:pPr>
              <w:ind w:left="60"/>
              <w:spacing w:after="0"/>
              <w:rPr>
                <w:sz w:val="20"/>
                <w:szCs w:val="20"/>
                <w:color w:val="auto"/>
              </w:rPr>
            </w:pPr>
            <w:r>
              <w:rPr>
                <w:rFonts w:ascii="Arial" w:cs="Arial" w:eastAsia="Arial" w:hAnsi="Arial"/>
                <w:sz w:val="18"/>
                <w:szCs w:val="18"/>
                <w:color w:val="auto"/>
              </w:rPr>
              <w:t>3.16</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Second Amended and Restated Articles of Organization of World Travel, LLC. (1)</w:t>
            </w:r>
          </w:p>
        </w:tc>
      </w:tr>
      <w:tr>
        <w:trPr>
          <w:trHeight w:val="324"/>
        </w:trPr>
        <w:tc>
          <w:tcPr>
            <w:tcW w:w="460" w:type="dxa"/>
            <w:vAlign w:val="bottom"/>
          </w:tcPr>
          <w:p>
            <w:pPr>
              <w:ind w:left="60"/>
              <w:spacing w:after="0"/>
              <w:rPr>
                <w:sz w:val="20"/>
                <w:szCs w:val="20"/>
                <w:color w:val="auto"/>
              </w:rPr>
            </w:pPr>
            <w:r>
              <w:rPr>
                <w:rFonts w:ascii="Arial" w:cs="Arial" w:eastAsia="Arial" w:hAnsi="Arial"/>
                <w:sz w:val="18"/>
                <w:szCs w:val="18"/>
                <w:color w:val="auto"/>
              </w:rPr>
              <w:t>3.17</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Second Amended and Restated Operating Agreement of World Travel, LLC. (1)</w:t>
            </w:r>
          </w:p>
        </w:tc>
      </w:tr>
      <w:tr>
        <w:trPr>
          <w:trHeight w:val="324"/>
        </w:trPr>
        <w:tc>
          <w:tcPr>
            <w:tcW w:w="460" w:type="dxa"/>
            <w:vAlign w:val="bottom"/>
          </w:tcPr>
          <w:p>
            <w:pPr>
              <w:ind w:left="60"/>
              <w:spacing w:after="0"/>
              <w:rPr>
                <w:sz w:val="20"/>
                <w:szCs w:val="20"/>
                <w:color w:val="auto"/>
              </w:rPr>
            </w:pPr>
            <w:r>
              <w:rPr>
                <w:rFonts w:ascii="Arial" w:cs="Arial" w:eastAsia="Arial" w:hAnsi="Arial"/>
                <w:sz w:val="18"/>
                <w:szCs w:val="18"/>
                <w:color w:val="auto"/>
              </w:rPr>
              <w:t>3.18</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First Amended and Restated Articles of Organization of Wynn Show Performers, LLC. (1)</w:t>
            </w:r>
          </w:p>
        </w:tc>
      </w:tr>
      <w:tr>
        <w:trPr>
          <w:trHeight w:val="324"/>
        </w:trPr>
        <w:tc>
          <w:tcPr>
            <w:tcW w:w="460" w:type="dxa"/>
            <w:vAlign w:val="bottom"/>
          </w:tcPr>
          <w:p>
            <w:pPr>
              <w:ind w:left="60"/>
              <w:spacing w:after="0"/>
              <w:rPr>
                <w:sz w:val="20"/>
                <w:szCs w:val="20"/>
                <w:color w:val="auto"/>
              </w:rPr>
            </w:pPr>
            <w:r>
              <w:rPr>
                <w:rFonts w:ascii="Arial" w:cs="Arial" w:eastAsia="Arial" w:hAnsi="Arial"/>
                <w:sz w:val="18"/>
                <w:szCs w:val="18"/>
                <w:color w:val="auto"/>
              </w:rPr>
              <w:t>3.19</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First Amended and Restated Operating Agreement of Wynn Show Performers, LLC. (1)</w:t>
            </w:r>
          </w:p>
        </w:tc>
      </w:tr>
      <w:tr>
        <w:trPr>
          <w:trHeight w:val="318"/>
        </w:trPr>
        <w:tc>
          <w:tcPr>
            <w:tcW w:w="460" w:type="dxa"/>
            <w:vAlign w:val="bottom"/>
          </w:tcPr>
          <w:p>
            <w:pPr>
              <w:ind w:left="60"/>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8"/>
              </w:rPr>
              <w:t>Indenture, dated as of October 19, 2009, among Wynn Las Vegas, LLC, Wynn Las Vegas Capital Corp., the Guarantors set forth therein and U.S.</w:t>
            </w:r>
          </w:p>
        </w:tc>
      </w:tr>
      <w:tr>
        <w:trPr>
          <w:trHeight w:val="222"/>
        </w:trPr>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Bank National Association, as trustee. (16)</w:t>
            </w:r>
          </w:p>
        </w:tc>
      </w:tr>
      <w:tr>
        <w:trPr>
          <w:trHeight w:val="318"/>
        </w:trPr>
        <w:tc>
          <w:tcPr>
            <w:tcW w:w="460" w:type="dxa"/>
            <w:vAlign w:val="bottom"/>
          </w:tcPr>
          <w:p>
            <w:pPr>
              <w:ind w:left="60"/>
              <w:spacing w:after="0"/>
              <w:rPr>
                <w:sz w:val="20"/>
                <w:szCs w:val="20"/>
                <w:color w:val="auto"/>
              </w:rPr>
            </w:pPr>
            <w:r>
              <w:rPr>
                <w:rFonts w:ascii="Arial" w:cs="Arial" w:eastAsia="Arial" w:hAnsi="Arial"/>
                <w:sz w:val="18"/>
                <w:szCs w:val="18"/>
                <w:color w:val="auto"/>
              </w:rPr>
              <w:t>4.2</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8"/>
              </w:rPr>
              <w:t>Indenture, dated as of April 28, 2010, by and among Wynn Las Vegas, LLC, Wynn Las Vegas Capital Corp., the Guarantors set forth therein and</w:t>
            </w:r>
          </w:p>
        </w:tc>
      </w:tr>
      <w:tr>
        <w:trPr>
          <w:trHeight w:val="222"/>
        </w:trPr>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U.S. Bank National Association, as trustee. (19)</w:t>
            </w:r>
          </w:p>
        </w:tc>
      </w:tr>
      <w:tr>
        <w:trPr>
          <w:trHeight w:val="318"/>
        </w:trPr>
        <w:tc>
          <w:tcPr>
            <w:tcW w:w="460" w:type="dxa"/>
            <w:vAlign w:val="bottom"/>
          </w:tcPr>
          <w:p>
            <w:pPr>
              <w:ind w:left="60"/>
              <w:spacing w:after="0"/>
              <w:rPr>
                <w:sz w:val="20"/>
                <w:szCs w:val="20"/>
                <w:color w:val="auto"/>
              </w:rPr>
            </w:pPr>
            <w:r>
              <w:rPr>
                <w:rFonts w:ascii="Arial" w:cs="Arial" w:eastAsia="Arial" w:hAnsi="Arial"/>
                <w:sz w:val="18"/>
                <w:szCs w:val="18"/>
                <w:color w:val="auto"/>
              </w:rPr>
              <w:t>4.3</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Indenture, dated as of August 4, 2010, among Wynn Las Vegas, LLC, Wynn Las Vegas Capital Corp., the Guarantors named therein and U.S.</w:t>
            </w:r>
          </w:p>
        </w:tc>
      </w:tr>
      <w:tr>
        <w:trPr>
          <w:trHeight w:val="222"/>
        </w:trPr>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Bank National Association, as trustee. (20)</w:t>
            </w:r>
          </w:p>
        </w:tc>
      </w:tr>
      <w:tr>
        <w:trPr>
          <w:trHeight w:val="318"/>
        </w:trPr>
        <w:tc>
          <w:tcPr>
            <w:tcW w:w="460" w:type="dxa"/>
            <w:vAlign w:val="bottom"/>
          </w:tcPr>
          <w:p>
            <w:pPr>
              <w:ind w:left="60"/>
              <w:spacing w:after="0"/>
              <w:rPr>
                <w:sz w:val="20"/>
                <w:szCs w:val="20"/>
                <w:color w:val="auto"/>
              </w:rPr>
            </w:pPr>
            <w:r>
              <w:rPr>
                <w:rFonts w:ascii="Arial" w:cs="Arial" w:eastAsia="Arial" w:hAnsi="Arial"/>
                <w:sz w:val="18"/>
                <w:szCs w:val="18"/>
                <w:color w:val="auto"/>
              </w:rPr>
              <w:t>4.4</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7"/>
              </w:rPr>
              <w:t>Indenture, dated as of March 12, 2012, by and among Wynn Las Vegas, LLC, Wynn Las Vegas Capital Corp., the Guarantors set forth therein and</w:t>
            </w:r>
          </w:p>
        </w:tc>
      </w:tr>
      <w:tr>
        <w:trPr>
          <w:trHeight w:val="222"/>
        </w:trPr>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U.S. Bank National Association, as trustee. (22)</w:t>
            </w:r>
          </w:p>
        </w:tc>
      </w:tr>
      <w:tr>
        <w:trPr>
          <w:trHeight w:val="318"/>
        </w:trPr>
        <w:tc>
          <w:tcPr>
            <w:tcW w:w="460" w:type="dxa"/>
            <w:vAlign w:val="bottom"/>
          </w:tcPr>
          <w:p>
            <w:pPr>
              <w:ind w:left="60"/>
              <w:spacing w:after="0"/>
              <w:rPr>
                <w:sz w:val="20"/>
                <w:szCs w:val="20"/>
                <w:color w:val="auto"/>
              </w:rPr>
            </w:pPr>
            <w:r>
              <w:rPr>
                <w:rFonts w:ascii="Arial" w:cs="Arial" w:eastAsia="Arial" w:hAnsi="Arial"/>
                <w:sz w:val="18"/>
                <w:szCs w:val="18"/>
                <w:color w:val="auto"/>
              </w:rPr>
              <w:t>4.5</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7"/>
              </w:rPr>
              <w:t>Third Supplemental Indenture, dated August 4, 2010, among Wynn Las Vegas, LLC, Wynn Las Vegas Capital Corp., the Guarantors name therein</w:t>
            </w:r>
          </w:p>
        </w:tc>
      </w:tr>
      <w:tr>
        <w:trPr>
          <w:trHeight w:val="222"/>
        </w:trPr>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and U.S. Bank National Association, as trustee. (20)</w:t>
            </w:r>
          </w:p>
        </w:tc>
      </w:tr>
      <w:tr>
        <w:trPr>
          <w:trHeight w:val="365"/>
        </w:trPr>
        <w:tc>
          <w:tcPr>
            <w:tcW w:w="460" w:type="dxa"/>
            <w:vAlign w:val="bottom"/>
          </w:tcPr>
          <w:p>
            <w:pPr>
              <w:spacing w:after="0"/>
              <w:rPr>
                <w:sz w:val="24"/>
                <w:szCs w:val="24"/>
                <w:color w:val="auto"/>
              </w:rPr>
            </w:pPr>
          </w:p>
        </w:tc>
        <w:tc>
          <w:tcPr>
            <w:tcW w:w="10840" w:type="dxa"/>
            <w:vAlign w:val="bottom"/>
            <w:gridSpan w:val="2"/>
          </w:tcPr>
          <w:p>
            <w:pPr>
              <w:jc w:val="right"/>
              <w:ind w:right="5533"/>
              <w:spacing w:after="0"/>
              <w:rPr>
                <w:sz w:val="20"/>
                <w:szCs w:val="20"/>
                <w:color w:val="auto"/>
              </w:rPr>
            </w:pPr>
            <w:r>
              <w:rPr>
                <w:rFonts w:ascii="Arial" w:cs="Arial" w:eastAsia="Arial" w:hAnsi="Arial"/>
                <w:sz w:val="18"/>
                <w:szCs w:val="18"/>
                <w:color w:val="auto"/>
              </w:rPr>
              <w:t>67</w:t>
            </w:r>
          </w:p>
        </w:tc>
      </w:tr>
    </w:tbl>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80" w:type="dxa"/>
            <w:vAlign w:val="bottom"/>
          </w:tcPr>
          <w:p>
            <w:pPr>
              <w:spacing w:after="0"/>
              <w:rPr>
                <w:sz w:val="14"/>
                <w:szCs w:val="14"/>
                <w:color w:val="auto"/>
              </w:rPr>
            </w:pPr>
          </w:p>
        </w:tc>
        <w:tc>
          <w:tcPr>
            <w:tcW w:w="1026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580" w:type="dxa"/>
            <w:vAlign w:val="bottom"/>
          </w:tcPr>
          <w:p>
            <w:pPr>
              <w:spacing w:after="0"/>
              <w:rPr>
                <w:sz w:val="14"/>
                <w:szCs w:val="14"/>
                <w:color w:val="auto"/>
              </w:rPr>
            </w:pPr>
          </w:p>
        </w:tc>
        <w:tc>
          <w:tcPr>
            <w:tcW w:w="10260" w:type="dxa"/>
            <w:vAlign w:val="bottom"/>
            <w:tcBorders>
              <w:bottom w:val="single" w:sz="8" w:color="auto"/>
            </w:tcBorders>
          </w:tcPr>
          <w:p>
            <w:pPr>
              <w:ind w:left="4800"/>
              <w:spacing w:after="0"/>
              <w:rPr>
                <w:sz w:val="20"/>
                <w:szCs w:val="20"/>
                <w:color w:val="auto"/>
              </w:rPr>
            </w:pPr>
            <w:r>
              <w:rPr>
                <w:rFonts w:ascii="Arial" w:cs="Arial" w:eastAsia="Arial" w:hAnsi="Arial"/>
                <w:sz w:val="14"/>
                <w:szCs w:val="14"/>
                <w:b w:val="1"/>
                <w:bCs w:val="1"/>
                <w:color w:val="auto"/>
              </w:rPr>
              <w:t>Description</w:t>
            </w:r>
          </w:p>
        </w:tc>
      </w:tr>
      <w:tr>
        <w:trPr>
          <w:trHeight w:val="302"/>
        </w:trPr>
        <w:tc>
          <w:tcPr>
            <w:tcW w:w="480" w:type="dxa"/>
            <w:vAlign w:val="bottom"/>
            <w:gridSpan w:val="2"/>
          </w:tcPr>
          <w:p>
            <w:pPr>
              <w:spacing w:after="0"/>
              <w:rPr>
                <w:sz w:val="20"/>
                <w:szCs w:val="20"/>
                <w:color w:val="auto"/>
              </w:rPr>
            </w:pPr>
            <w:r>
              <w:rPr>
                <w:rFonts w:ascii="Arial" w:cs="Arial" w:eastAsia="Arial" w:hAnsi="Arial"/>
                <w:sz w:val="18"/>
                <w:szCs w:val="18"/>
                <w:color w:val="auto"/>
              </w:rPr>
              <w:t>10.1</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Amended and Restated Master Disbursement Agreement, dated as of October 25, 2007, by and among Wynn Las Vegas, LLC, Deutsche Bank</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Trust Company Americas, as the initial Bank Agent, and Deutsche Bank Trust Company America, as the initial Disbursement Agent. (11)</w:t>
            </w:r>
          </w:p>
        </w:tc>
      </w:tr>
      <w:tr>
        <w:trPr>
          <w:trHeight w:val="318"/>
        </w:trPr>
        <w:tc>
          <w:tcPr>
            <w:tcW w:w="480" w:type="dxa"/>
            <w:vAlign w:val="bottom"/>
            <w:gridSpan w:val="2"/>
          </w:tcPr>
          <w:p>
            <w:pPr>
              <w:spacing w:after="0"/>
              <w:rPr>
                <w:sz w:val="20"/>
                <w:szCs w:val="20"/>
                <w:color w:val="auto"/>
              </w:rPr>
            </w:pPr>
            <w:r>
              <w:rPr>
                <w:rFonts w:ascii="Arial" w:cs="Arial" w:eastAsia="Arial" w:hAnsi="Arial"/>
                <w:sz w:val="18"/>
                <w:szCs w:val="18"/>
                <w:color w:val="auto"/>
              </w:rPr>
              <w:t>10.2</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First Amendment to Amended and Restated Master Disbursement Agreement, dated as of October 31, 2007, by and among Wynn Las Vegas,</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LLC, Deutsche Bank Trust Company Americas, as the initial Bank Agent, and Deutsche Bank Trust Company America, as the initial</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Disbursement Agent. (9)</w:t>
            </w:r>
          </w:p>
        </w:tc>
      </w:tr>
      <w:tr>
        <w:trPr>
          <w:trHeight w:val="318"/>
        </w:trPr>
        <w:tc>
          <w:tcPr>
            <w:tcW w:w="480" w:type="dxa"/>
            <w:vAlign w:val="bottom"/>
            <w:gridSpan w:val="2"/>
          </w:tcPr>
          <w:p>
            <w:pPr>
              <w:spacing w:after="0"/>
              <w:rPr>
                <w:sz w:val="20"/>
                <w:szCs w:val="20"/>
                <w:color w:val="auto"/>
              </w:rPr>
            </w:pPr>
            <w:r>
              <w:rPr>
                <w:rFonts w:ascii="Arial" w:cs="Arial" w:eastAsia="Arial" w:hAnsi="Arial"/>
                <w:sz w:val="18"/>
                <w:szCs w:val="18"/>
                <w:color w:val="auto"/>
              </w:rPr>
              <w:t>10.3</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7"/>
              </w:rPr>
              <w:t>Second Amendment to Amended and Restated Master Disbursement Agreement, dated as of November 6, 2007, by and among Wynn Las Vegas,</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LLC, Deutsche Bank Trust Company Americas, as the Bank Agent, and Deutsche Bank Trust Company Americas, as the Disbursement Agent.</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40" w:type="dxa"/>
            <w:vAlign w:val="bottom"/>
            <w:gridSpan w:val="2"/>
          </w:tcPr>
          <w:p>
            <w:pPr>
              <w:ind w:left="580"/>
              <w:spacing w:after="0"/>
              <w:rPr>
                <w:sz w:val="20"/>
                <w:szCs w:val="20"/>
                <w:color w:val="auto"/>
              </w:rPr>
            </w:pPr>
            <w:r>
              <w:rPr>
                <w:rFonts w:ascii="Arial" w:cs="Arial" w:eastAsia="Arial" w:hAnsi="Arial"/>
                <w:sz w:val="18"/>
                <w:szCs w:val="18"/>
                <w:color w:val="auto"/>
              </w:rPr>
              <w:t>(10)</w:t>
            </w:r>
          </w:p>
        </w:tc>
      </w:tr>
      <w:tr>
        <w:trPr>
          <w:trHeight w:val="318"/>
        </w:trPr>
        <w:tc>
          <w:tcPr>
            <w:tcW w:w="480" w:type="dxa"/>
            <w:vAlign w:val="bottom"/>
            <w:gridSpan w:val="2"/>
          </w:tcPr>
          <w:p>
            <w:pPr>
              <w:spacing w:after="0"/>
              <w:rPr>
                <w:sz w:val="20"/>
                <w:szCs w:val="20"/>
                <w:color w:val="auto"/>
              </w:rPr>
            </w:pPr>
            <w:r>
              <w:rPr>
                <w:rFonts w:ascii="Arial" w:cs="Arial" w:eastAsia="Arial" w:hAnsi="Arial"/>
                <w:sz w:val="18"/>
                <w:szCs w:val="18"/>
                <w:color w:val="auto"/>
              </w:rPr>
              <w:t>10.4</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Third Amendment to Amended and Restated Master Disbursement Agreement, dated October 19, 2009, by and among Wynn Las Vegas, LLC,</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Deutsche Bank Trust Company Americas, as the Bank Agent, and Deutsche Bank Trust Company Americas, as the Disbursement Agent. (16)</w:t>
            </w:r>
          </w:p>
        </w:tc>
      </w:tr>
      <w:tr>
        <w:trPr>
          <w:trHeight w:val="318"/>
        </w:trPr>
        <w:tc>
          <w:tcPr>
            <w:tcW w:w="480" w:type="dxa"/>
            <w:vAlign w:val="bottom"/>
            <w:gridSpan w:val="2"/>
          </w:tcPr>
          <w:p>
            <w:pPr>
              <w:spacing w:after="0"/>
              <w:rPr>
                <w:sz w:val="20"/>
                <w:szCs w:val="20"/>
                <w:color w:val="auto"/>
              </w:rPr>
            </w:pPr>
            <w:r>
              <w:rPr>
                <w:rFonts w:ascii="Arial" w:cs="Arial" w:eastAsia="Arial" w:hAnsi="Arial"/>
                <w:sz w:val="18"/>
                <w:szCs w:val="18"/>
                <w:color w:val="auto"/>
              </w:rPr>
              <w:t>10.5</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Fourth Amendment to Amended and Restated Master Disbursement Agreement, dated April 28, 2010, by and among Wynn Las Vegas, LLC,</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Deutsche Bank Trust Company Americas, as the Bank Agent, and Deutsche Bank Trust Company Americas, as the Disbursement Agent. (19)</w:t>
            </w:r>
          </w:p>
        </w:tc>
      </w:tr>
      <w:tr>
        <w:trPr>
          <w:trHeight w:val="318"/>
        </w:trPr>
        <w:tc>
          <w:tcPr>
            <w:tcW w:w="480" w:type="dxa"/>
            <w:vAlign w:val="bottom"/>
            <w:gridSpan w:val="2"/>
          </w:tcPr>
          <w:p>
            <w:pPr>
              <w:spacing w:after="0"/>
              <w:rPr>
                <w:sz w:val="20"/>
                <w:szCs w:val="20"/>
                <w:color w:val="auto"/>
              </w:rPr>
            </w:pPr>
            <w:r>
              <w:rPr>
                <w:rFonts w:ascii="Arial" w:cs="Arial" w:eastAsia="Arial" w:hAnsi="Arial"/>
                <w:sz w:val="18"/>
                <w:szCs w:val="18"/>
                <w:color w:val="auto"/>
              </w:rPr>
              <w:t>10.6</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Fifth Amendment to Amended and Restated Master Disbursement Agreement, dated August 4, 2010, by and among Wynn Las Vegas, LLC,</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Deutsche Bank Trust Company Americas, as the Bank Agent, and Deutsche Bank Trust Company Americas, as the Disbursement Agent. (26)</w:t>
            </w:r>
          </w:p>
        </w:tc>
      </w:tr>
      <w:tr>
        <w:trPr>
          <w:trHeight w:val="318"/>
        </w:trPr>
        <w:tc>
          <w:tcPr>
            <w:tcW w:w="480" w:type="dxa"/>
            <w:vAlign w:val="bottom"/>
            <w:gridSpan w:val="2"/>
          </w:tcPr>
          <w:p>
            <w:pPr>
              <w:spacing w:after="0"/>
              <w:rPr>
                <w:sz w:val="20"/>
                <w:szCs w:val="20"/>
                <w:color w:val="auto"/>
              </w:rPr>
            </w:pPr>
            <w:r>
              <w:rPr>
                <w:rFonts w:ascii="Arial" w:cs="Arial" w:eastAsia="Arial" w:hAnsi="Arial"/>
                <w:sz w:val="18"/>
                <w:szCs w:val="18"/>
                <w:color w:val="auto"/>
              </w:rPr>
              <w:t>10.7</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Sixth Amendment to Amended and Restated Master Disbursement Agreement, dated March 12, 2012, by and among Wynn Las Vegas, LLC,</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Deutsche Bank Trust Company Americas, as the Bank Agent, and Deutsche Bank Trust Company Americas, as the Disbursement Agent. (22)</w:t>
            </w:r>
          </w:p>
        </w:tc>
      </w:tr>
      <w:tr>
        <w:trPr>
          <w:trHeight w:val="318"/>
        </w:trPr>
        <w:tc>
          <w:tcPr>
            <w:tcW w:w="480" w:type="dxa"/>
            <w:vAlign w:val="bottom"/>
            <w:gridSpan w:val="2"/>
          </w:tcPr>
          <w:p>
            <w:pPr>
              <w:spacing w:after="0"/>
              <w:rPr>
                <w:sz w:val="20"/>
                <w:szCs w:val="20"/>
                <w:color w:val="auto"/>
              </w:rPr>
            </w:pPr>
            <w:r>
              <w:rPr>
                <w:rFonts w:ascii="Arial" w:cs="Arial" w:eastAsia="Arial" w:hAnsi="Arial"/>
                <w:sz w:val="18"/>
                <w:szCs w:val="18"/>
                <w:color w:val="auto"/>
              </w:rPr>
              <w:t>10.8</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Promissory Note and Agreement, dated May 24, 2005, by Wells Fargo Northwest, National Association, not in its individual capacity but solely</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as owner trustee, and World Travel, LLC; and accepted and agreed to by Bank of America, N.A., as lender and Wells Fargo Bank, National</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Association, not in its individual capacity but solely as collateral agent. (5)</w:t>
            </w:r>
          </w:p>
        </w:tc>
      </w:tr>
      <w:tr>
        <w:trPr>
          <w:trHeight w:val="318"/>
        </w:trPr>
        <w:tc>
          <w:tcPr>
            <w:tcW w:w="480" w:type="dxa"/>
            <w:vAlign w:val="bottom"/>
            <w:gridSpan w:val="2"/>
          </w:tcPr>
          <w:p>
            <w:pPr>
              <w:spacing w:after="0"/>
              <w:rPr>
                <w:sz w:val="20"/>
                <w:szCs w:val="20"/>
                <w:color w:val="auto"/>
              </w:rPr>
            </w:pPr>
            <w:r>
              <w:rPr>
                <w:rFonts w:ascii="Arial" w:cs="Arial" w:eastAsia="Arial" w:hAnsi="Arial"/>
                <w:sz w:val="18"/>
                <w:szCs w:val="18"/>
                <w:color w:val="auto"/>
              </w:rPr>
              <w:t>10.9</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Promissory Note and Agreement, dated May 24, 2005, by Wells Fargo Northwest, National Association, not in its individual capacity but solely</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as owner trustee, and World Travel, LLC; and accepted and agreed to by The CIT Group / Equipment Financing, Inc., as lender and Wells Fargo</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Bank, National Association, not in its individual capacity but solely as collateral agent. (5)</w:t>
            </w:r>
          </w:p>
        </w:tc>
      </w:tr>
      <w:tr>
        <w:trPr>
          <w:trHeight w:val="318"/>
        </w:trPr>
        <w:tc>
          <w:tcPr>
            <w:tcW w:w="480" w:type="dxa"/>
            <w:vAlign w:val="bottom"/>
            <w:gridSpan w:val="2"/>
          </w:tcPr>
          <w:p>
            <w:pPr>
              <w:spacing w:after="0"/>
              <w:rPr>
                <w:sz w:val="20"/>
                <w:szCs w:val="20"/>
                <w:color w:val="auto"/>
              </w:rPr>
            </w:pPr>
            <w:r>
              <w:rPr>
                <w:rFonts w:ascii="Arial" w:cs="Arial" w:eastAsia="Arial" w:hAnsi="Arial"/>
                <w:sz w:val="18"/>
                <w:szCs w:val="18"/>
                <w:color w:val="auto"/>
              </w:rPr>
              <w:t>10.10</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Aircraft Security Agreement, dated May 24, 2005, between Wells Fargo Northwest, National Association, not in its individual capacity but solely</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as owner trustee, World Travel, LLC and Wells Fargo Bank, National Association, not in its individual capacity but solely as collateral agent. (5)</w:t>
            </w:r>
          </w:p>
        </w:tc>
      </w:tr>
      <w:tr>
        <w:trPr>
          <w:trHeight w:val="318"/>
        </w:trPr>
        <w:tc>
          <w:tcPr>
            <w:tcW w:w="480" w:type="dxa"/>
            <w:vAlign w:val="bottom"/>
            <w:gridSpan w:val="2"/>
          </w:tcPr>
          <w:p>
            <w:pPr>
              <w:spacing w:after="0"/>
              <w:rPr>
                <w:sz w:val="20"/>
                <w:szCs w:val="20"/>
                <w:color w:val="auto"/>
              </w:rPr>
            </w:pPr>
            <w:r>
              <w:rPr>
                <w:rFonts w:ascii="Arial" w:cs="Arial" w:eastAsia="Arial" w:hAnsi="Arial"/>
                <w:sz w:val="18"/>
                <w:szCs w:val="18"/>
                <w:color w:val="auto"/>
              </w:rPr>
              <w:t>10.11</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Guaranty, dated May 24, 2005, by Wynn Las Vegas, LLC in favor of The CIT Group / Equipment Financing, Inc., Bank of America, N.A. and</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Wells Fargo Bank, National Association, not in its individual capacity but solely as collateral agent. (5)</w:t>
            </w:r>
          </w:p>
        </w:tc>
      </w:tr>
      <w:tr>
        <w:trPr>
          <w:trHeight w:val="324"/>
        </w:trPr>
        <w:tc>
          <w:tcPr>
            <w:tcW w:w="480" w:type="dxa"/>
            <w:vAlign w:val="bottom"/>
            <w:gridSpan w:val="2"/>
          </w:tcPr>
          <w:p>
            <w:pPr>
              <w:spacing w:after="0"/>
              <w:rPr>
                <w:sz w:val="20"/>
                <w:szCs w:val="20"/>
                <w:color w:val="auto"/>
              </w:rPr>
            </w:pPr>
            <w:r>
              <w:rPr>
                <w:rFonts w:ascii="Arial" w:cs="Arial" w:eastAsia="Arial" w:hAnsi="Arial"/>
                <w:sz w:val="18"/>
                <w:szCs w:val="18"/>
                <w:color w:val="auto"/>
              </w:rPr>
              <w:t>10.12</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Agreement of Termination, dated June 30, 2005, by and between Stephen A. Wynn and Wynn Las Vegas, LLC. (6)</w:t>
            </w:r>
          </w:p>
        </w:tc>
      </w:tr>
      <w:tr>
        <w:trPr>
          <w:trHeight w:val="318"/>
        </w:trPr>
        <w:tc>
          <w:tcPr>
            <w:tcW w:w="480" w:type="dxa"/>
            <w:vAlign w:val="bottom"/>
            <w:gridSpan w:val="2"/>
          </w:tcPr>
          <w:p>
            <w:pPr>
              <w:spacing w:after="0"/>
              <w:rPr>
                <w:sz w:val="20"/>
                <w:szCs w:val="20"/>
                <w:color w:val="auto"/>
              </w:rPr>
            </w:pPr>
            <w:r>
              <w:rPr>
                <w:rFonts w:ascii="Arial" w:cs="Arial" w:eastAsia="Arial" w:hAnsi="Arial"/>
                <w:sz w:val="18"/>
                <w:szCs w:val="18"/>
                <w:color w:val="auto"/>
              </w:rPr>
              <w:t>10.13</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8"/>
              </w:rPr>
              <w:t>Fifth Amended and Restated Art Rental and Licensing Agreement, dated as of July 1, 2007, between Stephen A. Wynn, as lessor, Wynn Gallery,</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LLC, as lessee. (21)</w:t>
            </w:r>
          </w:p>
        </w:tc>
      </w:tr>
      <w:tr>
        <w:trPr>
          <w:trHeight w:val="318"/>
        </w:trPr>
        <w:tc>
          <w:tcPr>
            <w:tcW w:w="480" w:type="dxa"/>
            <w:vAlign w:val="bottom"/>
            <w:gridSpan w:val="2"/>
          </w:tcPr>
          <w:p>
            <w:pPr>
              <w:spacing w:after="0"/>
              <w:rPr>
                <w:sz w:val="20"/>
                <w:szCs w:val="20"/>
                <w:color w:val="auto"/>
              </w:rPr>
            </w:pPr>
            <w:r>
              <w:rPr>
                <w:rFonts w:ascii="Arial" w:cs="Arial" w:eastAsia="Arial" w:hAnsi="Arial"/>
                <w:sz w:val="18"/>
                <w:szCs w:val="18"/>
                <w:color w:val="auto"/>
              </w:rPr>
              <w:t>10.14</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Sixth Amended and Restated Art Rental and Licensing Agreement, dated as of July 1, 2012 between Stephen A. Wynn, as lessor, Wynn Las</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Vegas, LLC, as lessee. (25)</w:t>
            </w:r>
          </w:p>
        </w:tc>
      </w:tr>
      <w:tr>
        <w:trPr>
          <w:trHeight w:val="36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40" w:type="dxa"/>
            <w:vAlign w:val="bottom"/>
            <w:gridSpan w:val="2"/>
          </w:tcPr>
          <w:p>
            <w:pPr>
              <w:jc w:val="right"/>
              <w:ind w:right="5533"/>
              <w:spacing w:after="0"/>
              <w:rPr>
                <w:sz w:val="20"/>
                <w:szCs w:val="20"/>
                <w:color w:val="auto"/>
              </w:rPr>
            </w:pPr>
            <w:r>
              <w:rPr>
                <w:rFonts w:ascii="Arial" w:cs="Arial" w:eastAsia="Arial" w:hAnsi="Arial"/>
                <w:sz w:val="18"/>
                <w:szCs w:val="18"/>
                <w:color w:val="auto"/>
              </w:rPr>
              <w:t>68</w:t>
            </w:r>
          </w:p>
        </w:tc>
      </w:tr>
    </w:tbl>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8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20" w:type="dxa"/>
            <w:vAlign w:val="bottom"/>
          </w:tcPr>
          <w:p>
            <w:pPr>
              <w:spacing w:after="0"/>
              <w:rPr>
                <w:sz w:val="14"/>
                <w:szCs w:val="14"/>
                <w:color w:val="auto"/>
              </w:rPr>
            </w:pPr>
          </w:p>
        </w:tc>
      </w:tr>
      <w:tr>
        <w:trPr>
          <w:trHeight w:val="168"/>
        </w:trPr>
        <w:tc>
          <w:tcPr>
            <w:tcW w:w="120" w:type="dxa"/>
            <w:vAlign w:val="bottom"/>
          </w:tcPr>
          <w:p>
            <w:pPr>
              <w:spacing w:after="0"/>
              <w:rPr>
                <w:sz w:val="14"/>
                <w:szCs w:val="14"/>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b w:val="1"/>
                <w:bCs w:val="1"/>
                <w:color w:val="auto"/>
              </w:rPr>
              <w:t>No.</w:t>
            </w:r>
          </w:p>
        </w:tc>
        <w:tc>
          <w:tcPr>
            <w:tcW w:w="580" w:type="dxa"/>
            <w:vAlign w:val="bottom"/>
          </w:tcPr>
          <w:p>
            <w:pPr>
              <w:spacing w:after="0"/>
              <w:rPr>
                <w:sz w:val="14"/>
                <w:szCs w:val="14"/>
                <w:color w:val="auto"/>
              </w:rPr>
            </w:pPr>
          </w:p>
        </w:tc>
        <w:tc>
          <w:tcPr>
            <w:tcW w:w="10260" w:type="dxa"/>
            <w:vAlign w:val="bottom"/>
            <w:tcBorders>
              <w:bottom w:val="single" w:sz="8" w:color="auto"/>
            </w:tcBorders>
            <w:gridSpan w:val="3"/>
          </w:tcPr>
          <w:p>
            <w:pPr>
              <w:ind w:left="4800"/>
              <w:spacing w:after="0"/>
              <w:rPr>
                <w:sz w:val="20"/>
                <w:szCs w:val="20"/>
                <w:color w:val="auto"/>
              </w:rPr>
            </w:pPr>
            <w:r>
              <w:rPr>
                <w:rFonts w:ascii="Arial" w:cs="Arial" w:eastAsia="Arial" w:hAnsi="Arial"/>
                <w:sz w:val="14"/>
                <w:szCs w:val="14"/>
                <w:b w:val="1"/>
                <w:bCs w:val="1"/>
                <w:color w:val="auto"/>
              </w:rPr>
              <w:t>Description</w:t>
            </w:r>
          </w:p>
        </w:tc>
      </w:tr>
      <w:tr>
        <w:trPr>
          <w:trHeight w:val="302"/>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10.15</w:t>
            </w:r>
          </w:p>
        </w:tc>
        <w:tc>
          <w:tcPr>
            <w:tcW w:w="58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w w:val="89"/>
              </w:rPr>
              <w:t>Completion Guaranty, dated December 14, 2004, by Wynn Completion Guarantor, LLC in favor of Deutsche Bank Trust Company Americas, as</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the Bank Agent, and U.S. Bank National Association, as Indenture Trustee. (3)</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10.16</w:t>
            </w:r>
          </w:p>
        </w:tc>
        <w:tc>
          <w:tcPr>
            <w:tcW w:w="58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w w:val="89"/>
              </w:rPr>
              <w:t>Purchase Agreement, dated October 25, 2002, by and among Wynn Las Vegas, LLC, Wynn Las Vegas Capital Corp. and Stephen A. Wynn. (2)</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10.17</w:t>
            </w:r>
          </w:p>
        </w:tc>
        <w:tc>
          <w:tcPr>
            <w:tcW w:w="58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w w:val="90"/>
              </w:rPr>
              <w:t>Purchase Agreement, dated October 25, 2002, by and among Wynn Las Vegas, LLC, Wynn Las Vegas Capital Corp. and Aruze USA, Inc. (2)</w:t>
            </w:r>
          </w:p>
        </w:tc>
      </w:tr>
      <w:tr>
        <w:trPr>
          <w:trHeight w:val="318"/>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10.18</w:t>
            </w:r>
          </w:p>
        </w:tc>
        <w:tc>
          <w:tcPr>
            <w:tcW w:w="58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w w:val="89"/>
              </w:rPr>
              <w:t>Acknowledgement and Agreement, dated as of September 1, 2004, among Wynn Las Vegas, LLC, Wells Fargo Bank, National Association and</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the lenders named therein. (4)</w:t>
            </w:r>
          </w:p>
        </w:tc>
      </w:tr>
      <w:tr>
        <w:trPr>
          <w:trHeight w:val="318"/>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10.19</w:t>
            </w:r>
          </w:p>
        </w:tc>
        <w:tc>
          <w:tcPr>
            <w:tcW w:w="58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w w:val="91"/>
              </w:rPr>
              <w:t>Management Fees Subordination Agreement, dated as of December 14, 2004, by Wynn Resorts, Limited, Wynn Las Vegas, LLC, Wynn Las</w:t>
            </w:r>
          </w:p>
        </w:tc>
      </w:tr>
      <w:tr>
        <w:trPr>
          <w:trHeight w:val="184"/>
        </w:trPr>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60" w:type="dxa"/>
            <w:vAlign w:val="bottom"/>
            <w:gridSpan w:val="3"/>
          </w:tcPr>
          <w:p>
            <w:pPr>
              <w:spacing w:after="0" w:line="184" w:lineRule="exact"/>
              <w:rPr>
                <w:sz w:val="20"/>
                <w:szCs w:val="20"/>
                <w:color w:val="auto"/>
              </w:rPr>
            </w:pPr>
            <w:r>
              <w:rPr>
                <w:rFonts w:ascii="Arial" w:cs="Arial" w:eastAsia="Arial" w:hAnsi="Arial"/>
                <w:sz w:val="18"/>
                <w:szCs w:val="18"/>
                <w:color w:val="auto"/>
                <w:w w:val="93"/>
              </w:rPr>
              <w:t>Vegas Capital Corp., and those subsidiaries of Wynn Las Vegas, LLC listed on Exhibit A hereto in favor of Deutsche Bank Trust Company</w:t>
            </w:r>
          </w:p>
        </w:tc>
      </w:tr>
      <w:tr>
        <w:trPr>
          <w:trHeight w:val="20"/>
        </w:trPr>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235"/>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Americas, as administrative agent, and U.S. Bank National Association, as trustee. (3)</w:t>
            </w:r>
          </w:p>
        </w:tc>
      </w:tr>
      <w:tr>
        <w:trPr>
          <w:trHeight w:val="318"/>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10.20</w:t>
            </w:r>
          </w:p>
        </w:tc>
        <w:tc>
          <w:tcPr>
            <w:tcW w:w="58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w w:val="88"/>
              </w:rPr>
              <w:t>Management Agreement, made as of December 14, 2004, by and among Wynn Las Vegas, LLC, Wynn Show Performers, LLC, Wynn Las Vegas</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Capital Corp., Wynn Golf, LLC, World Travel, LLC, Las Vegas Jet, LLC, Wynn Sunrise, LLC, and Wynn Resorts, Limited. (3)</w:t>
            </w:r>
          </w:p>
        </w:tc>
      </w:tr>
      <w:tr>
        <w:trPr>
          <w:trHeight w:val="318"/>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10.21</w:t>
            </w:r>
          </w:p>
        </w:tc>
        <w:tc>
          <w:tcPr>
            <w:tcW w:w="58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w w:val="91"/>
              </w:rPr>
              <w:t>Intellectual Property License Agreement, dated as of December 14, 2004, by and among Wynn Resorts Holdings, Wynn Resorts, Limited and</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Wynn Las Vegas, LLC. (3)</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10.22</w:t>
            </w:r>
          </w:p>
        </w:tc>
        <w:tc>
          <w:tcPr>
            <w:tcW w:w="58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Agreement of Lease, dated as of March 17, 2010, by and between Wynn Las Vegas, LLC and Elaine P. Wynn. (18)</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10.23</w:t>
            </w:r>
          </w:p>
        </w:tc>
        <w:tc>
          <w:tcPr>
            <w:tcW w:w="58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w w:val="94"/>
              </w:rPr>
              <w:t>Amended and Restated Agreement of Lease made as of March 18, 2010, by and between Wynn Las Vegas and Stephen A. Wynn. (18)</w:t>
            </w:r>
          </w:p>
        </w:tc>
      </w:tr>
      <w:tr>
        <w:trPr>
          <w:trHeight w:val="318"/>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10.24</w:t>
            </w:r>
          </w:p>
        </w:tc>
        <w:tc>
          <w:tcPr>
            <w:tcW w:w="58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w w:val="88"/>
              </w:rPr>
              <w:t>First Amendment to Amended and Restated Agreement of Lease, dated as of April 9, 2012, by and between Wynn Las Vegas, LLC and Stephen</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A. Wynn. (23)</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*10.25</w:t>
            </w:r>
          </w:p>
        </w:tc>
        <w:tc>
          <w:tcPr>
            <w:tcW w:w="58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Employment Agreement, dated as of November 8, 2010, between Wynn Las Vegas, LLC and Marilyn Spiegel. (21)</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*10.26</w:t>
            </w:r>
          </w:p>
        </w:tc>
        <w:tc>
          <w:tcPr>
            <w:tcW w:w="58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Employment Agreement, dated as of May 5, 2009 by and between Wynn Las Vegas, LLC and Scott Peterson. (17)</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*10.27</w:t>
            </w:r>
          </w:p>
        </w:tc>
        <w:tc>
          <w:tcPr>
            <w:tcW w:w="58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w w:val="92"/>
              </w:rPr>
              <w:t>Employment Agreement, dated January 10, 2012, effective April 20, 2012, by and between Wynn Las Vegas, LLC and Scott Peterson. (24)</w:t>
            </w:r>
          </w:p>
        </w:tc>
      </w:tr>
      <w:tr>
        <w:trPr>
          <w:trHeight w:val="318"/>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10.28</w:t>
            </w:r>
          </w:p>
        </w:tc>
        <w:tc>
          <w:tcPr>
            <w:tcW w:w="58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w w:val="91"/>
              </w:rPr>
              <w:t>Amended and Restated Credit Agreement, dated as of August 15, 2006 among Wynn Las Vegas, LLC, as the Borrower, several lenders and</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agents, and Deutsche Bank Trust Company Americas, as Administrative Agent. (12)</w:t>
            </w:r>
          </w:p>
        </w:tc>
      </w:tr>
      <w:tr>
        <w:trPr>
          <w:trHeight w:val="318"/>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10.29</w:t>
            </w:r>
          </w:p>
        </w:tc>
        <w:tc>
          <w:tcPr>
            <w:tcW w:w="58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w w:val="92"/>
              </w:rPr>
              <w:t>First Amendment to Amended and Restated Credit Agreement dated April 9, 2007 among Wynn Las Vegas, LLC, Wynn Las Vegas Capital</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w w:val="97"/>
              </w:rPr>
              <w:t>Corp., Wynn Show Performers, LLC, Wynn Golf, LLC, Wynn Sunrise, LLC, World Travel, LLC, Kevyn, LLC, Las Vegas Jet, LLC, and</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w w:val="89"/>
              </w:rPr>
              <w:t>Deutsche Bank Trust Company Americas, as Administrative Agent on behalf of the several banks and other financial institutions or entities from</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time to time party to Wynn Las Vegas LLC’s Amended and Restated Credit Agreement, dated as of August 15, 2006. (8)</w:t>
            </w:r>
          </w:p>
        </w:tc>
      </w:tr>
      <w:tr>
        <w:trPr>
          <w:trHeight w:val="318"/>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10.30</w:t>
            </w:r>
          </w:p>
        </w:tc>
        <w:tc>
          <w:tcPr>
            <w:tcW w:w="58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w w:val="87"/>
              </w:rPr>
              <w:t>Second Amendment to Amended and Restated Credit Agreement dated October 31, 2007 among Wynn Las Vegas, LLC, Wynn Las Vegas Capital</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w w:val="95"/>
              </w:rPr>
              <w:t>Corp., Wynn Show Performers, LLC, Wynn Golf, LLC, Wynn Sunrise, LLC, World Travel, LLC, Kevyn, LLC, Las Vegas Jet, LLC, Wynn</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w w:val="89"/>
              </w:rPr>
              <w:t>Resorts Holdings, LLC, Wynn Completion Guarantors, LLC and Deutsche Bank Trust Company Americas, as Administrative Agent on behalf of</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w w:val="92"/>
              </w:rPr>
              <w:t>the several banks and other financial institutions or entities from time to time party to Wynn Las Vegas LLC’s Amended and Restated Credit</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Agreement, dated as of August 15, 2006. (9)</w:t>
            </w:r>
          </w:p>
        </w:tc>
      </w:tr>
      <w:tr>
        <w:trPr>
          <w:trHeight w:val="365"/>
        </w:trPr>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140" w:type="dxa"/>
            <w:vAlign w:val="bottom"/>
            <w:gridSpan w:val="2"/>
          </w:tcPr>
          <w:p>
            <w:pPr>
              <w:jc w:val="right"/>
              <w:ind w:right="833"/>
              <w:spacing w:after="0"/>
              <w:rPr>
                <w:sz w:val="20"/>
                <w:szCs w:val="20"/>
                <w:color w:val="auto"/>
              </w:rPr>
            </w:pPr>
            <w:r>
              <w:rPr>
                <w:rFonts w:ascii="Arial" w:cs="Arial" w:eastAsia="Arial" w:hAnsi="Arial"/>
                <w:sz w:val="18"/>
                <w:szCs w:val="18"/>
                <w:color w:val="auto"/>
              </w:rPr>
              <w:t>69</w:t>
            </w:r>
          </w:p>
        </w:tc>
        <w:tc>
          <w:tcPr>
            <w:tcW w:w="680" w:type="dxa"/>
            <w:vAlign w:val="bottom"/>
          </w:tcPr>
          <w:p>
            <w:pPr>
              <w:spacing w:after="0"/>
              <w:rPr>
                <w:sz w:val="24"/>
                <w:szCs w:val="24"/>
                <w:color w:val="auto"/>
              </w:rPr>
            </w:pPr>
          </w:p>
        </w:tc>
        <w:tc>
          <w:tcPr>
            <w:tcW w:w="40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80" w:type="dxa"/>
            <w:vAlign w:val="bottom"/>
          </w:tcPr>
          <w:p>
            <w:pPr>
              <w:spacing w:after="0"/>
              <w:rPr>
                <w:sz w:val="14"/>
                <w:szCs w:val="14"/>
                <w:color w:val="auto"/>
              </w:rPr>
            </w:pPr>
          </w:p>
        </w:tc>
        <w:tc>
          <w:tcPr>
            <w:tcW w:w="10260" w:type="dxa"/>
            <w:vAlign w:val="bottom"/>
          </w:tcPr>
          <w:p>
            <w:pPr>
              <w:spacing w:after="0"/>
              <w:rPr>
                <w:sz w:val="14"/>
                <w:szCs w:val="14"/>
                <w:color w:val="auto"/>
              </w:rPr>
            </w:pPr>
          </w:p>
        </w:tc>
      </w:tr>
      <w:tr>
        <w:trPr>
          <w:trHeight w:val="168"/>
        </w:trPr>
        <w:tc>
          <w:tcPr>
            <w:tcW w:w="120" w:type="dxa"/>
            <w:vAlign w:val="bottom"/>
          </w:tcPr>
          <w:p>
            <w:pPr>
              <w:spacing w:after="0"/>
              <w:rPr>
                <w:sz w:val="14"/>
                <w:szCs w:val="14"/>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b w:val="1"/>
                <w:bCs w:val="1"/>
                <w:color w:val="auto"/>
              </w:rPr>
              <w:t>No.</w:t>
            </w:r>
          </w:p>
        </w:tc>
        <w:tc>
          <w:tcPr>
            <w:tcW w:w="580" w:type="dxa"/>
            <w:vAlign w:val="bottom"/>
          </w:tcPr>
          <w:p>
            <w:pPr>
              <w:spacing w:after="0"/>
              <w:rPr>
                <w:sz w:val="14"/>
                <w:szCs w:val="14"/>
                <w:color w:val="auto"/>
              </w:rPr>
            </w:pPr>
          </w:p>
        </w:tc>
        <w:tc>
          <w:tcPr>
            <w:tcW w:w="10260" w:type="dxa"/>
            <w:vAlign w:val="bottom"/>
            <w:tcBorders>
              <w:bottom w:val="single" w:sz="8" w:color="auto"/>
            </w:tcBorders>
          </w:tcPr>
          <w:p>
            <w:pPr>
              <w:ind w:left="4800"/>
              <w:spacing w:after="0"/>
              <w:rPr>
                <w:sz w:val="20"/>
                <w:szCs w:val="20"/>
                <w:color w:val="auto"/>
              </w:rPr>
            </w:pPr>
            <w:r>
              <w:rPr>
                <w:rFonts w:ascii="Arial" w:cs="Arial" w:eastAsia="Arial" w:hAnsi="Arial"/>
                <w:sz w:val="14"/>
                <w:szCs w:val="14"/>
                <w:b w:val="1"/>
                <w:bCs w:val="1"/>
                <w:color w:val="auto"/>
              </w:rPr>
              <w:t>Description</w:t>
            </w:r>
          </w:p>
        </w:tc>
      </w:tr>
      <w:tr>
        <w:trPr>
          <w:trHeight w:val="302"/>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10.31</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8"/>
              </w:rPr>
              <w:t>Third Amendment to Amended and Restated Credit Agreement dated as of September 17, 2008 among Wynn Las Vegas, LLC, Wynn Las Vegas</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Capital Corp., Wynn Show Performers, LLC, Wynn Golf, LLC, Wynn Sunrise, LLC, World Travel, LLC, Kevyn, LLC, Las Vegas Jet, LLC,</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Wynn Resorts Holdings, LLC, Wynn Completion Guarantor, LLC and Deutsche Bank Trust Company Americas, as Administrative Agent on</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behalf of the several banks and other financial institutions or entities from time to time party to Wynn Las Vegas, LLC’s Amended and Restated</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Credit Agreement, dated as of August 15, 2006. (7)</w:t>
            </w:r>
          </w:p>
        </w:tc>
      </w:tr>
      <w:tr>
        <w:trPr>
          <w:trHeight w:val="318"/>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10.32</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8"/>
              </w:rPr>
              <w:t>Fourth Amendment to Amended and Restated Credit Agreement, dated as of April 17, 2009, among Wynn Las Vegas, LLC and Wynn Las Vegas</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Capital Corp., Wynn Show Performers, LLC, Wynn Golf, LLC, Wynn Sunrise, LLC, World Travel, LLC, Kevyn, LLC, Las Vegas Jet, LLC,</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Wynn Resorts Holdings, LLC, Wynn Completion Guarantors, LLC and Deutsche Bank Trust Company Americas, as Administrative Agent on</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behalf of the several banks and other financial institutions or entities from time to time party to Wynn Las Vegas LLC’s Amended and Restated</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Credit Agreement, dated as of August 15, 2006. (14)</w:t>
            </w:r>
          </w:p>
        </w:tc>
      </w:tr>
      <w:tr>
        <w:trPr>
          <w:trHeight w:val="318"/>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w w:val="84"/>
              </w:rPr>
              <w:t>10.33</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Fifth Amendment to Amended and Restated Credit Agreement, dated as of September 10, 2009, among Wynn Las Vegas, LLC and Wynn Las</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Vegas Capital Corp., Wynn Show Performers, LLC, Wynn Golf, LLC, Wynn Sunrise, LLC, World Travel, LLC, Kevyn, LLC, Las Vegas Jet,</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LLC, Wynn Resorts Holdings, LLC, Wynn Completion Guarantors, LLC and Deutsche Bank Trust Company Americas, as Administrative Agent</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on behalf of the several banks and other financial institutions or entities from time to time party to Wynn Las Vegas LLC’s Amended and</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Restated Credit Agreement, dated as of August 15, 2006. (15)</w:t>
            </w:r>
          </w:p>
        </w:tc>
      </w:tr>
      <w:tr>
        <w:trPr>
          <w:trHeight w:val="318"/>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w w:val="84"/>
              </w:rPr>
              <w:t>10.34</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Sixth Amendment to Amended and Restated Credit Agreement dated as of April 28, 2010 among Wynn Las Vegas, LLC, Wynn Las Vegas</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Capital Corp., Wynn Show Performers, LLC, Wynn Golf, LLC, Wynn Sunrise, LLC, World Travel, LLC, Kevyn, LLC, Las Vegas Jet, LLC,</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Wynn Resorts Holdings, LLC, Wynn Completion Guarantor, LLC and Deutsche Bank Trust Company Americas, as Administrative Agent. (19)</w:t>
            </w:r>
          </w:p>
        </w:tc>
      </w:tr>
      <w:tr>
        <w:trPr>
          <w:trHeight w:val="318"/>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w w:val="84"/>
              </w:rPr>
              <w:t>10.35</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Seventh Amendment to Amended and Restated Credit Agreement dated as of August 4, 2010 among Wynn Las Vegas, LLC, Wynn Las Vegas</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Capital Corp., Wynn Show Performers, LLC, Wynn Golf, LLC, Wynn Sunrise, LLC, World Travel, LLC, Kevyn, LLC, Las Vegas Jet, LLC,</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Wynn Resorts Holdings, LLC, Wynn Completion Guarantor, LLC and Deutsche Bank Trust Company Americas, as Administrative Agent on</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behalf of the several banks and other financial institutions or entities from time to time party to Wynn Las Vegas, LLC’s Amended and Restated</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Credit Agreement, dated as of August 15, 2006. (20)</w:t>
            </w:r>
          </w:p>
        </w:tc>
      </w:tr>
      <w:tr>
        <w:trPr>
          <w:trHeight w:val="318"/>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w w:val="84"/>
              </w:rPr>
              <w:t>10.36</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Eighth Amendment to Amended and Restated Credit Agreement dated as of March 12, 2012 among Wynn Las Vegas, LLC, Wynn Las Vegas</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Capital Corp., Wynn Show Performers, LLC, Wynn Golf, LLC, Wynn Sunrise, LLC, World Travel, LLC, Kevyn, LLC, Las Vegas Jet, LLC,</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Wynn Resorts Holdings, LLC, Wynn Completion Guarantor, LLC and Deutsche Bank Trust Company Americas, as Administrative Agent on</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behalf of the several banks and other financial institutions or entities from time to time party to Wynn Las Vegas, LLC’s Amended and Restated</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Credit Agreement, dated as of August 15, 2006. (22)</w:t>
            </w:r>
          </w:p>
        </w:tc>
      </w:tr>
      <w:tr>
        <w:trPr>
          <w:trHeight w:val="318"/>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w w:val="84"/>
              </w:rPr>
              <w:t>10.37</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Registration Rights Agreement, dated as of March 12, 2012, by and among Wynn Las Vegas, LLC, Wynn Las Vegas Capital Corp, Wynn Show</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Performers, LLC, Wynn Golf, LLC, Las Vegas Jet, LLC, World Travel, LLC, Wynn Sunrise, LLC, Kevyn, LLC, Deutsche Bank Securities Inc.,</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Merrill Lynch, Pierce, Fenner &amp; Smith Incorporated and J.P. Morgan Securities LLC. (22)</w:t>
            </w:r>
          </w:p>
        </w:tc>
      </w:tr>
      <w:tr>
        <w:trPr>
          <w:trHeight w:val="365"/>
        </w:trPr>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40" w:type="dxa"/>
            <w:vAlign w:val="bottom"/>
            <w:gridSpan w:val="2"/>
          </w:tcPr>
          <w:p>
            <w:pPr>
              <w:jc w:val="right"/>
              <w:ind w:right="5533"/>
              <w:spacing w:after="0"/>
              <w:rPr>
                <w:sz w:val="20"/>
                <w:szCs w:val="20"/>
                <w:color w:val="auto"/>
              </w:rPr>
            </w:pPr>
            <w:r>
              <w:rPr>
                <w:rFonts w:ascii="Arial" w:cs="Arial" w:eastAsia="Arial" w:hAnsi="Arial"/>
                <w:sz w:val="18"/>
                <w:szCs w:val="18"/>
                <w:color w:val="auto"/>
              </w:rPr>
              <w:t>70</w:t>
            </w:r>
          </w:p>
        </w:tc>
      </w:tr>
    </w:tbl>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660" w:type="dxa"/>
            <w:vAlign w:val="bottom"/>
          </w:tcPr>
          <w:p>
            <w:pPr>
              <w:spacing w:after="0"/>
              <w:rPr>
                <w:sz w:val="14"/>
                <w:szCs w:val="14"/>
                <w:color w:val="auto"/>
              </w:rPr>
            </w:pPr>
          </w:p>
        </w:tc>
        <w:tc>
          <w:tcPr>
            <w:tcW w:w="10300" w:type="dxa"/>
            <w:vAlign w:val="bottom"/>
          </w:tcPr>
          <w:p>
            <w:pPr>
              <w:spacing w:after="0"/>
              <w:rPr>
                <w:sz w:val="14"/>
                <w:szCs w:val="14"/>
                <w:color w:val="auto"/>
              </w:rPr>
            </w:pPr>
          </w:p>
        </w:tc>
      </w:tr>
      <w:tr>
        <w:trPr>
          <w:trHeight w:val="168"/>
        </w:trPr>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660" w:type="dxa"/>
            <w:vAlign w:val="bottom"/>
          </w:tcPr>
          <w:p>
            <w:pPr>
              <w:spacing w:after="0"/>
              <w:rPr>
                <w:sz w:val="14"/>
                <w:szCs w:val="14"/>
                <w:color w:val="auto"/>
              </w:rPr>
            </w:pPr>
          </w:p>
        </w:tc>
        <w:tc>
          <w:tcPr>
            <w:tcW w:w="10300" w:type="dxa"/>
            <w:vAlign w:val="bottom"/>
            <w:tcBorders>
              <w:bottom w:val="single" w:sz="8" w:color="auto"/>
            </w:tcBorders>
          </w:tcPr>
          <w:p>
            <w:pPr>
              <w:ind w:left="4820"/>
              <w:spacing w:after="0"/>
              <w:rPr>
                <w:sz w:val="20"/>
                <w:szCs w:val="20"/>
                <w:color w:val="auto"/>
              </w:rPr>
            </w:pPr>
            <w:r>
              <w:rPr>
                <w:rFonts w:ascii="Arial" w:cs="Arial" w:eastAsia="Arial" w:hAnsi="Arial"/>
                <w:sz w:val="14"/>
                <w:szCs w:val="14"/>
                <w:b w:val="1"/>
                <w:bCs w:val="1"/>
                <w:color w:val="auto"/>
              </w:rPr>
              <w:t>Description</w:t>
            </w:r>
          </w:p>
        </w:tc>
      </w:tr>
      <w:tr>
        <w:trPr>
          <w:trHeight w:val="309"/>
        </w:trPr>
        <w:tc>
          <w:tcPr>
            <w:tcW w:w="460" w:type="dxa"/>
            <w:vAlign w:val="bottom"/>
          </w:tcPr>
          <w:p>
            <w:pPr>
              <w:spacing w:after="0"/>
              <w:rPr>
                <w:sz w:val="20"/>
                <w:szCs w:val="20"/>
                <w:color w:val="auto"/>
              </w:rPr>
            </w:pPr>
            <w:r>
              <w:rPr>
                <w:rFonts w:ascii="Arial" w:cs="Arial" w:eastAsia="Arial" w:hAnsi="Arial"/>
                <w:sz w:val="18"/>
                <w:szCs w:val="18"/>
                <w:color w:val="auto"/>
              </w:rPr>
              <w:t>31.1</w:t>
            </w:r>
          </w:p>
        </w:tc>
        <w:tc>
          <w:tcPr>
            <w:tcW w:w="660" w:type="dxa"/>
            <w:vAlign w:val="bottom"/>
          </w:tcPr>
          <w:p>
            <w:pPr>
              <w:spacing w:after="0"/>
              <w:rPr>
                <w:sz w:val="24"/>
                <w:szCs w:val="24"/>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 (26)</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31.2</w:t>
            </w:r>
          </w:p>
        </w:tc>
        <w:tc>
          <w:tcPr>
            <w:tcW w:w="660" w:type="dxa"/>
            <w:vAlign w:val="bottom"/>
          </w:tcPr>
          <w:p>
            <w:pPr>
              <w:spacing w:after="0"/>
              <w:rPr>
                <w:sz w:val="24"/>
                <w:szCs w:val="24"/>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 (26)</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32.1</w:t>
            </w:r>
          </w:p>
        </w:tc>
        <w:tc>
          <w:tcPr>
            <w:tcW w:w="660" w:type="dxa"/>
            <w:vAlign w:val="bottom"/>
          </w:tcPr>
          <w:p>
            <w:pPr>
              <w:spacing w:after="0"/>
              <w:rPr>
                <w:sz w:val="24"/>
                <w:szCs w:val="24"/>
                <w:color w:val="auto"/>
              </w:rPr>
            </w:pPr>
          </w:p>
        </w:tc>
        <w:tc>
          <w:tcPr>
            <w:tcW w:w="10300" w:type="dxa"/>
            <w:vAlign w:val="bottom"/>
          </w:tcPr>
          <w:p>
            <w:pPr>
              <w:spacing w:after="0"/>
              <w:rPr>
                <w:sz w:val="20"/>
                <w:szCs w:val="20"/>
                <w:color w:val="auto"/>
              </w:rPr>
            </w:pPr>
            <w:r>
              <w:rPr>
                <w:rFonts w:ascii="Arial" w:cs="Arial" w:eastAsia="Arial" w:hAnsi="Arial"/>
                <w:sz w:val="18"/>
                <w:szCs w:val="18"/>
                <w:color w:val="auto"/>
                <w:w w:val="89"/>
              </w:rPr>
              <w:t>Certification of CEO and CFO Pursuant to 18 U.S.C. Section 1350, as Adopted Pursuant to Section 906 of the Sarbanes-Oxley Act of 2002. (26)</w:t>
            </w:r>
          </w:p>
        </w:tc>
      </w:tr>
    </w:tbl>
    <w:p>
      <w:pPr>
        <w:spacing w:after="0" w:line="102" w:lineRule="exact"/>
        <w:rPr>
          <w:sz w:val="20"/>
          <w:szCs w:val="20"/>
          <w:color w:val="auto"/>
        </w:rPr>
      </w:pPr>
    </w:p>
    <w:p>
      <w:pPr>
        <w:ind w:left="1120" w:right="20" w:hanging="1112"/>
        <w:spacing w:after="0" w:line="294" w:lineRule="auto"/>
        <w:tabs>
          <w:tab w:leader="none" w:pos="11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following financial information from the Company’s Annual Report on Form 10-K for the year ended December 31, 2012, filed with the SEC on March 1, 2013 formatted in Extensible Business Reporting Language (XBRL): (i) the Consolidated Statements of Operations and Comprehensive Loss for the years ended December 31, 2012, 2012 and 2010, (ii) the Consolidated Balance Sheets at December 31, 2012 and 2011, (iii) the Consolidated Statements of Member’s Equity at December 31, 2012, 2011 and 2010, (iv) the Consolidated Statements of Cash Flows for the years ended December 31, 2012, 2011 and 2010, and (iv) Notes to Consolidated Financial Statements.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89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2" w:lineRule="exact"/>
        <w:rPr>
          <w:sz w:val="20"/>
          <w:szCs w:val="20"/>
          <w:color w:val="auto"/>
        </w:rPr>
      </w:pPr>
    </w:p>
    <w:p>
      <w:pPr>
        <w:jc w:val="both"/>
        <w:ind w:left="460" w:right="20" w:hanging="452"/>
        <w:spacing w:after="0" w:line="335" w:lineRule="auto"/>
        <w:tabs>
          <w:tab w:leader="none" w:pos="4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Pursuant to Rule 406T of Regulation S-T, the XBRL related information in Exhibit 101 to this Annual Report on Form 10-K shall be deemed to be not filed for purposes of Section 18 of the Exchange Act, or otherwise subject to the liability of that section, and shall not be deemed part of a registration statement, prospectus or other document filed under the Securities Act or the Exchange Act, except as shall be expressly set forth by specific reference in such filings.</w:t>
      </w:r>
    </w:p>
    <w:p>
      <w:pPr>
        <w:spacing w:after="0" w:line="7"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 No. 333-124052) filed by the registrant on April 13, 2005.</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November 18, 2002.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Wynn Resorts on March 15,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September 8, 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May 25,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from the Periodic Report on form 10-Q filed by Wynn Resorts on August 3,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19,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August 9,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1,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13,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October 31,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November 9, 2006.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February 22,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April 21,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14,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October 20,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May 8,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March 19,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April 28,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August 5,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March 1,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March 13,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April 12,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August 9,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November 9,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Filed herein.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ectPr>
          <w:pgSz w:w="11900" w:h="16838" w:orient="portrait"/>
          <w:cols w:equalWidth="0" w:num="1">
            <w:col w:w="11420"/>
          </w:cols>
          <w:pgMar w:left="240" w:top="459" w:right="239" w:bottom="1440" w:gutter="0" w:footer="0" w:header="0"/>
        </w:sectPr>
      </w:pPr>
    </w:p>
    <w:p>
      <w:pPr>
        <w:spacing w:after="0" w:line="33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Dated: March 1, 2013</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WYNN LAS VEGAS, LLC</w:t>
      </w:r>
    </w:p>
    <w:p>
      <w:pPr>
        <w:spacing w:after="0" w:line="205" w:lineRule="exact"/>
        <w:rPr>
          <w:sz w:val="20"/>
          <w:szCs w:val="20"/>
          <w:color w:val="auto"/>
        </w:rPr>
      </w:pPr>
    </w:p>
    <w:p>
      <w:pPr>
        <w:sectPr>
          <w:pgSz w:w="11900" w:h="16838" w:orient="portrait"/>
          <w:cols w:equalWidth="0" w:num="2">
            <w:col w:w="5240" w:space="720"/>
            <w:col w:w="5460"/>
          </w:cols>
          <w:pgMar w:left="240" w:top="459" w:right="239" w:bottom="1440" w:gutter="0" w:footer="0" w:header="0"/>
          <w:type w:val="continuous"/>
        </w:sectPr>
      </w:pPr>
    </w:p>
    <w:p>
      <w:pPr>
        <w:spacing w:after="0" w:line="48"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Maurice Wooden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10795</wp:posOffset>
            </wp:positionV>
            <wp:extent cx="33274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3" w:lineRule="exact"/>
        <w:rPr>
          <w:sz w:val="20"/>
          <w:szCs w:val="20"/>
          <w:color w:val="auto"/>
        </w:rPr>
      </w:pPr>
    </w:p>
    <w:p>
      <w:pPr>
        <w:sectPr>
          <w:pgSz w:w="11900" w:h="16838" w:orient="portrait"/>
          <w:cols w:equalWidth="0" w:num="2">
            <w:col w:w="6160" w:space="560"/>
            <w:col w:w="4700"/>
          </w:cols>
          <w:pgMar w:left="240" w:top="459" w:right="239" w:bottom="1440" w:gutter="0" w:footer="0" w:header="0"/>
          <w:type w:val="continuous"/>
        </w:sectPr>
      </w:pPr>
    </w:p>
    <w:p>
      <w:pPr>
        <w:ind w:left="6280"/>
        <w:spacing w:after="0"/>
        <w:rPr>
          <w:sz w:val="20"/>
          <w:szCs w:val="20"/>
          <w:color w:val="auto"/>
        </w:rPr>
      </w:pPr>
      <w:r>
        <w:rPr>
          <w:rFonts w:ascii="Arial" w:cs="Arial" w:eastAsia="Arial" w:hAnsi="Arial"/>
          <w:sz w:val="18"/>
          <w:szCs w:val="18"/>
          <w:color w:val="auto"/>
        </w:rPr>
        <w:t>Maurice Wooden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6"/>
              </w:rPr>
              <w:t>Signature</w:t>
            </w:r>
          </w:p>
        </w:tc>
        <w:tc>
          <w:tcPr>
            <w:tcW w:w="2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Title</w:t>
            </w:r>
          </w:p>
        </w:tc>
        <w:tc>
          <w:tcPr>
            <w:tcW w:w="1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1"/>
              </w:rPr>
              <w:t>Date</w:t>
            </w:r>
          </w:p>
        </w:tc>
      </w:tr>
      <w:tr>
        <w:trPr>
          <w:trHeight w:val="425"/>
        </w:trPr>
        <w:tc>
          <w:tcPr>
            <w:tcW w:w="20" w:type="dxa"/>
            <w:vAlign w:val="bottom"/>
          </w:tcPr>
          <w:p>
            <w:pPr>
              <w:spacing w:after="0"/>
              <w:rPr>
                <w:sz w:val="24"/>
                <w:szCs w:val="24"/>
                <w:color w:val="auto"/>
              </w:rPr>
            </w:pPr>
          </w:p>
        </w:tc>
        <w:tc>
          <w:tcPr>
            <w:tcW w:w="27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/s/ Stephen A. Wynn</w:t>
            </w:r>
          </w:p>
        </w:tc>
        <w:tc>
          <w:tcPr>
            <w:tcW w:w="2200" w:type="dxa"/>
            <w:vAlign w:val="bottom"/>
            <w:tcBorders>
              <w:bottom w:val="single" w:sz="8" w:color="auto"/>
            </w:tcBorders>
          </w:tcPr>
          <w:p>
            <w:pPr>
              <w:spacing w:after="0"/>
              <w:rPr>
                <w:sz w:val="24"/>
                <w:szCs w:val="24"/>
                <w:color w:val="auto"/>
              </w:rPr>
            </w:pPr>
          </w:p>
        </w:tc>
        <w:tc>
          <w:tcPr>
            <w:tcW w:w="4040" w:type="dxa"/>
            <w:vAlign w:val="bottom"/>
            <w:gridSpan w:val="3"/>
          </w:tcPr>
          <w:p>
            <w:pPr>
              <w:ind w:left="120"/>
              <w:spacing w:after="0"/>
              <w:rPr>
                <w:sz w:val="20"/>
                <w:szCs w:val="20"/>
                <w:color w:val="auto"/>
              </w:rPr>
            </w:pPr>
            <w:r>
              <w:rPr>
                <w:rFonts w:ascii="Arial" w:cs="Arial" w:eastAsia="Arial" w:hAnsi="Arial"/>
                <w:sz w:val="18"/>
                <w:szCs w:val="18"/>
                <w:color w:val="auto"/>
              </w:rPr>
              <w:t>Chairman of the Board</w:t>
            </w:r>
          </w:p>
        </w:tc>
        <w:tc>
          <w:tcPr>
            <w:tcW w:w="1560" w:type="dxa"/>
            <w:vAlign w:val="bottom"/>
            <w:gridSpan w:val="2"/>
          </w:tcPr>
          <w:p>
            <w:pPr>
              <w:ind w:left="440"/>
              <w:spacing w:after="0"/>
              <w:rPr>
                <w:sz w:val="20"/>
                <w:szCs w:val="20"/>
                <w:color w:val="auto"/>
              </w:rPr>
            </w:pPr>
            <w:r>
              <w:rPr>
                <w:rFonts w:ascii="Arial" w:cs="Arial" w:eastAsia="Arial" w:hAnsi="Arial"/>
                <w:sz w:val="18"/>
                <w:szCs w:val="18"/>
                <w:color w:val="auto"/>
                <w:w w:val="95"/>
              </w:rPr>
              <w:t>March 1, 2013</w:t>
            </w:r>
          </w:p>
        </w:tc>
      </w:tr>
      <w:tr>
        <w:trPr>
          <w:trHeight w:val="217"/>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Stephen A. Wynn</w:t>
            </w:r>
          </w:p>
        </w:tc>
        <w:tc>
          <w:tcPr>
            <w:tcW w:w="2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27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/s/ John Hagenbuch</w:t>
            </w:r>
          </w:p>
        </w:tc>
        <w:tc>
          <w:tcPr>
            <w:tcW w:w="2200" w:type="dxa"/>
            <w:vAlign w:val="bottom"/>
            <w:tcBorders>
              <w:bottom w:val="single" w:sz="8" w:color="auto"/>
            </w:tcBorders>
          </w:tcPr>
          <w:p>
            <w:pPr>
              <w:spacing w:after="0"/>
              <w:rPr>
                <w:sz w:val="24"/>
                <w:szCs w:val="24"/>
                <w:color w:val="auto"/>
              </w:rPr>
            </w:pPr>
          </w:p>
        </w:tc>
        <w:tc>
          <w:tcPr>
            <w:tcW w:w="40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560" w:type="dxa"/>
            <w:vAlign w:val="bottom"/>
            <w:gridSpan w:val="2"/>
          </w:tcPr>
          <w:p>
            <w:pPr>
              <w:ind w:left="440"/>
              <w:spacing w:after="0"/>
              <w:rPr>
                <w:sz w:val="20"/>
                <w:szCs w:val="20"/>
                <w:color w:val="auto"/>
              </w:rPr>
            </w:pPr>
            <w:r>
              <w:rPr>
                <w:rFonts w:ascii="Arial" w:cs="Arial" w:eastAsia="Arial" w:hAnsi="Arial"/>
                <w:sz w:val="18"/>
                <w:szCs w:val="18"/>
                <w:color w:val="auto"/>
                <w:w w:val="95"/>
              </w:rPr>
              <w:t>March 1, 2013</w:t>
            </w:r>
          </w:p>
        </w:tc>
      </w:tr>
      <w:tr>
        <w:trPr>
          <w:trHeight w:val="217"/>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John Hagenbuch</w:t>
            </w:r>
          </w:p>
        </w:tc>
        <w:tc>
          <w:tcPr>
            <w:tcW w:w="2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27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/s/ Ray R. Irani</w:t>
            </w:r>
          </w:p>
        </w:tc>
        <w:tc>
          <w:tcPr>
            <w:tcW w:w="2200" w:type="dxa"/>
            <w:vAlign w:val="bottom"/>
            <w:tcBorders>
              <w:bottom w:val="single" w:sz="8" w:color="auto"/>
            </w:tcBorders>
          </w:tcPr>
          <w:p>
            <w:pPr>
              <w:spacing w:after="0"/>
              <w:rPr>
                <w:sz w:val="24"/>
                <w:szCs w:val="24"/>
                <w:color w:val="auto"/>
              </w:rPr>
            </w:pPr>
          </w:p>
        </w:tc>
        <w:tc>
          <w:tcPr>
            <w:tcW w:w="40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560" w:type="dxa"/>
            <w:vAlign w:val="bottom"/>
            <w:gridSpan w:val="2"/>
          </w:tcPr>
          <w:p>
            <w:pPr>
              <w:ind w:left="440"/>
              <w:spacing w:after="0"/>
              <w:rPr>
                <w:sz w:val="20"/>
                <w:szCs w:val="20"/>
                <w:color w:val="auto"/>
              </w:rPr>
            </w:pPr>
            <w:r>
              <w:rPr>
                <w:rFonts w:ascii="Arial" w:cs="Arial" w:eastAsia="Arial" w:hAnsi="Arial"/>
                <w:sz w:val="18"/>
                <w:szCs w:val="18"/>
                <w:color w:val="auto"/>
                <w:w w:val="95"/>
              </w:rPr>
              <w:t>March 1, 2013</w:t>
            </w:r>
          </w:p>
        </w:tc>
      </w:tr>
      <w:tr>
        <w:trPr>
          <w:trHeight w:val="217"/>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Dr. Ray R. Irani</w:t>
            </w:r>
          </w:p>
        </w:tc>
        <w:tc>
          <w:tcPr>
            <w:tcW w:w="2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27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/s/ Robert J. Miller</w:t>
            </w:r>
          </w:p>
        </w:tc>
        <w:tc>
          <w:tcPr>
            <w:tcW w:w="2200" w:type="dxa"/>
            <w:vAlign w:val="bottom"/>
            <w:tcBorders>
              <w:bottom w:val="single" w:sz="8" w:color="auto"/>
            </w:tcBorders>
          </w:tcPr>
          <w:p>
            <w:pPr>
              <w:spacing w:after="0"/>
              <w:rPr>
                <w:sz w:val="24"/>
                <w:szCs w:val="24"/>
                <w:color w:val="auto"/>
              </w:rPr>
            </w:pPr>
          </w:p>
        </w:tc>
        <w:tc>
          <w:tcPr>
            <w:tcW w:w="40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560" w:type="dxa"/>
            <w:vAlign w:val="bottom"/>
            <w:gridSpan w:val="2"/>
          </w:tcPr>
          <w:p>
            <w:pPr>
              <w:ind w:left="440"/>
              <w:spacing w:after="0"/>
              <w:rPr>
                <w:sz w:val="20"/>
                <w:szCs w:val="20"/>
                <w:color w:val="auto"/>
              </w:rPr>
            </w:pPr>
            <w:r>
              <w:rPr>
                <w:rFonts w:ascii="Arial" w:cs="Arial" w:eastAsia="Arial" w:hAnsi="Arial"/>
                <w:sz w:val="18"/>
                <w:szCs w:val="18"/>
                <w:color w:val="auto"/>
                <w:w w:val="95"/>
              </w:rPr>
              <w:t>March 1, 2013</w:t>
            </w:r>
          </w:p>
        </w:tc>
      </w:tr>
      <w:tr>
        <w:trPr>
          <w:trHeight w:val="217"/>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Robert J. Miller</w:t>
            </w:r>
          </w:p>
        </w:tc>
        <w:tc>
          <w:tcPr>
            <w:tcW w:w="2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27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/s/ Alvin V. Shoemaker</w:t>
            </w:r>
          </w:p>
        </w:tc>
        <w:tc>
          <w:tcPr>
            <w:tcW w:w="2200" w:type="dxa"/>
            <w:vAlign w:val="bottom"/>
            <w:tcBorders>
              <w:bottom w:val="single" w:sz="8" w:color="auto"/>
            </w:tcBorders>
          </w:tcPr>
          <w:p>
            <w:pPr>
              <w:spacing w:after="0"/>
              <w:rPr>
                <w:sz w:val="24"/>
                <w:szCs w:val="24"/>
                <w:color w:val="auto"/>
              </w:rPr>
            </w:pPr>
          </w:p>
        </w:tc>
        <w:tc>
          <w:tcPr>
            <w:tcW w:w="40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560" w:type="dxa"/>
            <w:vAlign w:val="bottom"/>
            <w:gridSpan w:val="2"/>
          </w:tcPr>
          <w:p>
            <w:pPr>
              <w:ind w:left="440"/>
              <w:spacing w:after="0"/>
              <w:rPr>
                <w:sz w:val="20"/>
                <w:szCs w:val="20"/>
                <w:color w:val="auto"/>
              </w:rPr>
            </w:pPr>
            <w:r>
              <w:rPr>
                <w:rFonts w:ascii="Arial" w:cs="Arial" w:eastAsia="Arial" w:hAnsi="Arial"/>
                <w:sz w:val="18"/>
                <w:szCs w:val="18"/>
                <w:color w:val="auto"/>
                <w:w w:val="95"/>
              </w:rPr>
              <w:t>March 1, 2013</w:t>
            </w:r>
          </w:p>
        </w:tc>
      </w:tr>
      <w:tr>
        <w:trPr>
          <w:trHeight w:val="217"/>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Alvin V. Shoemaker</w:t>
            </w:r>
          </w:p>
        </w:tc>
        <w:tc>
          <w:tcPr>
            <w:tcW w:w="2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27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/s/ J. Edward Virtue</w:t>
            </w:r>
          </w:p>
        </w:tc>
        <w:tc>
          <w:tcPr>
            <w:tcW w:w="2200" w:type="dxa"/>
            <w:vAlign w:val="bottom"/>
            <w:tcBorders>
              <w:bottom w:val="single" w:sz="8" w:color="auto"/>
            </w:tcBorders>
          </w:tcPr>
          <w:p>
            <w:pPr>
              <w:spacing w:after="0"/>
              <w:rPr>
                <w:sz w:val="24"/>
                <w:szCs w:val="24"/>
                <w:color w:val="auto"/>
              </w:rPr>
            </w:pPr>
          </w:p>
        </w:tc>
        <w:tc>
          <w:tcPr>
            <w:tcW w:w="40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560" w:type="dxa"/>
            <w:vAlign w:val="bottom"/>
            <w:gridSpan w:val="2"/>
          </w:tcPr>
          <w:p>
            <w:pPr>
              <w:ind w:left="440"/>
              <w:spacing w:after="0"/>
              <w:rPr>
                <w:sz w:val="20"/>
                <w:szCs w:val="20"/>
                <w:color w:val="auto"/>
              </w:rPr>
            </w:pPr>
            <w:r>
              <w:rPr>
                <w:rFonts w:ascii="Arial" w:cs="Arial" w:eastAsia="Arial" w:hAnsi="Arial"/>
                <w:sz w:val="18"/>
                <w:szCs w:val="18"/>
                <w:color w:val="auto"/>
                <w:w w:val="95"/>
              </w:rPr>
              <w:t>March 1, 2013</w:t>
            </w:r>
          </w:p>
        </w:tc>
      </w:tr>
      <w:tr>
        <w:trPr>
          <w:trHeight w:val="217"/>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J. Edward Virtue</w:t>
            </w:r>
          </w:p>
        </w:tc>
        <w:tc>
          <w:tcPr>
            <w:tcW w:w="2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27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/s/ D. Boone Wayson</w:t>
            </w:r>
          </w:p>
        </w:tc>
        <w:tc>
          <w:tcPr>
            <w:tcW w:w="2200" w:type="dxa"/>
            <w:vAlign w:val="bottom"/>
            <w:tcBorders>
              <w:bottom w:val="single" w:sz="8" w:color="auto"/>
            </w:tcBorders>
          </w:tcPr>
          <w:p>
            <w:pPr>
              <w:spacing w:after="0"/>
              <w:rPr>
                <w:sz w:val="24"/>
                <w:szCs w:val="24"/>
                <w:color w:val="auto"/>
              </w:rPr>
            </w:pPr>
          </w:p>
        </w:tc>
        <w:tc>
          <w:tcPr>
            <w:tcW w:w="40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560" w:type="dxa"/>
            <w:vAlign w:val="bottom"/>
            <w:gridSpan w:val="2"/>
          </w:tcPr>
          <w:p>
            <w:pPr>
              <w:ind w:left="440"/>
              <w:spacing w:after="0"/>
              <w:rPr>
                <w:sz w:val="20"/>
                <w:szCs w:val="20"/>
                <w:color w:val="auto"/>
              </w:rPr>
            </w:pPr>
            <w:r>
              <w:rPr>
                <w:rFonts w:ascii="Arial" w:cs="Arial" w:eastAsia="Arial" w:hAnsi="Arial"/>
                <w:sz w:val="18"/>
                <w:szCs w:val="18"/>
                <w:color w:val="auto"/>
                <w:w w:val="95"/>
              </w:rPr>
              <w:t>March 1, 2013</w:t>
            </w:r>
          </w:p>
        </w:tc>
      </w:tr>
      <w:tr>
        <w:trPr>
          <w:trHeight w:val="217"/>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D. Boone Wayson</w:t>
            </w:r>
          </w:p>
        </w:tc>
        <w:tc>
          <w:tcPr>
            <w:tcW w:w="2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27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/s/ Elaine P. Wynn</w:t>
            </w:r>
          </w:p>
        </w:tc>
        <w:tc>
          <w:tcPr>
            <w:tcW w:w="2200" w:type="dxa"/>
            <w:vAlign w:val="bottom"/>
            <w:tcBorders>
              <w:bottom w:val="single" w:sz="8" w:color="auto"/>
            </w:tcBorders>
          </w:tcPr>
          <w:p>
            <w:pPr>
              <w:spacing w:after="0"/>
              <w:rPr>
                <w:sz w:val="24"/>
                <w:szCs w:val="24"/>
                <w:color w:val="auto"/>
              </w:rPr>
            </w:pPr>
          </w:p>
        </w:tc>
        <w:tc>
          <w:tcPr>
            <w:tcW w:w="40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560" w:type="dxa"/>
            <w:vAlign w:val="bottom"/>
            <w:gridSpan w:val="2"/>
          </w:tcPr>
          <w:p>
            <w:pPr>
              <w:ind w:left="440"/>
              <w:spacing w:after="0"/>
              <w:rPr>
                <w:sz w:val="20"/>
                <w:szCs w:val="20"/>
                <w:color w:val="auto"/>
              </w:rPr>
            </w:pPr>
            <w:r>
              <w:rPr>
                <w:rFonts w:ascii="Arial" w:cs="Arial" w:eastAsia="Arial" w:hAnsi="Arial"/>
                <w:sz w:val="18"/>
                <w:szCs w:val="18"/>
                <w:color w:val="auto"/>
                <w:w w:val="95"/>
              </w:rPr>
              <w:t>March 1, 2013</w:t>
            </w:r>
          </w:p>
        </w:tc>
      </w:tr>
      <w:tr>
        <w:trPr>
          <w:trHeight w:val="217"/>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Elaine P. Wynn</w:t>
            </w:r>
          </w:p>
        </w:tc>
        <w:tc>
          <w:tcPr>
            <w:tcW w:w="2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27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/s/ Maurice Wooden</w:t>
            </w:r>
          </w:p>
        </w:tc>
        <w:tc>
          <w:tcPr>
            <w:tcW w:w="2200" w:type="dxa"/>
            <w:vAlign w:val="bottom"/>
            <w:tcBorders>
              <w:bottom w:val="single" w:sz="8" w:color="auto"/>
            </w:tcBorders>
          </w:tcPr>
          <w:p>
            <w:pPr>
              <w:spacing w:after="0"/>
              <w:rPr>
                <w:sz w:val="24"/>
                <w:szCs w:val="24"/>
                <w:color w:val="auto"/>
              </w:rPr>
            </w:pPr>
          </w:p>
        </w:tc>
        <w:tc>
          <w:tcPr>
            <w:tcW w:w="4040" w:type="dxa"/>
            <w:vAlign w:val="bottom"/>
            <w:gridSpan w:val="3"/>
          </w:tcPr>
          <w:p>
            <w:pPr>
              <w:ind w:left="120"/>
              <w:spacing w:after="0"/>
              <w:rPr>
                <w:sz w:val="20"/>
                <w:szCs w:val="20"/>
                <w:color w:val="auto"/>
              </w:rPr>
            </w:pPr>
            <w:r>
              <w:rPr>
                <w:rFonts w:ascii="Arial" w:cs="Arial" w:eastAsia="Arial" w:hAnsi="Arial"/>
                <w:sz w:val="18"/>
                <w:szCs w:val="18"/>
                <w:color w:val="auto"/>
              </w:rPr>
              <w:t>President (Principal Executive Officer)</w:t>
            </w:r>
          </w:p>
        </w:tc>
        <w:tc>
          <w:tcPr>
            <w:tcW w:w="1560" w:type="dxa"/>
            <w:vAlign w:val="bottom"/>
            <w:gridSpan w:val="2"/>
          </w:tcPr>
          <w:p>
            <w:pPr>
              <w:ind w:left="440"/>
              <w:spacing w:after="0"/>
              <w:rPr>
                <w:sz w:val="20"/>
                <w:szCs w:val="20"/>
                <w:color w:val="auto"/>
              </w:rPr>
            </w:pPr>
            <w:r>
              <w:rPr>
                <w:rFonts w:ascii="Arial" w:cs="Arial" w:eastAsia="Arial" w:hAnsi="Arial"/>
                <w:sz w:val="18"/>
                <w:szCs w:val="18"/>
                <w:color w:val="auto"/>
                <w:w w:val="95"/>
              </w:rPr>
              <w:t>March 1, 2013</w:t>
            </w:r>
          </w:p>
        </w:tc>
      </w:tr>
      <w:tr>
        <w:trPr>
          <w:trHeight w:val="217"/>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Maurice Wooden</w:t>
            </w:r>
          </w:p>
        </w:tc>
        <w:tc>
          <w:tcPr>
            <w:tcW w:w="2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437"/>
        </w:trPr>
        <w:tc>
          <w:tcPr>
            <w:tcW w:w="20" w:type="dxa"/>
            <w:vAlign w:val="bottom"/>
          </w:tcPr>
          <w:p>
            <w:pPr>
              <w:spacing w:after="0"/>
              <w:rPr>
                <w:sz w:val="24"/>
                <w:szCs w:val="24"/>
                <w:color w:val="auto"/>
              </w:rPr>
            </w:pPr>
          </w:p>
        </w:tc>
        <w:tc>
          <w:tcPr>
            <w:tcW w:w="27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/s/ Scott Peterson</w:t>
            </w:r>
          </w:p>
        </w:tc>
        <w:tc>
          <w:tcPr>
            <w:tcW w:w="2200" w:type="dxa"/>
            <w:vAlign w:val="bottom"/>
            <w:tcBorders>
              <w:bottom w:val="single" w:sz="8" w:color="auto"/>
            </w:tcBorders>
          </w:tcPr>
          <w:p>
            <w:pPr>
              <w:spacing w:after="0"/>
              <w:rPr>
                <w:sz w:val="24"/>
                <w:szCs w:val="24"/>
                <w:color w:val="auto"/>
              </w:rPr>
            </w:pPr>
          </w:p>
        </w:tc>
        <w:tc>
          <w:tcPr>
            <w:tcW w:w="4040" w:type="dxa"/>
            <w:vAlign w:val="bottom"/>
            <w:gridSpan w:val="3"/>
          </w:tcPr>
          <w:p>
            <w:pPr>
              <w:ind w:left="120"/>
              <w:spacing w:after="0"/>
              <w:rPr>
                <w:sz w:val="20"/>
                <w:szCs w:val="20"/>
                <w:color w:val="auto"/>
              </w:rPr>
            </w:pPr>
            <w:r>
              <w:rPr>
                <w:rFonts w:ascii="Arial" w:cs="Arial" w:eastAsia="Arial" w:hAnsi="Arial"/>
                <w:sz w:val="18"/>
                <w:szCs w:val="18"/>
                <w:color w:val="auto"/>
                <w:w w:val="99"/>
              </w:rPr>
              <w:t>Senior Vice President and Chief Financial Officer</w:t>
            </w:r>
          </w:p>
        </w:tc>
        <w:tc>
          <w:tcPr>
            <w:tcW w:w="1560" w:type="dxa"/>
            <w:vAlign w:val="bottom"/>
            <w:gridSpan w:val="2"/>
          </w:tcPr>
          <w:p>
            <w:pPr>
              <w:ind w:left="440"/>
              <w:spacing w:after="0"/>
              <w:rPr>
                <w:sz w:val="20"/>
                <w:szCs w:val="20"/>
                <w:color w:val="auto"/>
              </w:rPr>
            </w:pPr>
            <w:r>
              <w:rPr>
                <w:rFonts w:ascii="Arial" w:cs="Arial" w:eastAsia="Arial" w:hAnsi="Arial"/>
                <w:sz w:val="18"/>
                <w:szCs w:val="18"/>
                <w:color w:val="auto"/>
                <w:w w:val="95"/>
              </w:rPr>
              <w:t>March 1, 2013</w:t>
            </w:r>
          </w:p>
        </w:tc>
      </w:tr>
      <w:tr>
        <w:trPr>
          <w:trHeight w:val="218"/>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Scott Peterson</w:t>
            </w:r>
          </w:p>
        </w:tc>
        <w:tc>
          <w:tcPr>
            <w:tcW w:w="2200" w:type="dxa"/>
            <w:vAlign w:val="bottom"/>
          </w:tcPr>
          <w:p>
            <w:pPr>
              <w:spacing w:after="0"/>
              <w:rPr>
                <w:sz w:val="18"/>
                <w:szCs w:val="18"/>
                <w:color w:val="auto"/>
              </w:rPr>
            </w:pPr>
          </w:p>
        </w:tc>
        <w:tc>
          <w:tcPr>
            <w:tcW w:w="404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370"/>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60" w:type="dxa"/>
            <w:vAlign w:val="bottom"/>
            <w:gridSpan w:val="2"/>
          </w:tcPr>
          <w:p>
            <w:pPr>
              <w:jc w:val="right"/>
              <w:ind w:right="1132"/>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10.6</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FIFTH AMENDMENT TO AMENDED AND RESTATED MASTER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DISBURSEMENT AGREEMENT</w:t>
      </w:r>
    </w:p>
    <w:p>
      <w:pPr>
        <w:spacing w:after="0" w:line="16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THIS FIFTH AMENDMENT TO AMENDED AND RESTATED MASTER DISBURSEMENT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is made and entered into as of August 4, 2010, by and among WYNN LAS VEGAS, LLC, a Nevada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DEUTSCHE BANK TRUST COMPANY AMERICAS, as the Bank Agent (the “</w:t>
      </w:r>
      <w:r>
        <w:rPr>
          <w:rFonts w:ascii="Arial" w:cs="Arial" w:eastAsia="Arial" w:hAnsi="Arial"/>
          <w:sz w:val="18"/>
          <w:szCs w:val="18"/>
          <w:u w:val="single" w:color="auto"/>
          <w:color w:val="auto"/>
        </w:rPr>
        <w:t>Bank Agent</w:t>
      </w:r>
      <w:r>
        <w:rPr>
          <w:rFonts w:ascii="Arial" w:cs="Arial" w:eastAsia="Arial" w:hAnsi="Arial"/>
          <w:sz w:val="18"/>
          <w:szCs w:val="18"/>
          <w:color w:val="auto"/>
        </w:rPr>
        <w:t>”), and DEUTSCHE BANK TRUST COMPANY AMERICAS, as the Disbursement Agent (the “</w:t>
      </w:r>
      <w:r>
        <w:rPr>
          <w:rFonts w:ascii="Arial" w:cs="Arial" w:eastAsia="Arial" w:hAnsi="Arial"/>
          <w:sz w:val="18"/>
          <w:szCs w:val="18"/>
          <w:u w:val="single" w:color="auto"/>
          <w:color w:val="auto"/>
        </w:rPr>
        <w:t>Disbursement Agent</w:t>
      </w:r>
      <w:r>
        <w:rPr>
          <w:rFonts w:ascii="Arial" w:cs="Arial" w:eastAsia="Arial" w:hAnsi="Arial"/>
          <w:sz w:val="18"/>
          <w:szCs w:val="18"/>
          <w:color w:val="auto"/>
        </w:rPr>
        <w:t>”), with respect to the following:</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Disbursement Agreement</w:t>
      </w:r>
      <w:r>
        <w:rPr>
          <w:rFonts w:ascii="Arial" w:cs="Arial" w:eastAsia="Arial" w:hAnsi="Arial"/>
          <w:sz w:val="16"/>
          <w:szCs w:val="16"/>
          <w:color w:val="auto"/>
        </w:rPr>
        <w:t>. The undersigned are parties to that certain Amended and Restated Master Disbursement Agreement, dated as of October 25, 2007, as amended by that certain First Amendment to Amended and Restated Master Disbursement Agreement, dated as of October 31, 2007, as amended by that certain Second Amendment to Amended and Restated Master Disbursement Agreement, dated as of November 6, 2007, as amended by Section 7(a) of that certain Fourth Amendment to Amended and Restated Credit Agreement, dated as of April 17, 2009, as amended by that certain Third Amendment to Amended and Restated Master Disbursement Agreement, dated as of October 19, 2009, and as amended by that certain Fourth Amendment to Amended and Restated Master Disbursement Agreement, dated as of April 28, 2010 (the “</w:t>
      </w:r>
      <w:r>
        <w:rPr>
          <w:rFonts w:ascii="Arial" w:cs="Arial" w:eastAsia="Arial" w:hAnsi="Arial"/>
          <w:sz w:val="16"/>
          <w:szCs w:val="16"/>
          <w:u w:val="single" w:color="auto"/>
          <w:color w:val="auto"/>
        </w:rPr>
        <w:t>Existing Agreement</w:t>
      </w:r>
      <w:r>
        <w:rPr>
          <w:rFonts w:ascii="Arial" w:cs="Arial" w:eastAsia="Arial" w:hAnsi="Arial"/>
          <w:sz w:val="16"/>
          <w:szCs w:val="16"/>
          <w:color w:val="auto"/>
        </w:rPr>
        <w:t>”, and as amended hereby, and as further amended, amended and restated, supplemented or otherwise modified from time to time, the “</w:t>
      </w:r>
      <w:r>
        <w:rPr>
          <w:rFonts w:ascii="Arial" w:cs="Arial" w:eastAsia="Arial" w:hAnsi="Arial"/>
          <w:sz w:val="16"/>
          <w:szCs w:val="16"/>
          <w:u w:val="single" w:color="auto"/>
          <w:color w:val="auto"/>
        </w:rPr>
        <w:t>Disbursement Agreement</w:t>
      </w:r>
      <w:r>
        <w:rPr>
          <w:rFonts w:ascii="Arial" w:cs="Arial" w:eastAsia="Arial" w:hAnsi="Arial"/>
          <w:sz w:val="16"/>
          <w:szCs w:val="16"/>
          <w:color w:val="auto"/>
        </w:rPr>
        <w:t>”), among the Company, the Bank Agent and the Disbursement Agent. Capitalized terms used but not otherwise defined herein shall have the meanings given in the Disbursement Agreement.</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Additional 2020 Notes</w:t>
      </w:r>
      <w:r>
        <w:rPr>
          <w:rFonts w:ascii="Arial" w:cs="Arial" w:eastAsia="Arial" w:hAnsi="Arial"/>
          <w:sz w:val="16"/>
          <w:szCs w:val="16"/>
          <w:color w:val="auto"/>
        </w:rPr>
        <w:t>. The Company, Wynn Las Vegas Capital Corp., a Nevada corporation (together with the Company, the “</w:t>
      </w:r>
      <w:r>
        <w:rPr>
          <w:rFonts w:ascii="Arial" w:cs="Arial" w:eastAsia="Arial" w:hAnsi="Arial"/>
          <w:sz w:val="16"/>
          <w:szCs w:val="16"/>
          <w:u w:val="single" w:color="auto"/>
          <w:color w:val="auto"/>
        </w:rPr>
        <w:t>Issuers</w:t>
      </w:r>
      <w:r>
        <w:rPr>
          <w:rFonts w:ascii="Arial" w:cs="Arial" w:eastAsia="Arial" w:hAnsi="Arial"/>
          <w:sz w:val="16"/>
          <w:szCs w:val="16"/>
          <w:color w:val="auto"/>
        </w:rPr>
        <w:t>”), U.S. Bank National Association, in its capacity as indenture trustee, and certain other signatories thereto have entered into that certain Indenture (as the same may be amended, amended and restated, supplemented or otherwise modified from time to time, the “</w:t>
      </w:r>
      <w:r>
        <w:rPr>
          <w:rFonts w:ascii="Arial" w:cs="Arial" w:eastAsia="Arial" w:hAnsi="Arial"/>
          <w:sz w:val="16"/>
          <w:szCs w:val="16"/>
          <w:u w:val="single" w:color="auto"/>
          <w:color w:val="auto"/>
        </w:rPr>
        <w:t>Additional 2020 Notes Indenture</w:t>
      </w:r>
      <w:r>
        <w:rPr>
          <w:rFonts w:ascii="Arial" w:cs="Arial" w:eastAsia="Arial" w:hAnsi="Arial"/>
          <w:sz w:val="16"/>
          <w:szCs w:val="16"/>
          <w:color w:val="auto"/>
        </w:rPr>
        <w:t>”), dated as of the date hereof, pertaining to the 7.750% First Mortgage Notes due 2020 issued by the Issuers in the aggregate principal amount of $1,320,000,000 (together with any other notes issued from time to time under the Additional 2020 Notes Indenture, the “</w:t>
      </w:r>
      <w:r>
        <w:rPr>
          <w:rFonts w:ascii="Arial" w:cs="Arial" w:eastAsia="Arial" w:hAnsi="Arial"/>
          <w:sz w:val="16"/>
          <w:szCs w:val="16"/>
          <w:u w:val="single" w:color="auto"/>
          <w:color w:val="auto"/>
        </w:rPr>
        <w:t>Additional 2020 Notes</w:t>
      </w:r>
      <w:r>
        <w:rPr>
          <w:rFonts w:ascii="Arial" w:cs="Arial" w:eastAsia="Arial" w:hAnsi="Arial"/>
          <w:sz w:val="16"/>
          <w:szCs w:val="16"/>
          <w:color w:val="auto"/>
        </w:rPr>
        <w:t>”), which Additional 2020 Notes Indenture constitutes a “Permitted Additional Senior Secured Debt Agreement” under the Intercreditor Agreement.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Amendment</w:t>
      </w:r>
      <w:r>
        <w:rPr>
          <w:rFonts w:ascii="Arial" w:cs="Arial" w:eastAsia="Arial" w:hAnsi="Arial"/>
          <w:sz w:val="16"/>
          <w:szCs w:val="16"/>
          <w:color w:val="auto"/>
        </w:rPr>
        <w:t>. The undersigned desire to amend the Disbursement Agreement in connection with the issuance of the Additional 2020 Notes.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mutual covenants and agreements herein contained, and for other good and valuable consideration, the receipt and sufficiency of which are hereby acknowledged, the undersigned agree as follows:</w:t>
      </w:r>
    </w:p>
    <w:p>
      <w:pPr>
        <w:spacing w:after="0" w:line="132" w:lineRule="exact"/>
        <w:rPr>
          <w:sz w:val="20"/>
          <w:szCs w:val="20"/>
          <w:color w:val="auto"/>
        </w:rPr>
      </w:pPr>
    </w:p>
    <w:p>
      <w:pPr>
        <w:ind w:left="640" w:hanging="17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100" w:firstLine="913"/>
        <w:spacing w:after="0" w:line="259" w:lineRule="auto"/>
        <w:rPr>
          <w:rFonts w:ascii="Arial" w:cs="Arial" w:eastAsia="Arial" w:hAnsi="Arial"/>
          <w:sz w:val="18"/>
          <w:szCs w:val="18"/>
          <w:color w:val="auto"/>
        </w:rPr>
      </w:pPr>
      <w:r>
        <w:rPr>
          <w:rFonts w:ascii="Arial" w:cs="Arial" w:eastAsia="Arial" w:hAnsi="Arial"/>
          <w:sz w:val="18"/>
          <w:szCs w:val="18"/>
          <w:color w:val="auto"/>
        </w:rPr>
        <w:t>a. Section 5.14.1 of the Existing Agreement is hereby amended by deleting the words “Loans, the 2014 Notes, the Senior Secured Notes and the 2020 Notes in accordance with the Bank Credit Agreement, the 2014 Notes Indenture, the Senior Secured Notes Indenture and the 2020 Notes Indenture”, where such words appear therein, and replacing them with the following:</w:t>
      </w:r>
    </w:p>
    <w:p>
      <w:pPr>
        <w:sectPr>
          <w:pgSz w:w="11900" w:h="16838" w:orient="portrait"/>
          <w:cols w:equalWidth="0" w:num="1">
            <w:col w:w="11420"/>
          </w:cols>
          <w:pgMar w:left="240" w:top="125" w:right="239" w:bottom="1440" w:gutter="0" w:footer="0" w:header="0"/>
        </w:sectPr>
      </w:pPr>
    </w:p>
    <w:bookmarkStart w:id="73" w:name="page74"/>
    <w:bookmarkEnd w:id="73"/>
    <w:p>
      <w:pPr>
        <w:ind w:left="920" w:right="2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“Loans, the 2014 Notes, the Senior Secured Notes, the 2020 Notes and the Additional 2020 Notes in accordance with the Bank Credit Agreement, the 2014 Notes Indenture, the Senior Secured Notes Indenture, the 2020 Notes Indenture and the Additional 2020 Notes Indenture”.</w:t>
      </w:r>
    </w:p>
    <w:p>
      <w:pPr>
        <w:spacing w:after="0" w:line="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 Section 7.1.1 of the Existing Agreement is hereby amended by deleting Section 7.1.1 thereof in its entirety and replacing it with the following:</w:t>
      </w:r>
    </w:p>
    <w:p>
      <w:pPr>
        <w:spacing w:after="0" w:line="113" w:lineRule="exact"/>
        <w:rPr>
          <w:sz w:val="20"/>
          <w:szCs w:val="20"/>
          <w:color w:val="auto"/>
        </w:rPr>
      </w:pPr>
    </w:p>
    <w:p>
      <w:pPr>
        <w:ind w:left="920" w:right="60"/>
        <w:spacing w:after="0" w:line="332" w:lineRule="auto"/>
        <w:rPr>
          <w:sz w:val="20"/>
          <w:szCs w:val="20"/>
          <w:color w:val="auto"/>
        </w:rPr>
      </w:pPr>
      <w:r>
        <w:rPr>
          <w:rFonts w:ascii="Arial" w:cs="Arial" w:eastAsia="Arial" w:hAnsi="Arial"/>
          <w:sz w:val="16"/>
          <w:szCs w:val="16"/>
          <w:color w:val="auto"/>
        </w:rPr>
        <w:t xml:space="preserve">“7.1.1 </w:t>
      </w:r>
      <w:r>
        <w:rPr>
          <w:rFonts w:ascii="Arial" w:cs="Arial" w:eastAsia="Arial" w:hAnsi="Arial"/>
          <w:sz w:val="16"/>
          <w:szCs w:val="16"/>
          <w:u w:val="single" w:color="auto"/>
          <w:color w:val="auto"/>
        </w:rPr>
        <w:t>Other Financing Documents</w:t>
      </w:r>
      <w:r>
        <w:rPr>
          <w:rFonts w:ascii="Arial" w:cs="Arial" w:eastAsia="Arial" w:hAnsi="Arial"/>
          <w:sz w:val="16"/>
          <w:szCs w:val="16"/>
          <w:color w:val="auto"/>
        </w:rPr>
        <w:t>. The occurrence of an “Event of Default” under and as defined in the (a) Bank Credit Agreement, (b) 2014 Notes Indenture, (c) Senior Secured Notes Indenture, (d) 2020 Notes Indenture or (e) Additional 2020 Notes Indenture.”</w:t>
      </w:r>
    </w:p>
    <w:p>
      <w:pPr>
        <w:spacing w:after="0" w:line="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 Section 7.2 of the Existing Agreement is hereby amended by deleting the last sentence of the last paragraph thereof and replacing it with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84" w:lineRule="exact"/>
        <w:rPr>
          <w:sz w:val="20"/>
          <w:szCs w:val="20"/>
          <w:color w:val="auto"/>
        </w:rPr>
      </w:pPr>
    </w:p>
    <w:p>
      <w:pPr>
        <w:ind w:left="920" w:right="120"/>
        <w:spacing w:after="0" w:line="306" w:lineRule="auto"/>
        <w:rPr>
          <w:sz w:val="20"/>
          <w:szCs w:val="20"/>
          <w:color w:val="auto"/>
        </w:rPr>
      </w:pPr>
      <w:r>
        <w:rPr>
          <w:rFonts w:ascii="Arial" w:cs="Arial" w:eastAsia="Arial" w:hAnsi="Arial"/>
          <w:sz w:val="16"/>
          <w:szCs w:val="16"/>
          <w:color w:val="auto"/>
        </w:rPr>
        <w:t xml:space="preserve">“Any cure or waiver of any “Event of Default” under the Senior Secured Notes Indenture, the 2020 Notes Indenture or the Additional 2020 Notes Indenture that is effective under the terms of the Senior Secured Notes Indenture, the 2020 Notes Indenture or the Additional 2020 Notes Indenture, respectively, shall automatically cure an Event of Default under clause (c), (d) or (e), as applicable, of </w:t>
      </w:r>
      <w:r>
        <w:rPr>
          <w:rFonts w:ascii="Arial" w:cs="Arial" w:eastAsia="Arial" w:hAnsi="Arial"/>
          <w:sz w:val="16"/>
          <w:szCs w:val="16"/>
          <w:u w:val="single" w:color="auto"/>
          <w:color w:val="auto"/>
        </w:rPr>
        <w:t>Section 7.1.1.</w:t>
      </w:r>
      <w:r>
        <w:rPr>
          <w:rFonts w:ascii="Arial" w:cs="Arial" w:eastAsia="Arial" w:hAnsi="Arial"/>
          <w:sz w:val="16"/>
          <w:szCs w:val="16"/>
          <w:color w:val="auto"/>
        </w:rPr>
        <w:t>”</w:t>
      </w:r>
    </w:p>
    <w:p>
      <w:pPr>
        <w:spacing w:after="0" w:line="2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 Exhibit A to the Existing Agreement is hereby amended by amending the following definitions contained therein as follows:</w:t>
      </w:r>
    </w:p>
    <w:p>
      <w:pPr>
        <w:spacing w:after="0" w:line="90" w:lineRule="exact"/>
        <w:rPr>
          <w:sz w:val="20"/>
          <w:szCs w:val="20"/>
          <w:color w:val="auto"/>
        </w:rPr>
      </w:pPr>
    </w:p>
    <w:p>
      <w:pPr>
        <w:ind w:right="540" w:firstLine="1484"/>
        <w:spacing w:after="0" w:line="268" w:lineRule="auto"/>
        <w:rPr>
          <w:sz w:val="20"/>
          <w:szCs w:val="20"/>
          <w:color w:val="auto"/>
        </w:rPr>
      </w:pPr>
      <w:r>
        <w:rPr>
          <w:rFonts w:ascii="Arial" w:cs="Arial" w:eastAsia="Arial" w:hAnsi="Arial"/>
          <w:sz w:val="18"/>
          <w:szCs w:val="18"/>
          <w:color w:val="auto"/>
        </w:rPr>
        <w:t>i. The definition of “Collateral Agency Agreement” is hereby amended by inserting the words “, the Additional 2020 Notes Indenture Trustee” immediately after the words “the 2020 Notes Indenture Trustee”, where such words appear therein.</w:t>
      </w:r>
    </w:p>
    <w:p>
      <w:pPr>
        <w:spacing w:after="0" w:line="5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ii. The definition of “Intercreditor Agreement” is hereby amended and restated in its entirety as follows:</w:t>
      </w:r>
    </w:p>
    <w:p>
      <w:pPr>
        <w:spacing w:after="0" w:line="90" w:lineRule="exact"/>
        <w:rPr>
          <w:sz w:val="20"/>
          <w:szCs w:val="20"/>
          <w:color w:val="auto"/>
        </w:rPr>
      </w:pPr>
    </w:p>
    <w:p>
      <w:pPr>
        <w:ind w:left="460" w:right="40"/>
        <w:spacing w:after="0" w:line="294" w:lineRule="auto"/>
        <w:rPr>
          <w:sz w:val="20"/>
          <w:szCs w:val="20"/>
          <w:color w:val="auto"/>
        </w:rPr>
      </w:pPr>
      <w:r>
        <w:rPr>
          <w:rFonts w:ascii="Arial" w:cs="Arial" w:eastAsia="Arial" w:hAnsi="Arial"/>
          <w:sz w:val="16"/>
          <w:szCs w:val="16"/>
          <w:color w:val="auto"/>
        </w:rPr>
        <w:t>““Intercreditor Agreement” means that certain Intercreditor Agreement, dated as of the Closing Date, between the Bank Agent, the 2014 Notes Indenture Trustee, the Senior Secured Notes Indenture Trustee, the 2020 Notes Indenture Trustee, the Additional 2020 Notes Indenture Trustee and the Collateral Agent, as amended by that certain First Amendment to Intercreditor Agreement, dated as of October 19, 2009, that certain Second Amendment to Intercreditor Agreement, dated as of April 28, 2010, that certain Third Amendment to Intercreditor Agreement, dated as of August 4, 2010, and that certain Fourth Amendment to Intercreditor Agreement, dated as of August 4, 2010.”</w:t>
      </w:r>
    </w:p>
    <w:p>
      <w:pPr>
        <w:spacing w:after="0" w:line="35"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iii. The definition of “Obligations” is hereby amended by deleting the period at the end of such definition and replacing it with the following:</w:t>
      </w:r>
    </w:p>
    <w:p>
      <w:pPr>
        <w:spacing w:after="0" w:line="113" w:lineRule="exact"/>
        <w:rPr>
          <w:sz w:val="20"/>
          <w:szCs w:val="20"/>
          <w:color w:val="auto"/>
        </w:rPr>
      </w:pPr>
    </w:p>
    <w:p>
      <w:pPr>
        <w:ind w:left="920"/>
        <w:spacing w:after="0" w:line="294" w:lineRule="auto"/>
        <w:rPr>
          <w:sz w:val="20"/>
          <w:szCs w:val="20"/>
          <w:color w:val="auto"/>
        </w:rPr>
      </w:pPr>
      <w:r>
        <w:rPr>
          <w:rFonts w:ascii="Arial" w:cs="Arial" w:eastAsia="Arial" w:hAnsi="Arial"/>
          <w:sz w:val="16"/>
          <w:szCs w:val="16"/>
          <w:color w:val="auto"/>
        </w:rPr>
        <w:t>“; provided, however, that solely for purposes of the Intercreditor Agreement, the term “Obligations” shall also include all such obligations and liabilities of the Company and the other Loan Parties to the 2020 Notes Indenture Trustee, 2020 Noteholders, and any other holder of indebtedness or representative or agent on behalf of such holders under the 2020 Notes Agreements, the Additional 2020 Notes Indenture Trustee, Additional 2020 Noteholders, and any other holder of indebtedness or representative or agent on behalf of such holders under the Additional 2020 Notes Agreements, any Future Permitted Additional Senior Secured Debt Agreement and any Permitted Additional Junior Secured Debt Agreement.”</w:t>
      </w:r>
    </w:p>
    <w:p>
      <w:pPr>
        <w:spacing w:after="0" w:line="3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e. Exhibit A to the Existing Agreement is hereby further amended by adding the following definitions thereto in appropriate alphabetical order:</w:t>
      </w:r>
    </w:p>
    <w:p>
      <w:pPr>
        <w:spacing w:after="0" w:line="11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 “Additional 2020 Noteholders” means the holders of the Additional 2020 Notes from time to time.</w:t>
      </w:r>
    </w:p>
    <w:p>
      <w:pPr>
        <w:spacing w:after="0" w:line="90" w:lineRule="exact"/>
        <w:rPr>
          <w:sz w:val="20"/>
          <w:szCs w:val="20"/>
          <w:color w:val="auto"/>
        </w:rPr>
      </w:pPr>
    </w:p>
    <w:p>
      <w:pPr>
        <w:ind w:right="120" w:firstLine="1492"/>
        <w:spacing w:after="0" w:line="332" w:lineRule="auto"/>
        <w:tabs>
          <w:tab w:leader="none" w:pos="1669" w:val="left"/>
        </w:tabs>
        <w:numPr>
          <w:ilvl w:val="0"/>
          <w:numId w:val="33"/>
        </w:numPr>
        <w:rPr>
          <w:rFonts w:ascii="Arial" w:cs="Arial" w:eastAsia="Arial" w:hAnsi="Arial"/>
          <w:sz w:val="16"/>
          <w:szCs w:val="16"/>
          <w:color w:val="auto"/>
        </w:rPr>
      </w:pPr>
      <w:r>
        <w:rPr>
          <w:rFonts w:ascii="Arial" w:cs="Arial" w:eastAsia="Arial" w:hAnsi="Arial"/>
          <w:sz w:val="16"/>
          <w:szCs w:val="16"/>
          <w:color w:val="auto"/>
        </w:rPr>
        <w:t>“Additional 2020 Notes” means the 7.750% First Mortgage Notes Due 2020 issued by the Company and Capital Corp. from time to time pursuant to the Additional 2020 Notes Indenture and any exchange notes related thereto as contemplated by the Additional 2020 Notes Indenture.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74" w:name="page75"/>
    <w:bookmarkEnd w:id="74"/>
    <w:p>
      <w:pPr>
        <w:ind w:left="-80" w:right="40" w:firstLine="1492"/>
        <w:spacing w:after="0" w:line="256" w:lineRule="auto"/>
        <w:tabs>
          <w:tab w:leader="none" w:pos="1638" w:val="left"/>
        </w:tabs>
        <w:numPr>
          <w:ilvl w:val="1"/>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 2020 Notes Agreements” means collectively, the Additional 2020 Notes, the Additional 2020 Notes Indenture, the environmental indemnity agreements entered into by one or more Loan Parties for the benefit of the Additional 2020 Notes Indenture Trustee and certain other indemnified parties, and the security agreement and deeds of trust entered into by one or more Loan Parties to secure their obligations under the Additional 2020 Notes Indenture and the Additional 2020 Notes.</w:t>
      </w:r>
    </w:p>
    <w:p>
      <w:pPr>
        <w:spacing w:after="0" w:line="62" w:lineRule="exact"/>
        <w:rPr>
          <w:rFonts w:ascii="Arial" w:cs="Arial" w:eastAsia="Arial" w:hAnsi="Arial"/>
          <w:sz w:val="18"/>
          <w:szCs w:val="18"/>
          <w:color w:val="auto"/>
        </w:rPr>
      </w:pPr>
    </w:p>
    <w:p>
      <w:pPr>
        <w:ind w:left="-80" w:right="120" w:firstLine="1492"/>
        <w:spacing w:after="0" w:line="259" w:lineRule="auto"/>
        <w:tabs>
          <w:tab w:leader="none" w:pos="1616" w:val="left"/>
        </w:tabs>
        <w:numPr>
          <w:ilvl w:val="1"/>
          <w:numId w:val="34"/>
        </w:numPr>
        <w:rPr>
          <w:rFonts w:ascii="Arial" w:cs="Arial" w:eastAsia="Arial" w:hAnsi="Arial"/>
          <w:sz w:val="18"/>
          <w:szCs w:val="18"/>
          <w:color w:val="auto"/>
        </w:rPr>
      </w:pPr>
      <w:r>
        <w:rPr>
          <w:rFonts w:ascii="Arial" w:cs="Arial" w:eastAsia="Arial" w:hAnsi="Arial"/>
          <w:sz w:val="18"/>
          <w:szCs w:val="18"/>
          <w:color w:val="auto"/>
        </w:rPr>
        <w:t>“Additional 2020 Notes Indenture” means that certain Indenture, dated as of August 4, 2010, among the Company, Capital Corp., the guarantors signatory thereto, and the Additional 2020 Notes Indenture Trustee, as the same may be amended, amended and restated, supplemented or otherwise modified from time to time.</w:t>
      </w:r>
    </w:p>
    <w:p>
      <w:pPr>
        <w:spacing w:after="0" w:line="59" w:lineRule="exact"/>
        <w:rPr>
          <w:rFonts w:ascii="Arial" w:cs="Arial" w:eastAsia="Arial" w:hAnsi="Arial"/>
          <w:sz w:val="18"/>
          <w:szCs w:val="18"/>
          <w:color w:val="auto"/>
        </w:rPr>
      </w:pPr>
    </w:p>
    <w:p>
      <w:pPr>
        <w:ind w:left="-80" w:right="680" w:firstLine="1492"/>
        <w:spacing w:after="0" w:line="268" w:lineRule="auto"/>
        <w:tabs>
          <w:tab w:leader="none" w:pos="1568" w:val="left"/>
        </w:tabs>
        <w:numPr>
          <w:ilvl w:val="1"/>
          <w:numId w:val="34"/>
        </w:numPr>
        <w:rPr>
          <w:rFonts w:ascii="Arial" w:cs="Arial" w:eastAsia="Arial" w:hAnsi="Arial"/>
          <w:sz w:val="18"/>
          <w:szCs w:val="18"/>
          <w:color w:val="auto"/>
        </w:rPr>
      </w:pPr>
      <w:r>
        <w:rPr>
          <w:rFonts w:ascii="Arial" w:cs="Arial" w:eastAsia="Arial" w:hAnsi="Arial"/>
          <w:sz w:val="18"/>
          <w:szCs w:val="18"/>
          <w:color w:val="auto"/>
        </w:rPr>
        <w:t>“Additional 2020 Notes Indenture Trustee” means U.S. Bank National Association, in its capacity as the initial trustee under the Additional 2020 Notes Indenture, and its successors in such capacity.</w:t>
      </w:r>
    </w:p>
    <w:p>
      <w:pPr>
        <w:spacing w:after="0" w:line="131" w:lineRule="exact"/>
        <w:rPr>
          <w:rFonts w:ascii="Arial" w:cs="Arial" w:eastAsia="Arial" w:hAnsi="Arial"/>
          <w:sz w:val="18"/>
          <w:szCs w:val="18"/>
          <w:color w:val="auto"/>
        </w:rPr>
      </w:pPr>
    </w:p>
    <w:p>
      <w:pPr>
        <w:ind w:left="-80" w:firstLine="464"/>
        <w:spacing w:after="0" w:line="312" w:lineRule="auto"/>
        <w:tabs>
          <w:tab w:leader="none" w:pos="552" w:val="left"/>
        </w:tabs>
        <w:numPr>
          <w:ilvl w:val="0"/>
          <w:numId w:val="35"/>
        </w:numPr>
        <w:rPr>
          <w:rFonts w:ascii="Arial" w:cs="Arial" w:eastAsia="Arial" w:hAnsi="Arial"/>
          <w:sz w:val="15"/>
          <w:szCs w:val="15"/>
          <w:color w:val="auto"/>
        </w:rPr>
      </w:pPr>
      <w:r>
        <w:rPr>
          <w:rFonts w:ascii="Arial" w:cs="Arial" w:eastAsia="Arial" w:hAnsi="Arial"/>
          <w:sz w:val="15"/>
          <w:szCs w:val="15"/>
          <w:u w:val="single" w:color="auto"/>
          <w:color w:val="auto"/>
        </w:rPr>
        <w:t>MISCELLANEOUS</w:t>
      </w:r>
      <w:r>
        <w:rPr>
          <w:rFonts w:ascii="Arial" w:cs="Arial" w:eastAsia="Arial" w:hAnsi="Arial"/>
          <w:sz w:val="15"/>
          <w:szCs w:val="15"/>
          <w:color w:val="auto"/>
        </w:rPr>
        <w:t>. Except as set forth in this Amendment, all other terms and provisions of the Existing Agreement remain unmodified and in full force and effect. This Amendment shall be governed by the laws of the State of New York of the United States of America and shall for all purposes be governed by and construed in accordance with the laws of such state without regard to the conflict of law rules thereof other than Section 5-1401 of the New York General Obligations Law. In the event that any term or provision contained herein is held to be invalid, void or otherwise unenforceable by any court of competent jurisdiction, the fact that such term or provision is invalid, void or otherwise unenforceable shall in no way affect the validity or enforceability of any other term or provision contained herein. This Amendment may be executed in any number of counterparts and when signed by all of the parties hereto shall constitute a single binding agreement. Delivery of an executed counterpart hereof by facsimile transmission shall be effective as delivery of a manually executed counterpart.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320" w:top="280" w:right="319" w:bottom="1440" w:gutter="0" w:footer="0" w:header="0"/>
        </w:sectPr>
      </w:pPr>
    </w:p>
    <w:bookmarkStart w:id="75" w:name="page76"/>
    <w:bookmarkEnd w:id="75"/>
    <w:p>
      <w:pPr>
        <w:jc w:val="cente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Amendment as of the day and year first written above.</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its sole member</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tbl>
      <w:tblPr>
        <w:tblLayout w:type="fixed"/>
        <w:tblInd w:w="760" w:type="dxa"/>
        <w:tblCellMar>
          <w:top w:w="0" w:type="dxa"/>
          <w:left w:w="0" w:type="dxa"/>
          <w:bottom w:w="0" w:type="dxa"/>
          <w:right w:w="0" w:type="dxa"/>
        </w:tblCellMar>
      </w:tblPr>
      <w:tr>
        <w:trPr>
          <w:trHeight w:val="231"/>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Matt Maddox</w:t>
            </w:r>
          </w:p>
        </w:tc>
      </w:tr>
      <w:tr>
        <w:trPr>
          <w:trHeight w:val="216"/>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Matt Maddox</w:t>
            </w:r>
          </w:p>
        </w:tc>
      </w:tr>
      <w:tr>
        <w:trPr>
          <w:trHeight w:val="210"/>
        </w:trPr>
        <w:tc>
          <w:tcPr>
            <w:tcW w:w="58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3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CFO/Treasurer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[Signature Page to Fifth Amendment to</w:t>
      </w:r>
    </w:p>
    <w:p>
      <w:pPr>
        <w:spacing w:after="0" w:line="15"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Amended and Restated Master Disbursement Agreement]</w:t>
      </w:r>
    </w:p>
    <w:p>
      <w:pPr>
        <w:sectPr>
          <w:pgSz w:w="11900" w:h="16838" w:orient="portrait"/>
          <w:cols w:equalWidth="0" w:num="1">
            <w:col w:w="10219"/>
          </w:cols>
          <w:pgMar w:left="240" w:top="280" w:right="1440"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AGENT</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Mary Kay Coyle</w:t>
            </w:r>
          </w:p>
        </w:tc>
      </w:tr>
      <w:tr>
        <w:trPr>
          <w:trHeight w:val="212"/>
        </w:trPr>
        <w:tc>
          <w:tcPr>
            <w:tcW w:w="60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Mary Kay Coyle</w:t>
            </w:r>
          </w:p>
        </w:tc>
      </w:tr>
      <w:tr>
        <w:trPr>
          <w:trHeight w:val="210"/>
        </w:trPr>
        <w:tc>
          <w:tcPr>
            <w:tcW w:w="60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Managing Director</w:t>
            </w:r>
          </w:p>
        </w:tc>
      </w:tr>
      <w:tr>
        <w:trPr>
          <w:trHeight w:val="41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Scottye Lindsey</w:t>
            </w:r>
          </w:p>
        </w:tc>
      </w:tr>
      <w:tr>
        <w:trPr>
          <w:trHeight w:val="212"/>
        </w:trPr>
        <w:tc>
          <w:tcPr>
            <w:tcW w:w="60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Scottye Lindsey</w:t>
            </w:r>
          </w:p>
        </w:tc>
      </w:tr>
      <w:tr>
        <w:trPr>
          <w:trHeight w:val="210"/>
        </w:trPr>
        <w:tc>
          <w:tcPr>
            <w:tcW w:w="60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Director</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DISBURSEMENT AGENT</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Mary Kay Coyle</w:t>
            </w:r>
          </w:p>
        </w:tc>
      </w:tr>
      <w:tr>
        <w:trPr>
          <w:trHeight w:val="212"/>
        </w:trPr>
        <w:tc>
          <w:tcPr>
            <w:tcW w:w="60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Mary Kay Coyle</w:t>
            </w:r>
          </w:p>
        </w:tc>
      </w:tr>
      <w:tr>
        <w:trPr>
          <w:trHeight w:val="210"/>
        </w:trPr>
        <w:tc>
          <w:tcPr>
            <w:tcW w:w="60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Managing Director</w:t>
            </w:r>
          </w:p>
        </w:tc>
      </w:tr>
      <w:tr>
        <w:trPr>
          <w:trHeight w:val="41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Scottye Lindsey</w:t>
            </w:r>
          </w:p>
        </w:tc>
      </w:tr>
      <w:tr>
        <w:trPr>
          <w:trHeight w:val="212"/>
        </w:trPr>
        <w:tc>
          <w:tcPr>
            <w:tcW w:w="60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Scottye Lindsey</w:t>
            </w:r>
          </w:p>
        </w:tc>
      </w:tr>
      <w:tr>
        <w:trPr>
          <w:trHeight w:val="210"/>
        </w:trPr>
        <w:tc>
          <w:tcPr>
            <w:tcW w:w="60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 to Fifth Amendment to</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Amended and Restated Master Disbursement Agreement]</w:t>
      </w:r>
    </w:p>
    <w:p>
      <w:pPr>
        <w:sectPr>
          <w:pgSz w:w="11900" w:h="16838" w:orient="portrait"/>
          <w:cols w:equalWidth="0" w:num="1">
            <w:col w:w="10219"/>
          </w:cols>
          <w:pgMar w:left="240" w:top="280" w:right="1440"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I, Maurice Wooden, certify that:</w:t>
      </w:r>
    </w:p>
    <w:p>
      <w:pPr>
        <w:spacing w:after="0" w:line="90"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Las Vegas, LLC;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Dated: March 1, 2013</w:t>
            </w:r>
          </w:p>
        </w:tc>
        <w:tc>
          <w:tcPr>
            <w:tcW w:w="53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  Maurice Wooden</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Maurice Wooden</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President</w:t>
            </w:r>
          </w:p>
        </w:tc>
      </w:tr>
      <w:tr>
        <w:trPr>
          <w:trHeight w:val="230"/>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5"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I, Scott Peterson, certify that:</w:t>
      </w:r>
    </w:p>
    <w:p>
      <w:pPr>
        <w:spacing w:after="0" w:line="90"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Las Vegas, LLC;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Dated: March 1, 2013</w:t>
            </w:r>
          </w:p>
        </w:tc>
        <w:tc>
          <w:tcPr>
            <w:tcW w:w="53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  Scott Peterson</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Scott Peterson</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Financial Officer and</w:t>
            </w:r>
          </w:p>
        </w:tc>
      </w:tr>
      <w:tr>
        <w:trPr>
          <w:trHeight w:val="223"/>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Senior Vice President</w:t>
            </w:r>
          </w:p>
        </w:tc>
      </w:tr>
      <w:tr>
        <w:trPr>
          <w:trHeight w:val="216"/>
        </w:trPr>
        <w:tc>
          <w:tcPr>
            <w:tcW w:w="608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Financial Officer and</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Accounting Officer)</w:t>
            </w:r>
          </w:p>
        </w:tc>
      </w:tr>
    </w:tbl>
    <w:p>
      <w:pPr>
        <w:sectPr>
          <w:pgSz w:w="11900" w:h="16838" w:orient="portrait"/>
          <w:cols w:equalWidth="0" w:num="1">
            <w:col w:w="11420"/>
          </w:cols>
          <w:pgMar w:left="240" w:top="125"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connection with the Annual Report on Form 10-K of Wynn Las Vegas, LLC (the “Company”) for the year ended December 31, 2012 as filed with the Securities and Exchange Commission on the date hereof (the “Report”), Maurice Wooden, as President of the Company, and Scott Peterson, as Chief Financial Officer of the Company, each hereby certifies, pursuant to 18 U.S.C. Section 1350, as adopted pursuant to Section 906 of the Sarbanes-Oxley Act of 2002, that, to the best of his knowledge:</w:t>
      </w:r>
    </w:p>
    <w:p>
      <w:pPr>
        <w:spacing w:after="0" w:line="62"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w:t>
            </w:r>
          </w:p>
        </w:tc>
        <w:tc>
          <w:tcPr>
            <w:tcW w:w="41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Maurice Wooden</w:t>
            </w:r>
          </w:p>
        </w:tc>
      </w:tr>
      <w:tr>
        <w:trPr>
          <w:trHeight w:val="202"/>
        </w:trPr>
        <w:tc>
          <w:tcPr>
            <w:tcW w:w="20" w:type="dxa"/>
            <w:vAlign w:val="bottom"/>
          </w:tcPr>
          <w:p>
            <w:pPr>
              <w:spacing w:after="0"/>
              <w:rPr>
                <w:sz w:val="17"/>
                <w:szCs w:val="17"/>
                <w:color w:val="auto"/>
              </w:rPr>
            </w:pPr>
          </w:p>
        </w:tc>
        <w:tc>
          <w:tcPr>
            <w:tcW w:w="4560" w:type="dxa"/>
            <w:vAlign w:val="bottom"/>
            <w:gridSpan w:val="2"/>
          </w:tcPr>
          <w:p>
            <w:pPr>
              <w:spacing w:after="0" w:line="202" w:lineRule="exact"/>
              <w:rPr>
                <w:sz w:val="20"/>
                <w:szCs w:val="20"/>
                <w:color w:val="auto"/>
              </w:rPr>
            </w:pPr>
            <w:r>
              <w:rPr>
                <w:rFonts w:ascii="Arial" w:cs="Arial" w:eastAsia="Arial" w:hAnsi="Arial"/>
                <w:sz w:val="18"/>
                <w:szCs w:val="18"/>
                <w:color w:val="auto"/>
              </w:rPr>
              <w:t>Name: Maurice Wooden</w:t>
            </w:r>
          </w:p>
        </w:tc>
      </w:tr>
      <w:tr>
        <w:trPr>
          <w:trHeight w:val="222"/>
        </w:trPr>
        <w:tc>
          <w:tcPr>
            <w:tcW w:w="440" w:type="dxa"/>
            <w:vAlign w:val="bottom"/>
            <w:gridSpan w:val="2"/>
          </w:tcPr>
          <w:p>
            <w:pPr>
              <w:spacing w:after="0"/>
              <w:rPr>
                <w:sz w:val="20"/>
                <w:szCs w:val="20"/>
                <w:color w:val="auto"/>
              </w:rPr>
            </w:pPr>
            <w:r>
              <w:rPr>
                <w:rFonts w:ascii="Arial" w:cs="Arial" w:eastAsia="Arial" w:hAnsi="Arial"/>
                <w:sz w:val="18"/>
                <w:szCs w:val="18"/>
                <w:color w:val="auto"/>
              </w:rPr>
              <w:t>Title:</w:t>
            </w:r>
          </w:p>
        </w:tc>
        <w:tc>
          <w:tcPr>
            <w:tcW w:w="4140" w:type="dxa"/>
            <w:vAlign w:val="bottom"/>
          </w:tcPr>
          <w:p>
            <w:pPr>
              <w:ind w:left="80"/>
              <w:spacing w:after="0"/>
              <w:rPr>
                <w:sz w:val="20"/>
                <w:szCs w:val="20"/>
                <w:color w:val="auto"/>
              </w:rPr>
            </w:pPr>
            <w:r>
              <w:rPr>
                <w:rFonts w:ascii="Arial" w:cs="Arial" w:eastAsia="Arial" w:hAnsi="Arial"/>
                <w:sz w:val="18"/>
                <w:szCs w:val="18"/>
                <w:color w:val="auto"/>
              </w:rPr>
              <w:t>President</w:t>
            </w:r>
          </w:p>
        </w:tc>
      </w:tr>
    </w:tbl>
    <w:p>
      <w:pPr>
        <w:ind w:left="62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March 1, 2013</w:t>
      </w:r>
    </w:p>
    <w:p>
      <w:pPr>
        <w:spacing w:after="0" w:line="200" w:lineRule="exact"/>
        <w:rPr>
          <w:sz w:val="20"/>
          <w:szCs w:val="20"/>
          <w:color w:val="auto"/>
        </w:rPr>
      </w:pPr>
    </w:p>
    <w:p>
      <w:pPr>
        <w:spacing w:after="0" w:line="235" w:lineRule="exact"/>
        <w:rPr>
          <w:sz w:val="20"/>
          <w:szCs w:val="20"/>
          <w:color w:val="auto"/>
        </w:rPr>
      </w:pPr>
    </w:p>
    <w:p>
      <w:pPr>
        <w:ind w:left="180"/>
        <w:spacing w:after="0"/>
        <w:tabs>
          <w:tab w:leader="none" w:pos="5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Scott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Scott Peterson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 and</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March 1, 2013</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1]"/>
      <w:numFmt w:val="decimal"/>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1]"/>
      <w:numFmt w:val="decimal"/>
      <w:start w:val="1"/>
    </w:lvl>
  </w:abstractNum>
  <w:abstractNum w:abstractNumId="18">
    <w:nsid w:val="836C40E"/>
    <w:multiLevelType w:val="hybridMultilevel"/>
    <w:lvl w:ilvl="0">
      <w:lvlJc w:val="left"/>
      <w:lvlText w:val="%1."/>
      <w:numFmt w:val="decimal"/>
      <w:start w:val="2"/>
    </w:lvl>
  </w:abstractNum>
  <w:abstractNum w:abstractNumId="19">
    <w:nsid w:val="2901D82"/>
    <w:multiLevelType w:val="hybridMultilevel"/>
    <w:lvl w:ilvl="0">
      <w:lvlJc w:val="left"/>
      <w:lvlText w:val="%1."/>
      <w:numFmt w:val="decimal"/>
      <w:start w:val="8"/>
    </w:lvl>
  </w:abstractNum>
  <w:abstractNum w:abstractNumId="20">
    <w:nsid w:val="3A95F874"/>
    <w:multiLevelType w:val="hybridMultilevel"/>
    <w:lvl w:ilvl="0">
      <w:lvlJc w:val="left"/>
      <w:lvlText w:val="%1."/>
      <w:numFmt w:val="decimal"/>
      <w:start w:val="10"/>
    </w:lvl>
  </w:abstractNum>
  <w:abstractNum w:abstractNumId="21">
    <w:nsid w:val="8138641"/>
    <w:multiLevelType w:val="hybridMultilevel"/>
    <w:lvl w:ilvl="0">
      <w:lvlJc w:val="left"/>
      <w:lvlText w:val="%1."/>
      <w:numFmt w:val="decimal"/>
      <w:start w:val="11"/>
    </w:lvl>
  </w:abstractNum>
  <w:abstractNum w:abstractNumId="22">
    <w:nsid w:val="1E7FF521"/>
    <w:multiLevelType w:val="hybridMultilevel"/>
    <w:lvl w:ilvl="0">
      <w:lvlJc w:val="left"/>
      <w:lvlText w:val="(%1)"/>
      <w:numFmt w:val="decimal"/>
      <w:start w:val="2"/>
    </w:lvl>
  </w:abstractNum>
  <w:abstractNum w:abstractNumId="23">
    <w:nsid w:val="7C3DBD3D"/>
    <w:multiLevelType w:val="hybridMultilevel"/>
    <w:lvl w:ilvl="0">
      <w:lvlJc w:val="left"/>
      <w:lvlText w:val="(%1)"/>
      <w:numFmt w:val="decimal"/>
      <w:start w:val="3"/>
    </w:lvl>
  </w:abstractNum>
  <w:abstractNum w:abstractNumId="24">
    <w:nsid w:val="737B8DDC"/>
    <w:multiLevelType w:val="hybridMultilevel"/>
    <w:lvl w:ilvl="0">
      <w:lvlJc w:val="left"/>
      <w:lvlText w:val="(%1)"/>
      <w:numFmt w:val="lowerLetter"/>
      <w:start w:val="1"/>
    </w:lvl>
  </w:abstractNum>
  <w:abstractNum w:abstractNumId="25">
    <w:nsid w:val="6CEAF087"/>
    <w:multiLevelType w:val="hybridMultilevel"/>
    <w:lvl w:ilvl="0">
      <w:lvlJc w:val="left"/>
      <w:lvlText w:val="(%1)"/>
      <w:numFmt w:val="lowerLetter"/>
      <w:start w:val="3"/>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1"/>
      <w:numFmt w:val="decimal"/>
      <w:start w:val="10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1."/>
      <w:numFmt w:val="decimal"/>
      <w:start w:val="1"/>
    </w:lvl>
    <w:lvl w:ilvl="1">
      <w:lvlJc w:val="left"/>
      <w:lvlText w:val="%2"/>
      <w:numFmt w:val="lowerLetter"/>
      <w:start w:val="1"/>
    </w:lvl>
  </w:abstractNum>
  <w:abstractNum w:abstractNumId="32">
    <w:nsid w:val="440BADFC"/>
    <w:multiLevelType w:val="hybridMultilevel"/>
    <w:lvl w:ilvl="0">
      <w:lvlJc w:val="left"/>
      <w:lvlText w:val="%1."/>
      <w:numFmt w:val="lowerRoman"/>
      <w:start w:val="2"/>
    </w:lvl>
  </w:abstractNum>
  <w:abstractNum w:abstractNumId="33">
    <w:nsid w:val="5072367"/>
    <w:multiLevelType w:val="hybridMultilevel"/>
    <w:lvl w:ilvl="0">
      <w:lvlJc w:val="left"/>
      <w:lvlText w:val="%1"/>
      <w:numFmt w:val="decimal"/>
      <w:start w:val="1"/>
    </w:lvl>
    <w:lvl w:ilvl="1">
      <w:lvlJc w:val="left"/>
      <w:lvlText w:val="%2."/>
      <w:numFmt w:val="lowerRoman"/>
      <w:start w:val="3"/>
    </w:lvl>
  </w:abstractNum>
  <w:abstractNum w:abstractNumId="34">
    <w:nsid w:val="3804823E"/>
    <w:multiLevelType w:val="hybridMultilevel"/>
    <w:lvl w:ilvl="0">
      <w:lvlJc w:val="left"/>
      <w:lvlText w:val="%1."/>
      <w:numFmt w:val="decimal"/>
      <w:start w:val="2"/>
    </w:lvl>
    <w:lvl w:ilvl="1">
      <w:lvlJc w:val="left"/>
      <w:lvlText w:val="%2"/>
      <w:numFmt w:val="lowerRoman"/>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2019-12-07T04:32:45Z</dcterms:created>
  <dcterms:modified xsi:type="dcterms:W3CDTF">2019-12-07T04:32:45Z</dcterms:modified>
</cp:coreProperties>
</file>