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2"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580"/>
            <w:col w:w="786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5"/>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80"/>
          </w:cols>
          <w:pgMar w:left="240" w:top="230" w:right="379" w:bottom="1440" w:gutter="0" w:footer="0" w:header="0"/>
          <w:type w:val="continuous"/>
        </w:sectPr>
      </w:pPr>
    </w:p>
    <w:p>
      <w:pPr>
        <w:spacing w:after="0" w:line="213" w:lineRule="exact"/>
        <w:rPr>
          <w:sz w:val="24"/>
          <w:szCs w:val="24"/>
          <w:color w:val="auto"/>
        </w:rPr>
      </w:pPr>
    </w:p>
    <w:p>
      <w:pPr>
        <w:ind w:left="26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4260" w:space="80"/>
            <w:col w:w="160" w:space="520"/>
            <w:col w:w="1180" w:space="80"/>
            <w:col w:w="160" w:space="540"/>
            <w:col w:w="1480" w:space="120"/>
            <w:col w:w="270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00" w:space="160"/>
            <w:col w:w="260" w:space="80"/>
            <w:col w:w="160" w:space="180"/>
            <w:col w:w="2040"/>
          </w:cols>
          <w:pgMar w:left="240" w:top="230" w:right="3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12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Wynn Resorts Holdings, LLC owns all of the membership interests of the Registrant as of November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Financial Information</w:t>
              </w:r>
            </w:hyperlink>
          </w:p>
        </w:tc>
        <w:tc>
          <w:tcPr>
            <w:tcW w:w="802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220" w:type="dxa"/>
            <w:vAlign w:val="bottom"/>
            <w:gridSpan w:val="9"/>
          </w:tcPr>
          <w:p>
            <w:pPr>
              <w:spacing w:after="0"/>
              <w:rPr>
                <w:sz w:val="22"/>
                <w:szCs w:val="22"/>
                <w:color w:val="auto"/>
              </w:rPr>
            </w:pPr>
          </w:p>
        </w:tc>
        <w:tc>
          <w:tcPr>
            <w:tcW w:w="60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2006 and December 31, 2005</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nine months ended September 30, 2006 and 2005 (as</w:t>
              </w:r>
            </w:hyperlink>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restated)</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80" w:type="dxa"/>
            <w:vAlign w:val="bottom"/>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 Nine months ended September 30, 2006 and 2005 (as restated)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300" w:type="dxa"/>
            <w:vAlign w:val="bottom"/>
            <w:tcBorders>
              <w:top w:val="single" w:sz="8" w:color="0000EE"/>
            </w:tcBorders>
            <w:gridSpan w:val="3"/>
          </w:tcPr>
          <w:p>
            <w:pPr>
              <w:spacing w:after="0"/>
              <w:rPr>
                <w:sz w:val="22"/>
                <w:szCs w:val="22"/>
                <w:color w:val="auto"/>
              </w:rPr>
            </w:pPr>
          </w:p>
        </w:tc>
        <w:tc>
          <w:tcPr>
            <w:tcW w:w="420" w:type="dxa"/>
            <w:vAlign w:val="bottom"/>
            <w:gridSpan w:val="2"/>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3400" w:type="dxa"/>
            <w:vAlign w:val="bottom"/>
            <w:gridSpan w:val="4"/>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Controls and Procedures</w:t>
              </w:r>
            </w:hyperlink>
          </w:p>
        </w:tc>
        <w:tc>
          <w:tcPr>
            <w:tcW w:w="2520" w:type="dxa"/>
            <w:vAlign w:val="bottom"/>
            <w:tcBorders>
              <w:top w:val="single" w:sz="8" w:color="0000EE"/>
            </w:tcBorders>
          </w:tcPr>
          <w:p>
            <w:pPr>
              <w:spacing w:after="0"/>
              <w:rPr>
                <w:sz w:val="22"/>
                <w:szCs w:val="22"/>
                <w:color w:val="auto"/>
              </w:rPr>
            </w:pPr>
          </w:p>
        </w:tc>
        <w:tc>
          <w:tcPr>
            <w:tcW w:w="5440" w:type="dxa"/>
            <w:vAlign w:val="bottom"/>
            <w:gridSpan w:val="6"/>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43">
              <w:r>
                <w:rPr>
                  <w:rFonts w:ascii="Arial" w:cs="Arial" w:eastAsia="Arial" w:hAnsi="Arial"/>
                  <w:sz w:val="18"/>
                  <w:szCs w:val="18"/>
                  <w:b w:val="1"/>
                  <w:bCs w:val="1"/>
                  <w:color w:val="0000EE"/>
                  <w:w w:val="92"/>
                </w:rPr>
                <w:t>Other Information</w:t>
              </w:r>
            </w:hyperlink>
          </w:p>
        </w:tc>
        <w:tc>
          <w:tcPr>
            <w:tcW w:w="2980" w:type="dxa"/>
            <w:vAlign w:val="bottom"/>
            <w:gridSpan w:val="2"/>
          </w:tcPr>
          <w:p>
            <w:pPr>
              <w:spacing w:after="0"/>
              <w:rPr>
                <w:sz w:val="17"/>
                <w:szCs w:val="17"/>
                <w:color w:val="auto"/>
              </w:rPr>
            </w:pPr>
          </w:p>
        </w:tc>
        <w:tc>
          <w:tcPr>
            <w:tcW w:w="5900" w:type="dxa"/>
            <w:vAlign w:val="bottom"/>
          </w:tcPr>
          <w:p>
            <w:pPr>
              <w:spacing w:after="0"/>
              <w:rPr>
                <w:sz w:val="17"/>
                <w:szCs w:val="17"/>
                <w:color w:val="auto"/>
              </w:rPr>
            </w:pPr>
          </w:p>
        </w:tc>
      </w:tr>
      <w:tr>
        <w:trPr>
          <w:trHeight w:val="26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Unregistered Sales of Equity Securities and Use of Proceeds</w:t>
              </w:r>
            </w:hyperlink>
          </w:p>
        </w:tc>
        <w:tc>
          <w:tcPr>
            <w:tcW w:w="140" w:type="dxa"/>
            <w:vAlign w:val="bottom"/>
          </w:tcPr>
          <w:p>
            <w:pPr>
              <w:spacing w:after="0"/>
              <w:rPr>
                <w:sz w:val="22"/>
                <w:szCs w:val="22"/>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0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5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112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8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289,856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278,907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2,367,756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2,324,794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700" w:type="dxa"/>
            <w:vAlign w:val="bottom"/>
            <w:gridSpan w:val="2"/>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3,101,288</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211,732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221,732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1,648,184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1,748,510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1,887,396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1,970,999</w:t>
            </w:r>
          </w:p>
        </w:tc>
        <w:tc>
          <w:tcPr>
            <w:tcW w:w="0" w:type="dxa"/>
            <w:vAlign w:val="bottom"/>
          </w:tcPr>
          <w:p>
            <w:pPr>
              <w:spacing w:after="0"/>
              <w:rPr>
                <w:sz w:val="1"/>
                <w:szCs w:val="1"/>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1,451,703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1,445,785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(237,811)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1,213,892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1,224,829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3,101,288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32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(as Restated)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$131,850</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123,049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371,891</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69,278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221,598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44,808</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143,482</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310,249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287,451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938,683</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(36,266)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(114,532)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273,228</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251,185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824,151</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452,313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60,468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181,624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45,334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139,516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44,707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131,116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36,225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251,109</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229,534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758,326</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(16,402)</w:t>
            </w: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(29,150)</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(32,052)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(91,964)</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(10,758)</w:t>
            </w: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(10,758)</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(38,304)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(20,884)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(83,683)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(33,272)</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 (15,864)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(16,855)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(49,674)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(16,855)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(49,674)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112,793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Loss on debt extinguishment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11,403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(8,033)</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(21,832)</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(65,907)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(4,981)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119,817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139,048</w:t>
            </w: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(163,636)</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(627,666)</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138,265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406,453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(80,767)</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(20,423)</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(23,906)</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(18,069)</w:t>
            </w: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(40,833)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(347,432)</w:t>
            </w: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(413,744)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313,629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517,186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(7,708)</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(98,082)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490,478</w:t>
            </w:r>
          </w:p>
        </w:tc>
        <w:tc>
          <w:tcPr>
            <w:tcW w:w="60" w:type="dxa"/>
            <w:vAlign w:val="bottom"/>
            <w:shd w:val="clear" w:color="auto" w:fill="CCEEFF"/>
          </w:tcPr>
          <w:p>
            <w:pPr>
              <w:spacing w:after="0"/>
              <w:rPr>
                <w:sz w:val="18"/>
                <w:szCs w:val="18"/>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181,974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87,777</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207,665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on “the Strip” in Las Vegas, Nevada. Wynn Las Vegas opened to the public on April 28, 2005. In addition, the Company is constructing “Encore at Wynn Las Vegas” or “Encore.” Encore will be fully integrated with Wynn Las Vegas and is being constructed on 20 acres of land immediately adjacent to Wynn Las Vegas. Encore is expected to open to the public in early 2009.</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2006, Wynn Las Vegas, LLC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opening of Wynn Las Vegas on April 28, 2005, the Company was solely a development stage company.</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Reclassifications</w:t>
      </w:r>
    </w:p>
    <w:p>
      <w:pPr>
        <w:spacing w:after="0" w:line="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Management fees for the three and nine months ended September 30, 2005 previously included in general and administrative expenses have been reclassified as “management fees”. These reclassifications had no effect on the previously reported net income (loss).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2006 and December 31, 2005, approximately 57% and 70%, respectively, of the Company’s markers were due from customers residing in foreign countries. Business or economic conditions or other significant events in these countries could affect the collectibility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and nine months ended September 30, 2006 and 2005 is primarily included in casino expenses as follows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6"/>
              </w:rPr>
              <w:t>September 30, 2006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September 30, 2005</w:t>
            </w:r>
          </w:p>
        </w:tc>
      </w:tr>
      <w:tr>
        <w:trPr>
          <w:trHeight w:val="142"/>
        </w:trPr>
        <w:tc>
          <w:tcPr>
            <w:tcW w:w="672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3 months</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9 months</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3 months</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9 months</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$ 18,574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$ 10,654</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&amp;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42,162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13,370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23,351</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21,572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$ 67,604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23,745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$ 40,134</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runs. For the three and nine months ended September 30, 2006, advertising costs totaled approximately $3.7 million and $14.5 million, respectively. Advertising costs for the three and nine months ended September 30, 2005 were approximately $3.2 million and $14.2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9 “Share-Based Compensation”.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June 2006, the FASB issued Interpretation No.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will not have an impact on the Company’s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an amendment of FASB Statements No. 87, 88, 106, and 132(R)”. This statement requires an employer to recognize the overfunded or underfunded status of a defined benefit postretirement plan (other than a multiemployer plan) as an asset or liability on the balance sheet and to recognize changes in that funded status in the year in which the changes occur through comprehensive income. The Company is required to initially recognize the funded status of a defined benefit postretirement plan and to provide the required disclosures as of December 31, 2006. Since the Company does not sponsor any defined benefit postretirement plans, this statement is not expected to have a material impact on the Company’s financial position or results of operations.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2006, the SEC issued Staff Accounting Bulletin No. 108, “Considering the Effects of Prior Year Misstatements when Quantifying Misstatements in Current Year Financial Statements,” (“SAB 108”). SAB 108 requires companies to evaluate the materiality of identified unadjusted errors on each financial statement and related financial statement disclosure using both the rollover approach and the iron curtain approach. The rollover approach quantifies 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108 is effective for interim periods of the first fiscal year ending after November 15, 2006. The company is currently evaluating what effect, if any, adoption of SAB 108 will have on the company’s consolidated results of operations and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Interest paid for the nine months ended September 30, 2006 and 2005 totaled approximately $66.5 million and $60.5 million, respectively. Interest capitalized for the nine months ended September 30, 2006 and 2005 totaled approximately $3.6 million and $36.6 million, respectively.</w:t>
      </w:r>
    </w:p>
    <w:p>
      <w:pPr>
        <w:spacing w:after="0" w:line="8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Encore that was capitalized into construction in progress for the nine months ended September 30, 2006 and 2005 totaled approximately $1.0 million and $1.6 million, respectively.</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nine months ended September 30, 2006 and 2005, capital expenditures includes approximately $7.9 million and $84.8 million, respectively, of decreases in construction payables and retention recorded through amounts due to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August 15, 2005, the Company loaned $80.0 million to Wynn Resorts that further loaned those funds through its subsidiaries to Wynn Macau, S.A. as part of the financing of Wynn Macau, Wynn Resorts’ casino resort facility in the Macau Special Administrative Region of the People’s Republic of China (“Macau”), which opened to the public on September 6, 2006. Interest is payable semi-annually at 7.5% per annum. Unpaid principal and interest is due at maturity on August 15, 2012. Included in the balances as of September 30, 2006 and December 31, 2005, was approximately $879,000 and $2.3 million, respectively, of accrued interest receivable related to this note.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 from Affiliates, Net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2006, the Company’s net due to affiliates was primarily comprised of construction payables of approximately $19.7 million, construction retention of approximately $8.8 million, a management fee of approximately $23.2 million (equal to 1.5% of revenues and payable upon meeting certain leverage ratios as specified in the documents governing the Company’s credit facilities), and amounts payable to affiliates totaling $14.8 million (primarily corporate allocations discussed below). As of December 31, 2005 the Company’s net due to affiliates was primarily comprised of construction payables of approximately $22.4 million, construction retention of approximately $14.1 million, a management fee of approximately $10.8 million (equal to 1.5% of revenues and payable upon meeting certain leverage ratios as specified in the documents governing the Company’s credit facilities) and other operating liabilities (primarily corporate allocations discussed below) of $8.8 million.</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Immediately prior to the opening of Wynn Las Vegas, the Company settled amounts due to affiliates through equity transactions. Subsequent to opening Wynn Las Vegas on April 28, 2005, 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 from Affiliates, Net” above. During the three and nine months ended September 30, 2006 approximately $4.6 million and $12.0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periodically provides services to Stephen A. Wynn, Chairman of the Board, Chief Executive Officer and one of the principal stockholders of Wynn Resorts (“Mr. Wynn”), and certain other executive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officers of Wynn Resorts, including household services, construction work and other personal services. Mr. Wynn and these other officers have amounts on deposit with Wynn Resorts to prepay any such items, which are replenished on an ongoing basis as needed. At September 30, 2006 and December 31, 2005, Wynn Resorts owed Mr. Wynn and the other officers approximately $361,000 and $412,000,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All services for, and maintenance of, the suite are included in the rental, with certain exceptions.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106,020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Hotel</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126,071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100,184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599,278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1,167,307</w:t>
            </w:r>
          </w:p>
        </w:tc>
        <w:tc>
          <w:tcPr>
            <w:tcW w:w="5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1,159,363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604,712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581,977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139,657</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2,558,522</w:t>
            </w:r>
          </w:p>
        </w:tc>
        <w:tc>
          <w:tcPr>
            <w:tcW w:w="5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2,415,868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(190,766)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2,367,756</w:t>
            </w:r>
          </w:p>
        </w:tc>
        <w:tc>
          <w:tcPr>
            <w:tcW w:w="5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$ 2,324,794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620" w:right="80"/>
        <w:spacing w:after="0" w:line="440" w:lineRule="auto"/>
        <w:rPr>
          <w:sz w:val="20"/>
          <w:szCs w:val="20"/>
          <w:color w:val="auto"/>
        </w:rPr>
      </w:pPr>
      <w:r>
        <w:rPr>
          <w:rFonts w:ascii="Arial" w:cs="Arial" w:eastAsia="Arial" w:hAnsi="Arial"/>
          <w:sz w:val="18"/>
          <w:szCs w:val="18"/>
          <w:color w:val="auto"/>
        </w:rPr>
        <w:t>As of September 30, 2006 and December 31, 2005, construction in progress includes interest and other costs capitalized in conjunction with Encore. 12</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12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w w:val="97"/>
              </w:rPr>
              <w:t>$600.0 million Revolving Credit Facility; due December 14, 2009; interest at LIBOR plus 2.25% (approximately 6.7%)</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7"/>
              </w:rPr>
              <w:t>$400.0 million Delay Draw Term Loan Facility; due December 14, 2011 interest at LIBOR plus 2.125% (approximately</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w w:val="99"/>
              </w:rPr>
              <w:t>$900.0 million Revolving Credit Facility; due August 15, 2011; interest at LIBOR plus 1.625% (approximately 7.0%)</w:t>
            </w:r>
          </w:p>
        </w:tc>
        <w:tc>
          <w:tcPr>
            <w:tcW w:w="860" w:type="dxa"/>
            <w:vAlign w:val="bottom"/>
          </w:tcPr>
          <w:p>
            <w:pPr>
              <w:jc w:val="right"/>
              <w:spacing w:after="0"/>
              <w:rPr>
                <w:sz w:val="20"/>
                <w:szCs w:val="20"/>
                <w:color w:val="auto"/>
              </w:rPr>
            </w:pPr>
            <w:r>
              <w:rPr>
                <w:rFonts w:ascii="Arial" w:cs="Arial" w:eastAsia="Arial" w:hAnsi="Arial"/>
                <w:sz w:val="18"/>
                <w:szCs w:val="18"/>
                <w:color w:val="auto"/>
              </w:rPr>
              <w:t>88,629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5"/>
              </w:rPr>
              <w:t>$225.0 million Term Loan Facility; $112.5 million due September 30, 2012 with remaining $112.5 million due August 15,</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 (approximately 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7.7% and 6.9%,</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60" w:type="dxa"/>
            <w:vAlign w:val="bottom"/>
          </w:tcPr>
          <w:p>
            <w:pPr>
              <w:jc w:val="right"/>
              <w:spacing w:after="0"/>
              <w:rPr>
                <w:sz w:val="20"/>
                <w:szCs w:val="20"/>
                <w:color w:val="auto"/>
              </w:rPr>
            </w:pPr>
            <w:r>
              <w:rPr>
                <w:rFonts w:ascii="Arial" w:cs="Arial" w:eastAsia="Arial" w:hAnsi="Arial"/>
                <w:sz w:val="18"/>
                <w:szCs w:val="18"/>
                <w:color w:val="auto"/>
              </w:rPr>
              <w:t>39,792</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43,536</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6"/>
              </w:rPr>
              <w:t>12% Second Mortgage Notes, net of original issue discount of approximately $372,000 and $440,000, respectively due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November 1, 2010; effective interest at approximately 12.9%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CCEEFF"/>
          </w:tcPr>
          <w:p>
            <w:pPr>
              <w:spacing w:after="0"/>
              <w:rPr>
                <w:sz w:val="19"/>
                <w:szCs w:val="19"/>
                <w:color w:val="auto"/>
              </w:rPr>
            </w:pPr>
          </w:p>
        </w:tc>
      </w:tr>
      <w:tr>
        <w:trPr>
          <w:trHeight w:val="222"/>
        </w:trPr>
        <w:tc>
          <w:tcPr>
            <w:tcW w:w="9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1,663,191</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1,763,238</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(15,007)</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(14,728)</w:t>
            </w:r>
          </w:p>
        </w:tc>
      </w:tr>
      <w:tr>
        <w:trPr>
          <w:trHeight w:val="222"/>
        </w:trPr>
        <w:tc>
          <w:tcPr>
            <w:tcW w:w="9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$ 1,648,184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$ 1,748,510</w:t>
            </w:r>
          </w:p>
        </w:tc>
        <w:tc>
          <w:tcPr>
            <w:tcW w:w="8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August 15, 2006 the Company refinanced its Revolving Credit Facility (the “Revolver”) and its Delay Draw Term Loan Facility (the “Term Loans”) (together, the “Credit Facilities”).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15, 2006, the Company entered into an Amended and Restated Credit Agreement (the “Amended and Restated Credit Agreement”) which, among other things, (i) increased the Credit Facilities from $1.0 billion to $1.125 billion by increasing the Revolver from $600.0 million to $900.0 million and reducing the Term Loans from $400.0 million to $225.0 million; (ii) reduced the borrowing margins on London Interbank Offered Rate (“LIBOR”)-based Revolver and Term Loans by 0.625% and 0.250%, respectively; (iii) extended the maturity dates for the Revolver and the Term Loans to August 15, 2011 and August 15,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1.00% to 1.75%, depending on the Company’s leverage ratio; and (ii) simplified the procedures for and conditions to obtaining advances under and reduced the reporting obligations under, the Amended and Restated Credit Agreement upon the satisfaction of certain conditions, including fully utilizing all previously funded amounts under the 6-5/8% First Mortgage Notes due 2014 (the “First Mortgage Notes) for payment of Encore project costs.</w:t>
      </w:r>
    </w:p>
    <w:p>
      <w:pPr>
        <w:spacing w:after="0" w:line="33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accordance with Emerging Issues Task Force issue 96-19, “Debtor’s Accounting for a Modification or Exchange of Debt Instruments,” (“EITF 96-19”) the Company recorded a loss on extinguishment of debt for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three and nine months ended September 30, 2006 of approximately $10.8 million to reflect the write-off of the previous Term Loan’s unamortized deferred financing costs and the payment of certain third-party bank fees incurred during the refinancing.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 the Company was in compliance with all covenants governing the Company’s debt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The Company has entered into floating-for-fixed interest rate swap arrangements relating to its Term Loans. The Company accounts for its interest rate swaps in accordance with Statement of Financial Accounting Standards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(“SFAS No. 133”), and its related interpretations.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14, 2004, the Company entered into two $200.0 million notional amount interest rate swap arrangements to fix the interest rate on the $400.0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 (or decrease) in swap fair value as a component of other income (expense), net since the interest rate swaps did not qualify for hedge accounting.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15, 2006, the Company reduced its Term Loan facility as part of the refinancing of the Credit Facilities, and concurrently terminated one of its two $200.0 million interest rate swap arrangements. The Company received approximately $6.6 million in cash from unwinding this interest rate swap. The Company elected to retain the second $200.0 million interest rate swap to essentially fix the interest rate on $200.0 million of the new $225.0 million of Term Loan borrowings. Because the Company continues to pay a fixed rate of 3.793% on the $200.0 million notional amount and receives payments based on LIBOR, the interest rate on $200.0 million of the new $225.0 million Term Loan is fixed at approximately 5.668%. The interest rate on the remaining $25.0 million of Term Loan is subject to the changes in the LIBOR rates over time.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September 30, 2006 the Company recorded approximately $5.0 million in deposits and other assets to reflect the fair value of the remaining $200.0 million notional amount interest rate swap. As of December 31, 2005, the Company recorded approximately $10.5 million in deposits and other assets to reflect the fair value of the two $200.0 million notional amount interest rate swaps.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noted above, although these interest rate swaps are highly effective economically in fixing the interest rate on the respective Term Loans, these interest rate swaps do not qualify for hedge accounting. Accordingly, changes in the fair value of these interest rate swaps for each reporting period are recorded as an increase or (decrease) in swap fair value, a component of other income (expense), net.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(“ISO”),</w:t>
      </w:r>
    </w:p>
    <w:p>
      <w:pPr>
        <w:spacing w:after="0" w:line="38" w:lineRule="exact"/>
        <w:rPr>
          <w:sz w:val="20"/>
          <w:szCs w:val="20"/>
          <w:color w:val="auto"/>
        </w:rPr>
      </w:pPr>
    </w:p>
    <w:p>
      <w:pPr>
        <w:ind w:right="220" w:firstLine="8"/>
        <w:spacing w:after="0" w:line="255"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compensatory (i.e. non qualified) stock options (“NQSO”),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4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September 30, 2006, 3,920,712 shares remain available for the grant of stock options or nonvested shares of Wynn Resorts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summary of option activity under the Stock Plan as of September 30, 2006, and the changes during the nine months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1,717,800</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$ 39.50</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153,500</w:t>
            </w:r>
          </w:p>
        </w:tc>
        <w:tc>
          <w:tcPr>
            <w:tcW w:w="6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6"/>
              </w:rPr>
              <w:t>$ 68.81</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(231,500)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$ 21.97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(138,550)</w:t>
            </w:r>
          </w:p>
        </w:tc>
        <w:tc>
          <w:tcPr>
            <w:tcW w:w="1080" w:type="dxa"/>
            <w:vAlign w:val="bottom"/>
            <w:gridSpan w:val="2"/>
          </w:tcPr>
          <w:p>
            <w:pPr>
              <w:spacing w:after="0"/>
              <w:rPr>
                <w:sz w:val="20"/>
                <w:szCs w:val="20"/>
                <w:color w:val="auto"/>
              </w:rPr>
            </w:pPr>
            <w:r>
              <w:rPr>
                <w:rFonts w:ascii="Arial" w:cs="Arial" w:eastAsia="Arial" w:hAnsi="Arial"/>
                <w:sz w:val="18"/>
                <w:szCs w:val="18"/>
                <w:color w:val="auto"/>
              </w:rPr>
              <w:t>$ 40.11</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1,501,250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$ 45.07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$34,814,335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2006</w:t>
            </w: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auto"/>
                <w:w w:val="86"/>
              </w:rPr>
              <w:t>$ 28.89</w:t>
            </w:r>
          </w:p>
        </w:tc>
        <w:tc>
          <w:tcPr>
            <w:tcW w:w="54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7.10</w:t>
            </w:r>
          </w:p>
        </w:tc>
        <w:tc>
          <w:tcPr>
            <w:tcW w:w="1460" w:type="dxa"/>
            <w:vAlign w:val="bottom"/>
            <w:gridSpan w:val="3"/>
            <w:vMerge w:val="restart"/>
          </w:tcPr>
          <w:p>
            <w:pPr>
              <w:jc w:val="center"/>
              <w:ind w:left="432"/>
              <w:spacing w:after="0"/>
              <w:rPr>
                <w:sz w:val="20"/>
                <w:szCs w:val="20"/>
                <w:color w:val="auto"/>
              </w:rPr>
            </w:pPr>
            <w:r>
              <w:rPr>
                <w:rFonts w:ascii="Arial" w:cs="Arial" w:eastAsia="Arial" w:hAnsi="Arial"/>
                <w:sz w:val="18"/>
                <w:szCs w:val="18"/>
                <w:color w:val="auto"/>
                <w:w w:val="89"/>
              </w:rPr>
              <w:t>$13,658,710</w:t>
            </w:r>
          </w:p>
        </w:tc>
        <w:tc>
          <w:tcPr>
            <w:tcW w:w="0" w:type="dxa"/>
            <w:vAlign w:val="bottom"/>
          </w:tcPr>
          <w:p>
            <w:pPr>
              <w:spacing w:after="0" w:line="20" w:lineRule="exact"/>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347,500</w:t>
            </w:r>
          </w:p>
        </w:tc>
        <w:tc>
          <w:tcPr>
            <w:tcW w:w="6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nine months ended September 30, 2006 and 2005 was $31.01 and $25.42, respectively. The total intrinsic value of the options exercised for the nine months ended September 30, 2006 and 2005 was $11.4 million and $2.0 million, respectively. Since all deferred tax assets are fully reserved, these amounts did not create any tax benefit.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summary of the status of the Stock Plan’s nonvested shares as of September 30, 2006 and changes during the nine months ended September 30, 2006,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146,000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146,000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the periods presented are equal to the U.S. Treasury yield curve at the time of grant for the period equal to the expected term.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September 30, 2006</w:t>
            </w: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 2005</w:t>
            </w:r>
          </w:p>
        </w:tc>
      </w:tr>
      <w:tr>
        <w:trPr>
          <w:trHeight w:val="142"/>
        </w:trPr>
        <w:tc>
          <w:tcPr>
            <w:tcW w:w="57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3 months</w:t>
            </w: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9 months</w:t>
            </w:r>
          </w:p>
        </w:tc>
        <w:tc>
          <w:tcPr>
            <w:tcW w:w="8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3 months</w:t>
            </w: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9 months</w:t>
            </w:r>
          </w:p>
        </w:tc>
        <w:tc>
          <w:tcPr>
            <w:tcW w:w="14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32.5%</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820" w:type="dxa"/>
            <w:vAlign w:val="bottom"/>
          </w:tcPr>
          <w:p>
            <w:pPr>
              <w:spacing w:after="0"/>
              <w:rPr>
                <w:sz w:val="19"/>
                <w:szCs w:val="19"/>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7.0</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adoption of SFAS No. 123(R) and the related interpretations on January 1, 2006, resulted in the recognition of approximately $1.9 million and $5.6 million of compensation cost related to stock options for the three and nine months ended September 30, 2006,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three and nine months ended September 30, 2006, the Company recognized compensation cost related to nonvested shares of Wynn Resorts’ common stock of approximately $315,000 and $365,000, respectively. Approximately $9.2 million of unamortized compensation cost relating to nonvested shares of Common Stock at September 30, 2006, will be recognized as compensation over the vesting period of the related grants through May 2016.</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total compensation cost relating to both stock options and nonvested stock for the three and nine months ended September 30, 2006 is allocated as follows (amounts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September 30, 2006</w:t>
            </w:r>
          </w:p>
        </w:tc>
      </w:tr>
      <w:tr>
        <w:trPr>
          <w:trHeight w:val="142"/>
        </w:trPr>
        <w:tc>
          <w:tcPr>
            <w:tcW w:w="89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3 months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9 months</w:t>
            </w:r>
          </w:p>
        </w:tc>
        <w:tc>
          <w:tcPr>
            <w:tcW w:w="20" w:type="dxa"/>
            <w:vAlign w:val="bottom"/>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$ 2,164</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18"/>
                <w:szCs w:val="18"/>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2,260</w:t>
            </w:r>
          </w:p>
        </w:tc>
        <w:tc>
          <w:tcPr>
            <w:tcW w:w="5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$ 5,918</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three and nine months ended September 30, 2005. Accordingly, compensation expense was recognized only to the extent that the market value at the date of grant exceeded the exercise price.</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illustrates the effect on the net loss that would have resulted had the Company applied the fair value recognition provisions of SFAS No. 123, “Accounting for Stock-Based Compensation” to stock-based employee compensation during the three and nine months ended September 30, 2005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3 months</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9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restated</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1,012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w w:val="91"/>
              </w:rPr>
              <w:t>Less: total stock-based employee compensation expenses determined under the fair value method for all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(1,341)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00" w:hanging="232"/>
        <w:spacing w:after="0" w:line="391" w:lineRule="auto"/>
        <w:tabs>
          <w:tab w:leader="none" w:pos="27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Wynn Las Vegas Enhancements. </w:t>
      </w:r>
      <w:r>
        <w:rPr>
          <w:rFonts w:ascii="Arial" w:cs="Arial" w:eastAsia="Arial" w:hAnsi="Arial"/>
          <w:sz w:val="16"/>
          <w:szCs w:val="16"/>
          <w:color w:val="auto"/>
        </w:rPr>
        <w:t>The Company continues to make certain enhancements and refinements to Wynn Las Vegas. As a result,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and will continue to incur capital expenditures relating to these enhancements and refinements. Under the terms of the Credit Facilities, the Company is permitted up to $100.0 million of capital expenditures in 2006, of which approximately $47.9 million was spent during the first nine months of 2006. These spending limits do not apply to any funds that may be contributed to the Company by Wynn Resorts.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In 2002, the Company became a party to long-term agreements for the licensing, creation, development and production of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the water-based production show which opened at Wynn Las Vegas on April 28, 2005. In 2004, the Company also purchased the rights to, and in August 2005 began to present, the Tony Award-winning musical production “Avenue Q,” in Wynn Las Vegas’ Broadway Theater. In connection with Avenue Q, the Company was a party to a production services agreement for all production services related to the show.</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was required to make payments to the creators and producers of each show based upon certain criteria including net ticket sales or profits.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May 28, 2006, the Company ended Avenue Q’s production run at Wynn Las Vegas. To terminate the contract, the Company paid a termination fee of $5.0 million, which was recorded in the first quarter of 2006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 The Company intends to present “Monty Python’s Spamalot” in the renovated Broadway Theater. The Company expects to commence public performances of “Monty Python’s Spamalot” in the first quarter of 2007.</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April 2006, the Company canceled the 189,723 nonvested shares of Wynn Resorts’ common stock granted, subject to certain performance criteria, to the executive producer of “Le Reve.”</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May 31, 2006, the Company entered into an agreement to acquire substantially all intellectual property rights related to “Le Reve” which were previously only licensed to the Company. The Company paid $15.9 million to acquire substantially all of the rights in and to “Le Reve,” and to repay approximately $1.4 million of production costs, which were reimbursable to the executive producer of “Le Reve.” The rights acquired enable the Company to produce, present, enhance, or alter the performance of “Le Reve” after May 31, 2006.</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Encore Construction and Development</w:t>
      </w:r>
      <w:r>
        <w:rPr>
          <w:rFonts w:ascii="Arial" w:cs="Arial" w:eastAsia="Arial" w:hAnsi="Arial"/>
          <w:sz w:val="16"/>
          <w:szCs w:val="16"/>
          <w:color w:val="auto"/>
        </w:rPr>
        <w:t>. On March 31, 2006, the Company’s lenders approved a $1.74 billion project budget and the related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for Encore (the “Encore Budget, Plans and Specs”). The Company continues to refine the design of Encore and is evaluating certain enhancements, which may increase the project budget. In addition, we are negotiating the guaranteed maximum price construction contract for Encore (the “Encore GMP”). Any increase to the Encore budget would be funded by contributions of debt and/or equity from Wynn Resorts. Encore’s current design includes a 2,042-room hotel tower fully integrated with Wynn Las Vegas, consisting of 132 suites and 1,910 guest rooms, as well as an approximately 54,000 square foot casino, additional convention and meeting space, as well as restaurants, a nightclub, swimming pools, a spa and salon and retail outlets. The Encore Budget, Plans and Specs include approximately $70.0 million to be incurred for an additional employee parking garage located on the Company’s Koval property across Sands Avenue from Wynn Las Vegas, a related pedestrian bridge, and costs to be incurred in connection with preparing the Broadway Theater to host “Monty Python’s Spamalot.” The Company commenced construction of Encore on April 28, 2006 and expects to open Encore to the public by early 2009.</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31, 2006, Wynn Resorts delivered an equity commitment agreement to the lenders under the Credit Facilities. Under that agreement, Wynn Resorts had committed to pay up to $215.3 million of Encore project costs if the Company was unable to do so. The Amended and Restated Credit Agreement (See Note 7 “Long-term Debt”) increased the aggregate amount available under the Credit Facilities from $1.0 billion to $1.125 billion. As a result of this increase and with other funds becoming available to pay for Encore project costs, Wynn Resorts’ maximum commitment to pay Encore project costs was reduced from $215.3 million to $70.0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Through September 30, 2006, the Company incurred approximately $200.7 million of the Encore project costs. These costs, net of approximately $6.4 million of retention, have been funded from the Credit Facilities, the First Mortgage Notes and cash flow from the operations of Wynn Las Vegas. Prior to signing a guaranteed maximum price construction contract, the Company is permitted to spend up to $300.0 million of the proceeds of the First Mortgage Notes and the Credit Facilities on Encore project costs. As of September 30, 2006, the Company has spent approximately $155.9 million using the debt proceeds. The remaining $38.4 million has been funded from cash flows from operations. The Company expects that the remaining proceeds from the First Mortgage Notes, together with availability under the Credit Facilities, cash flow from operations and the equity commitment from Wynn Resorts will be sufficient to fund Encore’s $1.74 billion budget.</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Completion Guarantee and Liquidity Reserve</w:t>
      </w:r>
      <w:r>
        <w:rPr>
          <w:rFonts w:ascii="Arial" w:cs="Arial" w:eastAsia="Arial" w:hAnsi="Arial"/>
          <w:sz w:val="16"/>
          <w:szCs w:val="16"/>
          <w:color w:val="auto"/>
        </w:rPr>
        <w:t>. As part of the Wynn Las Vegas financing, the Company contributed $50.0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liquidity reserve account to secure the completion and opening of Wynn Las Vegas.</w:t>
      </w:r>
    </w:p>
    <w:p>
      <w:pPr>
        <w:spacing w:after="0" w:line="13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liquidity reserve is solely for use of the Wynn Las Vegas project. Upon final payment of the small remaining retention required for final completion, the liquidity reserve will be released. These funds are then expected to be applied to construction costs incurred in connection with Encore. In addition, at final completion of Wynn Las Vegas, $30.0 million of the $50.0 million completion guarantee will be retained as Encore’s completion guarantee, with the remaining $20.0 million used for Encore’s construction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License Agreements and Joint Ventures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Company is the lessor under seven leases for retail operations at Wynn Las Vegas and has entered into license and distribution agreements for five additional retail outlets in Wynn Las Vegas. The Company also is a party to a joint venture agreement for the operation of the Ferrari and Maserati automobile dealership at Wynn Las Vegas. Each of these retail outlets opened concurrently with the opening of Wynn Las Vegas.</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warehouse facilities, the land underlying the Company’s aircraft hangar and certain office equipment.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$200,000 per year for each insured person. Amounts in excess of this threshold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indicate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base salary. Certain agreements also contain provisions for guaranteed bonuses. Certain executives are also entitled to a separation payment if terminated without “cause” or upon voluntary termination of employment for “good reason” following a “change of control” (as these terms are defined in the employment contracts).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Restatement</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and nine months ended September 30, 2005, the Company determined that its interest rate swap arrangements relating to certain of its floating-rate debt facilities did not qualify for hedge accounting under SFAS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and nine months ended September 30, 2005 to eliminate the application of hedge accounting. Eliminating the application of hedge accounting resulted in recording the mark to market adjustments for the interest rate swaps as increase/(decrease) in swap fair value, a component of other income (expense), net and not in comprehensive income, as was previously reported.</w:t>
      </w:r>
    </w:p>
    <w:p>
      <w:pPr>
        <w:spacing w:after="0" w:line="12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September 30, 2005 condensed consolidated financial statements is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Nine Months</w:t>
            </w:r>
          </w:p>
        </w:tc>
      </w:tr>
      <w:tr>
        <w:trPr>
          <w:trHeight w:val="161"/>
        </w:trPr>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0"/>
              </w:rPr>
              <w:t>Ended September 30, 2005</w:t>
            </w:r>
          </w:p>
        </w:tc>
        <w:tc>
          <w:tcPr>
            <w:tcW w:w="10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Ended September 30, 2005</w:t>
            </w:r>
          </w:p>
        </w:tc>
      </w:tr>
      <w:tr>
        <w:trPr>
          <w:trHeight w:val="129"/>
        </w:trPr>
        <w:tc>
          <w:tcPr>
            <w:tcW w:w="5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As</w:t>
            </w:r>
          </w:p>
        </w:tc>
        <w:tc>
          <w:tcPr>
            <w:tcW w:w="5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Restated</w:t>
            </w:r>
          </w:p>
        </w:tc>
        <w:tc>
          <w:tcPr>
            <w:tcW w:w="10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Reported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Restated</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Increase in swap fair value .</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6,146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(32,052)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(52,157)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(54,162)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expense, net</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(25,827)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(20,884)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(33,272)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(55,702)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(49,674)</w:t>
            </w:r>
          </w:p>
        </w:tc>
      </w:tr>
      <w:tr>
        <w:trPr>
          <w:trHeight w:val="322"/>
        </w:trPr>
        <w:tc>
          <w:tcPr>
            <w:tcW w:w="53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(55,702)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Increase in swap fair value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(629,671)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(627,666)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November 1, 2006, the Company redeemed the approximately $10.1 million of 12% Second Mortgage Notes due 2010 (the “Second Mortgage Notes”) that remained outstanding. Funds to repay the Second Mortgage Notes and interest had been placed in an escrow account in December 2004, specifically for this purpose.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Consolidating Financial Information of Guarantors and Issuers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September 30, 2006 and December 31, 2005, and for the three and nine months ended September 30, 2006 and 2005.</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34,361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100,183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47,214</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19,693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289,382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168,910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53,221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80,879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2,175,491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192,265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2,367,756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25,076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47,205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56,941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2,846,187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204,183</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53,221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(2,303)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3,101,288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23,597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30,424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50,434</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(126,779)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39,739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171,993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1,613,629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1,648,184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(21,073)</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1,632,295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206,548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1,887,396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1,451,703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1,451,703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(237,811)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(14,895)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(237,811)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1,213,892</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1,213,892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2,846,187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204,183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3,101,288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44,498</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88,632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39,884</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278,788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298,826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82,267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2,157,169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167,625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2,324,794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15,019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73,559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5,135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2,971,071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178,734</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27,661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23,892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66,120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(125,448)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35,485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137,969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1,710,000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1,746,242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1,445,785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1,445,785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(220,956)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1,224,829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1,224,829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2,971,071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Casino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$131,850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69,278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310,570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310,249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9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(37,021)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273,549</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273,228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Casino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60,468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45,334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45,047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44,707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34,996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250,220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680" w:type="dxa"/>
            <w:vAlign w:val="bottom"/>
          </w:tcPr>
          <w:p>
            <w:pPr>
              <w:jc w:val="right"/>
              <w:spacing w:after="0"/>
              <w:rPr>
                <w:sz w:val="20"/>
                <w:szCs w:val="20"/>
                <w:color w:val="auto"/>
              </w:rPr>
            </w:pPr>
            <w:r>
              <w:rPr>
                <w:rFonts w:ascii="Arial" w:cs="Arial" w:eastAsia="Arial" w:hAnsi="Arial"/>
                <w:sz w:val="18"/>
                <w:szCs w:val="18"/>
                <w:color w:val="auto"/>
              </w:rPr>
              <w:t>251,109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22,301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5,129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(28,311)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2120" w:type="dxa"/>
            <w:vAlign w:val="bottom"/>
            <w:gridSpan w:val="3"/>
          </w:tcPr>
          <w:p>
            <w:pPr>
              <w:jc w:val="right"/>
              <w:ind w:right="480"/>
              <w:spacing w:after="0"/>
              <w:rPr>
                <w:sz w:val="20"/>
                <w:szCs w:val="20"/>
                <w:color w:val="auto"/>
              </w:rPr>
            </w:pPr>
            <w:r>
              <w:rPr>
                <w:rFonts w:ascii="Arial" w:cs="Arial" w:eastAsia="Arial" w:hAnsi="Arial"/>
                <w:sz w:val="18"/>
                <w:szCs w:val="18"/>
                <w:color w:val="auto"/>
              </w:rPr>
              <w:t>(4,225)</w:t>
            </w: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9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(10,758)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(38,165)</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(15,864)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(15,864)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gridSpan w:val="2"/>
          </w:tcPr>
          <w:p>
            <w:pPr>
              <w:jc w:val="right"/>
              <w:ind w:right="394"/>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60" w:type="dxa"/>
            <w:vAlign w:val="bottom"/>
            <w:gridSpan w:val="3"/>
          </w:tcPr>
          <w:p>
            <w:pPr>
              <w:jc w:val="center"/>
              <w:ind w:left="8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61,211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Gross revenues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287,451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(36,266)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(36,266)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251,185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251,185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228,828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229,534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380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(31,374)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(32,052)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(20,586)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380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(20,884)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380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759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gridSpan w:val="4"/>
          </w:tcPr>
          <w:p>
            <w:pPr>
              <w:jc w:val="center"/>
              <w:ind w:left="252"/>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Casino</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371,891</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371,891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201,712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221,598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939,686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938,683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(114,532)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825,154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824,151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Casino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181,624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139,516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133,031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12,377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108,661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756,109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(1,003)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(89,561)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(83,683)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(16,855)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(4,620)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ind w:left="93"/>
              <w:spacing w:after="0"/>
              <w:rPr>
                <w:sz w:val="20"/>
                <w:szCs w:val="20"/>
                <w:color w:val="auto"/>
              </w:rPr>
            </w:pPr>
            <w:r>
              <w:rPr>
                <w:rFonts w:ascii="Arial" w:cs="Arial" w:eastAsia="Arial" w:hAnsi="Arial"/>
                <w:sz w:val="18"/>
                <w:szCs w:val="18"/>
                <w:color w:val="auto"/>
                <w:w w:val="84"/>
              </w:rPr>
              <w:t>2,832</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53"/>
              <w:spacing w:after="0"/>
              <w:rPr>
                <w:sz w:val="20"/>
                <w:szCs w:val="20"/>
                <w:color w:val="auto"/>
              </w:rPr>
            </w:pPr>
            <w:r>
              <w:rPr>
                <w:rFonts w:ascii="Arial" w:cs="Arial" w:eastAsia="Arial" w:hAnsi="Arial"/>
                <w:sz w:val="18"/>
                <w:szCs w:val="18"/>
                <w:color w:val="auto"/>
                <w:w w:val="89"/>
              </w:rPr>
              <w:t>26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5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$221,764</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109,266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Gross revenues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513,511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452,311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452,313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95,668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76,184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69,737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6,785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58,390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466,809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(16,394)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11,919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937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937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(33,272)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(49,674)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(2,833)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937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(49,674)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80" w:type="dxa"/>
            <w:vAlign w:val="bottom"/>
          </w:tcPr>
          <w:p>
            <w:pPr>
              <w:jc w:val="right"/>
              <w:ind w:right="413"/>
              <w:spacing w:after="0"/>
              <w:rPr>
                <w:sz w:val="20"/>
                <w:szCs w:val="20"/>
                <w:color w:val="auto"/>
              </w:rPr>
            </w:pPr>
            <w:r>
              <w:rPr>
                <w:rFonts w:ascii="Arial" w:cs="Arial" w:eastAsia="Arial" w:hAnsi="Arial"/>
                <w:sz w:val="18"/>
                <w:szCs w:val="18"/>
                <w:color w:val="auto"/>
                <w:w w:val="79"/>
              </w:rPr>
              <w:t>27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Issuers</w:t>
            </w:r>
          </w:p>
        </w:tc>
        <w:tc>
          <w:tcPr>
            <w:tcW w:w="2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(16,855)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(4,620)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(loss) to net cash provided by operating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108,661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10,758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Equity in (income) loss from subsidiaries, net of distributions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13,064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(21,566)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Inventories and prepaid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accrued expenses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Due to affiliates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138,268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(134,864)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(28,772)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(163,636)</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140,053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 and other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(20,409)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(28,566)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(40,833)</w:t>
            </w:r>
          </w:p>
        </w:tc>
        <w:tc>
          <w:tcPr>
            <w:tcW w:w="0" w:type="dxa"/>
            <w:vAlign w:val="bottom"/>
          </w:tcPr>
          <w:p>
            <w:pPr>
              <w:spacing w:after="0"/>
              <w:rPr>
                <w:sz w:val="1"/>
                <w:szCs w:val="1"/>
                <w:color w:val="auto"/>
              </w:rPr>
            </w:pPr>
          </w:p>
        </w:tc>
      </w:tr>
      <w:tr>
        <w:trPr>
          <w:trHeight w:val="290"/>
        </w:trPr>
        <w:tc>
          <w:tcPr>
            <w:tcW w:w="5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(410,000)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(413,744)</w:t>
            </w: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Proceeds from issuance of long term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313,629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termination of interest rate swap</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(94,338)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(98,082)</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87,787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87,931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vMerge w:val="restart"/>
          </w:tcPr>
          <w:p>
            <w:pPr>
              <w:jc w:val="right"/>
              <w:ind w:right="5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 (As Restated—see Note 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Issuers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(49,674)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(2,833)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937</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1,896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58,390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Incidental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(8,033)</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(66,007)</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(44,927)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38,700</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937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(619,094)</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(627,666)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407,390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(80,767)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(24,873)</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(302,708)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(347,432)</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472,436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44,750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517,186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445,982</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44,496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490,478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181,974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207,666</w:t>
            </w: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Arial" w:cs="Arial" w:eastAsia="Arial" w:hAnsi="Arial"/>
                <w:sz w:val="18"/>
                <w:szCs w:val="18"/>
                <w:color w:val="auto"/>
                <w:w w:val="99"/>
              </w:rPr>
              <w:t>29</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11 “Restatement” to these condensed consolidated financial statements. Unless the context otherwise requires, all references herein to the “Company,” “we,” “us” or “our,” or similar terms, refer to Wynn Las Vegas, LLC, a Nevada limited liability company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offerings and borrowings under our credit facilities; competition in the casino/hotel and resort industries; our intention to fund a substantial portion of the development and construction costs of Encore at Wynn Las Vegas with anticipated cash flows generated at Wynn Las Vegas; new development and construction activities of competitors; our limited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own and operate Wynn Las Vegas, a destination casino resort in Las Vegas, Nevada, which opened on April 28, 2005. In addition, on April 28, 2006, we commenced construction on “Encore at Wynn Las Vegas” (“Encore”), a hotel and casino resort fully integrated with Wynn Las Vegas. Until the opening of Wynn Las Vegas, we were solely a development stage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Since its opening, we have enhanced and refined Wynn Las Vegas in response to market demands and customer preferences. In the third quarter of 2006, among other things, we completed the conversion of the Keno lounge to a retail outlet for womens’ accessories and remodeled our high-fashion ladies’ shoe boutique in the retail promenade. We expect to continue our remodel efforts, in each case, investing in projects designed to maximize the performance of Wynn Las Vegas.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2,042-room hotel tower fully integrated with Wynn Las Vegas consisting of 132 suites and 1,910 guest rooms, an approximately 54,000 square foot casino, additional convention and meeting space, as well as restaurants, a nightclub, swimming pools, a spa and salon and retail outlets. Encore is expected to open in early 2009.</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31, 2006, our lenders approved the $1.74 billion project budget and the related plans and specifications for Encore (the “Encore Budget, Plans and Specs”). The project budget for Encore includes approximately $70.0 million to be incurred for construction of a new employee parking garage on our Koval property, a related pedestrian bridge and costs being incurred in connection with preparing the Broadway Theater to host “Monty Python’s Spamalot.” We continue to refine the design of Encore and are evaluating certain enhancements, which may increase the project budget. In addition, we are negotiating the guaranteed maximum price construction contract for Encore (the “Encore GMP”). Any increase to the Encore budget would be funded by contributions of debt and/or equity from Wynn Resorts.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incurred net losses for the three and nine months ended September 30, 2006 of $15.9 million and $16.9 million, respectively, which represent a $16.9 million decrease from the $1.0 million of net income recorded during the three months ended September 30, 2005 and a $32.8 million decrease from the loss incurred during the nine months ended September 30, 2005. In the third quarter of 2006 we refinanced certain of our debt and incurred a loss on its extinguishment of approximately $10.8 million. In addition, the fair value of our interest rate swaps decreased by approximately $4.2 million during the three months ended September 30, 2006. Until Wynn Las Vegas opened on April 28, 2005, we were solely a development stage enterprise and pre-opening expenses increased significantly as Wynn Las Vegas approached opening. The three month periods ended September 30, 2006 and 2005 both contain a full quarter of Wynn Las Vegas operations, however, during the nine month periods, 2006 contains 273 days of Wynn Las Vegas operations whereas 2005 contains only 156 days of Wynn Las Vegas operations.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no longer incur pre-opening costs for Wynn Las Vegas, except as related to Encore. Pre-opening costs were a significant contributor to the net loss incurred for the nine months ended September 30, 2005. We expect that our pre-opening expenses in future periods will exceed those incurred in the three and nine months ended September 30, 2006, although we anticipate these pre-opening costs will be less than those costs incurred while constructing and developing Wynn Las Vegas. Nevertheless, as a result of the expected pre-opening costs, we expect net losses to continue at least until Encore opens to the public in early 2009.</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disclosed in the following discussion related to the Company’s operational performance for the periods in which a Statement of Operations is presented. Below are definitions of the gaming statistics discussed:</w:t>
      </w:r>
    </w:p>
    <w:p>
      <w:pPr>
        <w:spacing w:after="0" w:line="4"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by Wynn Las Vegas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Slot win is the amount of handle (represents the total amount wagered) that is retained by Wynn Las Vegas and recorded as casino revenue.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September 30, 2006 compared to the three months ended September 30,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the third quarter of 2006, Wynn Las Vegas generated net revenues of $273.2 million compared to net revenues of $251.2 million in the third quarter of 2005. Net revenues for the three months ended September 30, 2006 are comprised of $131.9 million in net casino revenues (48.3% of total net revenues) and $141.3 million of net non-casino revenues (51.7% of total net revenues). Net revenues for the third quarter of 2005 were comprised of $123.1 million in net casino revenues (49.0% of total net revenues) and $128.1 million of net non-casino revenues (51.0% of total net revenues). The quality of the resort’s non-casino amenities, combined with providing guests an unparalleled total resort experience, has driven a premium in Wynn Las Vegas’ ADR and in other non-casino revenues.</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Wynn Las Vegas’ net casino revenues for the three months ended September 30, 2006 of approximately $131.9 million represents an approximately $8.8 million or 7.2% increase from the net casino revenues of $123.1 million for the three months ended September 30, 2005. During the three months ended September 30, 2005 the average table games win percentage (before discounts) was 22.3%, which was slightly above the expected range of 19% to 22%. Slot handle increased during the three months of 2006 as compared to 2005, however, during the three months of 2006, the slot win percentage was slightly less than the expected range of 5% to 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three months ended September 30, 2006, Wynn Las Vegas’ gross room revenues were approximately $64.3 million, which represents a $2.9 million or 4.8% increase over the $61.4 million generated during the three months ended September 30, 2005. ADR and occupancy for the three months ended September 30, 2006 were $271 and 94.9%, respectively, generating REVPAR of $257. ADR and occupancy for the third quarter of 2005 were $264 and 93.0%, generating REVPAR of $246. Other non-casino revenues for the three months ended September 30, 2006 included food and beverage revenues of approximately $69.3 million, retail revenues of approximately $19.2 million, entertainment revenues of approximately $14.1 million, and other revenues from outlets, including the spa and salon, of approximately $11.5 million. Other non-casino revenues for the three months ended September 30, 2005 included food and beverage revenues of approximately $61.2 million, retail revenues of approximately $17.0 million, entertainment revenues of approximately $14.0 million, and other revenues from outlets, including the spa and salon, of approximately $10.8 million. Food and beverage revenue increases in 2006 compared to 2005, were primarily from increased revenues from the nightclub located in Wynn Las Vegas.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During the three months ended September 30, 2006, operating expenses included casino expenses of $60.5 million, rooms expenses of $17.7 million, food and beverage expenses of $45.3 million, and entertainment, retail and other expenses of $31.1 million. Also included are general and administrative expenses of approximately $44.7 million and approximately $4.8 million charged as a provision for doubtful accounts receivable. During the three months ended September 30, 2005, departmental expenses included casino expenses of $53.4 million, rooms expenses of $16.1 million, food and beverage expenses of $42.5 million, and entertainment, retail and other expenses of $28.4 million. Also included are general and administrative expenses of approximately $40.2 million and approximately $2.1 million charged as a provision for doubtful accounts receivable. Overall expenses have increased commensurate with the increase in revenues.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a management agreement we entered into in connection with our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Pre-opening costs for the three months ended September 30, 2006 were approximately $1.0 million, compared to approximately $1.5 million for the three months ended September 30, 2005. Only a relatively small amount of pre-opening costs related to Encore are currently being incurred. However, as the Encore development progresses, we expect associated pre-opening costs to increase, but not to the same level as we experienced with Wynn Las Vegas.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Depreciation and amortization expense for the three months ended September 30, 2006 of $36.2 million was relatively comparable to the $35.6 million incurred in the three months ended September 30, 2005. Depreciation expenses will continue throughout the estimated useful lives of our assets. In addition, we continually evaluate the useful life of our property and equipment, intangibles and other assets. When circumstances require a revision to those estimates of useful life, we adjust them accordingly.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response to our evaluation of the completed Wynn Las Vegas project and in response to the reactions of our guests, we continue to make enhancements to Wynn Las Vegas. In the third quarter of 2006, among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things, we completed the conversion of the Wynn Las Vegas Keno lounge to a retail outlet for womens’ accessories and remodeled our high-fashion ladies’ shoe boutique in the retail esplanade. The $5.7 million of costs incurred during the three months ended September 30, 2006 relating to assets retired as a result of these enhancement and remodel efforts have been expensed as property charges. For the three months ended September 30, 2005, property charges include $2.9 million of costs relating to assets retired from the efforts to enhance and refine the Wynn Las Vegas resort and approximately $3.0 million for the abandonment of improvements made to the temporary offices utilized during part of the construction and opening of the Wynn Las Vegas resort.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income for the three months ended September 30, 2006 of $5.8 million was relatively comparable to the $5.0 million earned for the three months ended September 30, 2005.</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net of capitalized interest, for the three months ended September 30, 2006 of $29.2 million decreased by $2.9 million or 9.1% from $32.1 million for the three months ended September 30, 2005. Interest capitalization has increased during 2006 as Encore construction progresses, thus reducing the amount of interest expensed. Additionally, lower total debt balances have further caused a decrease in interest expense, thus offsetting the rise in interest rates between periods.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began the third quarter of 2006 with two $200.0 million notional amount interest rate swaps. On August 15, 2006, concurrent with the refinancing of our senior credit facilities (see “Liquidity and Capital Resources – Financing Activity”), we terminated one of our two previously existing interest rate swaps. Our interest rate swaps are accounted for in accordance with Statement of Financial Accounting Standards No. 133, Accounting for Derivative Instruments and Hedging Activities, as amended (“SFAS 133”). The fair values of the interest rate swaps are recorded as either assets or liabilities. Changes in the fair value of these interest rate swaps are recorded as non-operating income or expense in each period. We recorded approximately $4.2 million of swap expense for the three months ended September 30, 2006 and swap income of approximately $6.1 million for the three months ended September 30, 2005. This results from the 2006 decrease and the 2005 increase in the fair values of our interest rate swaps from June 30, 2006 to September 30, 2006 (June 30, 2006 to August 15, 2006 in the case of the terminated swap) and from June 30, 2005 to September 30, 2005, respectively. For further information on our interest rate swaps, see Part II, Item 3 – Quantitative and Qualitative Disclosures about Market Risk.</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August 15, 2006 we refinanced our senior credit facilities as discussed in further detail below (see “Liquidity and Capital Resources – Financing Activity”). In accordance with Emerging Issues Task Force issue 96-19, “Debtor’s Accounting for a Modification or Exchange of Debt Instruments,” (“EITF 96-19”) we recorded a loss on extinguishment of debt for the three months ended September 30, 2006 of approximately $10.8 million to reflect the write-off of the previous term loan’s unamortized deferred financing costs and the payment of certain third-party bank fees incurred during the refinancing.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nine months ended September 30, 2006 compared to the nine months ended September 30, 2005.</w:t>
      </w:r>
    </w:p>
    <w:p>
      <w:pPr>
        <w:spacing w:after="0" w:line="90"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We opened Wynn Las Vegas on April 28, 2005. Prior to opening Wynn Las Vegas, we had not commenced operations, nor generated any significant revenues. The results for the nine months ended September 30, 2005 reflect 156 days of Wynn Las Vegas operations. The results for the nine months ended September 30, 2006 reflect a full nine months (273 days) of operations of Wynn Las Vegas.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nine months ended September 30, 2006, Wynn Las Vegas generated net revenues of $824.2 million compared to net revenues of $452.3 million for the 156 days of operations in the nine months of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nine months ended September 30, 2006 are comprised of $371.9 million in net casino revenues (45.1% of total net revenues) and $452.3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of net non-casino revenues (54.9% of total net revenues). Net revenues for the 156 days of operations in the nine months of 2005 were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$221.8 million in net casino revenues (49.0% of total net revenues) and $230.5 million of net non-casino revenues (51.0% of total net revenues). The quality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resort’s non-casino amenities, combined with providing guests an unparalleled total resort experience, has driven a premium in Wynn Las Vegas’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daily room rates and other non-casino revenues.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net casino revenues for the nine months ended September 30, 2006 of approximately $371.9 million represent an approximate $150.1 million or 67.7% increase from the net casino revenues of $221.8 million for the nine months ended September 30, 2005, which included 156 days of operations. During the nine-month periods ended September 30, 2006 and 2005, the average table games win percentage (before discounts) of 20.6% was within the expected range of 19% to 22%, and the slot win percentage was within the expected range of 5% to 6% of handle.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nine months ended September 30, 2006, Wynn Las Vegas’ gross room revenues were approximately $201.7 million, which represents a $95.7 million or 90.2% increase over the $106.0 million generated in the 156 days of operations in the nine months ended September 30, 2005. ADR and occupancy for the nine months ended September 30, 2006 were $286 and 95.4%, respectively, generating REVPAR of $272. ADR and occupancy for the 156 days of operations in the nine months of 2005 was $272 and 91.8%, generating REVPAR of $250. Other non-casino revenues for the nine months ended September 30, 2006 included food and beverage revenues of approximately $221.6 million, retail revenues of approximately $55.6 million, entertainment revenues of approximately $51.6 million, and other revenues from outlets, including the spa and salon, of approximately $36.3 million. Other non-casino revenues for the 156 days of operation in the nine months ended September 30, 2005 included food and beverage revenues of approximately $109.3 million, retail revenues of approximately $33.9 million, entertainment revenues of approximately $22.3 million, and other revenues from outlets, including the spa and salon, of approximately $20.3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nine months ended September 30, 2006, operating expenses included casino expenses of $181.6 million, rooms expenses of $52.8 million, food and beverage expenses of $139.5 million, and entertainment, retail and other expenses of $97.4 million. Also included are general and administrative expenses of approximately $131.1 million and approximately $11.4 million charged as a provision for doubtful accounts receivable. During the nine months ended September 30, 2005, departmental expenses included casino expenses of $95.7 million, rooms expenses of $27.9 million, food and beverage expenses of $76.2 million, and entertainment, retail and other expenses of $48.7 million. Also included are general and administrative expenses of approximately $68.5 million and approximately $10.7 million charged as a provision for doubtful accounts receivable. Overall, expenses have increased commensurate with the increase in revenues and the increase in the number of days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a management agreement we entered into in connection with our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Pre-opening costs for the nine months ended September 30, 2006 of $1.2 million decreased by $66.2 million compared to the $67.4 million incurred during the nine months ended September 30, 2005. Once it opened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business in April 2005, Wynn Las Vegas no longer incurred pre-opening costs; consequently, only the relatively small amount of pre-opening costs relating to Encore incurred through September 30, 2006 are included for the 2006 period. There also was a substantial increase in staffing immediately preceding the opening of Wynn Las Vegas, which is reflected in the pre-opening costs in 2005. As the Encore development progresses in 2006, we expect associated pre-opening costs to increase, but not to the same level as we experienced with Wynn Las Vegas.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Depreciation and amortization expense for the nine months ended September 30, 2006, of $112.8 million increased by $51.6 million compared to the $61.2 million incurred in the nine months ended September 30, 2005, primarily as a result of the longer operating period for the nine months ended September 30, 2006 compared to 2005. 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2006, we agreed with the producers of “Avenue Q” to end Avenue Q’s run in the Broadway Theatre at Wynn Las Vegas and stopped presenting the show on May 28, 2006. To terminate the contract, we paid a termination fee of $5.0 million. This fee was recorded in the first quarter of 2006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(“SFAS 146”). We are remodeling the Broadway Theater, which formerly presented “Avenue Q,” and adjacent areas to present “Monty Python’s</w:t>
      </w:r>
      <w:r>
        <w:rPr>
          <w:rFonts w:ascii="Arial" w:cs="Arial" w:eastAsia="Arial" w:hAnsi="Arial"/>
          <w:sz w:val="16"/>
          <w:szCs w:val="16"/>
          <w:i w:val="1"/>
          <w:iCs w:val="1"/>
          <w:color w:val="auto"/>
        </w:rPr>
        <w:t xml:space="preserve"> </w:t>
      </w:r>
      <w:r>
        <w:rPr>
          <w:rFonts w:ascii="Arial" w:cs="Arial" w:eastAsia="Arial" w:hAnsi="Arial"/>
          <w:sz w:val="16"/>
          <w:szCs w:val="16"/>
          <w:color w:val="auto"/>
        </w:rPr>
        <w:t>Spamalot.” Performances of “Monty Python’s Spamalot” are expected to begin in the first quarter of 2007.</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which continued in the first three quarters of 2006. The $13.1 million of costs relating to assets retired as a result of these enhancement and remodel efforts for the nine months ended September 30, 2006 have been expensed as property charges. During the nine months ended September 30, 2006, we remodeled the six North Fairway Villas, remodeled several areas of the retail promenade, remodeled a portion of the former baccarat area to feature a casino bar, improved public baccarat space and private baccarat salons, converted the Keno lounge to a retail outlet for womens’ accessories, and remodeled our ladies’ shoe boutique in the retail esplanade. We also began modifications to the Broadway Theater to accommodate “Monty Python’s Spamalot.” For the nine months ended September 30, 2005, property charges include $2.9 million of costs relating to assets retired from the efforts to enhance and refine the Wynn Las Vegas resort and approximately $3.0 million for the abandonment of improvements made to the temporary offices utilized during part of the construction and opening of the Wynn Las Vegas resort.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income for the nine months ended September 30, 2006 of $17.9 million increased by $5.0 million or 39.5% from $12.9 million for the nine months ended September 30, 2005. In the third quarter of 2005, we loaned Wynn Resorts $80.0 million with interest at 7.5% per year, payable semi-annually. The loan was outstanding for the entire nine months of 2006 and less than three months in 2005. Accordingly, we earned more interest income during 2006 as compared to 2005. In addition, higher interest rates were earned on cash balances in 2006 than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of capitalized interest, for the nine months ended September 30, 2006 of $92.0 million increased by $37.8 million or 69.8% from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$54.2 million for the nine months ended September 30, 2005, primarily due to the significant decrease in the amount of interest capitalized once Wynn Las Vegas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opened on April 28, 2005. For the first four months of the nine months ended September 30, 2005, virtually all interest incurred was capitalized.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will increase in future periods as Encore construction progresses, thus reducing the amount of interest expected to be expensed in future periods.</w:t>
      </w:r>
    </w:p>
    <w:p>
      <w:pPr>
        <w:spacing w:after="0" w:line="18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began 2006 with two $200.0 million notional amount interest rate swaps. On August 15, 2006, concurrent with the refinancing of our senior credit facilities (see “Liquidity and Capital Resources – Financing Activity”), we terminated one of our two previously existing interest rate swaps. The fair values of our interest rate swaps are recorded as either assets or liabilities. Changes in the fair value of these interest rate swaps are recorded as non-operating income or expense in each period. We recorded approximately $1.1 million of swap income for the nine months ended September 30, 2006 and swap income of approximately $8.0 million for the nine months ended September 30, 2005 resulting from the increases in the fair value of our interest rate swaps from December 31, 2005 to September 30, 2006 (December 31, 2005 to August 15, 2006 in the case of the terminated swap) and from December 31, 2004 to September 30, 2005, respectively. For further information on our interest rate swaps, see Part II, Item 3 – Quantitative and Qualitative Disclosures about Market Risk.</w:t>
      </w:r>
    </w:p>
    <w:p>
      <w:pPr>
        <w:spacing w:after="0" w:line="1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15, 2006 we refinanced our senior credit facilities as discussed in further detail below (see “Liquidity and Capital Resources – Financing Activity”). In accordance with EITF 96-19, we recorded a loss on extinguishment of debt for the nine months ended September 30, 2006 of approximately $10.8 million to reflect the write-off of the previous term loan’s unamortized deferred financing costs and the payment of certain third-party bank fees incurred during the refinancing.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operating cash flows are primarily affected by our operating income, interest paid, and non-cash charges included in operating income. On April 28, 2005, we opened Wynn Las Vegas and began generating cash from operations. Net cash from operations in the nine months ended September 30, 2006 was $139.0 million compared to $38.9 million from the 156 days of operations in the nine months ended September 30, 2005.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At September 30, 2006, we had approximately $87.9 million of cash and cash equivalents generally available for use without restriction, including for operations, new development activities, enhancements to Wynn Las Vegas, or to support the development and construction of Encore.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Excess funds are swept from accounts into overnight investments, to repay borrowings under our credit facilities or fund development of Encore.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September 30, 2006, we had approximately $256.5 million in cash and investments from the proceeds of our debt financings and contributions from Wynn Resorts, all of which is restricted for the construction, development and pre-opening expenses of Encore and the remaining costs of Wynn Las Vegas, including $80.0 million restricted for the Wynn Las Vegas liquidity reserve and completion guarantee ($30.0 million of which must be retained for Encore). 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2006, approximately $3.7 million of retention amounts remained to be paid in order to close out the Wynn Las Vegas project.</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third quarter of 2005, we began to make certain enhancements and refinements to Wynn Las Vegas. As a result, we have incurred and will continue to incur capital expenditures relating to these enhancements and refinements. Under the terms of the Credit Facilities, we are permitted to make up to $100.0 million of capital expenditures in 2006, of which we have expended approximately $47.9 million in the first nine months of 2006. The spending limit will be increased to the extent funds are contributed to Wynn Las Vegas by Wynn Resorts, Limited.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lenders approved the $1.74 billion Encore Budget, Plans and Specs on March 31, 2006. On April 28, 2006, we broke ground and commenced construction on Encore. We continue to refine the design of Encore and are evaluating certain enhancements, which may increase the project budget. In addition, we are negotiating the Encore GMP. Any increase to the Encore budget would be funded by contributions of debt and/or equity from Wynn Resorts. We expect to open Encore to the public in early 2009.</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documentation is progressing in accordance with the design schedule;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activities on the high-rise structure have progressed beyond the spa level and concrete pours for the first guest-room floor have begun;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90% of the low-rise excavation has been completed;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Site preparation for the self-park garage has commenced;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Under-balcony framing has been completed allowing drywall installation to commence on the Broadway Theater;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Rebar installation and major concrete pours have been completed through the fifth level of the Koval employee parking garage.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Through September 30, 2006, we incurred approximately $200.7 million of Encore project costs. These costs, net of approximately $6.4 million of retention, have been funded from the Credit Facilities, the First Mortgage Notes and cash flow from the operations of Wynn Las Vegas. Prior to signing a guaranteed maximum price construction contract, we are permitted to spend up to $300.0 million of the proceeds of the First Mortgage Notes and the Credit Facilities on Encore project costs. As of September 30, 2006, we have spent approximately $155.9 million using these debt proceeds. The remaining $38.4 million has been funded from cash flows from operations. We expect that the remaining proceeds from the First Mortgage Notes, together with availability under the Credit Facilities, cash flow from operations and the equity commitment from Wynn Resorts will be sufficient to fund Encore’s $1.74 billion budget.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First, by using agreed amounts of excess cash flow from the operations of Wynn Las Vegas and any equity contributions from Wynn Resorts;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w:t>
      </w:r>
    </w:p>
    <w:p>
      <w:pPr>
        <w:ind w:left="800"/>
        <w:spacing w:after="0"/>
        <w:rPr>
          <w:rFonts w:ascii="Arial" w:cs="Arial" w:eastAsia="Arial" w:hAnsi="Arial"/>
          <w:sz w:val="18"/>
          <w:szCs w:val="18"/>
          <w:color w:val="auto"/>
        </w:rPr>
      </w:pPr>
      <w:r>
        <w:rPr>
          <w:rFonts w:ascii="Arial" w:cs="Arial" w:eastAsia="Arial" w:hAnsi="Arial"/>
          <w:sz w:val="16"/>
          <w:szCs w:val="16"/>
          <w:color w:val="auto"/>
        </w:rPr>
        <w:t>exhaustion of the First Mortgage Notes proceeds, with amounts funded 66.67% from notes proceeds and 33.33% from the Credit Facilities;</w:t>
      </w:r>
    </w:p>
    <w:p>
      <w:pPr>
        <w:spacing w:after="0" w:line="12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completion of Encore is delayed, then our debt service obligations accruing prior to the actual opening of Encore will increase correspondingly.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 Reve Production Rights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2006, Wynn Resorts canceled the 189,723 nonvested shares of Wynn Resorts’ common stock granted, subject to certain performance criteria, to the executive producer of “Le Reve.”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only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15, 2006 we refinanced our Revolving Credit Facility (the “Revolver”) and our Delay Draw Term Loan Facility (the “Term Loans”) (together, the “Credit Facilities”).</w:t>
      </w:r>
    </w:p>
    <w:p>
      <w:pPr>
        <w:spacing w:after="0" w:line="132"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the Credit Facilities from $1.0 billion to $1.125 billion by increasing the Revolver from $600.0 million to $900.0 million and reducing the Term Loans from $400.0 million to $225.0 million; (ii) reduced the borrowing margins on London Interbank Offered Rate (“LIBOR”)-based Revolver and Term Loans by 0.625% and 0.250%, respectively; (iii) extended the maturity dates for the Revolver and the Term Loans to 2011 and 2013, respectively; and</w:t>
      </w:r>
    </w:p>
    <w:p>
      <w:pPr>
        <w:spacing w:after="0" w:line="3" w:lineRule="exact"/>
        <w:rPr>
          <w:sz w:val="20"/>
          <w:szCs w:val="20"/>
          <w:color w:val="auto"/>
        </w:rPr>
      </w:pPr>
    </w:p>
    <w:p>
      <w:pPr>
        <w:ind w:right="20" w:firstLine="8"/>
        <w:spacing w:after="0" w:line="292" w:lineRule="auto"/>
        <w:tabs>
          <w:tab w:leader="none" w:pos="2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the consolidated interest coverage ratio requirement for quarterly periods on or prior to December 31, 2007 to 2.00:1. The Amended and Restated Credit Agreement also: (i) reduced the range of the Revolver’s annual LIBOR borrowing margin after the opening of Encore from a range of 1.25% to 2.50% to a range of 1.00% to 1.75%, depending on our leverage ratio; and (ii) simplified the procedures for and conditions to obtaining advances and reduced the reporting obligations under the Amended and Restated Credit Agreement upon the satisfaction of certain conditions, including fully utilizing all previously funded amounts under the 6-5/8% First Mortgage Notes due 2014 (the “First Mortgage Notes) for payment of Encore project costs.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the refinancing discussed above, borrowings under the Term Loans were reduced to $225.0 million, under which we have elected, and expect to continue to elect, Eurodollar loans which bear interest at 1-month LIBOR and include a margin of 1.875% on that outstanding balance. We had two $200.0 million notional amount interest rate swaps to essentially fix the interest on the $400.0 million of former Term Loans. When we completed the refinancing on August 15, 2006, we terminated one of the two swaps and received approximately $6.6 million in the transaction. We elected to retain the other swap and therefore it effectively fixes the interest rate on $200.0 million out of the total $225.0 million of current Term Loans (for further information, see Part II, Item 3 “Quantitative and Qualitative Discussions about Market Risk”).</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August and September of 2006, we borrowed a total of $88.6 million under the Revolver, primarily for the construction of Encore. Consequently, as of September 30, 2006, $811.4 million remains available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Revolver for future borrowings for the construction of Encore or for other uses, as necessary. For borrowings under the current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the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new $900.0 million Revolver will terminate and be payable in full on August 15, 2011. On September 30, 2012, $112.5 million of the $225.0 million Term Loan will be payable. The remaining $112.5 million will be payable on August 15, 2013.</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March 31, 2006, Wynn Resorts delivered an equity commitment agreement to the lenders under the Credit Facilities. Under that agreement, Wynn Resorts had committed to pay up to $215.3 million of Encore project costs if the Company was unable to do so. The refinancing discussed above increased the aggregate amount available under the Credit Facilities from $1.0 billion to $1.125 billion. As a result of this increase and with other funds becoming available to pay for Encore project costs, Wynn Resorts’ maximum commitment to pay Encore project costs was reduced from $215.3 million to $70.0 million.</w:t>
      </w:r>
    </w:p>
    <w:p>
      <w:pPr>
        <w:spacing w:after="0" w:line="11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also have outstanding at September 30, 2006 approximately $39.8 million of an original $44.75 million borrowing secured by our corporate aircraft. This loan matures on March 31,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11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November 1, 2006, we redeemed the approximately $10.1 million of 12% Second Mortgage Notes due 2010 (the “Second Mortgage Notes”) that remained outstanding. Funds to repay the Second Mortgage Notes and interest had been placed in an escrow account in December 2004, specifically for this purpose.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fund the operations and capital requirements of Wynn Las Vegas from operating cash flow and remaining availability under the Credit Facilities. We cannot assure you, however, that Wynn Las Vegas will generate sufficient cash flow from operations or that future borrowings available to us under the Credit Facilities will be sufficient to enable us to service and repay our indebtedness and to fund our other liquidity needs. We may refinance all or a portion of our indebtedness on or before maturity. We cannot assure you that we will be able to refinance any of the indebtedness on acceptable terms or at all.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54" w:lineRule="auto"/>
        <w:rPr>
          <w:sz w:val="20"/>
          <w:szCs w:val="20"/>
          <w:color w:val="auto"/>
        </w:rPr>
      </w:pPr>
      <w:r>
        <w:rPr>
          <w:rFonts w:ascii="Arial" w:cs="Arial" w:eastAsia="Arial" w:hAnsi="Arial"/>
          <w:sz w:val="18"/>
          <w:szCs w:val="18"/>
          <w:color w:val="auto"/>
        </w:rPr>
        <w:t>Furthermore, new business developments or other unforeseen events may occur, resulting in the need to raise additional funds. We continue to explore opportunities to develop additional gaming or related businesses</w:t>
      </w:r>
    </w:p>
    <w:p>
      <w:pPr>
        <w:ind w:right="40"/>
        <w:spacing w:after="0" w:line="261" w:lineRule="auto"/>
        <w:rPr>
          <w:sz w:val="20"/>
          <w:szCs w:val="20"/>
          <w:color w:val="auto"/>
        </w:rPr>
      </w:pPr>
      <w:r>
        <w:rPr>
          <w:rFonts w:ascii="Arial" w:cs="Arial" w:eastAsia="Arial" w:hAnsi="Arial"/>
          <w:sz w:val="18"/>
          <w:szCs w:val="18"/>
          <w:color w:val="auto"/>
        </w:rPr>
        <w:t>utilizing our substantial real estate holdings in Las Vegas. There can be no assurances regarding the business prospects with respect to any other opportunity. Any such development would require us to obtain additional financing.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 description of our critical accounting policies can be found in Item 7. Management’s Discussion and Analysis of Results of Financial Condition and Operations of our Annual Report on Form 10-K for the year ended December 31, 2005. We present below a discussion of our policies related to share-based compensation which has been updated from the discussion in our Annual Report.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for a description of our recently issued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We attempt to manage interest rate risk by managing the mix of long-term fixed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December 14, 2004, we entered into two $200.0 million notional amount interest rate swap arrangements to hedge the underlying interest rate risk on a total of $400.0 million of borrowings under our term loan facility which, prior to the August 15, 2006 refinancing (see Part II, Item 2 “Management’s Discussion and Analysis of Financial Condition and Results of Operations – Liquidity and Capital Resources”), bore interest at LIBOR plus 2.125%. Under these arrangements, the Company paid 3.793% of the notional amount and received payments equal to LIBOR. Although these interest rate swaps essentially fixed the interest rate at approximately 5.9%, changes in the fair value of the interest rate swaps for each reporting period were recorded in the increase (or decrease) in swap fair value as a component of other income (expense), net since the interest rate swaps did not qualify for hedge accounting.</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August 15, 2006, we reduced our term loan facility as part of refinancing our Credit Facilities, and concurrently terminated one of our two $200.0 million interest rate swap arrangements. We received approximately $6.6 million in cash from unwinding this interest rate swap. We elected to retain the second $200.0 million interest rate swap to essentially fix the interest rate on $200.0 million of the new $225.0 million of term loan borrowings. Because we continue to pay a fixed rate of 3.793% on the $200.0 million notional amount and receive payments based on LIBOR, the interest rate on $200.0 million of the new $225.0 million term loans is fixed at approximately 5.668%. The interest rate on the remaining $25.0 million of Term Loans is subject to the changes in the LIBOR rates over time.</w:t>
      </w:r>
    </w:p>
    <w:p>
      <w:pPr>
        <w:spacing w:after="0" w:line="2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2006 we recorded an asset of approximately $5.0 million to reflect the fair value of the remaining $200.0 million notional amount interest rate swap. As of December 31, 2005, we recorded approximately $10.5 million as an asset to reflect the fair value of the two $200.0 million notional amount interest rate swaps.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noted above, although these interest rate swaps are highly effective economically in fixing the interest rate on the respective term loans, these interest rate swaps do not qualify for hedge accounting. Accordingly, changes in the fair value of these interest rate swaps for each reporting period are recorded as an increase (or decrease) in swap fair value, a component of other income (expense),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the three and nine months ended September 30, 2006, we incurred approximately $31.4 million and $95.6 million, respectively, in interest. Certain amounts of our outstanding indebtedness for the period were based upon variable LIBOR rates plus a premium. A 1% increase in the variable rates would have increased our interest cost for the three and nine months ended September 30, 2006 by approximately $247,000 and $470,000,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64"/>
        <w:spacing w:after="0" w:line="289"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988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80" w:type="dxa"/>
            <w:vAlign w:val="bottom"/>
            <w:shd w:val="clear" w:color="auto" w:fill="000000"/>
          </w:tcPr>
          <w:p>
            <w:pPr>
              <w:spacing w:after="0"/>
              <w:rPr>
                <w:sz w:val="2"/>
                <w:szCs w:val="2"/>
                <w:color w:val="auto"/>
              </w:rPr>
            </w:pPr>
          </w:p>
        </w:tc>
      </w:tr>
      <w:tr>
        <w:trPr>
          <w:trHeight w:val="322"/>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88"/>
              </w:rPr>
              <w:t>Amended and Restated Credit Agreement, dated as of August 15, 2006 among Wynn Las Vegas, LLC, as the Borrower, several lenders and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agents, and Deutsche Bank Trust Company Americas, as Administrative Agent. (2)</w:t>
            </w:r>
          </w:p>
        </w:tc>
      </w:tr>
      <w:tr>
        <w:trPr>
          <w:trHeight w:val="318"/>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w w:val="90"/>
              </w:rPr>
              <w:t>Fourth Amendment to Master Disbursement Agreement, dated as of August 15, 2006, among Wynn Las Vegas, LLC and Deutsche Bank</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Trust Company Americas, as bank agent and disbursement agent. (2)</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with the Quarterly Report on Form 10-Q filed by Wynn Resorts, Limited on November 9, 2006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tabs>
          <w:tab w:leader="none" w:pos="6060" w:val="left"/>
          <w:tab w:leader="none" w:pos="8360" w:val="left"/>
        </w:tabs>
        <w:rPr>
          <w:sz w:val="20"/>
          <w:szCs w:val="20"/>
          <w:color w:val="auto"/>
        </w:rPr>
      </w:pPr>
      <w:r>
        <w:rPr>
          <w:rFonts w:ascii="Arial" w:cs="Arial" w:eastAsia="Arial" w:hAnsi="Arial"/>
          <w:sz w:val="18"/>
          <w:szCs w:val="18"/>
          <w:color w:val="auto"/>
        </w:rPr>
        <w:t>Dated: November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of Wynn Resorts, Limited</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0"/>
          </w:cols>
          <w:pgMar w:left="240" w:top="459" w:right="11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2006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Andrew Pascal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November 9, 2006</w:t>
            </w:r>
          </w:p>
        </w:tc>
      </w:tr>
      <w:tr>
        <w:trPr>
          <w:trHeight w:val="636"/>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Sisk</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November 9,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Roman"/>
      <w:start w:val="2"/>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4"/>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2019-12-15T07:43:31Z</dcterms:created>
  <dcterms:modified xsi:type="dcterms:W3CDTF">2019-12-15T07:43:31Z</dcterms:modified>
</cp:coreProperties>
</file>