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p>
      <w:pPr>
        <w:ind w:left="35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3745230</wp:posOffset>
            </wp:positionH>
            <wp:positionV relativeFrom="paragraph">
              <wp:posOffset>-10160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6140" w:type="dxa"/>
            <w:vAlign w:val="bottom"/>
            <w:gridSpan w:val="3"/>
          </w:tcPr>
          <w:p>
            <w:pPr>
              <w:jc w:val="center"/>
              <w:ind w:right="436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140" w:type="dxa"/>
            <w:vAlign w:val="bottom"/>
            <w:gridSpan w:val="3"/>
          </w:tcPr>
          <w:p>
            <w:pPr>
              <w:jc w:val="center"/>
              <w:ind w:right="43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40" w:type="dxa"/>
            <w:vAlign w:val="bottom"/>
            <w:gridSpan w:val="3"/>
          </w:tcPr>
          <w:p>
            <w:pPr>
              <w:jc w:val="center"/>
              <w:ind w:right="4380"/>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58"/>
        </w:trPr>
        <w:tc>
          <w:tcPr>
            <w:tcW w:w="6140" w:type="dxa"/>
            <w:vAlign w:val="bottom"/>
            <w:gridSpan w:val="3"/>
          </w:tcPr>
          <w:p>
            <w:pPr>
              <w:jc w:val="center"/>
              <w:ind w:left="126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080" w:type="dxa"/>
            <w:vAlign w:val="bottom"/>
          </w:tcPr>
          <w:p>
            <w:pPr>
              <w:spacing w:after="0"/>
              <w:rPr>
                <w:sz w:val="22"/>
                <w:szCs w:val="22"/>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080" w:type="dxa"/>
            <w:vAlign w:val="bottom"/>
          </w:tcPr>
          <w:p>
            <w:pPr>
              <w:spacing w:after="0"/>
              <w:rPr>
                <w:sz w:val="15"/>
                <w:szCs w:val="15"/>
                <w:color w:val="auto"/>
              </w:rPr>
            </w:pPr>
          </w:p>
        </w:tc>
      </w:tr>
      <w:tr>
        <w:trPr>
          <w:trHeight w:val="244"/>
        </w:trPr>
        <w:tc>
          <w:tcPr>
            <w:tcW w:w="4920" w:type="dxa"/>
            <w:vAlign w:val="bottom"/>
            <w:gridSpan w:val="2"/>
          </w:tcPr>
          <w:p>
            <w:pPr>
              <w:jc w:val="center"/>
              <w:ind w:left="246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136"/>
        </w:trPr>
        <w:tc>
          <w:tcPr>
            <w:tcW w:w="254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1"/>
        </w:trPr>
        <w:tc>
          <w:tcPr>
            <w:tcW w:w="2540" w:type="dxa"/>
            <w:vAlign w:val="bottom"/>
          </w:tcPr>
          <w:p>
            <w:pPr>
              <w:spacing w:after="0"/>
              <w:rPr>
                <w:sz w:val="21"/>
                <w:szCs w:val="21"/>
                <w:color w:val="auto"/>
              </w:rPr>
            </w:pPr>
          </w:p>
        </w:tc>
        <w:tc>
          <w:tcPr>
            <w:tcW w:w="36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080" w:type="dxa"/>
            <w:vAlign w:val="bottom"/>
          </w:tcPr>
          <w:p>
            <w:pPr>
              <w:spacing w:after="0"/>
              <w:rPr>
                <w:sz w:val="21"/>
                <w:szCs w:val="21"/>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14" w:right="29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314"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4">
            <w:col w:w="1580" w:space="720"/>
            <w:col w:w="5340" w:space="720"/>
            <w:col w:w="2120" w:space="720"/>
            <w:col w:w="160"/>
          </w:cols>
          <w:pgMar w:left="240" w:top="314" w:right="29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80" w:space="180"/>
            <w:col w:w="260" w:space="80"/>
            <w:col w:w="160" w:space="180"/>
            <w:col w:w="220" w:space="80"/>
            <w:col w:w="1820"/>
          </w:cols>
          <w:pgMar w:left="240" w:top="314" w:right="29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ind w:right="560" w:firstLine="456"/>
        <w:spacing w:after="0" w:line="268" w:lineRule="auto"/>
        <w:rPr>
          <w:sz w:val="20"/>
          <w:szCs w:val="20"/>
          <w:color w:val="auto"/>
        </w:rPr>
      </w:pPr>
      <w:r>
        <w:rPr>
          <w:rFonts w:ascii="Arial" w:cs="Arial" w:eastAsia="Arial" w:hAnsi="Arial"/>
          <w:sz w:val="18"/>
          <w:szCs w:val="18"/>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14" w:right="29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80" w:type="dxa"/>
            <w:vAlign w:val="bottom"/>
            <w:gridSpan w:val="10"/>
          </w:tcPr>
          <w:p>
            <w:pPr>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19"/>
                <w:szCs w:val="19"/>
                <w:color w:val="auto"/>
              </w:rPr>
            </w:pPr>
          </w:p>
        </w:tc>
      </w:tr>
      <w:tr>
        <w:trPr>
          <w:trHeight w:val="286"/>
        </w:trPr>
        <w:tc>
          <w:tcPr>
            <w:tcW w:w="1460" w:type="dxa"/>
            <w:vAlign w:val="bottom"/>
          </w:tcPr>
          <w:p>
            <w:pPr>
              <w:ind w:left="440"/>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10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June 30, 2013 and December 31, 2012</w:t>
              </w:r>
            </w:hyperlink>
          </w:p>
        </w:tc>
        <w:tc>
          <w:tcPr>
            <w:tcW w:w="25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Loss (unaudited) – Three and six months ended June 30,</w:t>
              </w:r>
            </w:hyperlink>
          </w:p>
        </w:tc>
        <w:tc>
          <w:tcPr>
            <w:tcW w:w="28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2013 and 2012</w:t>
              </w:r>
            </w:hyperlink>
          </w:p>
        </w:tc>
        <w:tc>
          <w:tcPr>
            <w:tcW w:w="1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Six months ended June 30,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47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8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2.</w:t>
            </w:r>
          </w:p>
        </w:tc>
        <w:tc>
          <w:tcPr>
            <w:tcW w:w="958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2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Controls and Procedures</w:t>
              </w:r>
            </w:hyperlink>
          </w:p>
        </w:tc>
        <w:tc>
          <w:tcPr>
            <w:tcW w:w="78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700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2860" w:type="dxa"/>
            <w:vAlign w:val="bottom"/>
          </w:tcPr>
          <w:p>
            <w:pPr>
              <w:spacing w:after="0"/>
              <w:rPr>
                <w:sz w:val="19"/>
                <w:szCs w:val="19"/>
                <w:color w:val="auto"/>
              </w:rPr>
            </w:pPr>
          </w:p>
        </w:tc>
      </w:tr>
      <w:tr>
        <w:trPr>
          <w:trHeight w:val="286"/>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1A.</w:t>
            </w:r>
          </w:p>
        </w:tc>
        <w:tc>
          <w:tcPr>
            <w:tcW w:w="70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70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2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276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460" w:type="dxa"/>
            <w:vAlign w:val="bottom"/>
            <w:gridSpan w:val="3"/>
          </w:tcPr>
          <w:p>
            <w:pPr>
              <w:ind w:left="440"/>
              <w:spacing w:after="0"/>
              <w:rPr>
                <w:rFonts w:ascii="Arial" w:cs="Arial" w:eastAsia="Arial" w:hAnsi="Arial"/>
                <w:sz w:val="18"/>
                <w:szCs w:val="18"/>
                <w:color w:val="0000EE"/>
              </w:rPr>
            </w:pPr>
            <w:hyperlink w:anchor="page30">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83"/>
        </w:trPr>
        <w:tc>
          <w:tcPr>
            <w:tcW w:w="4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000" w:type="dxa"/>
            <w:vAlign w:val="bottom"/>
            <w:gridSpan w:val="4"/>
          </w:tcPr>
          <w:p>
            <w:pPr>
              <w:ind w:left="422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020" w:type="dxa"/>
            <w:vAlign w:val="bottom"/>
            <w:shd w:val="clear" w:color="auto" w:fill="CCEEFF"/>
          </w:tcPr>
          <w:p>
            <w:pPr>
              <w:ind w:left="3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148,415</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139,556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162,395</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42,229</w:t>
            </w: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379,736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3,121,030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3,215,605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40,871</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27,489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3,855,504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3,669,881</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38,490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39,431</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64,048</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45,580</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14,023</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21,813</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106,243</w:t>
            </w: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37,755</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329,943</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3,354,469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3,125,424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146,345</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3,833,708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3,602,796</w:t>
            </w:r>
          </w:p>
        </w:tc>
      </w:tr>
      <w:tr>
        <w:trPr>
          <w:trHeight w:val="221"/>
        </w:trPr>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Contributed capital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1,196,615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1,192,135</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(1,174,819)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(1,125,050)</w:t>
            </w:r>
          </w:p>
        </w:tc>
      </w:tr>
      <w:tr>
        <w:trPr>
          <w:trHeight w:val="230"/>
        </w:trPr>
        <w:tc>
          <w:tcPr>
            <w:tcW w:w="9020" w:type="dxa"/>
            <w:vAlign w:val="bottom"/>
          </w:tcPr>
          <w:p>
            <w:pPr>
              <w:ind w:left="88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21,796</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67,085</w:t>
            </w:r>
          </w:p>
        </w:tc>
        <w:tc>
          <w:tcPr>
            <w:tcW w:w="100" w:type="dxa"/>
            <w:vAlign w:val="bottom"/>
          </w:tcPr>
          <w:p>
            <w:pPr>
              <w:spacing w:after="0"/>
              <w:rPr>
                <w:sz w:val="20"/>
                <w:szCs w:val="20"/>
                <w:color w:val="auto"/>
              </w:rPr>
            </w:pPr>
          </w:p>
        </w:tc>
      </w:tr>
      <w:tr>
        <w:trPr>
          <w:trHeight w:val="216"/>
        </w:trPr>
        <w:tc>
          <w:tcPr>
            <w:tcW w:w="9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3,855,504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3,669,881</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w w:val="87"/>
              </w:rPr>
              <w:t>$142,634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98,572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318,885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100,582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96,169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192,127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146,521</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138,373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261,970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104,825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444,869</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389,449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877,807</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799,777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(43,328)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(43,732)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(89,427)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401,541</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345,717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788,380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708,864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67,901</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67,326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151,669</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32,982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65,201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91,106</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79,699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160,980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31,533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59,644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62,287</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58,289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121,344</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(9,012)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5,189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62,095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5"/>
              </w:rPr>
              <w:t>123,705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126,194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351,990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342,179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698,410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49,551</w:t>
            </w: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3,538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89,970</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(56,640)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(58,493)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8"/>
              </w:rPr>
              <w:t>(113,397)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2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(26,578)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(26,578)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(82,959)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(56,738)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8"/>
              </w:rPr>
              <w:t>(139,739)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(112,594)</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20" w:type="dxa"/>
            <w:vAlign w:val="bottom"/>
            <w:gridSpan w:val="2"/>
            <w:vMerge w:val="continue"/>
          </w:tcPr>
          <w:p>
            <w:pPr>
              <w:spacing w:after="0"/>
              <w:rPr>
                <w:sz w:val="19"/>
                <w:szCs w:val="19"/>
                <w:color w:val="auto"/>
              </w:rPr>
            </w:pPr>
          </w:p>
        </w:tc>
        <w:tc>
          <w:tcPr>
            <w:tcW w:w="1200" w:type="dxa"/>
            <w:vAlign w:val="bottom"/>
            <w:gridSpan w:val="2"/>
          </w:tcPr>
          <w:p>
            <w:pPr>
              <w:jc w:val="right"/>
              <w:ind w:right="392"/>
              <w:spacing w:after="0"/>
              <w:rPr>
                <w:sz w:val="20"/>
                <w:szCs w:val="20"/>
                <w:color w:val="auto"/>
              </w:rPr>
            </w:pPr>
            <w:r>
              <w:rPr>
                <w:rFonts w:ascii="Arial" w:cs="Arial" w:eastAsia="Arial" w:hAnsi="Arial"/>
                <w:sz w:val="18"/>
                <w:szCs w:val="18"/>
                <w:color w:val="auto"/>
              </w:rPr>
              <w:t>(33,408)</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(53,200)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(49,769)</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200" w:type="dxa"/>
            <w:vAlign w:val="bottom"/>
            <w:gridSpan w:val="2"/>
          </w:tcPr>
          <w:p>
            <w:pPr>
              <w:jc w:val="right"/>
              <w:ind w:right="392"/>
              <w:spacing w:after="0"/>
              <w:rPr>
                <w:sz w:val="20"/>
                <w:szCs w:val="20"/>
                <w:color w:val="auto"/>
              </w:rPr>
            </w:pPr>
            <w:r>
              <w:rPr>
                <w:rFonts w:ascii="Arial" w:cs="Arial" w:eastAsia="Arial" w:hAnsi="Arial"/>
                <w:sz w:val="18"/>
                <w:szCs w:val="18"/>
                <w:color w:val="auto"/>
                <w:w w:val="87"/>
              </w:rPr>
              <w:t>$ (33,408)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(53,200)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(49,769)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(49,769)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123,705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26,578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(5,780)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(5,303)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(24,729)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15,161</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118,346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73,742</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(23,368)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8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(2,609)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(18,438)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(18,010)</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w w:val="88"/>
              </w:rPr>
              <w:t>(275,405)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(371,567)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8"/>
              </w:rPr>
              <w:t>(243,038)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8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(23,990)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(42,433)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57,475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148,415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205,890</w:t>
            </w:r>
          </w:p>
        </w:tc>
        <w:tc>
          <w:tcPr>
            <w:tcW w:w="5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771,928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left="260" w:right="246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 AND SUBSIDIARIES (A WHOLLY OWNED INDIRECT SUBSIDIARY OF WYNN RESORTS, LIMITED) NOTES TO CONDENSED CONSOLIDATED FINANCIAL STATEMENTS (Unaudited)</w:t>
      </w:r>
    </w:p>
    <w:p>
      <w:pPr>
        <w:spacing w:after="0" w:line="392" w:lineRule="exact"/>
        <w:rPr>
          <w:sz w:val="20"/>
          <w:szCs w:val="20"/>
          <w:color w:val="auto"/>
        </w:rPr>
      </w:pPr>
    </w:p>
    <w:p>
      <w:pPr>
        <w:ind w:left="240" w:right="8240" w:hanging="232"/>
        <w:spacing w:after="0" w:line="347" w:lineRule="auto"/>
        <w:tabs>
          <w:tab w:leader="none" w:pos="2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 Encore (“Wynn Las Vegas”), a fully integrated destination resort and casino on the “Strip” in Las Vegas, Nevada.</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2013,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2013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2012.</w:t>
      </w:r>
    </w:p>
    <w:p>
      <w:pPr>
        <w:spacing w:after="0" w:line="234" w:lineRule="exact"/>
        <w:rPr>
          <w:sz w:val="20"/>
          <w:szCs w:val="20"/>
          <w:color w:val="auto"/>
        </w:rPr>
      </w:pPr>
    </w:p>
    <w:p>
      <w:pPr>
        <w:ind w:left="240" w:right="7880" w:hanging="232"/>
        <w:spacing w:after="0" w:line="347" w:lineRule="auto"/>
        <w:tabs>
          <w:tab w:leader="none" w:pos="2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As of June 30, 2013, restricted cash balances totaled approximately $243 million, which consists of funds held for the purpose of redeeming, in November 2013, the portion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that were not tendered in May 2013. For more information on the Wynn Las Vegas tender offer, see Note 6 – “Long-Term Debt.” There were no restricted cash balances as of December 31, 2012.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Receivable and Credit Risk</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2013 and December 31, 2012, approximately 74% and 78%,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or after two years, whichever period is shorter.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quarter ended June 30, 2013, the Company recorded an adjustment to its reserve estimates for casino accounts receivable based on the results of historical collection patterns and current collection trends. This adjustment benefitted operating income and net loss by $12.2 million for the three and six months ended June 30, 2013. This change in estimate was the primary factor that resulted in a $9 million credit to the provision for doubtful accounts for the quarter ended June 30, 2013.</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quarter ended June 30, 2012, the Company recorded a similar adjustment which benefitted operating income and net loss by $9.6 million. This change in estimate was the primary factor that resulted in a $0.3 million credit to the provision for doubtful accounts for the quarter ended June 30, 2012.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7" w:name="page8"/>
    <w:bookmarkEnd w:id="7"/>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2013</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$18,011</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14,230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13,775</w:t>
            </w:r>
          </w:p>
        </w:tc>
        <w:tc>
          <w:tcPr>
            <w:tcW w:w="580" w:type="dxa"/>
            <w:vAlign w:val="bottom"/>
          </w:tcPr>
          <w:p>
            <w:pPr>
              <w:jc w:val="right"/>
              <w:spacing w:after="0"/>
              <w:rPr>
                <w:sz w:val="20"/>
                <w:szCs w:val="20"/>
                <w:color w:val="auto"/>
              </w:rPr>
            </w:pPr>
            <w:r>
              <w:rPr>
                <w:rFonts w:ascii="Arial" w:cs="Arial" w:eastAsia="Arial" w:hAnsi="Arial"/>
                <w:sz w:val="18"/>
                <w:szCs w:val="18"/>
                <w:color w:val="auto"/>
              </w:rPr>
              <w:t>29,666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29,189</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25,322</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25,157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53,236</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53,373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$10.9 million and $7.4 million for the three months ended June 30, 2013 and 2012, respectively. For the six months ended June 30, 2013 and 2012, these taxes totaled $23.4 million and $18.4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primarily included in general and administrative expenses. Advertising costs totaled $5.1 million and $5.8 million for the three months ended June 30, 2013 and 2012, respectively. Advertising costs totaled $10.4 million and $9.7 million for the six months ended June 30, 2013 and 2012,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2013 and 2012, the Company recorded $4.5 million and $2.7 million, respectively, in share-based compensation with a corresponding credit to contributed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adoption of this update did not have a material impact on the Company’s financial statements.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annual, and interim impairment tests performed for years beginning after September 15, 2012. The adoption did not have a material impact on the Company’s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Supplemental Disclosure of Cash Flow Information</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Interest paid for the six months ended June 30, 2013 and 2012 totaled $111.6 million and $92.4 million, respectively. Interest paid during the six months ended June 30, 2013 increased due to the issuance of the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There was no interest capitalized during the six months ended June 30, 2013 or 2012.</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2013 capital expenditures include an increase of $0.3 million in construction payables and retention recorded through amounts due to affiliates compared with a decrease of $6.2 million during the six months ended June 30,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4"/>
                <w:szCs w:val="14"/>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$152,947</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Hotel</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15,960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980" w:type="dxa"/>
            <w:vAlign w:val="bottom"/>
            <w:gridSpan w:val="2"/>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21,730</w:t>
            </w: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190,637</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98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(64,281)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139,556</w:t>
            </w:r>
          </w:p>
        </w:tc>
        <w:tc>
          <w:tcPr>
            <w:tcW w:w="4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4292"/>
              <w:spacing w:after="0"/>
              <w:rPr>
                <w:sz w:val="20"/>
                <w:szCs w:val="20"/>
                <w:color w:val="auto"/>
              </w:rPr>
            </w:pPr>
            <w:r>
              <w:rPr>
                <w:rFonts w:ascii="Arial" w:cs="Arial" w:eastAsia="Arial" w:hAnsi="Arial"/>
                <w:sz w:val="18"/>
                <w:szCs w:val="18"/>
                <w:b w:val="1"/>
                <w:bCs w:val="1"/>
                <w:color w:val="auto"/>
                <w:w w:val="90"/>
              </w:rPr>
              <w:t>5. Property and Equipment, net</w:t>
            </w: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jc w:val="right"/>
              <w:ind w:right="652"/>
              <w:spacing w:after="0"/>
              <w:rPr>
                <w:sz w:val="20"/>
                <w:szCs w:val="20"/>
                <w:color w:val="auto"/>
              </w:rPr>
            </w:pPr>
            <w:r>
              <w:rPr>
                <w:rFonts w:ascii="Arial" w:cs="Arial" w:eastAsia="Arial" w:hAnsi="Arial"/>
                <w:sz w:val="18"/>
                <w:szCs w:val="18"/>
                <w:color w:val="auto"/>
                <w:w w:val="95"/>
              </w:rPr>
              <w:t>Property and equipment, net consisted of the following (amounts in thousands):</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622,941</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2,627,986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2,626,384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1,346,811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4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4,652,535</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4,632,869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(1,531,505)</w:t>
            </w:r>
          </w:p>
        </w:tc>
        <w:tc>
          <w:tcPr>
            <w:tcW w:w="40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(1,417,264)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$ 3,121,030</w:t>
            </w:r>
          </w:p>
        </w:tc>
        <w:tc>
          <w:tcPr>
            <w:tcW w:w="40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$ 3,215,605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52"/>
              <w:spacing w:after="0"/>
              <w:rPr>
                <w:sz w:val="20"/>
                <w:szCs w:val="20"/>
                <w:color w:val="auto"/>
              </w:rPr>
            </w:pPr>
            <w:r>
              <w:rPr>
                <w:rFonts w:ascii="Arial" w:cs="Arial" w:eastAsia="Arial" w:hAnsi="Arial"/>
                <w:sz w:val="18"/>
                <w:szCs w:val="18"/>
                <w:color w:val="auto"/>
              </w:rPr>
              <w:t>9</w:t>
            </w: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9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88"/>
        </w:trPr>
        <w:tc>
          <w:tcPr>
            <w:tcW w:w="92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1"/>
                <w:szCs w:val="11"/>
                <w:color w:val="auto"/>
                <w:w w:val="93"/>
              </w:rPr>
              <w:t>8</w:t>
            </w:r>
            <w:r>
              <w:rPr>
                <w:rFonts w:ascii="Arial" w:cs="Arial" w:eastAsia="Arial" w:hAnsi="Arial"/>
                <w:sz w:val="18"/>
                <w:szCs w:val="18"/>
                <w:color w:val="auto"/>
                <w:w w:val="93"/>
              </w:rPr>
              <w:t>% First Mortgage Notes, due November 1, 2017, net of original issue discount of $3,041 at June 30, 2013 and $7,384 at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222,254</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492,616</w:t>
            </w:r>
          </w:p>
        </w:tc>
        <w:tc>
          <w:tcPr>
            <w:tcW w:w="120" w:type="dxa"/>
            <w:vAlign w:val="bottom"/>
            <w:shd w:val="clear" w:color="auto" w:fill="CCEEFF"/>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1"/>
                <w:szCs w:val="11"/>
                <w:color w:val="auto"/>
                <w:w w:val="95"/>
              </w:rPr>
              <w:t>8</w:t>
            </w:r>
            <w:r>
              <w:rPr>
                <w:rFonts w:ascii="Arial" w:cs="Arial" w:eastAsia="Arial" w:hAnsi="Arial"/>
                <w:sz w:val="18"/>
                <w:szCs w:val="18"/>
                <w:color w:val="auto"/>
                <w:w w:val="95"/>
              </w:rPr>
              <w:t>% First Mortgage Notes, due May 1, 2020, net of payable to affiliate and original issue discount of $1,995 at June 30,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2013 and $2,102 at December 31, 2012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349,908</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March 15, 2022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 Notes, due May 30, 2023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33,950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3,355,519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3,126,474</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r>
      <w:tr>
        <w:trPr>
          <w:trHeight w:val="222"/>
        </w:trPr>
        <w:tc>
          <w:tcPr>
            <w:tcW w:w="9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3,354,469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3,125,424</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First Mortgage Notes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On May 15, 2013, the Company, an indirect wholly owned subsidiary of Wynn Resorts, Limited, commenced a cash tender offer (the “tender offer”) for any and all of the outstanding $500 million aggregate principal amount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(the “2017 Notes”) of Wynn Las Vegas, LLC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retirement of debt in the accompanying Condensed Consolidated Statements of Operations and Comprehensive Loss.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in connection with this transaction, the Company expensed $6.7 million of unamortized debt issue costs and original issue discount related to the 2017 Notes and incurred other fees of approximately $0.3 million that are included in loss on retirement of debt in the accompanying Condensed Consolidated Statements of Operations and Comprehensive 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2023 Notes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Separately, on May 22, 2013, the Issuers completed the issuance of $500 million aggregate principal amount of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may use any remaining net proceeds to redeem any and all of the 2017 Notes not previously tendered. In connection with the issuance of the 2023 Notes, the Company capitalized approximately $4.1 million of financing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2023 Notes will mature on May 30, 2023 and bear interest at the rate of 4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The 2023 Notes are the Issuers’ senior unsecured obligations and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2022 (the “2022 Notes” and, together with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As described in Note 9 – “Commitments and Contingencies”, Elaine Wynn has submitted a cross claim against Steve Wynn and Kazuo Okada in relation to the ongoing litigation. The indentures governing the Existing Notes (other than the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and the 2023 Notes provide that if Steve Wynn, together with certain related parties, in the aggregate beneficially owns a lesser percentage of the outstanding common stock of Wynn Resorts than are beneficially owned by any other person, a change of control will have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occurred. If Elaine Wynn prevails in her cross claim, Steve Wynn would not beneficially own or control Elaine Wynn’s shares and a change in control may result under the Company’s debt documents.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 Term Debt</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net book value of the Company’s outstanding first mortgage notes and senior notes was approximately $3.3 billion and $3.1 billion at June 30, 2013 and December 31, 2012, respectively. The estimated fair value of the Company’s outstanding first mortgage notes and senior notes, based on recent trades (using Level 2 inputs), was approximately $3.5 billion and $3.4 billion at June 30, 2013 and December 31, 2012, respectively. The net book value and estimated fair value of the Company’s other debt instruments was approximately $33.3 million and $34 million at June 30, 2013 and December 31, 2012,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2013, the Company’s current due to affiliates, net was comprised of $44.3 million including corporate allocations discussed below and $4.4 million of construction related payables. The long-term due to affiliates is management fees of $158.2 million (equal to 1.5% of net revenues and payable upon meeting certain leverage ratios as specified in the documents governing the Company’s first mortgage notes indentures).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2012, the Company’s current due to affiliates, net was comprised of $33.7 million including corporate allocations discussed below and $4.1 million of construction related payables. The long-term due to affiliates was management fees of $146.3 million.</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first mortgage notes and senior notes.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June 30, 2013 and 2012, $7 million and $7.1 million, respectively, were charged to the Company for such corporate allocations. For the six months ended June 30, 2013 and 2012, $13.2 million and $13.8 million, respectively, were charged to the Company for such corporate allocations.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Villa Suite Lease</w:t>
      </w:r>
    </w:p>
    <w:p>
      <w:pPr>
        <w:spacing w:after="0" w:line="9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On March 18, 2010, Mr. Wynn and the Company entered into an Amended and Restated Agreement of Lease (the “Prior SW Lease”) for a villa suite to serve as Mr. Wynn’s personal residence. The Prior SW Lease amended and restated a previous lease. The Prior SW Lease was approved by the Audit Committee of the Board of Directors of Wynn Resorts. The term of the Prior SW Lease commenced as of March 1, 2010 and ran concurrent with Mr. Wynn’s employment agreement with Wynn Resorts; provided that either party could terminate on 90 days notice. Pursuant to the Prior SW Lease, the rental value of the villa suite is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 On May 7, 2013, Wynn Las Vegas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Wynn Resorts with the assistance of an independent third-party appraisal. The rental value for the villa suite will be re-determined every two years during the term of the Existing SW Lease by the Audit Committee. Certain services for, and maintenance of, the villa suite are included in the rental.</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Aircraft Purchase Option Agreement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January 3, 2013, Wynn Resorts and Mr. Wynn entered into an agreement pursuant to which Mr. Wynn agreed to terminate a previously granted option to purchase an approximately two acre tract of land located on the Wynn Las Vegas golf course and, in return, Wynn Resorts granted Mr. Wynn the right to purchase any or all of the aircraft owned by the Company. The aircraft purchase option is exercisable upon 30 days written notice and at a price equal to the book value of such aircraft, and will terminate on the date of termination of the employment agreement between Wynn Resorts and Mr. Wynn, which expires in October 2020.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Golf Course Lease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Property charges and other for the three months ended June 30, 2013 and 2012 were $7.1 million and $2.2 million, respectively. Property charges and other for the six months ended June 30, 2013 and 2012 were $9.8 million and $5.9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charges generally include costs related to the retirement of assets for remodels and asset abandonments. Property charges and other for the three and six months ended June 30, 2013 and 2012 included miscellaneous renovations and abandonments at our resort, entertainment development costs and fees paid in connection with the termination of a contract.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xml:space="preserve"> that food and non-alcoholic beverages purchased for use in providing complimentary meals to customers and to employees were exempt from use tax. Through April 2008, Wynn Las Vegas paid use tax on these items and filed for refunds for the periods from April 2005 to April 2008. The amount subject to these refunds was $5.4 million. The Company did not record a receivable associated with its $5.4 million refund claim.</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February of 2012, the Nevada Department of Taxation announced that while the food and nonalcoholic beverages purchased for use in complimentary meals are not subject to use tax, the complimentary meal itself is subject to sales tax. At that time, the Company began to accrue sales tax on certain complimentary meals.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2013, the Governor of the State of Nevada signed into law a bill that provides food, meals, and non-alcoholic drinks provided to employees, patrons and guests are not subject to Nevada sales tax. This legislation codified an agreement reached between the Nevada Tax Commission and several large casino taxpayers that provided the taxpayers would agree to forego and cause to dismiss their pending refund claims and the Nevada Tax Commission would agree not to assess Nevada sales or use tax on complimentary food, meals, and non-alcoholic drinks through 2019. As a result of this legislation, the Company has reversed its accrual for sales tax on complimentary meals of $2.9 million in the current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and its affiliates are occasionally party to lawsuits. As with all litigation, no assurance can be provided as to the outcome of such matters and we note that litigation inherently involves significant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the Gaming Compliance Committee of Wynn Resorts, Ltd.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at the time was a director of Wynn Resorts and two of its subsidiaries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refused to acknowledge or abide by Wynn Resorts’ anti-bribery policies and refused to participate in the training all other directors received concerning these policies.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the Freeh Report, the Board of Directors of Wynn Resorts determined that each of the Okada Parties is an “unsuitable person” under Article VII of Wynn Resorts’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Wynn Las Vegas Capital Corp., an indirect wholly owned subsidiary of Wynn Resorts, and on February 24, 2012, he was removed from the Board of Directors of Wynn Macau, Limited. On February 22, 2013, Mr. Okada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4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Pursuant to the articles of incorporation, Wynn Resorts issued the Redemption Price Promissory Note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Claims and Investigations Related to Mr. Okada and Wynn Macau</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On February 19, 2012, Wynn Resorts filed a complaint in the Eighth Judicial District Court, Clark County, Nevada against the Okada Parties,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and (5) that the actions taken by the Wynn Resorts CEO and General Counsel violated the Nevada Racketeer Influenced and Corrupt Organizations Act.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19, 2012, Elaine Wynn responded to the Counterclaim and asserted a cross claim against Steve Wynn and Kazuo Okada seeking a declaration that</w:t>
      </w:r>
    </w:p>
    <w:p>
      <w:pPr>
        <w:spacing w:after="0" w:line="50" w:lineRule="exact"/>
        <w:rPr>
          <w:sz w:val="20"/>
          <w:szCs w:val="20"/>
          <w:color w:val="auto"/>
        </w:rPr>
      </w:pPr>
    </w:p>
    <w:p>
      <w:pPr>
        <w:ind w:firstLine="8"/>
        <w:spacing w:after="0" w:line="287"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first mortgage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12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June 12, 2013, the Okada Parties filed a request to file a third amended counterclaim, but the amended pleading has not yet been filed.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may change due to the Stay.</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 – that is, potential violations of the Foreign Corrupt Practice Act and related fraudulent conduct – that form the basis of” Wynn Resorts’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August 2, 2013, the court stayed discovery in the indemnification action related to the government investigations (consistent with the Stay in the Redemption Action), and ordered that all other discovery be conducted within ninety days. The court did not set a trial date; rather set the matter for a status check on January 10, 2014.</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Subject to the Stay, Wynn Resorts will continue to vigorously pursue its claims against the Okada Parties,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served on those boards. The sole dissenting vote was cast by Mr. Okada whose stated objection was to the length of time over which the donation would occur, not its propriety. Mr. Okada has filed various lawsuits against Wynn Resorts relating to Wynn Resorts’ donation to the University of Macau and alleging that it was improper.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8, 2012, following the initiation of Mr. Okada’s litigation against Wynn Resorts regarding Wynn Macau’s donation to the University of Macau Development Foundation,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fully cooperating with the Salt Lake Regional Office staff. On July 2, 2013, Wynn Resorts received a letter from the Office stating that the investigation had been completed with the Office not intending to recommend any enforcement action against Wynn Resorts by the SEC.</w:t>
      </w:r>
    </w:p>
    <w:p>
      <w:pPr>
        <w:spacing w:after="0" w:line="12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February 2013, the Nevada Gaming Control Board informed Wynn Resorts that it had completed an investigation of allegations made by Mr. Okada against Wynn Resorts regarding the activities of Mr. Wynn and related entities in Macau and found no violations of the Gaming Control Act or the Nevada Gaming Commission Regulations.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donation to the University of Macau discussed above. Wynn Resorts has not received any target letter or subpoena in connection with such an investigation. Wynn Resorts intends to cooperate fully with the government in response to any inquiry related to the donation to the University of Macau.</w:t>
      </w:r>
    </w:p>
    <w:p>
      <w:pPr>
        <w:spacing w:after="0" w:line="11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the donation to the University of Macau. While Wynn Resorts believes that it is in full compliance with all applicable laws, any such investigations could result in actions by regulators against Wynn Resorts or its subsidiaries.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additional information regarding the proceedings discussed above and related proceedings see Part II, Item 1 of the Quarterly Report on Form 10-Q filed by Wynn Resorts for the quarter ended June 30,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These include the risks and uncertainties in Item 1A – Risk Factors and other risk factors we describe from time to time in our periodic filings with the SEC as well as the following:</w:t>
      </w:r>
    </w:p>
    <w:p>
      <w:pPr>
        <w:spacing w:after="0" w:line="5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Wynn Las Vegas | Encore for all of our operating cash flow;</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74" w:right="339" w:bottom="1440" w:gutter="0" w:footer="0" w:header="0"/>
        </w:sectPr>
      </w:pPr>
    </w:p>
    <w:bookmarkStart w:id="18" w:name="page19"/>
    <w:bookmarkEnd w:id="18"/>
    <w:p>
      <w:pPr>
        <w:jc w:val="both"/>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are a developer, owner and operator of destination casino resorts. We currently own and operate Wynn Las Vegas |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Limited (“ Wynn Resorts”), we lease approximately 140 acres (upon which the golf course is located) and water rights from Wynn Resorts.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96,000 square feet of high-end, brand-name retail shopping, including stores and boutiques by Alexander McQueen, Brioni, Cartier, Chanel, Chloé, Chopard, Dior, Graff, Hermes, IWC Schaffhausen, Jaeger LeCoultre, Loro Piana, Louis Vuitton, Manolo Blahnik, Nicholas Kirkwood, Oscar de la Renta, Piaget, Rolex, Vertu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made and expect to continue to remodel and make enhancements and refinements to our resort complex.</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recorded a net loss for the three months ended June 30, 2013 of $33.4 million, compared to a net loss of $53.2 million recorded for the three months ended June 30, 2012. Our results for the three months ended June 30, 2013 were benefitted by improved profits primarily in the casino department ($44 million) where we experienced a higher table games win percentage, partially offset by a loss on retirement of debt of $26.6 million related to the cash tender offer for our 2017 Notes as discussed in “Other non-operating costs and expenses” below.</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included in our discussions of the Company’s operational performance for the periods in which a Condensed Consolidated Statement of Operations and Comprehensive Loss is presented. Below are definitions of the statistics discussed:</w:t>
      </w:r>
    </w:p>
    <w:p>
      <w:pPr>
        <w:spacing w:after="0" w:line="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2013 compared to the three months ended June 30,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Net revenues for the three months ended June 30, 2013, were comprised of $142.6 million in casino revenues (35.5% of total net revenues) and $258.9 million of net non-casino revenues (64.5% of total net revenues). Net revenues for the three months ended June 30, 2012, were comprised of $98.6 million in casino revenues (28.5% of total net revenues) and $247.1 million of net non-casino revenues (71.5% of total net revenues).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an increase in casino revenues of $44 million (44.7%) to $142.6 million for the three months ended June 30, 2013, compared to $98.6 million for the three months ended June 30, 2012, due to a significant increase in our table games win percentage (before discounts).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gridSpan w:val="2"/>
          </w:tcPr>
          <w:p>
            <w:pPr>
              <w:jc w:val="right"/>
              <w:ind w:right="592"/>
              <w:spacing w:after="0" w:line="129"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ind w:left="120"/>
              <w:spacing w:after="0" w:line="129"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597"/>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10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2012</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(Decrease)</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160" w:type="dxa"/>
            <w:vAlign w:val="bottom"/>
            <w:tcBorders>
              <w:top w:val="single" w:sz="8" w:color="auto"/>
            </w:tcBorders>
            <w:gridSpan w:val="5"/>
          </w:tcPr>
          <w:p>
            <w:pPr>
              <w:jc w:val="right"/>
              <w:ind w:right="12"/>
              <w:spacing w:after="0" w:line="142" w:lineRule="exact"/>
              <w:rPr>
                <w:sz w:val="20"/>
                <w:szCs w:val="20"/>
                <w:color w:val="auto"/>
              </w:rPr>
            </w:pPr>
            <w:r>
              <w:rPr>
                <w:rFonts w:ascii="Arial" w:cs="Arial" w:eastAsia="Arial" w:hAnsi="Arial"/>
                <w:sz w:val="14"/>
                <w:szCs w:val="14"/>
                <w:color w:val="auto"/>
              </w:rPr>
              <w:t>(amounts in thousands, except for win per unit per day amounts)</w:t>
            </w: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86"/>
              </w:rPr>
              <w:t>548,021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86"/>
              </w:rPr>
              <w:t>575,560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6"/>
              </w:rPr>
              <w:t>(27,539)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Table games win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7"/>
              <w:spacing w:after="0"/>
              <w:rPr>
                <w:sz w:val="20"/>
                <w:szCs w:val="20"/>
                <w:color w:val="auto"/>
              </w:rPr>
            </w:pPr>
            <w:r>
              <w:rPr>
                <w:rFonts w:ascii="Arial" w:cs="Arial" w:eastAsia="Arial" w:hAnsi="Arial"/>
                <w:sz w:val="18"/>
                <w:szCs w:val="18"/>
                <w:color w:val="auto"/>
                <w:w w:val="86"/>
              </w:rPr>
              <w:t>117,782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5"/>
              <w:spacing w:after="0"/>
              <w:rPr>
                <w:sz w:val="20"/>
                <w:szCs w:val="20"/>
                <w:color w:val="auto"/>
              </w:rPr>
            </w:pPr>
            <w:r>
              <w:rPr>
                <w:rFonts w:ascii="Arial" w:cs="Arial" w:eastAsia="Arial" w:hAnsi="Arial"/>
                <w:sz w:val="18"/>
                <w:szCs w:val="18"/>
                <w:color w:val="auto"/>
              </w:rPr>
              <w:t>86,485</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2"/>
              <w:spacing w:after="0"/>
              <w:rPr>
                <w:sz w:val="20"/>
                <w:szCs w:val="20"/>
                <w:color w:val="auto"/>
              </w:rPr>
            </w:pPr>
            <w:r>
              <w:rPr>
                <w:rFonts w:ascii="Arial" w:cs="Arial" w:eastAsia="Arial" w:hAnsi="Arial"/>
                <w:sz w:val="18"/>
                <w:szCs w:val="18"/>
                <w:color w:val="auto"/>
                <w:w w:val="94"/>
              </w:rPr>
              <w:t>31,297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21.5%</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6.5pts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Table games win per unit per day</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7"/>
              <w:spacing w:after="0"/>
              <w:rPr>
                <w:sz w:val="20"/>
                <w:szCs w:val="20"/>
                <w:color w:val="auto"/>
              </w:rPr>
            </w:pPr>
            <w:r>
              <w:rPr>
                <w:rFonts w:ascii="Arial" w:cs="Arial" w:eastAsia="Arial" w:hAnsi="Arial"/>
                <w:sz w:val="18"/>
                <w:szCs w:val="18"/>
                <w:color w:val="auto"/>
              </w:rPr>
              <w:t>5,548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5"/>
              <w:spacing w:after="0"/>
              <w:rPr>
                <w:sz w:val="20"/>
                <w:szCs w:val="20"/>
                <w:color w:val="auto"/>
              </w:rPr>
            </w:pPr>
            <w:r>
              <w:rPr>
                <w:rFonts w:ascii="Arial" w:cs="Arial" w:eastAsia="Arial" w:hAnsi="Arial"/>
                <w:sz w:val="18"/>
                <w:szCs w:val="18"/>
                <w:color w:val="auto"/>
              </w:rPr>
              <w:t>4,384</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2"/>
              <w:spacing w:after="0"/>
              <w:rPr>
                <w:sz w:val="20"/>
                <w:szCs w:val="20"/>
                <w:color w:val="auto"/>
              </w:rPr>
            </w:pPr>
            <w:r>
              <w:rPr>
                <w:rFonts w:ascii="Arial" w:cs="Arial" w:eastAsia="Arial" w:hAnsi="Arial"/>
                <w:sz w:val="18"/>
                <w:szCs w:val="18"/>
                <w:color w:val="auto"/>
              </w:rPr>
              <w:t>1,164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86"/>
              </w:rPr>
              <w:t>712,603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86"/>
              </w:rPr>
              <w:t>707,840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4,763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Slot machine win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7"/>
              <w:spacing w:after="0"/>
              <w:rPr>
                <w:sz w:val="20"/>
                <w:szCs w:val="20"/>
                <w:color w:val="auto"/>
              </w:rPr>
            </w:pPr>
            <w:r>
              <w:rPr>
                <w:rFonts w:ascii="Arial" w:cs="Arial" w:eastAsia="Arial" w:hAnsi="Arial"/>
                <w:sz w:val="18"/>
                <w:szCs w:val="18"/>
                <w:color w:val="auto"/>
              </w:rPr>
              <w:t>44,689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5"/>
              <w:spacing w:after="0"/>
              <w:rPr>
                <w:sz w:val="20"/>
                <w:szCs w:val="20"/>
                <w:color w:val="auto"/>
              </w:rPr>
            </w:pPr>
            <w:r>
              <w:rPr>
                <w:rFonts w:ascii="Arial" w:cs="Arial" w:eastAsia="Arial" w:hAnsi="Arial"/>
                <w:sz w:val="18"/>
                <w:szCs w:val="18"/>
                <w:color w:val="auto"/>
              </w:rPr>
              <w:t>40,484</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2"/>
              <w:spacing w:after="0"/>
              <w:rPr>
                <w:sz w:val="20"/>
                <w:szCs w:val="20"/>
                <w:color w:val="auto"/>
              </w:rPr>
            </w:pPr>
            <w:r>
              <w:rPr>
                <w:rFonts w:ascii="Arial" w:cs="Arial" w:eastAsia="Arial" w:hAnsi="Arial"/>
                <w:sz w:val="18"/>
                <w:szCs w:val="18"/>
                <w:color w:val="auto"/>
              </w:rPr>
              <w:t>4,205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 per unit per day</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231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186</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20" w:name="page21"/>
    <w:bookmarkEnd w:id="20"/>
    <w:p>
      <w:pPr>
        <w:ind w:right="1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months ended June 30, 2013, room revenues were $100.6 million, which represents a $4.4 million (4.6%) increase over the $96.2 million generated in the three months ended June 30, 2012. We experienced an increase in ADR during the three months ended June 30, 2013, compared to the three months ended June 30, 2012, and a decrease in occupancy rate of 0.7 percentage points. ADR has increased as we adjusted rates in an effort to attract customers who would take advantage of all aspects of our resort.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our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Other non-gaming revenues for the three months ended June 30, 2013, included food and beverage revenues of $146.6 million, retail revenues of $22.2 million, entertainment revenues of $14.7 million and other revenues from outlets, including the spa and salon, of $18.2 million. Other non-casino revenues for the three months ended June 30, 2012, included food and beverage revenues of $138.4 million, retail revenues of $21 million, entertainment revenues of $18.1 million and other revenues from outlets such as the spa and salon, of $17.2 million. Food and beverage revenues increased primarily due to strong business in restaurants and nightclubs. Entertainment revenues decreased primarily due to a show that ended its run in November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For the three months ended June 30, 2013, departmental expenses included casino expenses of $67.9 million, room expense of $33 million, food and beverage expenses of $91 million, and entertainment, retail and other expenses of $31.5 million. Also included are general and administrative expenses of $62.2 million and a $9 million credit taken to provision for doubtful accounts receivable. For the three months ended June 30, 2012, departmental expenses included casino expense of $67.3 million, room expense of $32.6 million, food and beverage expense of $79.7 million, and entertainment, retail and other expense of $34.5 million. Also included are general and administrative expenses of $58.3 million and a $0.3 million credit taken to provision for doubtful accounts receivable. Casino expenses include a $2.9 million reversal of an accrual for sales tax on complimentary meals. Food and beverage expenses increased over the prior year quarter primarily due to additional nightclub promotional costs. Entertainment, retail and other expenses decreased primarily due to a show that ended its run in November 2012. General and administrative expenses increased primarily due to intercompany golf course and water rights lease expense that began in September 2012. During both the quarters ended June 30, 2013 and 2012, we recorded adjustments of $12.2 million and $9.6 million, respectively, to our reserve estimates for casino accounts receivable based on the results of historical collection patterns and current collection trends. These adjustments were the primary factors that resulted in a $9 million and $0.3 million credit to the provision for doubtful accounts for the three months ended June 30, 2013 and 2012, respectively.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and senior notes indentures. Management fees were $6 million for the three months ended June 30, 2013, compared to $5.2 million for the three months ended June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three months ended June 30, 2013 was $62.1 million compared to $62.8 million for the three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charges and other</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Property charges and other for the three months ended June 30, 2013, were $7 million compared to $2.2 million for the three months ended June 30, 2012. Property charges and other for both the three months ended June 30, 2013 and 2012 related to miscellaneous renovations and abandonments at our resort complex, entertainment development costs and fees associated with the termination of a contract.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and refinements.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Interest expense was $56.6 million for the three months ended June 30, 2013, compared to $58.5 million for the three months ended June 30, 2012. No interest was capitalized during the quarter ended June 30, 2013 or 2012.</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On May 22, 2013, Wynn Las Vegas completed the purchase of $274.7 million of the $500 million aggregate principal amount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(the “2017 Notes”) pursuant to a tender offer for any and all of the 2017 Notes. In connection with this tender offer, we paid $19.6 million in consideration to holders who tendered their notes. Additionally, Wynn Las Vegas expensed $6.7 million of unamortized debt issue costs and original issue discount related to the 2017 Notes and incurred other fees of approximately $0.3 million related to the tender offer. In accordance with the applicable accounting standards, we recorded these expenses and charges as a loss on retirement of debt totaling $26.6 million.</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We recorded a gain of approximately $1.3 million for the three months ended June 30, 2012, resulting from the increase in the fair value of our interest rate swap during this period. In June 2012, we terminated the interest rate swap for a payment of $2.4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2013 compared to the six months ended June 30,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for the six months ended June 30, 2013, are composed of $318.9 million in casino revenues (40.4% of total net revenues) and $469.5 million of net non-casino revenues (59.6% of total net revenues). Net revenues for the six months ended June 30, 2012, were comprised of $256.3 million in casino revenues (36.2% of total net revenues) and $452.6 million of net non-casino revenues (63.8% of total net revenues).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an increase in casino revenues of $62.6 million (24.4%) to $318.9 million for the six months ended June 30, 2013, compared to $256.3 million for the six months ended June 30, 2012, due to a significant increase in our table games win percentage (before discounts).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sets forth key gaming statistics related to our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1052"/>
              <w:spacing w:after="0"/>
              <w:rPr>
                <w:sz w:val="20"/>
                <w:szCs w:val="20"/>
                <w:color w:val="auto"/>
              </w:rPr>
            </w:pPr>
            <w:r>
              <w:rPr>
                <w:rFonts w:ascii="Arial" w:cs="Arial" w:eastAsia="Arial" w:hAnsi="Arial"/>
                <w:sz w:val="14"/>
                <w:szCs w:val="14"/>
                <w:b w:val="1"/>
                <w:bCs w:val="1"/>
                <w:color w:val="auto"/>
                <w:w w:val="90"/>
              </w:rPr>
              <w:t>Six Months Ended June 30,</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gridSpan w:val="2"/>
          </w:tcPr>
          <w:p>
            <w:pPr>
              <w:jc w:val="right"/>
              <w:ind w:right="592"/>
              <w:spacing w:after="0" w:line="129" w:lineRule="exact"/>
              <w:rPr>
                <w:sz w:val="20"/>
                <w:szCs w:val="20"/>
                <w:color w:val="auto"/>
              </w:rPr>
            </w:pPr>
            <w:r>
              <w:rPr>
                <w:rFonts w:ascii="Arial" w:cs="Arial" w:eastAsia="Arial" w:hAnsi="Arial"/>
                <w:sz w:val="14"/>
                <w:szCs w:val="14"/>
                <w:b w:val="1"/>
                <w:bCs w:val="1"/>
                <w:color w:val="auto"/>
              </w:rPr>
              <w:t>Increase/</w:t>
            </w:r>
          </w:p>
        </w:tc>
        <w:tc>
          <w:tcPr>
            <w:tcW w:w="6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57"/>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1180" w:type="dxa"/>
            <w:vAlign w:val="bottom"/>
          </w:tcPr>
          <w:p>
            <w:pPr>
              <w:jc w:val="right"/>
              <w:ind w:right="657"/>
              <w:spacing w:after="0"/>
              <w:rPr>
                <w:sz w:val="20"/>
                <w:szCs w:val="20"/>
                <w:color w:val="auto"/>
              </w:rPr>
            </w:pPr>
            <w:r>
              <w:rPr>
                <w:rFonts w:ascii="Arial" w:cs="Arial" w:eastAsia="Arial" w:hAnsi="Arial"/>
                <w:sz w:val="14"/>
                <w:szCs w:val="14"/>
                <w:b w:val="1"/>
                <w:bCs w:val="1"/>
                <w:color w:val="auto"/>
              </w:rPr>
              <w:t>2012</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5"/>
          </w:tcPr>
          <w:p>
            <w:pPr>
              <w:jc w:val="right"/>
              <w:ind w:right="112"/>
              <w:spacing w:after="0" w:line="142" w:lineRule="exact"/>
              <w:rPr>
                <w:sz w:val="20"/>
                <w:szCs w:val="20"/>
                <w:color w:val="auto"/>
              </w:rPr>
            </w:pPr>
            <w:r>
              <w:rPr>
                <w:rFonts w:ascii="Arial" w:cs="Arial" w:eastAsia="Arial" w:hAnsi="Arial"/>
                <w:sz w:val="14"/>
                <w:szCs w:val="14"/>
                <w:color w:val="auto"/>
              </w:rPr>
              <w:t>(amounts in thousands, except for win per unit per day amounts)</w:t>
            </w: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84"/>
              </w:rPr>
              <w:t>1,216,940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84"/>
              </w:rPr>
              <w:t>1,230,081</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9"/>
              </w:rPr>
              <w:t>(13,141)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Table games win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7"/>
              <w:spacing w:after="0"/>
              <w:rPr>
                <w:sz w:val="20"/>
                <w:szCs w:val="20"/>
                <w:color w:val="auto"/>
              </w:rPr>
            </w:pPr>
            <w:r>
              <w:rPr>
                <w:rFonts w:ascii="Arial" w:cs="Arial" w:eastAsia="Arial" w:hAnsi="Arial"/>
                <w:sz w:val="18"/>
                <w:szCs w:val="18"/>
                <w:color w:val="auto"/>
              </w:rPr>
              <w:t>296,572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7"/>
              <w:spacing w:after="0"/>
              <w:rPr>
                <w:sz w:val="20"/>
                <w:szCs w:val="20"/>
                <w:color w:val="auto"/>
              </w:rPr>
            </w:pPr>
            <w:r>
              <w:rPr>
                <w:rFonts w:ascii="Arial" w:cs="Arial" w:eastAsia="Arial" w:hAnsi="Arial"/>
                <w:sz w:val="18"/>
                <w:szCs w:val="18"/>
                <w:color w:val="auto"/>
              </w:rPr>
              <w:t>235,775</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w w:val="98"/>
              </w:rPr>
              <w:t>60,797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19.2%</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5.2pts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Table games win per unit per day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7"/>
              <w:spacing w:after="0"/>
              <w:rPr>
                <w:sz w:val="20"/>
                <w:szCs w:val="20"/>
                <w:color w:val="auto"/>
              </w:rPr>
            </w:pPr>
            <w:r>
              <w:rPr>
                <w:rFonts w:ascii="Arial" w:cs="Arial" w:eastAsia="Arial" w:hAnsi="Arial"/>
                <w:sz w:val="18"/>
                <w:szCs w:val="18"/>
                <w:color w:val="auto"/>
              </w:rPr>
              <w:t>7,025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7"/>
              <w:spacing w:after="0"/>
              <w:rPr>
                <w:sz w:val="20"/>
                <w:szCs w:val="20"/>
                <w:color w:val="auto"/>
              </w:rPr>
            </w:pPr>
            <w:r>
              <w:rPr>
                <w:rFonts w:ascii="Arial" w:cs="Arial" w:eastAsia="Arial" w:hAnsi="Arial"/>
                <w:sz w:val="18"/>
                <w:szCs w:val="18"/>
                <w:color w:val="auto"/>
              </w:rPr>
              <w:t>5,923</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1,102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84"/>
              </w:rPr>
              <w:t>1,409,198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84"/>
              </w:rPr>
              <w:t>1,426,749</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9"/>
              </w:rPr>
              <w:t>(17,551)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Slot machine win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7"/>
              <w:spacing w:after="0"/>
              <w:rPr>
                <w:sz w:val="20"/>
                <w:szCs w:val="20"/>
                <w:color w:val="auto"/>
              </w:rPr>
            </w:pPr>
            <w:r>
              <w:rPr>
                <w:rFonts w:ascii="Arial" w:cs="Arial" w:eastAsia="Arial" w:hAnsi="Arial"/>
                <w:sz w:val="18"/>
                <w:szCs w:val="18"/>
                <w:color w:val="auto"/>
              </w:rPr>
              <w:t>86,973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7"/>
              <w:spacing w:after="0"/>
              <w:rPr>
                <w:sz w:val="20"/>
                <w:szCs w:val="20"/>
                <w:color w:val="auto"/>
              </w:rPr>
            </w:pPr>
            <w:r>
              <w:rPr>
                <w:rFonts w:ascii="Arial" w:cs="Arial" w:eastAsia="Arial" w:hAnsi="Arial"/>
                <w:sz w:val="18"/>
                <w:szCs w:val="18"/>
                <w:color w:val="auto"/>
              </w:rPr>
              <w:t>83,486</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3,487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 per unit per day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223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192</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Room revenues were $192.1 million, which represents an increase of $8.5 million (4.7%) compared to the prior year period. During the six months ended June 30, 2013, we experienced an increase in both occupancy and room rates as compared to the six months ended June 30, 2012. ADR has increased as we adjusted rates in an effort to attract customers who would take advantage of all aspects of our resort.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our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83.5%</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non-gaming revenues for the six months ended June 30, 2013, included food and beverage revenues of $262 million, retail revenues of $42.1 million, entertainment revenues of $29.9 million and other revenues from outlets, including the spa and salon, of $32.8 million. Other non-casino revenues for the six months ended June 30, 2012, included food and beverage revenues of $247.3 million, retail revenues of $41.2 million, entertainment revenues of $39.1 million and other revenues from outlets such as the spa and salon, of $32.4 million. Food and beverage revenues increased primarily due to strong business in our restaurants and nightclubs. Entertainment revenues decreased over the prior year period due to a show that ended its run in November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For the six months ended June 30, 2013, departmental expenses included casino expenses of $151.7 million, room expense of $65.2 million, food and beverage expenses of $161 million, and entertainment, retail and other expenses of $59.6 million. Also included are general and administrative expenses of $121.3 million and a $5.8 million credit taken to provision for doubtful accounts receivable. For the six months ended June 30, 2012, departmental expenses included casino expense of $146.3 million, room expense of $61.8 million, food and beverage expense of $145 million, and entertainment, retail and other expense of $71.5 million. Also included are general and administrative expenses of $113.5 million and $4 million charged as a provision for doubtful accounts receivable. Casino expenses include a $2.9 million reversal of an accrual for sales tax on complimentary meals. Food and beverage expenses increased over the prior year period primarily due to additional nightclub promotional costs. General and administrative expenses increased primarily due to intercompany golf course and water rights lease expense that began in September 2012, as well as general advertising costs. During both the six months ended June 30, 2013 and 2012, we recorded adjustments of $12.2 million and $9.6 million, respectively, to our reserve estimates for casino accounts receivable based on the results of historical collection patterns and current collection trends. These adjustments were the primary factors that resulted in a $5.8 million credit and a $4 million charge to the provision for doubtful accounts for the six months ended June 30, 2013 and 2012,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fees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first mortgage notes and senior notes indentures. Management fees were $11.8 million for the six months ended June 30, 2013, compared to $10.6 million for the six months ended June 30,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six months ended June 30, 2013 was $123.7 million compared to $126.2 million for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Property charges and other for the six months ended June 30, 2013, were $9.8 million compared to $5.9 million for the six months ended June 30, 2012. Property charges and other for both the six months ended June 30, 2013 and 2012, related to miscellaneous renovations and abandonments at our resort complex, entertainment development costs and fees associated with the termination of a contract.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Interest expense was $113.4 million for the six months ended June 30, 2013, compared to $110.6 million for the six months ended June 30, 2012. No interest was capitalized during the six months ended June 30, 2013 or 2012. Interest expense increased approximately $2.8 million primarily due to the issuance of the $500 million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senior notes in May 2013.</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May 22, 2013, Wynn Las Vegas completed the tender offer for the 2017 Notes as discussed above. In connection with this tender offer, Wynn Las Vegas paid $19.6 million in consideration to holders who tendered their notes. Additionally, Wynn Las Vegas expensed $6.7 million of unamortized debt issue costs and original issue discount related to the 2017 Notes and incurred other fees of approximately $0.3 million related to the tender offer. In accordance with the applicable accounting standards, we recorded theses expenses and charges as a loss on retirement of debt totaling $26.6 million.</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March 12, 2012, we entered into the Amended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costs of $4.8 million.</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We recorded a gain of approximately $2.3 million for the six months ended June 30, 2012, resulting from the increase in the fair value of our interest rate swap during that period. In June 2012, we terminated the interest rate swap for a payment of $2.4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cash provided by operations for the six months ended June 30, 2013, was $118.3 million compared to $73.7 million provided by operations for the six months ended June 30, 2012. Cash flow from operations increased due to stronger operating results primarily driven by improved performance in the casino department.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Capital expenditures were approximately $23.4 million for both the six months ended June 30, 2013 and 2012, and related primarily to general property improvements.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May 15, 2013, we commenced a tender offer for any and all of the outstanding $500 million aggregate principal amount of the 2017 Notes of Wynn Las Vegas, LLC and Wynn Las Vegas Capital Corp., an indirect wholly owned subsidiary of Wynn Resorts (together with Wynn Las Vegas, LLC, the “Issuers”), and a solicitation of consents to certain proposed amendments to the indenture (the “2017 Indenture”) governing the 2017 Notes.</w:t>
      </w:r>
    </w:p>
    <w:p>
      <w:pPr>
        <w:spacing w:after="0" w:line="10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Wynn Las Vegas, LLC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retirement of debt in the accompanying Condensed Consolidated Statements of Operations and Comprehensive Loss.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Also in connection with this transaction, unamortized debt issue costs and original issue discount related to the 2017 Notes totaling $6.7 million were expensed and are included in loss on retirement of debt in the accompanying Condensed Consolidated Statements of Operations and Comprehensive Loss.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Separately, on May 22, 2013, the Issuers completed its issuance of $500 million aggregate principal amount of 4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Senior Notes due 2023 (the “2023 Notes”) pursuant to an indenture, dated as of May 22, 2013 (the “2023 Indenture”), among the Issuers, all of the Issuers’ subsidiaries, other than Wynn Las Vegas Capital Corp. which was a co-issuer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may use any remaining net proceeds to redeem any and all of the 2017 Notes not previously tendered. In connection with the issuance of the 2023 Notes, we capitalized approximately $4.1 million of financing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March 12, 2012, the Issuers issued, in a private offering,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 In October 2012, we commenced an offer to exchange all of the 2022 Notes for notes registered under the Securities Act of 1933, as amended. The exchange offer closed on November 6, 2012.</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March 12, 2012, we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we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costs of $4.8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At June 30, 2013, we had $205.9 million of cash and cash equivalents available for use without restriction, including for operations, debt service and retirement, new development activities, enhancements to our property and general corporate purposes. We require a certain amount of cash on hand for operations. We anticipate such funds, together with any additional borrowings and cash generated from operations will satisfy our liquidity needs during the remainder of 2013.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June 30, 2013 we had unsecured outstanding letters of credit totaling $15.8 million. There have been no other material changes outside the ordinary course of our business during the quarter to our contractual obligations or off-balance sheet arrangements as disclosed in our Annual Report on Form 10-K for the year ended December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restricted under the indentures governing the first mortgage notes and senior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 Certain legal matters may also impact our liquidity. As described in our Condensed Consolidated Financial Statements, Note 9 – “Commitments and Contingencies”, Elaine Wynn has submitted a cross claim against Steve Wynn and Kazuo Okada. The indentures governing the Existing Notes (other than the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2022) and the 2023 Notes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our debt documents.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2012. There has been no material change to these policies for the six months ended June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adoption of this update did not have a material impact on our financial statements.</w:t>
      </w:r>
    </w:p>
    <w:p>
      <w:pPr>
        <w:spacing w:after="0" w:line="9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annual, and interim impairment tests performed for years beginning after September 15, 2012. The adoption of this update did not have a material impact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our long-term debt was essentially based on fixed rates.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20" w:firstLine="464"/>
        <w:spacing w:after="0" w:line="312" w:lineRule="auto"/>
        <w:tabs>
          <w:tab w:leader="none" w:pos="695"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Disclosure Controls and Procedures</w:t>
      </w:r>
      <w:r>
        <w:rPr>
          <w:rFonts w:ascii="Arial" w:cs="Arial" w:eastAsia="Arial" w:hAnsi="Arial"/>
          <w:sz w:val="15"/>
          <w:szCs w:val="15"/>
          <w:color w:val="auto"/>
        </w:rPr>
        <w:t>. The Company’s management, with the participation of the Company’s principal executive officer and principal</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43" w:lineRule="exact"/>
        <w:rPr>
          <w:sz w:val="20"/>
          <w:szCs w:val="20"/>
          <w:color w:val="auto"/>
        </w:rPr>
      </w:pPr>
    </w:p>
    <w:p>
      <w:pPr>
        <w:ind w:right="40"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quarter to which this report relates that materially affected, or are reasonably likely to materially affect,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2012. There were no material changes to those risk factors during the six months ended June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28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8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2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14"/>
                <w:szCs w:val="14"/>
                <w:color w:val="auto"/>
              </w:rPr>
            </w:pPr>
          </w:p>
        </w:tc>
      </w:tr>
      <w:tr>
        <w:trPr>
          <w:trHeight w:val="316"/>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3.2</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88"/>
              </w:rPr>
              <w:t>2013 Amended and Restated Agreement of Lease, dated as of May 7, 2013, by and between Wynn Las Vegas, LLC and Stephen A. Wynn. (2)</w:t>
            </w:r>
          </w:p>
        </w:tc>
      </w:tr>
      <w:tr>
        <w:trPr>
          <w:trHeight w:val="318"/>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10.2</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89"/>
              </w:rPr>
              <w:t>Indenture, dated May 22, 2013, among Wynn Las Vegas, LLC, Wynn Las Vegas Capital Corp., the Guarantors named therein and U.S. Bank</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National Association, as trustee. (3)</w:t>
            </w:r>
          </w:p>
        </w:tc>
      </w:tr>
      <w:tr>
        <w:trPr>
          <w:trHeight w:val="318"/>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10.3</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87"/>
              </w:rPr>
              <w:t>Supplemental Indenture, dated May 22, 2013, among Wynn Las Vegas, LLC, Wynn Las Vegas Capital Corp., the Guarantors named therein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U.S. Bank National Association, as trustee. (3)</w:t>
            </w:r>
          </w:p>
        </w:tc>
      </w:tr>
      <w:tr>
        <w:trPr>
          <w:trHeight w:val="324"/>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*31.1</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Certification of Principal Executive Officer of Periodic Report Pursuant to Rule 13a-14(a) and Rule 15d-14(a).</w:t>
            </w:r>
          </w:p>
        </w:tc>
      </w:tr>
      <w:tr>
        <w:trPr>
          <w:trHeight w:val="324"/>
        </w:trPr>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*31.2</w:t>
            </w: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Certification of Principal Financial Officer of Periodic Report Pursuant to Rule 13a-14(a) and Rule 15d-14(a).</w:t>
            </w:r>
          </w:p>
        </w:tc>
      </w:tr>
      <w:tr>
        <w:trPr>
          <w:trHeight w:val="324"/>
        </w:trPr>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quarter ended June 30, 2013, filed with the</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4"/>
              </w:rPr>
              <w:t>SEC on August 9, 2013 formatted in Extensible Business Reporting Language (XBRL): (i) the Condensed Consolidated Statements of</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90"/>
              </w:rPr>
              <w:t>Operations and Comprehensive Loss for the three and six months ended June 30, 2013 and 2012, (ii) the Condensed Consolidated Balance</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w w:val="87"/>
              </w:rPr>
              <w:t>Sheets at June 30, 2013 and December 31, 2012, (iii) the Condensed Consolidated Statements of Cash Flows for the six months ended June 30,</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80" w:type="dxa"/>
            <w:vAlign w:val="bottom"/>
            <w:gridSpan w:val="3"/>
          </w:tcPr>
          <w:p>
            <w:pPr>
              <w:ind w:left="380"/>
              <w:spacing w:after="0"/>
              <w:rPr>
                <w:sz w:val="20"/>
                <w:szCs w:val="20"/>
                <w:color w:val="auto"/>
              </w:rPr>
            </w:pPr>
            <w:r>
              <w:rPr>
                <w:rFonts w:ascii="Arial" w:cs="Arial" w:eastAsia="Arial" w:hAnsi="Arial"/>
                <w:sz w:val="18"/>
                <w:szCs w:val="18"/>
                <w:color w:val="auto"/>
              </w:rPr>
              <w:t>2013 and 2012, and (iv) Notes to Condensed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2" w:lineRule="exact"/>
        <w:rPr>
          <w:sz w:val="20"/>
          <w:szCs w:val="20"/>
          <w:color w:val="auto"/>
        </w:rPr>
      </w:pPr>
    </w:p>
    <w:p>
      <w:pPr>
        <w:ind w:left="460" w:right="1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May 10, 2013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22, 2013 and incorporated herein by reference.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29" w:name="page30"/>
    <w:bookmarkEnd w:id="29"/>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5940" w:val="left"/>
          <w:tab w:leader="none" w:pos="6380" w:val="left"/>
        </w:tabs>
        <w:rPr>
          <w:sz w:val="20"/>
          <w:szCs w:val="20"/>
          <w:color w:val="auto"/>
        </w:rPr>
      </w:pPr>
      <w:r>
        <w:rPr>
          <w:rFonts w:ascii="Arial" w:cs="Arial" w:eastAsia="Arial" w:hAnsi="Arial"/>
          <w:sz w:val="18"/>
          <w:szCs w:val="18"/>
          <w:color w:val="auto"/>
        </w:rPr>
        <w:t>Dated: August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40"/>
          </w:cols>
          <w:pgMar w:left="240" w:top="274" w:right="11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1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Maurice Wooden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1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27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2013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6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Maurice Wooden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Maurice Wooden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216"/>
        </w:trPr>
        <w:tc>
          <w:tcPr>
            <w:tcW w:w="56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80"/>
              <w:spacing w:after="0"/>
              <w:rPr>
                <w:sz w:val="20"/>
                <w:szCs w:val="20"/>
                <w:color w:val="auto"/>
              </w:rPr>
            </w:pPr>
            <w:r>
              <w:rPr>
                <w:rFonts w:ascii="Arial" w:cs="Arial" w:eastAsia="Arial" w:hAnsi="Arial"/>
                <w:sz w:val="18"/>
                <w:szCs w:val="18"/>
                <w:color w:val="auto"/>
              </w:rPr>
              <w:t>August 9, 2013</w:t>
            </w:r>
          </w:p>
        </w:tc>
      </w:tr>
      <w:tr>
        <w:trPr>
          <w:trHeight w:val="420"/>
        </w:trPr>
        <w:tc>
          <w:tcPr>
            <w:tcW w:w="45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 Scott Peterson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Scott Peterson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w w:val="99"/>
              </w:rPr>
              <w:t>Senior Vice President and Chief Financial Officer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August 9, 2013</w:t>
            </w:r>
          </w:p>
        </w:tc>
      </w:tr>
    </w:tbl>
    <w:p>
      <w:pPr>
        <w:spacing w:after="0" w:line="15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2019-12-07T04:58:03Z</dcterms:created>
  <dcterms:modified xsi:type="dcterms:W3CDTF">2019-12-07T04:58:03Z</dcterms:modified>
</cp:coreProperties>
</file>