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9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64" w:lineRule="exact"/>
        <w:rPr>
          <w:sz w:val="24"/>
          <w:szCs w:val="24"/>
          <w:color w:val="auto"/>
        </w:rPr>
      </w:pPr>
    </w:p>
    <w:p>
      <w:pPr>
        <w:ind w:left="580" w:right="3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230" w:right="279" w:bottom="1440" w:gutter="0" w:footer="0" w:header="0"/>
        </w:sectPr>
      </w:pPr>
    </w:p>
    <w:p>
      <w:pPr>
        <w:spacing w:after="0" w:line="27"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22" w:lineRule="exact"/>
        <w:rPr>
          <w:sz w:val="24"/>
          <w:szCs w:val="24"/>
          <w:color w:val="auto"/>
        </w:rPr>
      </w:pPr>
    </w:p>
    <w:p>
      <w:pPr>
        <w:sectPr>
          <w:pgSz w:w="11900" w:h="16838" w:orient="portrait"/>
          <w:cols w:equalWidth="0" w:num="2">
            <w:col w:w="2680" w:space="720"/>
            <w:col w:w="7980"/>
          </w:cols>
          <w:pgMar w:left="240" w:top="230"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b w:val="1"/>
          <w:bCs w:val="1"/>
          <w:color w:val="auto"/>
        </w:rPr>
        <w:t>Commission File No. 333-100768</w:t>
      </w:r>
    </w:p>
    <w:p>
      <w:pPr>
        <w:sectPr>
          <w:pgSz w:w="11900" w:h="16838" w:orient="portrait"/>
          <w:cols w:equalWidth="0" w:num="1">
            <w:col w:w="11380"/>
          </w:cols>
          <w:pgMar w:left="240" w:top="230" w:right="279" w:bottom="1440" w:gutter="0" w:footer="0" w:header="0"/>
          <w:type w:val="continuous"/>
        </w:sectPr>
      </w:pPr>
    </w:p>
    <w:p>
      <w:pPr>
        <w:spacing w:after="0" w:line="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80"/>
          </w:cols>
          <w:pgMar w:left="240" w:top="230" w:right="279" w:bottom="1440" w:gutter="0" w:footer="0" w:header="0"/>
          <w:type w:val="continuous"/>
        </w:sectPr>
      </w:pPr>
    </w:p>
    <w:p>
      <w:pPr>
        <w:spacing w:after="0" w:line="40"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46" w:lineRule="exact"/>
        <w:rPr>
          <w:sz w:val="24"/>
          <w:szCs w:val="24"/>
          <w:color w:val="auto"/>
        </w:rPr>
      </w:pPr>
    </w:p>
    <w:p>
      <w:pPr>
        <w:sectPr>
          <w:pgSz w:w="11900" w:h="16838" w:orient="portrait"/>
          <w:cols w:equalWidth="0" w:num="2">
            <w:col w:w="7600" w:space="720"/>
            <w:col w:w="3060"/>
          </w:cols>
          <w:pgMar w:left="240" w:top="230" w:right="279" w:bottom="1440" w:gutter="0" w:footer="0" w:header="0"/>
          <w:type w:val="continuous"/>
        </w:sectPr>
      </w:pPr>
    </w:p>
    <w:p>
      <w:pPr>
        <w:spacing w:after="0" w:line="9"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80"/>
        <w:spacing w:after="0"/>
        <w:rPr>
          <w:sz w:val="20"/>
          <w:szCs w:val="20"/>
          <w:color w:val="auto"/>
        </w:rPr>
      </w:pPr>
      <w:r>
        <w:rPr>
          <w:rFonts w:ascii="Arial" w:cs="Arial" w:eastAsia="Arial" w:hAnsi="Arial"/>
          <w:sz w:val="14"/>
          <w:szCs w:val="14"/>
          <w:b w:val="1"/>
          <w:bCs w:val="1"/>
          <w:color w:val="auto"/>
        </w:rPr>
        <w:t>(I.R.S. Employer</w:t>
      </w:r>
    </w:p>
    <w:p>
      <w:pPr>
        <w:jc w:val="center"/>
        <w:ind w:right="1980"/>
        <w:spacing w:after="0"/>
        <w:rPr>
          <w:sz w:val="20"/>
          <w:szCs w:val="20"/>
          <w:color w:val="auto"/>
        </w:rPr>
      </w:pPr>
      <w:r>
        <w:rPr>
          <w:rFonts w:ascii="Arial" w:cs="Arial" w:eastAsia="Arial" w:hAnsi="Arial"/>
          <w:sz w:val="12"/>
          <w:szCs w:val="12"/>
          <w:b w:val="1"/>
          <w:bCs w:val="1"/>
          <w:color w:val="auto"/>
        </w:rPr>
        <w:t>Identification Number)</w:t>
      </w:r>
    </w:p>
    <w:p>
      <w:pPr>
        <w:spacing w:after="0" w:line="76" w:lineRule="exact"/>
        <w:rPr>
          <w:sz w:val="24"/>
          <w:szCs w:val="24"/>
          <w:color w:val="auto"/>
        </w:rPr>
      </w:pPr>
    </w:p>
    <w:p>
      <w:pPr>
        <w:sectPr>
          <w:pgSz w:w="11900" w:h="16838" w:orient="portrait"/>
          <w:cols w:equalWidth="0" w:num="2">
            <w:col w:w="7340" w:space="720"/>
            <w:col w:w="3320"/>
          </w:cols>
          <w:pgMar w:left="240" w:top="230" w:right="27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3131 Las Vegas Boulevard South—Las Vegas, Nevada 89109</w:t>
      </w:r>
    </w:p>
    <w:p>
      <w:pPr>
        <w:spacing w:after="0" w:line="5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380"/>
          </w:cols>
          <w:pgMar w:left="240" w:top="230" w:right="279" w:bottom="1440" w:gutter="0" w:footer="0" w:header="0"/>
          <w:type w:val="continuous"/>
        </w:sectPr>
      </w:pPr>
    </w:p>
    <w:p>
      <w:pPr>
        <w:spacing w:after="0" w:line="49"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4">
            <w:col w:w="8580" w:space="180"/>
            <w:col w:w="240" w:space="100"/>
            <w:col w:w="160" w:space="180"/>
            <w:col w:w="1940"/>
          </w:cols>
          <w:pgMar w:left="240" w:top="230" w:right="27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5">
            <w:col w:w="8760" w:space="160"/>
            <w:col w:w="260" w:space="120"/>
            <w:col w:w="160" w:space="180"/>
            <w:col w:w="220" w:space="80"/>
            <w:col w:w="1440"/>
          </w:cols>
          <w:pgMar w:left="240" w:top="230" w:right="279" w:bottom="1440" w:gutter="0" w:footer="0" w:header="0"/>
          <w:type w:val="continuous"/>
        </w:sectPr>
      </w:pPr>
    </w:p>
    <w:p>
      <w:pPr>
        <w:ind w:right="3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32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 w:lineRule="exact"/>
        <w:rPr>
          <w:sz w:val="24"/>
          <w:szCs w:val="24"/>
          <w:color w:val="auto"/>
        </w:rPr>
      </w:pPr>
    </w:p>
    <w:p>
      <w:pPr>
        <w:ind w:left="360"/>
        <w:spacing w:after="0" w:line="207" w:lineRule="exact"/>
        <w:tabs>
          <w:tab w:leader="none" w:pos="2500" w:val="left"/>
          <w:tab w:leader="none" w:pos="4280" w:val="left"/>
          <w:tab w:leader="none" w:pos="6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7" w:lineRule="exact"/>
        <w:rPr>
          <w:sz w:val="24"/>
          <w:szCs w:val="24"/>
          <w:color w:val="auto"/>
        </w:rPr>
      </w:pPr>
    </w:p>
    <w:p>
      <w:pPr>
        <w:ind w:left="360"/>
        <w:spacing w:after="0" w:line="207" w:lineRule="exact"/>
        <w:tabs>
          <w:tab w:leader="none" w:pos="8480" w:val="left"/>
          <w:tab w:leader="none" w:pos="9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9" w:lineRule="exact"/>
        <w:rPr>
          <w:sz w:val="24"/>
          <w:szCs w:val="24"/>
          <w:color w:val="auto"/>
        </w:rPr>
      </w:pPr>
    </w:p>
    <w:p>
      <w:pPr>
        <w:ind w:right="100" w:firstLine="342"/>
        <w:spacing w:after="0" w:line="268" w:lineRule="auto"/>
        <w:rPr>
          <w:sz w:val="20"/>
          <w:szCs w:val="20"/>
          <w:color w:val="auto"/>
        </w:rPr>
      </w:pPr>
      <w:r>
        <w:rPr>
          <w:rFonts w:ascii="Arial" w:cs="Arial" w:eastAsia="Arial" w:hAnsi="Arial"/>
          <w:sz w:val="18"/>
          <w:szCs w:val="18"/>
          <w:color w:val="auto"/>
        </w:rPr>
        <w:t>The aggregate market value of the registrant’s voting interests held by non-affiliates on June 30, 2010 was $0. Wynn Resorts Holdings, LLC owns all of the membership interests of the registrant.</w:t>
      </w:r>
    </w:p>
    <w:p>
      <w:pPr>
        <w:spacing w:after="0" w:line="31" w:lineRule="exact"/>
        <w:rPr>
          <w:sz w:val="24"/>
          <w:szCs w:val="24"/>
          <w:color w:val="auto"/>
        </w:rPr>
      </w:pPr>
    </w:p>
    <w:p>
      <w:pPr>
        <w:ind w:right="100" w:firstLine="342"/>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60" w:type="dxa"/>
            <w:vAlign w:val="bottom"/>
            <w:gridSpan w:val="15"/>
          </w:tcPr>
          <w:p>
            <w:pPr>
              <w:ind w:left="52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19"/>
                <w:szCs w:val="19"/>
                <w:color w:val="auto"/>
              </w:rPr>
            </w:pPr>
          </w:p>
        </w:tc>
      </w:tr>
      <w:tr>
        <w:trPr>
          <w:trHeight w:val="32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0"/>
          </w:tcPr>
          <w:p>
            <w:pPr>
              <w:jc w:val="center"/>
              <w:ind w:right="376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30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4020" w:type="dxa"/>
            <w:vAlign w:val="bottom"/>
            <w:gridSpan w:val="16"/>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800" w:type="dxa"/>
            <w:vAlign w:val="bottom"/>
            <w:gridSpan w:val="8"/>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120" w:type="dxa"/>
            <w:vAlign w:val="bottom"/>
            <w:gridSpan w:val="2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02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7020" w:type="dxa"/>
            <w:vAlign w:val="bottom"/>
            <w:gridSpan w:val="18"/>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02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02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Removed and Reserved</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0"/>
          </w:tcPr>
          <w:p>
            <w:pPr>
              <w:jc w:val="center"/>
              <w:ind w:right="3760"/>
              <w:spacing w:after="0"/>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PART II</w:t>
              </w:r>
            </w:hyperlink>
          </w:p>
        </w:tc>
        <w:tc>
          <w:tcPr>
            <w:tcW w:w="130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20" w:type="dxa"/>
            <w:vAlign w:val="bottom"/>
            <w:gridSpan w:val="2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Related Stockholder Matters and Issuer Purchases of Equity Securities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20"/>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020" w:type="dxa"/>
            <w:vAlign w:val="bottom"/>
            <w:gridSpan w:val="2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9"/>
          </w:tcPr>
          <w:p>
            <w:pPr>
              <w:spacing w:after="0"/>
              <w:rPr>
                <w:sz w:val="17"/>
                <w:szCs w:val="17"/>
                <w:color w:val="auto"/>
              </w:rPr>
            </w:pPr>
          </w:p>
        </w:tc>
        <w:tc>
          <w:tcPr>
            <w:tcW w:w="2720" w:type="dxa"/>
            <w:vAlign w:val="bottom"/>
            <w:gridSpan w:val="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Financial Statements and Supplementary Data</w:t>
              </w:r>
            </w:hyperlink>
          </w:p>
        </w:tc>
        <w:tc>
          <w:tcPr>
            <w:tcW w:w="5760" w:type="dxa"/>
            <w:vAlign w:val="bottom"/>
            <w:gridSpan w:val="1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72">
              <w:r>
                <w:rPr>
                  <w:rFonts w:ascii="Arial" w:cs="Arial" w:eastAsia="Arial" w:hAnsi="Arial"/>
                  <w:sz w:val="18"/>
                  <w:szCs w:val="18"/>
                  <w:color w:val="0000EE"/>
                  <w:w w:val="88"/>
                </w:rPr>
                <w:t>Changes in and Disagreements With Accountants on Accounting and Financial Disclosure</w:t>
              </w:r>
            </w:hyperlink>
          </w:p>
        </w:tc>
        <w:tc>
          <w:tcPr>
            <w:tcW w:w="266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Controls and Procedures</w:t>
              </w:r>
            </w:hyperlink>
          </w:p>
        </w:tc>
        <w:tc>
          <w:tcPr>
            <w:tcW w:w="7280" w:type="dxa"/>
            <w:vAlign w:val="bottom"/>
            <w:gridSpan w:val="20"/>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020" w:type="dxa"/>
            <w:vAlign w:val="bottom"/>
            <w:gridSpan w:val="2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3700" w:type="dxa"/>
            <w:vAlign w:val="bottom"/>
            <w:gridSpan w:val="5"/>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020" w:type="dxa"/>
            <w:vAlign w:val="bottom"/>
            <w:gridSpan w:val="2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5020" w:type="dxa"/>
            <w:vAlign w:val="bottom"/>
            <w:gridSpan w:val="14"/>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9020" w:type="dxa"/>
            <w:vAlign w:val="bottom"/>
            <w:gridSpan w:val="2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1900" w:type="dxa"/>
            <w:vAlign w:val="bottom"/>
            <w:gridSpan w:val="2"/>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Accountant Fees and Services</w:t>
              </w:r>
            </w:hyperlink>
          </w:p>
        </w:tc>
        <w:tc>
          <w:tcPr>
            <w:tcW w:w="370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304"/>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8"/>
              </w:rPr>
            </w:pPr>
            <w:hyperlink w:anchor="page74">
              <w:r>
                <w:rPr>
                  <w:rFonts w:ascii="Arial" w:cs="Arial" w:eastAsia="Arial" w:hAnsi="Arial"/>
                  <w:sz w:val="18"/>
                  <w:szCs w:val="18"/>
                  <w:b w:val="1"/>
                  <w:bCs w:val="1"/>
                  <w:color w:val="0000EE"/>
                  <w:w w:val="98"/>
                </w:rPr>
                <w:t>PART IV</w:t>
              </w:r>
            </w:hyperlink>
          </w:p>
        </w:tc>
        <w:tc>
          <w:tcPr>
            <w:tcW w:w="3720" w:type="dxa"/>
            <w:vAlign w:val="bottom"/>
            <w:gridSpan w:val="6"/>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020" w:type="dxa"/>
            <w:vAlign w:val="bottom"/>
            <w:gridSpan w:val="2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Exhibits and Financial Statement Schedules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196"/>
        </w:trPr>
        <w:tc>
          <w:tcPr>
            <w:tcW w:w="1000" w:type="dxa"/>
            <w:vAlign w:val="bottom"/>
            <w:gridSpan w:val="2"/>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383"/>
        </w:trPr>
        <w:tc>
          <w:tcPr>
            <w:tcW w:w="7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gridSpan w:val="18"/>
          </w:tcPr>
          <w:p>
            <w:pPr>
              <w:ind w:left="46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“Encore at Wynn Las Vegas,” or “Encore” which is located adjacent to and is connected with Wynn Las Vegas. Wynn Las Vegas, LLC was formed on April 17, 2001 as a Nevada limited liability company. Unless the context otherwise requires, all references herein to the “Company,” “we,” “us” or “our,” or similar terms, refer to Wynn Las Vegas, LLC and its consolidated subsidiaries. The sole member of the Company is Wynn Resorts Holdings, LLC (“Holdings”). The sole member of Holdings is Wynn Resorts, Limited (“Wynn Resorts”).</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2010, the Company owned the one share that was issued and outstanding. Wynn Capital has neither any significant net assets nor any operating activity. Its sole function is to serve as the co-issuer of the mortgage notes described below.</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We opened Encore on December 22, 2008. Prior to April 28, 2005, we were solely a development stage company.</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Due to a number of factors over the last few years, including disruptions in global economies, stagnant credit markets, reduced consumer spending, and high unemployment, 2010 was a difficult year for the U.S. casino resort business similar to 2008 and 2009. Auto traffic into Las Vegas, airline capacity and air travel to McCarran International Airport did not improve significantly over 2008 and 2009. Casino volumes and demand for hotel rooms continue to be lower than the trends experienced pre-2008. While we have experienced some stabilization in our operations over the past year, the current economic conditions in the United States, as well as the addition of new supply in late 2010, may continue to put pressure on hotel occupancy rates, room rates, casino volumes and profitability.</w:t>
      </w:r>
    </w:p>
    <w:p>
      <w:pPr>
        <w:spacing w:after="0" w:line="13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file annual reports on Form 10-K, quarterly reports on Form 10-Q, current reports on Form 8-K and amendments of such reports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its own internet address at </w:t>
      </w:r>
      <w:r>
        <w:rPr>
          <w:rFonts w:ascii="Arial" w:cs="Arial" w:eastAsia="Arial" w:hAnsi="Arial"/>
          <w:sz w:val="16"/>
          <w:szCs w:val="16"/>
          <w:i w:val="1"/>
          <w:iCs w:val="1"/>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 The information found on our website is not a part of this Annual Report on Form 10-K or any other report we file or furnish to the SEC.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that Wynn Las Vegas offers exceptional accommodations, amenities and service with 2,716 rooms and suites, including 36 fairway villas and 6 private-entry villas for our premium guests. The Tower Suites at Wynn Las Vegas has received both the Forbes five-star and AAA five-diamond distinctions for 2011. The Spa at Wynn Las Vegas earned five-star recognition from Forbes for the third year in a row. The Spa at Wynn Las Vegas and the Spa at Encore are two of the only three spas in Las Vegas to be recognized with the Forbes five-star award.</w:t>
      </w:r>
    </w:p>
    <w:p>
      <w:pPr>
        <w:spacing w:after="0" w:line="99"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 approximately 110,000 square foot casino features 147 table games, a baccarat salon, private VIP gaming rooms, a poker room, 1,842 slot machines, and a race and sports book. The resort’s 22 food and beverage outlets feature five fine dining restaurants, including restaurants helmed by award winning chefs. Wynn Las Vegas also offers two nightclubs, a spa and salon, a Ferrari and Maserati automobile dealership, wedding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Encore is located immediately adjacent to and is connected to Wynn Las Vegas and features a 2,034 all-suite hotel as well as an approximately 76,000 square foot casino with 95 table games, a baccarat salon, a sky casino, private VIP gaming rooms, 778 slot machines and a sports book. For the second year in a row, the Encore Tower Suites has received both the Forbes five-star and AAA five-diamond awards for 2011. The Spa at Encore also earned five-star recognition from Forbes for the second year in a row. The resort’s 13 food and beverage outlets include five restaurants, many of which feature award winning chefs. Encore also offers a beach club, two nightclubs, a spa and salon, approximately 60,000 square feet of meeting space and approximately 27,000 square feet of upscale retail outlets featuring boutiques from Hermes, Chanel and others. Encore also has a showroom which features Garth Brooks and other headliner entertainment acts.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July 2010, we commenced a project to refurbish and upgrade the rooms and suites at Wynn Las Vegas. The total project budget is approximately $83 million. The room remodel was completed in January 2011 and the suite remodel is expected to be completed early in the second quarter of 2011. As a part of this project, we are temporarily removing floors from service which reduces our total number of rooms available during the construction period.</w:t>
      </w:r>
    </w:p>
    <w:p>
      <w:pPr>
        <w:spacing w:after="0" w:line="9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our resorts.</w:t>
      </w:r>
    </w:p>
    <w:p>
      <w:pPr>
        <w:spacing w:after="0" w:line="118"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Approximately 142 acres of land adjacent to Wynn Las Vegas and Encore is currently improved with a golf course. While we may develop this property in the future, due to the current economic environment and certain restrictions in our credit facilities, we have no immediate plans to do so.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resort complex was designed and built to provide a premium experience. Wynn Las Vegas and Encore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properties through various media channels, including television, radio, newspapers, magazines, the internet, direct mail and billboards.</w:t>
      </w:r>
    </w:p>
    <w:p>
      <w:pPr>
        <w:spacing w:after="0" w:line="10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Mr. Wynn and his team bring significant experience in designing, developing and operating casino resorts. The senior executive team has an average of approximately 25 years of experience in the hotel and gaming industries. We also have an approximately 90-person design, development and construction affiliate, the senior management of which has significant experience in all major construction disciplines.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and Encore are located on the Las Vegas Strip and compete with other high-quality resorts and hotel casinos on the Strip, those in downtown Las Vegas, as well as a large number of hotels in and near Las Vegas. Many competing properties draw a significant number of visitors and directly compete with our operations. We seek to differentiate Wynn Las Vegas and Encore from other major Las Vegas resorts by concentrating on our fundamental elements of design, atmosphere, personal service and luxury.</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casino resorts throughout Asia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properties in Macau, could draw Asian gaming customers away from Las Vegas.</w:t>
      </w:r>
    </w:p>
    <w:p>
      <w:pPr>
        <w:spacing w:after="0" w:line="9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2010, while the market did experience some stabilization, the economic environment in the gaming and hotel markets in Las Vegas continues at depressed levels of gaming revenue, visitation, and hotel room demand. While certain gaming and hotel statistics may have increased from the 2009 levels, improvement has not been significant. The average daily room rate increased 2%, visitation increased 2.7% to 37.3 million visitors, and Las Vegas strip gaming revenues increased 4.1%, all as compared to the year ended December 31, 2009. We, along with our competitors, have responded to the depressed levels in consumer spending by aggressively marketing and pricing our Las Vegas offerings.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once obtained, can be suspended or revoked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Encore or any other property we may own and operate in the future, we would, to the extent permitted by law, seek to recover our investment by selling the property affected, but we cannot assure you that we would recover its full value.</w:t>
      </w:r>
    </w:p>
    <w:p>
      <w:pPr>
        <w:spacing w:after="0" w:line="102"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3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37"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and Encore, has been approved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Holdings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registered by the Nevada Gaming Commission as a publicly traded corporation, referred to as a registered company, for the purposes of the Nevada Gaming Control Act. Holdings was found suitable by the Nevada Gaming Commission to own the equity interests of Wynn Las Vegas, LLC and to be registered by the Nevada Gaming Commission as an intermediary company. In addition to being licensed, Wynn Las Vegas, LLC, as an issuer of debt securities that were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2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Consequences of Violating Gaming Laws. </w:t>
      </w:r>
      <w:r>
        <w:rPr>
          <w:rFonts w:ascii="Arial" w:cs="Arial" w:eastAsia="Arial" w:hAnsi="Arial"/>
          <w:sz w:val="18"/>
          <w:szCs w:val="18"/>
          <w:color w:val="auto"/>
        </w:rPr>
        <w:t>If the Nevada Gaming Commission determines that we have violated the Nevada Gaming Control Act or any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regulations, it could limit, condition, suspend or revoke our registrations and gaming license. In addition, we and the persons involved could be subject to substantial fines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each separate violation of the Nevada Gaming Control Act, or of the regulations of the Nevada Gaming Commission, at the discretion of the Nevada Gaming Commission. Further, the Nevada Gaming Commission could appoint a supervisor to operate Wynn Las Vegas and Encore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Requirements for Voting or Nonvoting Securities Holders. </w:t>
      </w:r>
      <w:r>
        <w:rPr>
          <w:rFonts w:ascii="Arial" w:cs="Arial" w:eastAsia="Arial" w:hAnsi="Arial"/>
          <w:sz w:val="16"/>
          <w:szCs w:val="16"/>
          <w:color w:val="auto"/>
        </w:rPr>
        <w:t>Regardless of the number of shares held, any beneficial owner of a registered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voting or 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0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4"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Consequences of Being Found Unsuitable. </w:t>
      </w:r>
      <w:r>
        <w:rPr>
          <w:rFonts w:ascii="Arial" w:cs="Arial" w:eastAsia="Arial" w:hAnsi="Arial"/>
          <w:sz w:val="18"/>
          <w:szCs w:val="18"/>
          <w:color w:val="auto"/>
        </w:rPr>
        <w:t>Any person who fails or refuses to apply for a finding of suitability or a license within 30 days after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ordered to do so by the Nevada Gaming Commission or by the Chairman of the Nevada State Gaming Control Board, or who refuses or fails to pay the investigative costs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48"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2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0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19, 2009, the Nevada Gaming Commission granted us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0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directors and other persons having a material relationship or involvement with the entity proposing to acquire control to be investigated and licensed as part of the approval process relating to the transaction.</w:t>
      </w:r>
    </w:p>
    <w:p>
      <w:pPr>
        <w:spacing w:after="0" w:line="118"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3"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 :</w:t>
      </w:r>
    </w:p>
    <w:p>
      <w:pPr>
        <w:spacing w:after="0" w:line="46"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780" w:right="340" w:hanging="326"/>
        <w:spacing w:after="0" w:line="347"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and Encore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we had a total of approximately 9,405 full-time equivalent employees.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2006, we entered into a ten year collective bargaining agreement with the Culinary and Bartenders Union local covering approximately 5,600 of our employees. We also entered into a ten year collective bargaining agreement with the Transportation Workers Union in November 2010, which covers the table games dealers at Wynn Las Vegas. Certain other unions may seek to organize the workers at Wynn Las Vegas and Encore. Unionization, pressure to unionize, or other forms of collective bargaining could increase our labor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Among our most important marks are our trademarks and service marks that use the name “WYNN.” Holdings has filed applications with the U.S. Patent and Trademark Office (“PTO”) and various foreign patent and trademark registries, to register a variety of the WYNN-related trademarks and service marks in connection with a variety of goods and services. These marks include “WYNN LAS VEGAS” and “ENCORE.” Some of the applications are based upon ongoing use and others are based upon a bona fide intent to use the marks.</w:t>
      </w:r>
    </w:p>
    <w:p>
      <w:pPr>
        <w:spacing w:after="0" w:line="13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w:t>
      </w:r>
    </w:p>
    <w:p>
      <w:pPr>
        <w:spacing w:after="0" w:line="13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7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LAS VEGAS” and “ENCORE.” Some of the applications are based upon ongoing use and others are based upon a bona fide intent to use the marks.</w:t>
      </w:r>
    </w:p>
    <w:p>
      <w:pPr>
        <w:spacing w:after="0" w:line="12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outside the United States, we have undertaken a program to register our trademarks and other intellectual property rights in relevant jurisdictions. We have retained counsel and intend to take all steps necessary to not only acquire, but protect our intellectual property rights against unauthorized use throughout the world.</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a Surname Rights Agreement, Mr. Wynn has acknowledged Holdings’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in Item 1A (“Risk Factors”) as well as the following:</w:t>
      </w:r>
    </w:p>
    <w:p>
      <w:pPr>
        <w:spacing w:after="0" w:line="25"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 reaction to adverse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Wynn Las Vegas and Encore for all of our cash flow;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consequences of the wars in Iraq and Afghanistan, and other military conflicts in the Middle East and any future security alerts and/or terrorist attacks;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85"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1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 substantial amount of consolidated debt in relation to our equity. As of December 31, 2010, we had total outstanding debt of approximately $2.6 billion. In addition, our credit agreement and indenture permit us to incur additional indebtedness in the future. Our substantial indebtedness could have important consequences. For example:</w:t>
      </w:r>
    </w:p>
    <w:p>
      <w:pPr>
        <w:spacing w:after="0" w:line="46" w:lineRule="exact"/>
        <w:rPr>
          <w:sz w:val="20"/>
          <w:szCs w:val="20"/>
          <w:color w:val="auto"/>
        </w:rPr>
      </w:pPr>
    </w:p>
    <w:p>
      <w:pPr>
        <w:ind w:left="780" w:right="140" w:hanging="326"/>
        <w:spacing w:after="0" w:line="347"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260" w:hanging="455"/>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103" w:lineRule="exact"/>
        <w:rPr>
          <w:rFonts w:ascii="Arial" w:cs="Arial" w:eastAsia="Arial" w:hAnsi="Arial"/>
          <w:sz w:val="18"/>
          <w:szCs w:val="18"/>
          <w:color w:val="auto"/>
        </w:rPr>
      </w:pPr>
    </w:p>
    <w:p>
      <w:pPr>
        <w:ind w:left="780" w:right="20" w:hanging="326"/>
        <w:spacing w:after="0" w:line="306"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and Encore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w:t>
      </w:r>
    </w:p>
    <w:p>
      <w:pPr>
        <w:spacing w:after="0" w:line="12"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due to the current adverse economic and industry conditions, and could fail to generate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0"/>
        <w:spacing w:after="0" w:line="306" w:lineRule="auto"/>
        <w:rPr>
          <w:sz w:val="20"/>
          <w:szCs w:val="20"/>
          <w:color w:val="auto"/>
        </w:rPr>
      </w:pPr>
      <w:r>
        <w:rPr>
          <w:rFonts w:ascii="Arial" w:cs="Arial" w:eastAsia="Arial" w:hAnsi="Arial"/>
          <w:sz w:val="16"/>
          <w:szCs w:val="16"/>
          <w:color w:val="auto"/>
        </w:rPr>
        <w:t>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12" w:lineRule="exact"/>
        <w:rPr>
          <w:sz w:val="20"/>
          <w:szCs w:val="20"/>
          <w:color w:val="auto"/>
        </w:rPr>
      </w:pPr>
    </w:p>
    <w:p>
      <w:pPr>
        <w:ind w:left="780" w:right="1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37"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interest we pay will fluctuate with market rates and, accordingly, our interest expense will increase if market interest rates increase; and</w:t>
      </w:r>
    </w:p>
    <w:p>
      <w:pPr>
        <w:spacing w:after="0" w:line="37"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impair the repayment of our credit facilities and first mortgage notes.</w:t>
      </w:r>
    </w:p>
    <w:p>
      <w:pPr>
        <w:spacing w:after="0" w:line="12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72" w:lineRule="exact"/>
        <w:rPr>
          <w:sz w:val="20"/>
          <w:szCs w:val="20"/>
          <w:color w:val="auto"/>
        </w:rPr>
      </w:pPr>
    </w:p>
    <w:p>
      <w:pPr>
        <w:ind w:left="240" w:right="660"/>
        <w:spacing w:after="0" w:line="325"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debt facilities require us to satisfy various financial covenants, which include requirements for a minimum interest coverage ratio and a ratio pertaining to total debt to earnings before interest, tax, depreciation and amortization.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could materially and adversely affect our operating results and our financial condition or result in our lenders taking action to enforce their security interests in our various assets.</w:t>
      </w:r>
    </w:p>
    <w:p>
      <w:pPr>
        <w:spacing w:after="0" w:line="9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Chief Executive Officer and one of the principal stockholders of Wynn Resorts. In 2008, Wynn Resorts extended the term of Mr. Wynn’s employment agreement until October 2020. However, we cannot assure you that Mr. Wynn will remain with Wynn Resorts. If Wynn Resorts loses the services of Mr. Wynn, or if he is unable to devote sufficient attention to our operations for any other reason, our business may be significantly impaired.</w:t>
      </w:r>
    </w:p>
    <w:p>
      <w:pPr>
        <w:spacing w:after="0" w:line="99"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Continued weakness or further weakening in global economic conditions may adversely affect consumer and corporate spending and tourism trends, resulting in additional deterioration in our business.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Discretionary consumer spending has been adversely affected by the current economic crisis. Worldwide, consumers are traveling less and spending less when they do travel. While showing signs of improvement and some stabilization, corporate spending on conventions and business development is still well below historical levels as businesses closely monitor their budgets. Since our business model relies on significant expenditures on luxury and discretionary items, any factors that may cause further weakness or instability in the economy may adversely affect our operations. Customer demand for luxury amenities and leisure activities that we offer may be depressed or continue to decline.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may be excess room supply particularly in the luxury segment.</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There have been large additions to the room supply in Las Vegas since December 2009. Even after the global economy begins to recover, there may be excess supply particularly in the luxury segment.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b w:val="1"/>
          <w:bCs w:val="1"/>
          <w:i w:val="1"/>
          <w:iCs w:val="1"/>
          <w:color w:val="auto"/>
        </w:rPr>
        <w:t>We are entirely dependent on Wynn Las Vegas and Encore for all of our cash flow, which subjects us to greater risks than a gaming company with more operating properties.</w:t>
      </w:r>
    </w:p>
    <w:p>
      <w:pPr>
        <w:spacing w:after="0" w:line="3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We are entirely dependent upon Wynn Las Vegas and Encore for all of our cash flow. As a result, we are subject to a greater degree of risk than a gaming company with more operating properties. The risks to which we have a greater degree of exposure include the following:</w:t>
      </w:r>
    </w:p>
    <w:p>
      <w:pPr>
        <w:spacing w:after="0" w:line="4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the number of visitors to Las Vegas;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 and Encore;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casino/hotel industry is highly competitive and additional developments have recently opened or are currently underway. Resorts located on or near the Las Vegas Strip compete with other Las Vegas Strip hotels and with other hotel casinos in Las Vegas on the basis of overall atmosphere, range of amenities, level of service, price, location, entertainment, theme and size, among other factors. Wynn Las Vegas and Encore may also compete with one another.</w:t>
      </w:r>
    </w:p>
    <w:p>
      <w:pPr>
        <w:spacing w:after="0" w:line="93"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Wynn Las Vegas and Encore also compete, to some extent, with other hotel/casino facilities in Nevada and Atlantic City, riverboat gaming facilities in other states, casino facilities on Native American lands and elsewhere in the world, as well as state lotteries and other forms of gaming. In addition, the legalization of casino gaming in or near metropolitan areas from which we attract customers could have a negative effect on our business. New or renovated casinos in Asia, including our property in Macau, could draw Asian gaming customers away from Las Vegas.</w:t>
      </w:r>
    </w:p>
    <w:p>
      <w:pPr>
        <w:spacing w:after="0" w:line="99"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significant portion of our table games revenue at Wynn Las Vegas and Encore is attributable to the play of a limited number of international customers. The loss or a reduction in the play of the most significant of these customers could have a substantial negative effect on our future operating results. A continued downturn in economic conditions in the countries in which these customers reside could cause a further reduction in the frequency of visits by and revenue generated from these customers.</w:t>
      </w:r>
    </w:p>
    <w:p>
      <w:pPr>
        <w:spacing w:after="0" w:line="13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collectibility of receivables from international customers could be negatively affected by future business or economic trends or by significant events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countries in which these customers reside. We will extend credit to those customers whose level of play and financial resources, in the opinion of management, warrant such an extension.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While gaming debts evidenced by a credit instrument, including what is commonly referred to as a “marker,”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the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high unemployment, the current housing foreclosure crisis, the current credit crisis, bank failures and the potential for additional bank failures, perceived or actual changes disposable consumer income and wealth, the current global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2010, the economic environment in the gaming and hotel markets in Las Vegas continued to experience depressed levels of gaming revenue, visitation, and hotel room demand. While certain gaming and hotel statistics may have increased from the 2009 levels, improvement has not been significant. The average daily room rate increased 2.0%, visitation increased 2.7% to 37.3 million visitors, and Las Vegas strip gaming revenues increased 4.1%, all as compared to the year ended December 31, 2009. If these trends do not improve more significantly, our financial condition, results of operations and cash flows may be adversely affected.</w:t>
      </w:r>
    </w:p>
    <w:p>
      <w:pPr>
        <w:spacing w:after="0" w:line="129"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operations of Wynn Las Vegas and Encore are contingent upon maintaining all necessary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on December 22, 2008; however, we are subject to ongoing regulation to maintain these operations.</w:t>
      </w:r>
    </w:p>
    <w:p>
      <w:pPr>
        <w:spacing w:after="0" w:line="10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subject to taxation in the United States at the federal, state and local level. Specific rates of taxation can be changed by legislative action. Increases in taxation could adversely affect our results.</w:t>
      </w:r>
    </w:p>
    <w:p>
      <w:pPr>
        <w:spacing w:after="0" w:line="118"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properties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05"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fears of recession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terrorist attacks of September 11, 2001 have substantially affected the availability of insurance coverage for certain types of damages or occurrences. We currently have insurance coverage for terrorist acts included in our commercial property insurance policy with respect to Wynn Las Vegas and Encore at Wynn Las Vegas, not to exceed $1.5 billion. However, these types of acts could expose us to losses that exceed our coverage and could have a significant negative impact on our operations.</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increase, we may not be able to maintain the insurance coverage we currently have or otherwise be able to maintain adequate insurance protection.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service marks, our business or results of operations could be harmed.</w:t>
      </w:r>
    </w:p>
    <w:p>
      <w:pPr>
        <w:spacing w:after="0" w:line="3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sublicensed certain Wynn-related trademarks and services from Holdings. Holdings has filed applications with the United States Patent and Trademark Office (“PTO”), to register a variety of WYNN-related trademarks and service marks in connection with a variety of goods and services. These marks include “WYNN LAS VEGAS” and “ENCORE.” Some of the applications are based upon ongoing use and others are based upon a bona fide intent to use the marks.</w:t>
      </w:r>
    </w:p>
    <w:p>
      <w:pPr>
        <w:spacing w:after="0" w:line="13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intellectual property assets, including the word and the logo version of “Wynn,” are among our most valuable assets.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0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rights relevant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0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Our ultimate parent company is Wynn Resorts. Mr. Wynn, Elaine P. Wynn, and Aruze USA, Inc., a company controlled by one of our directors, together own approximately 35.6% of Wynn Resorts’ outstanding common stock. As a result, Mr. Wynn, Elaine P. Wynn, and Aruze USA, Inc., to the extent they vote their shares in a similar manner, may be able to control all matters requiring our stockholders’ approval, including the approval of significant corporate transactions.</w:t>
      </w:r>
    </w:p>
    <w:p>
      <w:pPr>
        <w:spacing w:after="0" w:line="13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Company’s common stock. Under the amended and restated stockholders’ agreement, Mr. Wynn, Elaine P. Wynn, and Aruze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USA, Inc., have agreed to vote their shares of our common stock for a slate of directors supported by Mr. Wynn,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our board of directors. In addition, with stated exceptions, the agreement requires the written consent of Mr. Wynn, Elaine P. Wynn, and Aruze USA, Inc. prior to any party selling any shares of Wynn Resorts that it owns.</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109" w:lineRule="exact"/>
        <w:rPr>
          <w:sz w:val="20"/>
          <w:szCs w:val="20"/>
          <w:color w:val="auto"/>
        </w:rPr>
      </w:pPr>
    </w:p>
    <w:p>
      <w:pPr>
        <w:ind w:left="240" w:right="82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2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Regulation could have a negative impact on us.</w:t>
      </w:r>
    </w:p>
    <w:p>
      <w:pPr>
        <w:spacing w:after="0" w:line="10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are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we have implemented to deter prohibited practices may not be effective in prohibiting our employees, contractors or agents from violating or circumventing our policies and the law. If our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Any determination that we have violated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FCPA could have a material adverse effect on our financial condition. We also deal with significant amounts of cash in our operations and are subject to various reporting and anti-money laundering regulations. Any violation of anti-money laundering laws or regulations by any of our resorts could have a negative effect on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currently own approximately 240 acres of land on or near the Las Vegas Strip. This consists of approximately 75 acres at the northeast corner of the intersection of Las Vegas Boulevard and Sands Avenue on which Wynn Las Vegas and Encore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our first mortgage notes and bank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 during the fourth quarter of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ind w:right="2320" w:firstLine="56"/>
        <w:spacing w:after="0" w:line="33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Holdings owns all of the membership interests in the Company as of the date of this filing.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have never declared or paid cash distributions on our membership interests. We currently intend to retain all available funds and any future consolidated earnings to fund our operations and the development and growth of our business and therefore do not anticipate paying any cash distributions.</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from making dividends or distributions. Specifically, we are restricted under the indentures governing the first mortgage notes from making certain “restricted payments” as defined in the indentures. These restricted payments include the payment of distributions to any direct or indirect holders of our membership interests. These restricted payments cannot be made unless certain financial and non-financial criteria have been satisfied. In addition, the terms of our other loan agreements contain similar restrictions.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following reflects the selected consolidated financial data of Wynn Las Vegas, LLC and its subsidiaries. This data should be read together with our consolidated financial statements and notes thereto, “Item 7. Management’s Discussion and Analysis of Financial Condition and Results of Operations” and the other information contained in this Annual Report on Form 10-K.</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gridSpan w:val="6"/>
          </w:tcPr>
          <w:p>
            <w:pPr>
              <w:jc w:val="center"/>
              <w:ind w:left="657"/>
              <w:spacing w:after="0"/>
              <w:rPr>
                <w:sz w:val="20"/>
                <w:szCs w:val="20"/>
                <w:color w:val="auto"/>
              </w:rPr>
            </w:pPr>
            <w:r>
              <w:rPr>
                <w:rFonts w:ascii="Arial" w:cs="Arial" w:eastAsia="Arial" w:hAnsi="Arial"/>
                <w:sz w:val="14"/>
                <w:szCs w:val="14"/>
                <w:b w:val="1"/>
                <w:bCs w:val="1"/>
                <w:color w:val="auto"/>
                <w:w w:val="86"/>
              </w:rPr>
              <w:t>Years Ended December 31,</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22"/>
                <w:szCs w:val="22"/>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22"/>
                <w:szCs w:val="22"/>
                <w:color w:val="auto"/>
              </w:rPr>
            </w:pPr>
          </w:p>
        </w:tc>
        <w:tc>
          <w:tcPr>
            <w:tcW w:w="102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2"/>
                <w:szCs w:val="22"/>
                <w:color w:val="auto"/>
              </w:rPr>
            </w:pPr>
          </w:p>
        </w:tc>
      </w:tr>
      <w:tr>
        <w:trPr>
          <w:trHeight w:val="95"/>
        </w:trPr>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Net revenues [1]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1,296,556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1"/>
              </w:rPr>
              <w:t>$ 1,230,120</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$ 1,099,891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1,295,851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1,139,348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(81,314)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(144,279)</w:t>
            </w:r>
          </w:p>
        </w:tc>
        <w:tc>
          <w:tcPr>
            <w:tcW w:w="1340" w:type="dxa"/>
            <w:vAlign w:val="bottom"/>
            <w:gridSpan w:val="3"/>
          </w:tcPr>
          <w:p>
            <w:pPr>
              <w:jc w:val="right"/>
              <w:ind w:right="260"/>
              <w:spacing w:after="0"/>
              <w:rPr>
                <w:sz w:val="20"/>
                <w:szCs w:val="20"/>
                <w:color w:val="auto"/>
              </w:rPr>
            </w:pPr>
            <w:r>
              <w:rPr>
                <w:rFonts w:ascii="Arial" w:cs="Arial" w:eastAsia="Arial" w:hAnsi="Arial"/>
                <w:sz w:val="18"/>
                <w:szCs w:val="18"/>
                <w:color w:val="auto"/>
              </w:rPr>
              <w:t>(58,616)</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199,825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115,047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(348,329)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(309,870)</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(129,794)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124,219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9,808</w:t>
            </w:r>
          </w:p>
        </w:tc>
      </w:tr>
      <w:tr>
        <w:trPr>
          <w:trHeight w:val="378"/>
        </w:trPr>
        <w:tc>
          <w:tcPr>
            <w:tcW w:w="4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As of December 31,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5"/>
        </w:trPr>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gridSpan w:val="2"/>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63"/>
        </w:trPr>
        <w:tc>
          <w:tcPr>
            <w:tcW w:w="4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22"/>
                <w:szCs w:val="22"/>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22"/>
                <w:szCs w:val="22"/>
                <w:color w:val="auto"/>
              </w:rPr>
            </w:pPr>
          </w:p>
        </w:tc>
        <w:tc>
          <w:tcPr>
            <w:tcW w:w="102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89"/>
              </w:rPr>
              <w:t>2008</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2"/>
                <w:szCs w:val="22"/>
                <w:color w:val="auto"/>
              </w:rPr>
            </w:pPr>
          </w:p>
        </w:tc>
      </w:tr>
      <w:tr>
        <w:trPr>
          <w:trHeight w:val="95"/>
        </w:trPr>
        <w:tc>
          <w:tcPr>
            <w:tcW w:w="45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4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52,540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   66,354</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123,315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146,521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93,820</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 [2]</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31,052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197,517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19,281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23,973</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865,130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214,574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4,108,516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4,254,324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4,584,271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3,647,256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3,119,888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long-term obligations [3]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2,730,738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2,638,083</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2,897,328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2,034,603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1,678,597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1,098,502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1,385,553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1,257,563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1,375,020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1,242,770</w:t>
            </w:r>
          </w:p>
        </w:tc>
      </w:tr>
      <w:tr>
        <w:trPr>
          <w:trHeight w:val="363"/>
        </w:trPr>
        <w:tc>
          <w:tcPr>
            <w:tcW w:w="4520" w:type="dxa"/>
            <w:vAlign w:val="bottom"/>
          </w:tcPr>
          <w:p>
            <w:pPr>
              <w:spacing w:after="0"/>
              <w:rPr>
                <w:sz w:val="24"/>
                <w:szCs w:val="24"/>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Wynn Las Vegas opened on April 28, 2005 and Encore opened on December 22,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Restricted cash and investments primarily reflect the proceeds of our debt and equity financings that were restricted for the construction of Encore.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long-term debt, interest rate swap and long-term amounts due to affiliates.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Encore at Wynn Las Vegas (“Encore”), a destination casino resort located adjacent to and connected to Wynn Las Vegas, which opened on December 22,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February 2011: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85"/>
              </w:rPr>
              <w:t>Hotel Rooms</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Approximate</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860" w:type="dxa"/>
            <w:vAlign w:val="bottom"/>
          </w:tcPr>
          <w:p>
            <w:pPr>
              <w:spacing w:after="0"/>
              <w:rPr>
                <w:sz w:val="12"/>
                <w:szCs w:val="12"/>
                <w:color w:val="auto"/>
              </w:rPr>
            </w:pPr>
          </w:p>
        </w:tc>
        <w:tc>
          <w:tcPr>
            <w:tcW w:w="20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Approximate Casino</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 Table</w:t>
            </w:r>
          </w:p>
        </w:tc>
        <w:tc>
          <w:tcPr>
            <w:tcW w:w="88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6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5"/>
              </w:rPr>
              <w:t>Suites</w:t>
            </w:r>
          </w:p>
        </w:tc>
        <w:tc>
          <w:tcPr>
            <w:tcW w:w="20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Square Footage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1"/>
              </w:rPr>
              <w:t>Games</w:t>
            </w:r>
          </w:p>
        </w:tc>
        <w:tc>
          <w:tcPr>
            <w:tcW w:w="8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Number of Slots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2,716</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110,000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Encore</w:t>
            </w: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2,034</w:t>
            </w:r>
          </w:p>
        </w:tc>
        <w:tc>
          <w:tcPr>
            <w:tcW w:w="1200" w:type="dxa"/>
            <w:vAlign w:val="bottom"/>
          </w:tcPr>
          <w:p>
            <w:pPr>
              <w:jc w:val="right"/>
              <w:spacing w:after="0"/>
              <w:rPr>
                <w:sz w:val="20"/>
                <w:szCs w:val="20"/>
                <w:color w:val="auto"/>
              </w:rPr>
            </w:pPr>
            <w:r>
              <w:rPr>
                <w:rFonts w:ascii="Arial" w:cs="Arial" w:eastAsia="Arial" w:hAnsi="Arial"/>
                <w:sz w:val="18"/>
                <w:szCs w:val="18"/>
                <w:color w:val="auto"/>
              </w:rPr>
              <w:t>76,000</w:t>
            </w:r>
          </w:p>
        </w:tc>
        <w:tc>
          <w:tcPr>
            <w:tcW w:w="8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Wynn Las Vegas, located at the intersection of the Las Vegas Strip and Sands Avenue, occupies approximately 217 acres of land fronting the Las Vegas Strip, utilizes approximately 18 additional acres across Sands Avenue, a portion of which is improved with an employee parking garage and approximately 5 acres adjacent to the golf course on which an office building is located.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baccarat salons, a poker room, and a sports book;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 food and beverage outlets;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showroom, two nightclubs and a lounge.</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July 2010, we commenced a project to refurbish and upgrade the rooms and suites at Wynn Las Vegas. The total project budget is approximately $83 million. The room remodel was completed in January 2011 and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suite remodel is expected to be completed early in the second quarter of 2011. As a part of this project, we are temporarily removing floors from service which reduces our total number of rooms available during the construction period.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Encore on December 22, 2008. This resort is located immediately adjacent to and connected with Wynn Las Vegas. Encore features:</w:t>
      </w:r>
    </w:p>
    <w:p>
      <w:pPr>
        <w:spacing w:after="0" w:line="100"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approximately 76,000 square foot casino offering 24-hour gaming and a full range of games, including a sky casino and private baccarat salons;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Approximately 27,000 square feet of high-end, brand-name retail shopping, including stores and boutiques featuring Hermes, Chanel and others;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and a full service spa and salon;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beach club, showroom, two nightclubs and lounges.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response to our evaluation of our properties and the reactions of our guests, we have and expect to continue to remodel and make enhancements and refinements at both Wynn Las Vegas and Encore.</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Approximately 142 acres of land immediately adjacent to both Wynn Las Vegas and Encore, is currently improved with a golf course. While we may develop this property in the future, we have no immediate plans to do so.</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Due to a number of factors affecting consumers, including a slowdown in global economies, reduced consumer and corporate spending, and high unemployment, the outlook for the gaming, travel, and entertainment industries domestically remains highly uncertain. Auto traffic into Las Vegas, airline capacity and air travel to McCarran International airport did not improve significantly year over year, resulting in continued depressed casino volumes and a reduced demand for hotel rooms. This slow down was particularly significant in the fourth quarter of 2008 and continued throughout 2010. Based on our experience over this past year and current market conditions, we have experienced some stabilization in the Las Vegas market; however, due to the still uncertain economic environment and added supply in Las Vegas, we believe that Wynn Las Vegas and Encore have, and are likely to continue to experience depressed levels of hotel occupancy rates, room rates, casino volumes and accordingly lower departmental profitability.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offer gaming, hotel accommodations, dining, entertainment, retail shopping, convention services and other amenities at Wynn Las Vegas and Encore. We currently rely solely upon the operations of Wynn Las Vegas and Encore for our operating cash flow. Concentration of our cash flows to Wynn Las Vegas and Encore exposes us to certain risks that competitors, whose operations are more diversified, may be better able to control. In addition to the concentration of operations to Wynn Las Vegas and Encore, many of our customers are high-end gaming customers who wager on credit, thus exposing us to increased credit risk. High-end gaming also increases the potential for variability in our results.</w:t>
      </w:r>
    </w:p>
    <w:p>
      <w:pPr>
        <w:spacing w:after="0" w:line="10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recorded a net loss for the year ended December 31, 2010 of $348.3 million, which represents a $38.5 million increase from the net loss of $309.9 million recorded during the year ended December 31, 2009. This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increase is primarily due to a $36.2 million increase in interest expense due to outstanding debt with a higher average interest rate and a $70.1 million loss on extinguishment of debt/exchange offer related to debt transactions during the year as described below. These expenses were offset in part by lower depreciation and amortization expense of $39.5 million primarily due to assets with a 5-year life being fully depreciated as of April 2010 at Wynn Las Vegas.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Measures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key operating statistics specific to the gaming industry are included in our discussion of our operational performance for the periods for which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Operations is presented. Below are definitions of the gaming statistics discussed:</w:t>
      </w:r>
    </w:p>
    <w:p>
      <w:pPr>
        <w:spacing w:after="0" w:line="70"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“Slot win” is the amount of “handle” (represents the total amount wagered)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2010 compared to the year ended December 31, 2009.</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2010 are comprised of $534.3 million in casino revenues (41.2% of total net revenues) and $762.3 million of net non-casino revenues (58.8% of total net revenues). Net revenues for the year ended December 31, 2009 were comprised of $505.8 million in casino revenues (41.1% of total net revenues) and $724.3 million of net non-casino revenues (58.9% of total net revenues).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approximately $28.5 million (or 5.6%) to $534.3 million for the year ended December 31, 2010, compared to $505.8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2009. During the year ended December 31, 2010, we experienced a 3.4% increase in drop and an increase in the average table games win percentage compared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prior year. Our average table games win percentage (before discounts) of 22.2% was within the expected range of 21% to 24%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2010. For the year ended December 31, 2009, our average table games win percentage (before discounts) was 20.2%. Slot handle decreased 18.3%</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December 31, 2010 as compared to 2009; however slot win, net of free play and progressive accruals only decreased 6.9% compared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prior year as more play shifted to higher hold machines.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the year ended December 31, 2010, room revenues were approximately $308.4 million, which represents a $12.7 million (or 4%) decrease over the $321.2 million generated in the year ended December 31, 2009. We continued to experience a decrease in room rates during the year ended December 31, 2010, compared to the year ended December 31, 2009. We believe this is due to the current economic conditions in which we operate in the U.S. and the increased capacity in the Las Vegas market including the opening of a new large scale casino hotel in Las Vegas in December 2009. Also, due to our remodel of the rooms and suites at Wynn Las Vegas beginning in July 2010, we had 3.8% fewer room nights available during the year ended December 31, 2010 which contributed to a decrease in room revenues compared to the prior year. The room remodel was completed in January 2011 and the suite remodel is expected to be completed in the second quarter of 2011. See the table below for key operating measures related to our room revenue.</w:t>
      </w:r>
    </w:p>
    <w:p>
      <w:pPr>
        <w:spacing w:after="0" w:line="10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60325</wp:posOffset>
            </wp:positionV>
            <wp:extent cx="9607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$ 210</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Occupancy</w:t>
            </w:r>
          </w:p>
        </w:tc>
        <w:tc>
          <w:tcPr>
            <w:tcW w:w="3860" w:type="dxa"/>
            <w:vAlign w:val="bottom"/>
            <w:gridSpan w:val="3"/>
          </w:tcPr>
          <w:p>
            <w:pPr>
              <w:jc w:val="right"/>
              <w:ind w:right="280"/>
              <w:spacing w:after="0"/>
              <w:rPr>
                <w:sz w:val="20"/>
                <w:szCs w:val="20"/>
                <w:color w:val="auto"/>
              </w:rPr>
            </w:pPr>
            <w:r>
              <w:rPr>
                <w:rFonts w:ascii="Arial" w:cs="Arial" w:eastAsia="Arial" w:hAnsi="Arial"/>
                <w:sz w:val="18"/>
                <w:szCs w:val="18"/>
                <w:color w:val="auto"/>
              </w:rPr>
              <w:t>88.0%</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$ 185</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non-casino revenues for the year ended December 31, 2010 include food and beverage revenues of approximately $417.2 million, retail revenues of approximately $83.1 million, entertainment revenues of approximately $72 million, and other revenues from outlets such as the spa and salon, of approximately $58.9 million. Other non-gaming revenues for the year ended December 31, 2009 include food and beverage revenues of approximately $385.8 million, retail revenues of approximately $85.8 million, entertainment revenues of approximately $57.1 million, and other revenues from outlets, including the spa and salon, of approximately $60.5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which started in December 2009, as well as increased revenue from our Le Rêve show.</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During the year ended December 31, 2010, departmental expenses included casino expenses of $288.3 million, room expenses of $119.4 million, food and beverage expenses of $256.2 million, and entertainment, retail and other expenses of $145.3 million. Also included are general and administrative expenses of approximately $237.7 million and approximately $15.7 million charged as a provision for doubtful accounts receivable. During the year ended December 31, 2009, departmental expenses included casino expenses of $275.3 million, room expenses of $109.2 million, food and beverage expenses of $239.8 million, and entertainment, retail and other expenses of $133.8 million. Also included are general and administrative expenses of approximately $246.8 million and approximately $12.4 million charged as a provision for doubtful accounts receivable. The increase in casino and room expenses was primarily attributable to additional customer acquisition and marketing costs. Food and beverage expenses increased commensurate with the increase in revenue.</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Entertainment, retail and other expenses increased primarily as a result of performances by Garth Brooks in the Encore Theater at Wynn Las Vegas as noted above. General and administrative expenses decreased as a result of lower advertising expenses and our cost savings initiatives offset partially by higher repairs and replacement expenses associated with general property maintenance.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paid upon meeting certain leverage ratios and satisfying certain other criteria set forth in our credit facilities and the first mortgage notes indentures. Management fees were $19.5 million for the year ended December 31, 2010, compared to $18.4 million for the year ended December 31, 2009.</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year ended December 31, 2010, we incurred $2.5 million of pre-opening costs. We incurred $0.3 million of preopening costs for the year ended December 31, 2009. Pre-opening costs incurred during the year ended December 31, 2010, were related the Encore Beach Club and Surrender Nightclub which opened in May 2010.</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Depreciation and amortization for the year ended December 31, 2010 was $274.3 million compared to $313.8 million for the year ended December 31, 2009. This decrease is primarily due to assets with a 5-year life being fully depreciated as of April 2010 at Wynn Las Vegas, off set by depreciation of the assets of the Encore Beach Club which were placed into service in May 2010.</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500" w:firstLine="456"/>
        <w:spacing w:after="0" w:line="335" w:lineRule="auto"/>
        <w:rPr>
          <w:sz w:val="20"/>
          <w:szCs w:val="20"/>
          <w:color w:val="auto"/>
        </w:rPr>
      </w:pPr>
      <w:r>
        <w:rPr>
          <w:rFonts w:ascii="Arial" w:cs="Arial" w:eastAsia="Arial" w:hAnsi="Arial"/>
          <w:sz w:val="15"/>
          <w:szCs w:val="15"/>
          <w:color w:val="auto"/>
        </w:rPr>
        <w:t>Property charges and other for the year ended December 31, 2010, were $19 million compared to approximately $24.5 million for the year ended December 31, 2009. Property charges and other for the year ended December 31, 2010 include a contract termination payment of $14.9 million related to a management contract for certain of the nightclubs at our resorts, as well as miscellaneous renovations and abandonments at Wynn Las Vegas and Encore.</w:t>
      </w:r>
    </w:p>
    <w:p>
      <w:pPr>
        <w:spacing w:after="0" w:line="7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charge of $16.7 million for the abandonment of the front porte-cochere at Encore to make way for the Encore Beach Club, the write-off of $5.3 million of aircraft purchase deposits and $2.5 million related to miscellaneous renovations and abandonments.</w:t>
      </w:r>
    </w:p>
    <w:p>
      <w:pPr>
        <w:spacing w:after="0" w:line="12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Interest expense was $193.4 million, net of capitalized interest of $0.6 million, for the year ended December 31, 2010, compared to $157.2 million for the year ended December 31, 2009. There was no interest capitalized during the year ended December 31, 2009. Interest expense increased approximately $36.2 million primarily due to increased interest related to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issued in October 2009, a higher rate on the 2020 Notes, as discussed below, and offset partially by reductions in amounts outstanding under the Wynn Las Vegas bank credit facilities compared to the prior year.</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year. We recorded an expense of approximately $4.2 million for the year ended December 31, 2010, resulting from the decrease in the fair value of our interest rate swap from December 31, 2009 to December 31, 2010. We recorded an expense of approximately $4.2 million for the year ended December 31, 2009, resulting from the decrease in the fair value of our interest rate swap from August 2009 (the date we entered into the agreement) to December 31, 2009.</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As described in Note 7 to our Consolidated Financial Statements in this Annual Report on Form 10-K, in September 2010 we completed a tender offer for our outstanding $1.7 billion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2014 ( the “2014 Notes”) and subsequent call of all the remaining amounts once the tender was completed. In connection with these transactions, we recorded a loss on extinguishment of debt of $65.4 million. This included the tender consideration, the call premium and the related write off of the unamortized debt issue costs and original issue discount.</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Also, as described in Note 7 to our Consolidated Financial Statements we completed an exchange offer for a portion of the 2014 Notes in April 2010. In connection with that exchange offer, the direct costs incurred with third parties of $4.6 million were expensed.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2009 compared to the year ended December 31, 2008.</w:t>
      </w:r>
    </w:p>
    <w:p>
      <w:pPr>
        <w:spacing w:after="0" w:line="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Our financial results for the year ended December 31, 2009 are not comparable to the year ended December 31, 2008, as the year ended December 31, 2009 includes a full year of operations for Encore, whereas the prior year includes only 10 days of operations for Encore.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Net revenues for the year ended December 31, 2009 are comprised of $505.8 million in casino revenues (41.1% of total net revenues) and $724.3 million of net non-casino revenues (58.9% of total net revenues). Net revenues for the year ended December 31, 2008 were comprised of $479.7 million in casino revenues (43.6% of total net revenues) and $620.2 million of net non-casino revenues (56.4% of total net revenues).</w:t>
      </w:r>
    </w:p>
    <w:p>
      <w:pPr>
        <w:spacing w:after="0" w:line="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expanded Wynn Las Vegas with the opening of Encore in December 2008, which added approximately 90 table games and approximately 800 slot machines to our casino operations. Even with these additions in capacity, we experienced only a modest increase in casino revenues of approximately $26.1 million to $505.8 million for the year ended December 31, 2009, compared to $479.7 million for the year ended December 31, 2008. During the year ended December 31, 2009, we experienced a 1.2% increase in drop and a slight increase in the average table games win percentage compared to the prior year. Our average table games win percentage (before discounts) of 20.2% for the year ended December 31, 2009, was below the expected range of 21% to 24%. For the year ended December 31, 2008, our average table games win percentage (before discounts) was 20.0%. Slot handle decreased 2.5% during the year ended December 31, 2009, as compared to 2008, and the slot win percentage was within the expected range of 4.5% to 5.5%.</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2009, room revenues were approximately $321.2 million, which represents a $52.6 million (or 19.6%) increase over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$268.5 million generated in the year ended December 31, 2008. This increase is a result of the addition of 2,034 suites at Encore which opened in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2008. We continued to experience a decrease in occupancy and room rates during the year ended December 31, 2009, compared to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2008. See the table below for key operating measures related to our room revenue.</w:t>
      </w:r>
    </w:p>
    <w:p>
      <w:pPr>
        <w:spacing w:after="0" w:line="147"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60325</wp:posOffset>
            </wp:positionV>
            <wp:extent cx="960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$ 217</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Occupancy</w:t>
            </w:r>
          </w:p>
        </w:tc>
        <w:tc>
          <w:tcPr>
            <w:tcW w:w="3860" w:type="dxa"/>
            <w:vAlign w:val="bottom"/>
            <w:gridSpan w:val="3"/>
          </w:tcPr>
          <w:p>
            <w:pPr>
              <w:jc w:val="right"/>
              <w:ind w:right="280"/>
              <w:spacing w:after="0"/>
              <w:rPr>
                <w:sz w:val="20"/>
                <w:szCs w:val="20"/>
                <w:color w:val="auto"/>
              </w:rPr>
            </w:pPr>
            <w:r>
              <w:rPr>
                <w:rFonts w:ascii="Arial" w:cs="Arial" w:eastAsia="Arial" w:hAnsi="Arial"/>
                <w:sz w:val="18"/>
                <w:szCs w:val="18"/>
                <w:color w:val="auto"/>
              </w:rPr>
              <w:t>85.2%</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$ 185</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Other non-casino revenues for the year ended December 31, 2009 include food and beverage revenues of approximately $385.8 million, retail revenues of approximately $85.8 million, entertainment revenues of approximately $57.1 million, and other revenues from outlets such as the spa and salon, of approximately $60.5 million. Other non-gaming revenues for the year ended December 31, 2008 include food and beverage revenues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of approximately $305.7 million, retail revenues of approximately $86.1 million, entertainment revenues of approximately $66.2 million, and other revenues from outlets, including the spa and salon, of approximately $49.8 million. On a comparable basis, excluding the Encore expansion, which opened in December 2008, all of our revenues have declined when compared to the prior year due to the current economic environment in which we are operating. Food and beverage revenues increased during the year ended December 31, 2009 as a result of the additional 12 food and beverage outlets located in the Encore expansion. Although we added new retail outlets at Encore, retail revenues have declined due to reduced consumer spending as a result of the current economic environment. Entertainment revenues decreased over the prior year primarily due to the closure of the Spamalot production show in July 2008. This decrease was offset in part by revenue from headliner acts that performed during 2009, including Garth Brooks, who began performing in the Encore Theater in December 2009.</w:t>
      </w:r>
    </w:p>
    <w:p>
      <w:pPr>
        <w:spacing w:after="0" w:line="9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During the year ended December 31, 2009, departmental expenses included casino expense of $275.3 million, rooms expense of $109.2 million, food and beverage expense of $239.8 million, and entertainment, retail and other expense of $133.8 million. Also included are general and administrative expenses of approximately $246.8 million and approximately $12.4 million charged as a provision for doubtful accounts receivable. During the year ended December 31, 2008, departmental expenses included casino expenses of $258 million, room expenses of $73.8 million, food and beverage expenses of $188.5 million, and entertainment, retail and other expenses of $132.9 million. Also included are general and administrative expenses of approximately $199.5 million and approximately $24.9 million charged as a provision for doubtful accounts receivable. Expenses for the year ended December 31, 2009, increased compared to December 31, 2008 as a result of the Encore expansion which opened in December 2008. Our provision for doubtful accounts receivable declined during the year ended December 31, 2009 compared to the prior year. In the prior year we increased our reserves in light of the economic uncertainty that existed at that time. Due to continued strong collection experience we have reduced the additional reserves we recorded in the third quarter of 2008.</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bank credit facilities and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indentures. Management fees were $18.4 million for the year ended December 31, 2009, compared to $16.5 million for the year ended December 31, 2008.</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2009, we incurred $0.3 million pre-opening costs compared to $72.4 million for the year ended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Pre-opening costs incurred during the year ended December 31, 2008 were related to Encore which opened in December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and amortization for the year ended December 31, 2009 was $313.8 million compared to $169.6 million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This increase is primarily due to depreciation on the assets of Encore, which were placed into service in December 2008.</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Property charges and other for the year ended December 31, 2009, were $24.5 million compared to $22.4 million for the year ended December 31, 2008. In response to the evaluation of our properties and the reactions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guests, we make enhancements and refinements to the properties. Costs relating to assets retired as a result of these enhancement and remodel efforts have been expensed as property charges. Property charges and other for the year ended December 31, 2009 include a $16.7 million charge for the abandonment of the front porte-cochere at Encore at Wynn Las Vegas to make way for an addition to that property, a $5.3 million charge for the write-off of two aircraft deposits, and $2.5 million related to miscellaneous remodels, abandonments and loss on sale of equipment.</w:t>
      </w:r>
    </w:p>
    <w:p>
      <w:pPr>
        <w:spacing w:after="0" w:line="9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Interest income decreased by $4.8 million for the year ended December 31, 2009, compared to the year ended December 31, 2008. This decrease is due to the repayment of an $80 million note receivable from Wynn Resorts in July 2008, that resulted in $3.3 million of interest income in the prior year, as well as a decrease in the average interest rate earned on our invested cash balances and reduced average invested cash balances during the year ended December 31, 2009, compared to the prior year.</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Interest expense was $157.2 million, net of capitalized interest of $0, for the year ended December 31, 2009, compared to $75.9 million, net of capitalized interest of $80.4 million during the year ended December 31, 2008. Interest expense increased primarily due to an $80.4 million decrease in capitalized interest with the opening of Encore. Also increasing interest expense was approximately $8.4 million of interest related to the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$500 million First Mortgage Notes issued in October 2009. These increases were offset by lower interest rates on our variable rate debt and lower average balances outstanding during 2009 compared to the prior year.</w:t>
      </w:r>
    </w:p>
    <w:p>
      <w:pPr>
        <w:spacing w:after="0" w:line="12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Changes in the fair value of our interest rate swap are recorded as increase (or decrease) in swap fair value in each year. We recorded an expense of approximately $4.2 million for the year ended December 31, 2009, resulting from the decrease in the fair value of our interest rate swap from August 2009 (the date we entered into the agreement) to December 31, 2009. We recorded an expense of approximately $0.4 million for the year ended December 31, 2008 resulting from the decrease in the fair value of our interest rate swap that matured on December 31, 2008.</w:t>
      </w:r>
    </w:p>
    <w:p>
      <w:pPr>
        <w:spacing w:after="0" w:line="9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recorded a loss on early extinguishment of debt of $3.8 million during the year ended December 31, 2009. Through an offer to purchase loans outstanding under our bank credit facilities, we purchased loans with a face-value of $87.6 million for $84.4 million, reflecting a discounted price of 96.37%. In connection with this transaction, we recognized a gain of approximately $2.1 million on early retirement of debt in the fourth quarter of 2009. Offsetting this gain was the write-off of deferred financing costs totaling $5.7 million in connection with the permanent reduction in the availability under our bank credit facilities.</w:t>
      </w:r>
    </w:p>
    <w:p>
      <w:pPr>
        <w:spacing w:after="0" w:line="93"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Liquidity and Capital Resources</w:t>
      </w:r>
    </w:p>
    <w:p>
      <w:pPr>
        <w:spacing w:after="0" w:line="106"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operating cash flows primarily consist of operating income generated by our resort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high-end international customers who play on credit. Our ability to collect these gaming receivables may impact our operating cash flow for the period. Our rooms,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food and beverage, and entertainment, retail and other revenue is conducted primarily on a cash basis or as a trade receivable. Accordingly, operating cash flows will be impacted by changes in operating income and accounts receivables.</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Net cash provided by operations for the year ended December 31, 2010 was $104.6 million compared to $80.4 million provided by operations for the year ended December 31, 2009. Operating cash flows increased due to an improved operating loss and benefits from ordinary working capital changes, offset by higher cash interest payments.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December 31, 2010, we had approximately $52.5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As of December 31, 2010, we have $327.2 million of availability under our senior revolving credit facility. We anticipate such funds, together with any additional borrowings and cash generated from operations will satisfy our liquidity needs during 2011. Except for scheduled quarterly payments on one note payable, we have no debt maturities until July 2013.</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Capital expenditures were approximately $157.1 million for the year ended December 31, 2010, and were related primarily to the Wynn Las Vegas room and suite remodel and the Encore Beach Club and Surrender Nightclub. Capital expenditures were approximately $245 million for the year ended December 31, 2009 and were almost entirely related to the construction of Encore.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First Mortgage Notes</w:t>
      </w:r>
    </w:p>
    <w:p>
      <w:pPr>
        <w:spacing w:after="0" w:line="77" w:lineRule="exact"/>
        <w:rPr>
          <w:sz w:val="20"/>
          <w:szCs w:val="20"/>
          <w:color w:val="auto"/>
        </w:rPr>
      </w:pPr>
    </w:p>
    <w:p>
      <w:pPr>
        <w:jc w:val="both"/>
        <w:ind w:right="160" w:firstLine="456"/>
        <w:spacing w:after="0" w:line="284" w:lineRule="auto"/>
        <w:rPr>
          <w:sz w:val="20"/>
          <w:szCs w:val="20"/>
          <w:color w:val="auto"/>
        </w:rPr>
      </w:pPr>
      <w:r>
        <w:rPr>
          <w:rFonts w:ascii="Arial" w:cs="Arial" w:eastAsia="Arial" w:hAnsi="Arial"/>
          <w:sz w:val="16"/>
          <w:szCs w:val="16"/>
          <w:color w:val="auto"/>
        </w:rPr>
        <w:t xml:space="preserve">In October 2009, Wynn Las Vegas, LLC and Wynn Las Vegas Capital Corp.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November 1, 2017 (the “2017 Notes”) at a price of 97.823% of the principal amount. The Issuers pay interest on the 2017 Notes on May 1st and November 1st of each year. Commencing November 1, 2013, the 2017 Notes are redeemable at our option at a price equal to</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103.938% of the principal amount redeemed and decline ratably on November 1st of each year thereafter to zero on or after November 1, 2015. The 2017 Notes rank pari passu with the borrowings under our credit facilities and the outstanding first mortgage notes previously issued by the Issuers. The notes are senior secured obligations of the Issuers, are guaranteed by our subsidiaries (subject to some exceptions), and are secured on an equal and ratable basis by a first priority lien on substantially all the existing and future assets of the Issuers and guarantors. In accordance with the fifth amendment to the Wynn Las Vegas Credit Agreement described below, we used the proceeds of this offering to repay amounts outstanding under the Wynn Las Vegas Revolver and Wynn Las Vegas Term Loan.</w:t>
      </w:r>
    </w:p>
    <w:p>
      <w:pPr>
        <w:spacing w:after="0" w:line="135"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 xml:space="preserve">On March 26, 2010, we commenced an offer to exchange all outstanding 2014 Notes for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(the “2020 Notes”), upon the terms and subject to the conditions set forth in an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The exchange offer closed on April 28, 2010 with approximately $382 million of the 2014 Notes being validly tendered for exchange to the 2020 Notes.</w:t>
      </w:r>
    </w:p>
    <w:p>
      <w:pPr>
        <w:spacing w:after="0" w:line="13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pay interest on the 2020 Notes on May 1st and November 1st of each year. Commencing May 1, 2015, the 2020 Notes are redeemable at our option at a price equal to 103.938% of the principal amount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redeemed and decline ratably on May 1st of each year thereafter to zero on or after May 1, 2018. The 2020 Notes rank pari passu in right of payment with borrowings under our credit facilities and 2017 Notes. The 2020 Notes are senior secured obligations of the Issuers, guaranteed by certain of Wynn Las Vegas, LLC’s subsidiaries and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our credit facilities and the 2017 Notes.</w:t>
      </w:r>
    </w:p>
    <w:p>
      <w:pPr>
        <w:spacing w:after="0" w:line="129"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noteholders who validly tendered 2014 Notes prior to the early delivery time received an early delivery payment on April 28, 2010 of 1% of the amount tendered in cash, which totaled approximately $3.8 million. In accordance with accounting standards, this has been included as deferred financing costs and will be amortized over the life of the 2020 Notes. The direct costs of the exchange offer incurred with third parties of $4.6 million were expensed and are included in loss on extinguishment of debt / exchange offer in our Consolidated Statements of Operations.</w:t>
      </w:r>
    </w:p>
    <w:p>
      <w:pPr>
        <w:spacing w:after="0" w:line="99"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On August 4, 2010, we issued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August 15, 2020 (the “New 2020 Notes”). The New 2020 Notes were issued at par. The New 2020 Notes were offered only to qualified institutional buyers and outside the United States in accordance with Rule 144A and Regulation S, respectively, under the Securities Act of 1933. We used the net proceeds of the offering along with the proceeds of a $50 million capital contribution from Wynn Resorts, Limited to purchase, and, as applicable, make consent payments for, any and all of the Issuers’ 2014 Notes that were validly tendered and accepted for payment pursuant to our concurrent offer to purchase and consent solicitation with respect to the 2014 Notes, and to redeem all of the 2014 Notes not tendered. On or prior to August 3, 2010, valid tenders had been received with respect to approximately $987 million of the $1.3 billion aggregate principal amount of 2014 Notes outstanding. On August 4, 2010, tendering holders received the tender offer consideration in the amount of $1,004.38, plus a consent payment of $30 for each $1,000 principal amount of 2014 Notes, which totaled $32.7 million. The consent solicitation expired on August 3, 2010 and the tender offer expired on August 18, 2010. In accordance with accounting standards the consideration and consent fees were expensed and are included in loss on extinguishment of debt / exchange offer in our Consolidated Statements of Operations.</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August 4, 2010, the Trustee, at the request of the Issuers, gave notice of redemption of any and all of the remaining 2014 Notes. The redemption price was equal to 103.313% of the aggregate principal amount of the 2014 Notes redeemed plus accrued and unpaid interest thereon to September 3, 2010. The total redemption fees paid were $10.9 million. In accordance with accounting standards, the redemption fees were expensed and are included in loss on extinguishment of debt / exchange offer in our Consolidated Statement of Operations.</w:t>
      </w:r>
    </w:p>
    <w:p>
      <w:pPr>
        <w:spacing w:after="0" w:line="13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Also in connection with this transaction, unamortized debt issue costs and original issue discount related to the 2014 Notes totaling $19.2 million were expensed and are included in loss on extinguishment of debt / exchange offer in our Consolidated Statements of Operations.</w:t>
      </w:r>
    </w:p>
    <w:p>
      <w:pPr>
        <w:spacing w:after="0" w:line="7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pay interest on the New 2020 Notes on February 15th and August 15th of each year. Commencing August 15, 2015, the New 2020 Notes are redeemable at our option at a price equal to 103.875% of the principal amount redeemed and decline ratably on August 15th of each year thereafter to zero on or after August 15, 2018. The New 2020 Notes rank pari passu in right of payment with borrowings under our credit facilities, the 2017 Notes and the 2020 Notes. The New 2020 Notes are senior secured obligations of the Issuers, guaranteed by certain of our subsidiaries and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LLC, all of which is the same collateral that secures borrowings under our credit facilities, the 2017 Notes and the 2020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Concurrently with the issuance of the New 2020 Notes, we entered into a seventh amendment, dated August 4, 2010, to the Wynn Las Vegas Amended and Restated Credit Agreement (the “Credit Agreement”). After giving effect to this amendment, the maturity date with respect to a portion of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 to 1:00 to 1 through June 2013.</w:t>
      </w:r>
    </w:p>
    <w:p>
      <w:pPr>
        <w:spacing w:after="0" w:line="13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As of December 31, 2010, our Wynn Las Vegas Amended and Restated Credit Agreement consisted of a $108.5 million revolving credit facility, due July 2013 and a $258.4 million revolving credit facility due July 2015 (together the “Wynn Las Vegas Revolver”), and a fully drawn $44.3 million term loan facility due August 2013 and a fully drawn $330.6 million term loan facility due August 2015 (together the “Wynn Las Vegas Term Loan”). As of December 31, 2010, the Wynn Las Vegas Term Loan was fully drawn and we had borrowed $30.1 million under the Wynn Las Vegas Revolver. We also had $19.7 million of outstanding letters of credit that reduce our availability under the Wynn Las Vegas Revolver. We have availability of approximately $327.2 million under the Wynn Las Vegas Revolver as of December 31, 2010.</w:t>
      </w:r>
    </w:p>
    <w:p>
      <w:pPr>
        <w:spacing w:after="0" w:line="131"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2017 Notes, the 2020 Notes and the New 2020 Notes and senior in right of payment to all of their existing and future subordinated indebtedness.</w:t>
      </w:r>
    </w:p>
    <w:p>
      <w:pPr>
        <w:spacing w:after="0" w:line="84"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As described below, during the year ended December 31, 2009, we (a) extended the maturity of the Wynn Las Vegas Revolver to July 2013, (b) received relief from certain financial covenants, (c) increased the Wynn Las Vegas Revolver by $65 million, (d) repurchased $87.6 million of Wynn Las Vegas Revolver loans at a discount, and (e) used the net proceeds received from our 2017 Notes issuance to repay amounts outstanding, including a permanent reduction of the Wynn Las Vegas Credit Facilities of $360 million.</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August 2009, pursuant to the terms of the Credit Agreement, we expanded the availability of the Wynn Las Vegas Revolver by $65 million.</w:t>
      </w:r>
    </w:p>
    <w:p>
      <w:pPr>
        <w:spacing w:after="0" w:line="181"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In September 2009, we entered into a fifth amendment to our Credit Agreement. This amendment, among other things, (i) permitted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October 2009, pursuant to an offer to purchase loans outstanding under the Credit Agreement, we purchased loans with a face value of $87.6 million for $84.4 million, reflecting a discounted price of 96.37%.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 result of this transaction, the Wynn Las Vegas Revolver was permanently reduced by $43.8 million and the Wynn Las Vegas Term Loan was permanently reduced by $44.8 million.</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Loans we have historically elected Eurodollar loans, which bear interest at 1-month LIBOR and currently include a margin of 1.875% on the term loan due 2013 and 3% on the term loan due 2015.</w:t>
      </w:r>
    </w:p>
    <w:p>
      <w:pPr>
        <w:spacing w:after="0" w:line="13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Wynn Las Vegas Credit Agreement contains a requirement that we must make mandatory repayments of indebtedness from specified percentages of excess cash flow. If our Wynn Las Vegas subsidiary meets a Consolidated Leverage Ratio, as defined in the Credit Agreement, of greater than 3.5 to 1, such repayment is defined as 50% of Excess Cash Flow, as defined in the Credit Agreement. If the Consolidated Leverage Ratio is less than 3.5 to 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2011, and therefore we do not expect to make any mandatory repayments pursuant to this requirement during 2011.</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Wynn Las Vegas Credit Agreement contains customary covenants restricting our activities including, but not limited to: the ability to sell assets, make capital expenditures, enter into capital leases, make loans or other investments and incur additional indebtedness. In addition, we are required by the financial covenants to maintain a Consolidated Interest Coverage Ratio, as defined, not less than 1.00 to 1 as of December 31, 2010. Management believes that we are in compliance with all covenants at December 31, 2010. The Consolidated Interest Coverage Ratio remains at 1.00 : 1 through June 2013.</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years ended December 31, 2010 and 2009, Wynn Resorts made cash capital contributions to us in the amount of $50 million and $413 million, respectively. The proceeds from these contributions were used to fund construction costs of Encore paid during 2009 and to fund paydowns of our outstanding debt as noted above.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Off-Balance Sheet Arrangements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2010, we had outstanding letters of credit totaling $19.7 million.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2010 (amounts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gridSpan w:val="7"/>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75"/>
              </w:rPr>
              <w:t>Less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Than 1</w:t>
            </w: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1 to 3</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right"/>
              <w:ind w:right="6"/>
              <w:spacing w:after="0" w:line="149" w:lineRule="exact"/>
              <w:rPr>
                <w:sz w:val="20"/>
                <w:szCs w:val="20"/>
                <w:color w:val="auto"/>
              </w:rPr>
            </w:pPr>
            <w:r>
              <w:rPr>
                <w:rFonts w:ascii="Arial" w:cs="Arial" w:eastAsia="Arial" w:hAnsi="Arial"/>
                <w:sz w:val="14"/>
                <w:szCs w:val="14"/>
                <w:b w:val="1"/>
                <w:bCs w:val="1"/>
                <w:color w:val="auto"/>
              </w:rPr>
              <w:t>4 to 5</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After 5</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jc w:val="right"/>
              <w:ind w:right="6"/>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Years</w:t>
            </w:r>
          </w:p>
        </w:tc>
        <w:tc>
          <w:tcPr>
            <w:tcW w:w="72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$2,232.1</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$2,633.7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Fixed interest payments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171.8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343.5</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343.5</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675.7</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1,534.5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Estimated variable interest payments [1]</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leases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0.2</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Employment agreements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32.4</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 [2]</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commitments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269.2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485.3</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$2,911.3</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$4,398.3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640" w:type="dxa"/>
            <w:vAlign w:val="bottom"/>
            <w:vMerge w:val="restart"/>
          </w:tcPr>
          <w:p>
            <w:pPr>
              <w:jc w:val="right"/>
              <w:ind w:right="10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-325755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-325755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-325755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-325755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-325755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-325755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-325755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-325755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right="62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rates at December 31, 2010. Such rates are at historical lows as of December 31, 2010. Actual rates will vary.</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includes open purchase orders and other contracts.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restricted under the indentures governing the 2107 Notes, the 2020 Notes and the New 2020 Notes from making certain “restricted payments” as defined in the indentures. These restricted payments include the payment of dividends or distributions to any direct or indirect holders of equity interests of Wynn Las Vegas, LLC. The restricted payments may not be made until certain other financial and non-financial criteria have been satisfied. In addition, the Credit Agreement contains similar restrictions.</w:t>
      </w:r>
    </w:p>
    <w:p>
      <w:pPr>
        <w:spacing w:after="0" w:line="130"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We will fund our operations and capital requirements from operating cash flow and availability under our bank facility. We cannot be sure that we will generate sufficient cash flow from operations or that future borrowings, if any, will be sufficient to enable us to service and repay Wynn Las Vegas, LLC’s indebtedness and to fund our other liquidity needs. We cannot be sure that we will be able to refinance any of our indebtedness on acceptable terms or at all.</w:t>
      </w:r>
    </w:p>
    <w:p>
      <w:pPr>
        <w:spacing w:after="0" w:line="7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future development would require us to obtain additional financing.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7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properties, significant start-up costs are incurred and charged to pre-opening costs through their respective openings. Once our properties open, expenses associated with the opening of the resorts are no longer charged as pre-opening costs.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properties, we begin recognizing depreciation expense on the resort’s fixed assets.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and adjusted as necessary.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7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accounting standards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A substantial portion of our outstanding receivables relate to casino credit play. Credit play, through the issuance of markers, represents a significant portion of the table games volume at Wynn Las Vegas and Encore.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2010 and 2009, approximately 75% and 68%, respectively, of our casino accounts receivable were owed by customers from foreign countries, primarily in Asia. The collectability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The following table presents key statistics related to our casino accounts receivables (amounts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780" w:type="dxa"/>
            <w:vAlign w:val="bottom"/>
            <w:gridSpan w:val="4"/>
          </w:tcPr>
          <w:p>
            <w:pPr>
              <w:ind w:left="1480"/>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9"/>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167,844</w:t>
            </w:r>
          </w:p>
        </w:tc>
        <w:tc>
          <w:tcPr>
            <w:tcW w:w="5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149,786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6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70,208</w:t>
            </w:r>
          </w:p>
        </w:tc>
        <w:tc>
          <w:tcPr>
            <w:tcW w:w="5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66,328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33.3%</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our employees regarding realizability, the state of the economy and our credit policy.</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At December 31, 2010, a 100 basis-point change in the allowance for doubtful accounts as a percentage of casino accounts receivable would change the provision for doubtful accounts by approximately $1.7 million.</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As of December 31, 2010, changes in our interest rate swap fair value is being recorded in our Consolidated Statements of Operations, as the swap does not qualify for hedge accounting.</w:t>
      </w:r>
    </w:p>
    <w:p>
      <w:pPr>
        <w:spacing w:after="0" w:line="129"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our interest rate swap contract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stock-based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appropriate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For example, a 10% change in the volatility assumption for 2010 would have resulted in an approximate $0.5 million change in fair value. Expected term represents the estimated average time between the option’s grant date and its exercise date. Because of our limited trading history as a public company we have elected to use the simplified method prescribed by applicable accounting standards, for companies with a limited trading history to estimate the expected term. Once we have sufficient trading history, we will estimate the expected term using historical experience for options that have been granted to employees within our stock option plan. A 10% change in the expected term assumption for 2010 would have resulted in an approximate $0.2 million change in fair value. These assumed changes in fair value would have been recognized over the vesting schedule of such awards.</w:t>
      </w:r>
    </w:p>
    <w:p>
      <w:pPr>
        <w:spacing w:after="0" w:line="10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 Reserves</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self-insured up to certain limits for costs of employee health coverage, workers’ compensation and general liability claims. Insurance claims and reserves include accruals of estimated settlements for known claims, as well as accruals of estimates for claims incurred but not yet reported. In estimating these accruals, we consider historical loss experience and make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Customer Loyalty Program</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customer loyalty program relates to a slot club program whereby customers may earn points based on their level of play that may be redeemed for free credits which must be replayed in the slot machine. We accrue a liability based on the points earned times the redemption value, less an estimate for breakage, and record a related reduction in casino revenue.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Slot Machine Jackpots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With respect to base and progressive jackpots, we do not accrue a liability if we have the ability to avoid payment of the base jackpot because the machine can legally be removed from the gaming floor without payment of the base amount. Conversely, if we are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 No liability is accrued with respect to the base jackpot.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be sure that these risk management strategies have had the desired effect, and interest rate fluctuations could have a negative impact on our results of operations.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following table provides estimated future cash flow information derived from our best estimates of repayments at December 31, 2010 on our expected long-term indebtedness. However, we cannot predict the LIBOR rate that will be in effect in the future. As of December 31, 2010, such rates were at historic lows. Actual rates will vary. The one-month LIBOR rate at December 31, 2010 of 0.26% was used for all variable rate calculations in the table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5"/>
              </w:rPr>
              <w:t>As of December 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95"/>
        </w:trPr>
        <w:tc>
          <w:tcPr>
            <w:tcW w:w="50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gridSpan w:val="2"/>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63"/>
        </w:trPr>
        <w:tc>
          <w:tcPr>
            <w:tcW w:w="50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22"/>
                <w:szCs w:val="22"/>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22"/>
                <w:szCs w:val="22"/>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22"/>
                <w:szCs w:val="2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95"/>
        </w:trPr>
        <w:tc>
          <w:tcPr>
            <w:tcW w:w="50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50"/>
        </w:trPr>
        <w:tc>
          <w:tcPr>
            <w:tcW w:w="5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Long-term debt: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Fixed rate</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2,202.0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Variable rate</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$ 1.1</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3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$ 1.4</w:t>
            </w:r>
          </w:p>
        </w:tc>
        <w:tc>
          <w:tcPr>
            <w:tcW w:w="4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$348.2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431.7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2010,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Consolidated Statements of Operations as the swap does not qualify for hedge accounting.</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As of December 31, 2010 and 2009, our interest rate swap had an approximate liability fair value of $8.5 million and $4.2 million, respectively, and is included in long-term liabilities in the accompanying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2010 and using estimated future LIBOR rates based upon implied forward rates in the yield curve.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Years Ending December 31,</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40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Expected Maturity Date</w:t>
            </w: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95"/>
        </w:trPr>
        <w:tc>
          <w:tcPr>
            <w:tcW w:w="40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63"/>
        </w:trPr>
        <w:tc>
          <w:tcPr>
            <w:tcW w:w="402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300" w:type="dxa"/>
            <w:vAlign w:val="bottom"/>
          </w:tcPr>
          <w:p>
            <w:pPr>
              <w:spacing w:after="0"/>
              <w:rPr>
                <w:sz w:val="22"/>
                <w:szCs w:val="22"/>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95"/>
        </w:trPr>
        <w:tc>
          <w:tcPr>
            <w:tcW w:w="40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250"/>
        </w:trPr>
        <w:tc>
          <w:tcPr>
            <w:tcW w:w="40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3"/>
          </w:tcPr>
          <w:p>
            <w:pPr>
              <w:jc w:val="center"/>
              <w:ind w:left="66"/>
              <w:spacing w:after="0"/>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26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$250.0</w:t>
            </w:r>
          </w:p>
        </w:tc>
        <w:tc>
          <w:tcPr>
            <w:tcW w:w="50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Average pay rate</w:t>
            </w:r>
          </w:p>
        </w:tc>
        <w:tc>
          <w:tcPr>
            <w:tcW w:w="222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2.49%</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2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r>
    </w:tbl>
    <w:p>
      <w:pPr>
        <w:spacing w:after="0" w:line="140" w:lineRule="exact"/>
        <w:rPr>
          <w:sz w:val="20"/>
          <w:szCs w:val="20"/>
          <w:color w:val="auto"/>
        </w:rPr>
      </w:pPr>
    </w:p>
    <w:p>
      <w:pPr>
        <w:ind w:left="240" w:right="560" w:firstLine="228"/>
        <w:spacing w:after="0" w:line="375" w:lineRule="auto"/>
        <w:rPr>
          <w:sz w:val="20"/>
          <w:szCs w:val="20"/>
          <w:color w:val="auto"/>
        </w:rPr>
      </w:pPr>
      <w:r>
        <w:rPr>
          <w:rFonts w:ascii="Arial" w:cs="Arial" w:eastAsia="Arial" w:hAnsi="Arial"/>
          <w:sz w:val="18"/>
          <w:szCs w:val="18"/>
          <w:color w:val="auto"/>
        </w:rPr>
        <w:t xml:space="preserve">We do not use derivative financial instruments, other financial instruments or derivative commodity instruments for trading or speculative purposes. </w:t>
      </w:r>
      <w:r>
        <w:rPr>
          <w:rFonts w:ascii="Arial" w:cs="Arial" w:eastAsia="Arial" w:hAnsi="Arial"/>
          <w:sz w:val="18"/>
          <w:szCs w:val="18"/>
          <w:i w:val="1"/>
          <w:iCs w:val="1"/>
          <w:color w:val="auto"/>
        </w:rPr>
        <w:t>Interest Rate Sensitivity</w:t>
      </w:r>
    </w:p>
    <w:p>
      <w:pPr>
        <w:spacing w:after="0" w:line="1"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As of December 31, 2010, approximately 93% of our long-term debt was based on fixed rates, including the notional amount related to our interest rate swap. Based on our borrowings as of December 31, 2010, an assumed 1% change in variable rates would cause our annual interest cost to change by $1.8 million.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4" w:lineRule="exact"/>
        <w:rPr>
          <w:sz w:val="20"/>
          <w:szCs w:val="20"/>
          <w:color w:val="auto"/>
        </w:rPr>
      </w:pPr>
    </w:p>
    <w:p>
      <w:pPr>
        <w:ind w:left="350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Page</w:t>
            </w:r>
          </w:p>
        </w:tc>
      </w:tr>
      <w:tr>
        <w:trPr>
          <w:trHeight w:val="95"/>
        </w:trPr>
        <w:tc>
          <w:tcPr>
            <w:tcW w:w="2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9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r>
      <w:tr>
        <w:trPr>
          <w:trHeight w:val="277"/>
        </w:trPr>
        <w:tc>
          <w:tcPr>
            <w:tcW w:w="4880" w:type="dxa"/>
            <w:vAlign w:val="bottom"/>
            <w:gridSpan w:val="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Report of Independent Registered Public Accounting Firm</w:t>
              </w:r>
            </w:hyperlink>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6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Balance Sheets</w:t>
              </w:r>
            </w:hyperlink>
          </w:p>
        </w:tc>
        <w:tc>
          <w:tcPr>
            <w:tcW w:w="760" w:type="dxa"/>
            <w:vAlign w:val="bottom"/>
          </w:tcPr>
          <w:p>
            <w:pPr>
              <w:spacing w:after="0"/>
              <w:rPr>
                <w:sz w:val="22"/>
                <w:szCs w:val="22"/>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26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42">
              <w:r>
                <w:rPr>
                  <w:rFonts w:ascii="Arial" w:cs="Arial" w:eastAsia="Arial" w:hAnsi="Arial"/>
                  <w:sz w:val="18"/>
                  <w:szCs w:val="18"/>
                  <w:color w:val="0000EE"/>
                  <w:w w:val="87"/>
                </w:rPr>
                <w:t>Consolidated Statements of Operations</w:t>
              </w:r>
            </w:hyperlink>
          </w:p>
        </w:tc>
        <w:tc>
          <w:tcPr>
            <w:tcW w:w="2120" w:type="dxa"/>
            <w:vAlign w:val="bottom"/>
            <w:gridSpan w:val="5"/>
          </w:tcPr>
          <w:p>
            <w:pPr>
              <w:spacing w:after="0"/>
              <w:rPr>
                <w:sz w:val="22"/>
                <w:szCs w:val="22"/>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32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Consolidated Statements of Member’s Equity</w:t>
              </w:r>
            </w:hyperlink>
          </w:p>
        </w:tc>
        <w:tc>
          <w:tcPr>
            <w:tcW w:w="1660" w:type="dxa"/>
            <w:vAlign w:val="bottom"/>
            <w:gridSpan w:val="2"/>
          </w:tcPr>
          <w:p>
            <w:pPr>
              <w:spacing w:after="0"/>
              <w:rPr>
                <w:sz w:val="22"/>
                <w:szCs w:val="22"/>
                <w:color w:val="auto"/>
              </w:rPr>
            </w:pP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4880" w:type="dxa"/>
            <w:vAlign w:val="bottom"/>
            <w:gridSpan w:val="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Cash Flows</w:t>
              </w:r>
            </w:hyperlink>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r>
      <w:tr>
        <w:trPr>
          <w:trHeight w:val="264"/>
        </w:trPr>
        <w:tc>
          <w:tcPr>
            <w:tcW w:w="4880" w:type="dxa"/>
            <w:vAlign w:val="bottom"/>
            <w:gridSpan w:val="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Notes to Consolidated Financial Statements</w:t>
              </w:r>
            </w:hyperlink>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45-71</w:t>
            </w: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40" w:type="dxa"/>
            <w:vAlign w:val="bottom"/>
          </w:tcPr>
          <w:p>
            <w:pPr>
              <w:jc w:val="right"/>
              <w:ind w:right="4932"/>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580" w:firstLine="2700"/>
        <w:spacing w:after="0" w:line="37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Member of Wynn Las Vegas, LLC and subsidiaries:</w:t>
      </w:r>
    </w:p>
    <w:p>
      <w:pPr>
        <w:spacing w:after="0" w:line="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Las Vegas, LLC and subsidiaries (the “Company”) as of December 31, 2010 and 2009, and the related consolidated statements of operations, member’s equity, and cash flows for each of the three years in the period ended December 31, 2010.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the Company at December 31, 2010 and 2009, and the consolidated results of their operations and their cash flows for each of the three years in the period ended December 31, 2010,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28, 2011</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124,814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110,860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21,188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263,062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3,731,211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3,851,668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47,300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4,069</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4,108,516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35,837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39,305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17,392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93,355</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28,291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279,276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230,688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2,620,484</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2,551,520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101,797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3,010,014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2,868,771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1,973,424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1,912,146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(874,922)</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1,098,502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1,385,553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4,108,516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4,254,324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jc w:val="center"/>
              <w:ind w:left="207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40" w:type="dxa"/>
            <w:vAlign w:val="bottom"/>
            <w:gridSpan w:val="2"/>
          </w:tcPr>
          <w:p>
            <w:pPr>
              <w:jc w:val="right"/>
              <w:ind w:right="33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-4330700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-4330700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-4330700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-4330700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-4330700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-4330700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-557530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-557530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-557530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-557530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-557530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-557530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534,286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505,779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308,410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321,150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417,240</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385,774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214,003</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1,473,939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1,416,102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w w:val="95"/>
              </w:rPr>
              <w:t>(177,383)</w:t>
            </w: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(185,982)</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1,296,556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1,230,120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1,099,891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288,263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275,341</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256,234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239,767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145,284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133,824</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237,678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246,776</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18,434</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274,305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313,759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1,377,870</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1,374,399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1,158,507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(81,314)</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(144,279)</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(193,444)</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(157,228)</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(4,233)</w:t>
            </w:r>
          </w:p>
        </w:tc>
        <w:tc>
          <w:tcPr>
            <w:tcW w:w="8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(70,055)</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(3,779)</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(267,015)</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(165,591)</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(348,329)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(309,870)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$ 1,375,020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2,835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1,257,563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429,490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Parent company stock-based 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Contributions from Wynn Resorts, Limited</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40" w:type="dxa"/>
            <w:vAlign w:val="bottom"/>
            <w:vMerge w:val="restart"/>
          </w:tcPr>
          <w:p>
            <w:pPr>
              <w:jc w:val="center"/>
              <w:ind w:left="85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4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460" w:type="dxa"/>
            <w:vAlign w:val="bottom"/>
            <w:gridSpan w:val="2"/>
          </w:tcPr>
          <w:p>
            <w:pPr>
              <w:jc w:val="right"/>
              <w:ind w:right="4572"/>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-557530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-557530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-557530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(348,329)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w w:val="85"/>
              </w:rPr>
              <w:t>(309,870)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274,305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313,759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Loss from extinguishment of debt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64,673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 off of deferred financing costs and other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Equity in income (loss) from unconsolidated affiliates, net of distributions.</w:t>
            </w: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(309)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(29,683)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98"/>
              </w:rPr>
              <w:t>(25,016)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98"/>
              </w:rPr>
              <w:t>(14,227)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ind w:left="86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31,746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22,455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104,645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(157,080)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w w:val="85"/>
              </w:rPr>
              <w:t>(245,040)</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(158,061)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85"/>
              </w:rPr>
              <w:t>(249,188)</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Principal payments on long-term debt</w:t>
            </w: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w w:val="89"/>
              </w:rPr>
              <w:t>(1,933,238)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w w:val="85"/>
              </w:rPr>
              <w:t>(929,909)</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1,995,686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649,481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Capital contribution from the Parent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412,951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deferred financing costs</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(72,846)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98"/>
              </w:rPr>
              <w:t>(20,698)</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111,825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Decrease in cash and cash equivalents</w:t>
            </w:r>
          </w:p>
        </w:tc>
        <w:tc>
          <w:tcPr>
            <w:tcW w:w="8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(13,814)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Arial" w:cs="Arial" w:eastAsia="Arial" w:hAnsi="Arial"/>
                <w:sz w:val="18"/>
                <w:szCs w:val="18"/>
                <w:color w:val="auto"/>
                <w:w w:val="98"/>
              </w:rPr>
              <w:t>(56,961)</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123,315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147,542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138,787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147,209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construction payables and retention</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w w:val="85"/>
              </w:rPr>
              <w:t>(183,842)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Capitalized stock-based compensation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Parent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16,539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-781685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-781685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-781685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-781685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-781685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-781685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-781685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-781685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-781685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 resort located immediately adjacent to and connected with Wynn Las Vegas.</w:t>
      </w:r>
    </w:p>
    <w:p>
      <w:pPr>
        <w:spacing w:after="0" w:line="8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3" w:lineRule="exact"/>
        <w:rPr>
          <w:sz w:val="20"/>
          <w:szCs w:val="20"/>
          <w:color w:val="auto"/>
        </w:rPr>
      </w:pPr>
    </w:p>
    <w:p>
      <w:pPr>
        <w:ind w:left="240" w:right="7920" w:hanging="232"/>
        <w:spacing w:after="0" w:line="332" w:lineRule="auto"/>
        <w:tabs>
          <w:tab w:leader="none" w:pos="187"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2010 and 2009, approximately 75% and 68%,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9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Land improvements</w:t>
            </w:r>
          </w:p>
        </w:tc>
        <w:tc>
          <w:tcPr>
            <w:tcW w:w="3820" w:type="dxa"/>
            <w:vAlign w:val="bottom"/>
          </w:tcPr>
          <w:p>
            <w:pPr>
              <w:jc w:val="right"/>
              <w:spacing w:after="0"/>
              <w:rPr>
                <w:sz w:val="20"/>
                <w:szCs w:val="20"/>
                <w:color w:val="auto"/>
              </w:rPr>
            </w:pPr>
            <w:r>
              <w:rPr>
                <w:rFonts w:ascii="Arial" w:cs="Arial" w:eastAsia="Arial" w:hAnsi="Arial"/>
                <w:sz w:val="18"/>
                <w:szCs w:val="18"/>
                <w:color w:val="auto"/>
              </w:rPr>
              <w:t>10 to 45 years</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Airplane</w:t>
            </w:r>
          </w:p>
        </w:tc>
        <w:tc>
          <w:tcPr>
            <w:tcW w:w="382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82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14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(loss).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$0.6 million, $0 and $80.4 million was capitalized for the years ended December 31, 2010, 2009 and 2008, respectively.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Company’s indefinite-lived intangible assets consist primarily of water rights acquired as part of the overall purchase price of the land on which Wynn Las Vegas is located, and trademarks. Indefinite-lived intangible assets are not amortized, but are reviewed annually for impairment. The Company’s finite-lived intangible assets consist of show production rights. Finite-lived intangible assets are amortized over the shorter of their contractual terms or estimated useful lives.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long-tem debt are capitalized and amortized to interest expense over the terms of the related debt agreements. Approximately $7.7 million, $9.3 million and $8.5 million, was amortized to interest expense during the years ended December 31, 2010, 2009 and 2008, respectively. Debt discounts incurred in connection with the issuance of debt has been capitalized and is being amortized to interest expense using the effective interest method.</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do not qualify for hedge accounting. Accordingly, changes in the fair value of the interest rate swaps are presented as an increase (decrease) in fair value of swaps in the accompanying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0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w w:val="88"/>
              </w:rPr>
              <w:t>Years Ended December 31,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40,911</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45,890</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$27,292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Food and beverage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59,111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60,550</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53,006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10,027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119,537</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118,454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$90,325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 Reserves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is self-insured up to certain limits for costs of employee health coverage, workers’ compensation and general liability claims. Insurance claims and reserves include accruals of estimated settlements for known claims, as well as accruals of estimates for claims incurred but not yet reported. In estimating these accruals, the Company considers historical loss experience and makes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Customer Loyalty Program</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Company’s customer loyalty program relates to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Slot Machine Jackpots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 respect to base and progressive jackpots, the Company does not accrue a liability when it has the ability to avoid payment of the base jackpot because the machine can legally be removed from the gaming floor without payment of the base amount. Conversely, if the Company is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 No liability is accrued with respect to the base jackpot.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Operations. These taxes totaled $37.7 million, $36.5 million and $33.4 million for the years ended December 31, 2010, 2009 and 2008, respectively.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$14.7 million, $17.3 million and $27.1 million including $11.1 million of pre-opening in 2008 related to Encore, for the years ended December 31, 2010, 2009 and 2008,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Pre-opening costs, consisting primarily of direct salaries and wages, legal and consulting fees, insurance, utilities and advertising, are expensed as incurred. The Company incurred pre-opening costs in connection with the Encore Beach Club and Surrender Nightclub prior to their opening in May 2010 and Encore prior to its opening in December 2008.</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operations are reported on the consolidated tax return of Wynn Resorts. As a limited liability company, the Company is considered a division of Wynn Resorts for federal income tax purposes. The Company’s financial statements recognize the current and deferred income tax consequences that result from the Company’s activities during the current and preceding periods pursuant to accounting standards related to Income Taxes, as if the Company were a separate taxpayer rather than a member of the parent company’s consolidated income tax return group. On a separate company basis, the Company is more likely than not to be unable to recognize benefit from net operating losses incurred annually since its formation. Consequently, no benefit from the current year or prior year’s tax losses has been recognized, resulting in no tax provision.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w:t>
      </w:r>
    </w:p>
    <w:p>
      <w:pPr>
        <w:spacing w:after="0" w:line="77"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Accounting standards require an entity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0" w:lineRule="exact"/>
        <w:rPr>
          <w:sz w:val="20"/>
          <w:szCs w:val="20"/>
          <w:color w:val="auto"/>
        </w:rPr>
      </w:pPr>
    </w:p>
    <w:p>
      <w:pPr>
        <w:ind w:left="240" w:right="460" w:firstLine="228"/>
        <w:spacing w:after="0" w:line="375" w:lineRule="auto"/>
        <w:rPr>
          <w:sz w:val="20"/>
          <w:szCs w:val="20"/>
          <w:color w:val="auto"/>
        </w:rPr>
      </w:pPr>
      <w:r>
        <w:rPr>
          <w:rFonts w:ascii="Arial" w:cs="Arial" w:eastAsia="Arial" w:hAnsi="Arial"/>
          <w:sz w:val="18"/>
          <w:szCs w:val="18"/>
          <w:color w:val="auto"/>
        </w:rPr>
        <w:t xml:space="preserve">Further information on the Company’s stock-based compensation arrangements is included in Note 11 “Benefit Plans—Stock-Based Compensation”. </w:t>
      </w:r>
      <w:r>
        <w:rPr>
          <w:rFonts w:ascii="Arial" w:cs="Arial" w:eastAsia="Arial" w:hAnsi="Arial"/>
          <w:sz w:val="18"/>
          <w:szCs w:val="18"/>
          <w:i w:val="1"/>
          <w:iCs w:val="1"/>
          <w:color w:val="auto"/>
        </w:rPr>
        <w:t>Reclassifications</w:t>
      </w:r>
    </w:p>
    <w:p>
      <w:pPr>
        <w:spacing w:after="0" w:line="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Certain amounts in the prior year consolidated financial statements have been reclassified to be consistent with the current year presentation. These reclassifications had no effect on the previously reported net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9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60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6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$167,844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$149,786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Hotel</w:t>
            </w:r>
          </w:p>
        </w:tc>
        <w:tc>
          <w:tcPr>
            <w:tcW w:w="6080" w:type="dxa"/>
            <w:vAlign w:val="bottom"/>
            <w:gridSpan w:val="3"/>
          </w:tcPr>
          <w:p>
            <w:pPr>
              <w:jc w:val="right"/>
              <w:ind w:right="40"/>
              <w:spacing w:after="0"/>
              <w:rPr>
                <w:sz w:val="20"/>
                <w:szCs w:val="20"/>
                <w:color w:val="auto"/>
              </w:rPr>
            </w:pPr>
            <w:r>
              <w:rPr>
                <w:rFonts w:ascii="Arial" w:cs="Arial" w:eastAsia="Arial" w:hAnsi="Arial"/>
                <w:sz w:val="18"/>
                <w:szCs w:val="18"/>
                <w:color w:val="auto"/>
              </w:rPr>
              <w:t>16,512</w:t>
            </w:r>
          </w:p>
        </w:tc>
        <w:tc>
          <w:tcPr>
            <w:tcW w:w="4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11,534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53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195,890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6480" w:type="dxa"/>
            <w:vAlign w:val="bottom"/>
            <w:gridSpan w:val="4"/>
          </w:tcPr>
          <w:p>
            <w:pPr>
              <w:jc w:val="right"/>
              <w:ind w:right="400"/>
              <w:spacing w:after="0"/>
              <w:rPr>
                <w:sz w:val="20"/>
                <w:szCs w:val="20"/>
                <w:color w:val="auto"/>
              </w:rPr>
            </w:pPr>
            <w:r>
              <w:rPr>
                <w:rFonts w:ascii="Arial" w:cs="Arial" w:eastAsia="Arial" w:hAnsi="Arial"/>
                <w:sz w:val="18"/>
                <w:szCs w:val="18"/>
                <w:color w:val="auto"/>
              </w:rPr>
              <w:t>(71,076)</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(67,406)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$124,814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2"/>
              </w:rPr>
              <w:t>$ 110,860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5360" w:type="dxa"/>
            <w:vAlign w:val="bottom"/>
            <w:vMerge w:val="restart"/>
          </w:tcPr>
          <w:p>
            <w:pPr>
              <w:jc w:val="right"/>
              <w:ind w:right="3635"/>
              <w:spacing w:after="0"/>
              <w:rPr>
                <w:sz w:val="20"/>
                <w:szCs w:val="20"/>
                <w:color w:val="auto"/>
              </w:rPr>
            </w:pPr>
            <w:r>
              <w:rPr>
                <w:rFonts w:ascii="Arial" w:cs="Arial" w:eastAsia="Arial" w:hAnsi="Arial"/>
                <w:sz w:val="18"/>
                <w:szCs w:val="18"/>
                <w:color w:val="auto"/>
              </w:rPr>
              <w:t>49</w:t>
            </w: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-325755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719,753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2,591,246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2,554,224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1,347,601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1,325,677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4,722,230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4,640,805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w w:val="95"/>
              </w:rPr>
              <w:t>(991,019)</w:t>
            </w:r>
          </w:p>
        </w:tc>
        <w:tc>
          <w:tcPr>
            <w:tcW w:w="1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(789,137)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3,731,211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3,851,668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Depreciation expense for the years ended December 31, 2010, 2009 and 2008 was $265.7 million, $300.8 million and $156.4 million, respectively. The decrease during 2010 is primarily due to assets with a 5-year life at Wynn Las Vegas being fully depreciated as of April 2010. The increase during 2009 over 2008 is due to the depreciation of assets placed in service for Encore in December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0"/>
              </w:rPr>
              <w:t>Show</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040" w:type="dxa"/>
            <w:vAlign w:val="bottom"/>
            <w:gridSpan w:val="5"/>
          </w:tcPr>
          <w:p>
            <w:pPr>
              <w:ind w:left="2040"/>
              <w:spacing w:after="0" w:line="149" w:lineRule="exact"/>
              <w:rPr>
                <w:sz w:val="20"/>
                <w:szCs w:val="20"/>
                <w:color w:val="auto"/>
              </w:rPr>
            </w:pPr>
            <w:r>
              <w:rPr>
                <w:rFonts w:ascii="Arial" w:cs="Arial" w:eastAsia="Arial" w:hAnsi="Arial"/>
                <w:sz w:val="14"/>
                <w:szCs w:val="14"/>
                <w:b w:val="1"/>
                <w:bCs w:val="1"/>
                <w:color w:val="auto"/>
              </w:rPr>
              <w:t>Production</w:t>
            </w:r>
          </w:p>
        </w:tc>
        <w:tc>
          <w:tcPr>
            <w:tcW w:w="3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Rights</w:t>
            </w: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40" w:type="dxa"/>
            <w:vAlign w:val="bottom"/>
          </w:tcPr>
          <w:p>
            <w:pPr>
              <w:spacing w:after="0"/>
              <w:rPr>
                <w:sz w:val="15"/>
                <w:szCs w:val="15"/>
                <w:color w:val="auto"/>
              </w:rPr>
            </w:pPr>
          </w:p>
        </w:tc>
        <w:tc>
          <w:tcPr>
            <w:tcW w:w="1400" w:type="dxa"/>
            <w:vAlign w:val="bottom"/>
            <w:gridSpan w:val="4"/>
          </w:tcPr>
          <w:p>
            <w:pPr>
              <w:ind w:left="680"/>
              <w:spacing w:after="0"/>
              <w:rPr>
                <w:sz w:val="20"/>
                <w:szCs w:val="20"/>
                <w:color w:val="auto"/>
              </w:rPr>
            </w:pPr>
            <w:r>
              <w:rPr>
                <w:rFonts w:ascii="Arial" w:cs="Arial" w:eastAsia="Arial" w:hAnsi="Arial"/>
                <w:sz w:val="14"/>
                <w:szCs w:val="14"/>
                <w:b w:val="1"/>
                <w:bCs w:val="1"/>
                <w:color w:val="auto"/>
                <w:w w:val="88"/>
              </w:rPr>
              <w:t>Trademarks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2009</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16,881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Additions</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14,875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Amortization</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(2,071)</w:t>
            </w:r>
          </w:p>
        </w:tc>
        <w:tc>
          <w:tcPr>
            <w:tcW w:w="300" w:type="dxa"/>
            <w:vAlign w:val="bottom"/>
          </w:tcPr>
          <w:p>
            <w:pPr>
              <w:spacing w:after="0"/>
              <w:rPr>
                <w:sz w:val="19"/>
                <w:szCs w:val="19"/>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216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92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880" w:type="dxa"/>
            <w:vAlign w:val="bottom"/>
            <w:gridSpan w:val="4"/>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12,804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Show production rights represent the amounts paid to purchase the rights to present the “Le Rêve” production show. The Company expects that amortization of show production rights will be $2.1 million for each of the years 2011 through 2012, and $0.8 million in 2013.</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6"/>
          </w:tcPr>
          <w:p>
            <w:pPr>
              <w:ind w:left="1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9"/>
              <w:spacing w:after="0"/>
              <w:rPr>
                <w:sz w:val="20"/>
                <w:szCs w:val="20"/>
                <w:color w:val="auto"/>
              </w:rPr>
            </w:pPr>
            <w:r>
              <w:rPr>
                <w:rFonts w:ascii="Arial" w:cs="Arial" w:eastAsia="Arial" w:hAnsi="Arial"/>
                <w:sz w:val="14"/>
                <w:szCs w:val="14"/>
                <w:b w:val="1"/>
                <w:bCs w:val="1"/>
                <w:color w:val="auto"/>
              </w:rPr>
              <w:t>2010</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$11,826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Base stock</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20,082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22,027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w:t>
            </w:r>
          </w:p>
        </w:tc>
        <w:tc>
          <w:tcPr>
            <w:tcW w:w="3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23,139</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24,880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50,070</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net of original issue discount of $8,214 at December 31, 2009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$ 1,626,016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6"/>
              </w:rPr>
              <w:t xml:space="preserve">7 </w:t>
            </w:r>
            <w:r>
              <w:rPr>
                <w:rFonts w:ascii="Arial" w:cs="Arial" w:eastAsia="Arial" w:hAnsi="Arial"/>
                <w:sz w:val="11"/>
                <w:szCs w:val="11"/>
                <w:color w:val="auto"/>
                <w:w w:val="96"/>
              </w:rPr>
              <w:t>7</w:t>
            </w:r>
            <w:r>
              <w:rPr>
                <w:rFonts w:ascii="Arial" w:cs="Arial" w:eastAsia="Arial" w:hAnsi="Arial"/>
                <w:sz w:val="18"/>
                <w:szCs w:val="18"/>
                <w:color w:val="auto"/>
                <w:w w:val="96"/>
              </w:rPr>
              <w:t>/</w:t>
            </w:r>
            <w:r>
              <w:rPr>
                <w:rFonts w:ascii="Arial" w:cs="Arial" w:eastAsia="Arial" w:hAnsi="Arial"/>
                <w:sz w:val="13"/>
                <w:szCs w:val="13"/>
                <w:color w:val="auto"/>
                <w:w w:val="96"/>
              </w:rPr>
              <w:t>8</w:t>
            </w:r>
            <w:r>
              <w:rPr>
                <w:rFonts w:ascii="Arial" w:cs="Arial" w:eastAsia="Arial" w:hAnsi="Arial"/>
                <w:sz w:val="18"/>
                <w:szCs w:val="18"/>
                <w:color w:val="auto"/>
                <w:w w:val="96"/>
              </w:rPr>
              <w:t>% First Mortgage Notes, due November 1, 2017, net of original issue discount of $9,678 at December 31, 2010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$10,529 at December 31, 2009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490,322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489,471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May 1, 2020, net of original issue discount of $2,489 at December 31, 2010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349,521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August 15, 2020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1,320,000</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Revolving Credit Facility, due July 17, 2015; interest at LIBOR plus 3.0%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16,187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330,605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65,770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2,621,534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2,552,570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(1,050)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2,620,484</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$ 2,551,520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6 </w:t>
      </w:r>
      <w:r>
        <w:rPr>
          <w:rFonts w:ascii="Arial" w:cs="Arial" w:eastAsia="Arial" w:hAnsi="Arial"/>
          <w:sz w:val="11"/>
          <w:szCs w:val="11"/>
          <w:i w:val="1"/>
          <w:iCs w:val="1"/>
          <w:color w:val="auto"/>
        </w:rPr>
        <w:t>5</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On December 14, 2004, the Issuers issued $1.3 billion aggregate principal amount of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due December 1, 2014. On November 6, 2007, the Issuers issued, in a private offering, $400 million aggregate principal amount of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 at a price of 97.25% of the principal amount. These notes were issued under the same indenture as the original $1.3 billion first mortgage notes. Both offerings are referred to herein as the “2014 Notes”. The Company paid interest on the 2014 Notes on June 1st and December 1st of each year. In August 2010, the 2014 Notes were redeemed as described below.</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 xml:space="preserve">In October 2009,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November 1, 2017 (the “2017 Notes”) at a price of 97.823% of the principal amount. Net proceeds to the Company were approximately $480 million, after deducting the original issue discount and underwriting fees and other expenses. The Company pays interest on the 2017 Notes on May 1st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November 1st of each year. Commencing November 1, 2013, the 2017 Notes are redeemable at the Company’s option at a price equal to 103.938% of the principal amount redeemed and decline ratably on November 1st of each year thereafter to zero on or after November 1, 2015.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99"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On March 26, 2010, the Issuers commenced an offer to exchange all outstanding 2014 Notes for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(the “2020 Notes”), upon the terms and subject to the conditions set forth in an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The exchange offer closed on April 28, 2010 with $382 million of the 2014 Notes being validly tendered for exchange to the 2020 Notes.</w:t>
      </w:r>
    </w:p>
    <w:p>
      <w:pPr>
        <w:spacing w:after="0" w:line="13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noteholders who validly tendered 2014 Notes prior to the early delivery time received an early delivery payment on April 28, 2010 of 1% of the amount tendered in cash, which totaled $3.8 million. In accordance with accounting standards, this has been included as deferred financing costs and will be amortized over the life of the 2020 Notes. The direct costs of the exchange offer incurred with third parties of $4.6 million were expensed and are included in loss on extinguishment of debt / exchange offer in the accompanying Consolidated Statements of Operations.</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pays interest on the 2020 Notes on May 1st and November 1st of each year. Commencing May 1, 2015, the 2020 Notes are redeemable at the Company’s option at a price equal to 103.938% of the principal amount redeemed and decline ratably on May 1st of each year thereafter to zero on or after May 1, 2018. The 2020 Notes rank pari passu in right of payment with borrowings under Wynn Las Vegas, LLC’s credit facilities and 2017 Notes. The 2020 Notes are senior secured obligations of the Issuers, guaranteed by certain of Wynn Las Vegas, LLC’s subsidiaries and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and the 2017 Notes.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3"/>
          <w:szCs w:val="13"/>
          <w:i w:val="1"/>
          <w:iCs w:val="1"/>
          <w:color w:val="auto"/>
        </w:rPr>
        <w:t>4</w:t>
      </w:r>
      <w:r>
        <w:rPr>
          <w:rFonts w:ascii="Arial" w:cs="Arial" w:eastAsia="Arial" w:hAnsi="Arial"/>
          <w:sz w:val="18"/>
          <w:szCs w:val="18"/>
          <w:i w:val="1"/>
          <w:iCs w:val="1"/>
          <w:color w:val="auto"/>
        </w:rPr>
        <w:t>% Wynn Las Vegas First Mortgage Notes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On August 4, 2010, the Issuers issued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August 15, 2020 (the “New 2020 Notes”). The New 2020 Notes were issued at par. The New 2020 Notes were offered only to qualified institutional buyers and outside the United States in accordance with Rule 144A and Regulation S, respectively, under the Securities Act of 1933. Wynn Las Vegas, LLC used the net proceeds of the offering along with the proceeds of a $50 million capital contribution from Wynn Resorts, Limited to purchase, and, as applicable, make consent payments for, any and all of the Issuers’ 2014 Notes that were validly tendered and accepted for payment pursuant to Wynn Las Vegas, LLC’s concurrent offer to purchase and consent solicitation with respect to the 2014 Notes, and to redeem all of the 2014 Notes not tendered. On or prior to August 3, 2010, valid tenders had been received with respect to approximately $987 million of the $1.3 billion aggregate principal amount of 2014 Notes outstanding. On August 4, 2010, tendering holders received the tender offer consideration in the amount of $1,004.38, plus a consent payment of $30 for each $1,000 principal amount of 2014 Notes, which totaled $33.9 million. The consent solicitation expired on August 3, 2010 and the tender offer expired on August 18, 2010. In accordance with accounting standards the consideration and consent fees were expensed and are included in loss on extinguishment of debt / exchange offer in the accompanying Consolidated Statements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August 4, 2010, the Trustee, at the request of the Issuers, gave notice of redemption of any and all of the remaining 2014 Notes. The redemption price was equal to 103.313% of the aggregate principal amount of the 2014 Notes redeemed plus accrued and unpaid interest thereon to September 3, 2010. The total redemption fees paid were $10.9 million. In accordance with accounting standards, the redemption fees were expensed and are included in loss on extinguishment of debt / exchange offer in the accompanying Consolidated Statement of Operations.</w:t>
      </w:r>
    </w:p>
    <w:p>
      <w:pPr>
        <w:spacing w:after="0" w:line="99"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Also in connection with this transaction, unamortized debt issue costs and original issue discount related to the 2014 Notes totaling $19.2 million were expensed and are included in loss on extinguishment of debt / exchange offer in the accompanying Consolidated Statements of Operations.</w:t>
      </w:r>
    </w:p>
    <w:p>
      <w:pPr>
        <w:spacing w:after="0" w:line="7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pays interest on the New 2020 Notes on February 15th and August 15th of each year. Commencing August 15, 2015, the New 2020 Notes are redeemable at the Company’s option at a price equal to 103.875% of the principal amount redeemed and decline ratably on August 15th of each year thereafter to zero on or after August 15, 2018. The New 2020 Notes rank pari passu in right of payment with borrowings under Wynn Las Vegas, LLC’s credit facilities, the 2017 Notes and the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LLC, all of which is the same collateral that secures borrowings under Wynn Las Vegas, LLC’s credit facilities, the 2017 Notes and the 2020 Notes.</w:t>
      </w:r>
    </w:p>
    <w:p>
      <w:pPr>
        <w:spacing w:after="0" w:line="10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the year ended December 31, 2009, Wynn Resorts purchased $65.8 million face amount of the 2014 Notes through open market purchases at a discount. As part of the March 2010 exchange offer discussed above, Wynn Resorts exchanged $30 million of its 2014 Notes for the 2020 Notes. The remaining $35.8 million were redeemed as part of the tender offer and redemption of all of the 2014 Notes in August 2010 as described above. As of December 31, 2010, Wynn Resorts holds $30 million of the 2020 Notes which have not been contributed to its wholly-owned subsidiary, Wynn Las Vegas. For accounting purposes the notes were treated as an extinguishment of debt by Wynn Resorts in 2009.</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Concurrently with the issuance of the New 2020 Notes, the Company entered into a seventh amendment, dated August 4, 2010, to the Wynn Las Vegas Amended and Restated Credit Agreement (the “Credit Agreement”). After giving effect to this amendment, the maturity date with respect to a portion of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 to 1:00 to 1 through June 2013.</w:t>
      </w:r>
    </w:p>
    <w:p>
      <w:pPr>
        <w:spacing w:after="0" w:line="13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December 31, 2010, the Credit Agreement consisted of a $108.5 million revolving credit facility due July 2013, a $258.4 million revolving credit facility due July 2015 (together the “Wynn Las Vegas Revolver”), a fully drawn $44.3 million term loan facility due August 2013 and a fully drawn $330.6 million term loan facility due August 2015 (together the “Wynn Las Vegas Term Loan”). The Wynn Las Vegas Revolver and the Wynn Las Vegas Term Loan are together referred to as the “Wynn Las Vegas Credit Facilities.” As of December 31,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80"/>
        <w:spacing w:after="0" w:line="332" w:lineRule="auto"/>
        <w:rPr>
          <w:sz w:val="20"/>
          <w:szCs w:val="20"/>
          <w:color w:val="auto"/>
        </w:rPr>
      </w:pPr>
      <w:r>
        <w:rPr>
          <w:rFonts w:ascii="Arial" w:cs="Arial" w:eastAsia="Arial" w:hAnsi="Arial"/>
          <w:sz w:val="16"/>
          <w:szCs w:val="16"/>
          <w:color w:val="auto"/>
        </w:rPr>
        <w:t>2010, $20.1 million had been borrowed under the Wynn Las Vegas Revolver. The Company also had $19.7 million of outstanding letters of credit that reduce its availability under the Wynn Las Vegas Revolver. The Company has availability of $327.2 million under the Wynn Las Vegas Revolver as of December 31, 2010.</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purposes of calculating interest, loans under the Wynn Las Vegas Credit Facilities will be designated, at the election of Wynn Las Vegas, LLC, as Eurodollar Loans or, in certain circumstances, Base Rate Loans. As of December 31, 2010, Eurodollar Loans under the Wynn Las Vegas Revolver and Wynn Las Vegas Term Loan due August 17, 2015 bear interest initially at the Eurodollar rate plus 3.0%. Eurodollar loans under the Wynn Las Vegas Term Loan due August 15, 2013 bear interest initially at the Eurodollar rate plus 1.875%. Interest on Eurodollar Loans is payable at the end of the applicable interest period in the case of interest periods of one, two or three months, and every three months in the case of interest periods of six months.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unborrowed amounts under the Wynn Las Vegas Revolver</w:t>
      </w:r>
    </w:p>
    <w:p>
      <w:pPr>
        <w:spacing w:after="0" w:line="10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and (3) a first priority security interest in substantially all other existing and future assets of Wynn Las Vegas, LLC and the guarantors, excluding an aircraft beneficially owned by World Travel, LLC.</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Wynn Las Vegas Credit Facilities rank equal in right of payment with their existing and future senior indebtedness, including indebtedness with respect to the 2017 Notes, the 2020 Notes and the New 2020 Notes and ranks senior in right of payment to all of their existing and future subordinated indebtedness.</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Wynn Las Vegas, LLC does not expect to make any mandatory repayments pursuant to this requirement during 2011. Wynn Las Vegas, LLC has the option to prepay all or any portion of the indebtedness under the Wynn Las Vegas Credit Facilities at any time without premium or penalty.</w:t>
      </w:r>
    </w:p>
    <w:p>
      <w:pPr>
        <w:spacing w:after="0" w:line="10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maintaining a Consolidated Interest Coverage Ratio, as defined, not less than 1.00 to 1 as of December 31, 2010. Management believes that the Company was in compliance with all covenants at December 31, 2010. The Consolidated Interest Coverage Ratio remains at 1.00 to 1 through June 2013.</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$42 Million Note Payable for Aircraft</w:t>
      </w:r>
    </w:p>
    <w:p>
      <w:pPr>
        <w:spacing w:after="0" w:line="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net book value of the 2014 Notes, the 2017 Notes, the 2020 Notes and the New 2020 Notes at December 31, 2010 and 2009, was $2.2 billion and $2.2 billion, respectively. The estimated fair value of the 2014 Notes, the 2017 Notes, the 2020 Notes and the New 2020 Notes based upon most recent trades at December 31, 2010 and 2009, was approximately $2.4 billion and $2.1 billion, respectively. The net book value of the Company’s other debt instruments was $432 million and the fair value of such debt was approximately $426.5 million as of December 31, 2010.</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$12.2 million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3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2012</w:t>
            </w:r>
          </w:p>
        </w:tc>
        <w:tc>
          <w:tcPr>
            <w:tcW w:w="3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3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2014</w:t>
            </w:r>
          </w:p>
        </w:tc>
        <w:tc>
          <w:tcPr>
            <w:tcW w:w="3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34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7"/>
              </w:rPr>
              <w:t>2,232,110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2,633,701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Operations, as the interest rate swaps do not qualify for hedge accounting.</w:t>
      </w:r>
    </w:p>
    <w:p>
      <w:pPr>
        <w:spacing w:after="0" w:line="129"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its swap contract as Level 2.</w:t>
      </w:r>
    </w:p>
    <w:p>
      <w:pPr>
        <w:spacing w:after="0" w:line="12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Agreement. Under this swap agreement, beginning November 27, 2009, the Company pays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December 31, 2010 and 2009, the fair value of this interest rate swap was a liability of $8.5 million and $4.2 million, respectively, which is included in long term liabilities in the accompanying Consolidated Balance Sheets.</w:t>
      </w:r>
    </w:p>
    <w:p>
      <w:pPr>
        <w:spacing w:after="0" w:line="101" w:lineRule="exact"/>
        <w:rPr>
          <w:sz w:val="20"/>
          <w:szCs w:val="20"/>
          <w:color w:val="auto"/>
        </w:rPr>
      </w:pPr>
    </w:p>
    <w:p>
      <w:pPr>
        <w:ind w:left="240" w:right="8820" w:hanging="232"/>
        <w:spacing w:after="0" w:line="398" w:lineRule="auto"/>
        <w:tabs>
          <w:tab w:leader="none" w:pos="187"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December 31, 2010, the Company’s current Due to Affiliates, net was comprised of construction payables of $10.3 million, construction retention of $3.3 million and other net amounts due to affiliates totaling $14.7 million (including corporate allocations discussed below). The long-term Due to Affiliates is management fees of $101.8 million (equal to 1.5% of net revenues and payable upon meeting certain leverage ratios as specified in the documents governing the Company’s Credit Agreement and the First Mortgage Notes indentures).</w:t>
      </w:r>
    </w:p>
    <w:p>
      <w:pPr>
        <w:spacing w:after="0" w:line="13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net was comprised of construction payables of approximately $21.4 million, construction retention of approximately $1.8 million and other net amounts due to affiliates totaling $1.7 million (including corporate allocations discussed below). The long-term Due to Affiliates is management fees of $82.3 million (equal to 1.5% of revenues and payable upon meeting certain leverage ratios as specified in the documents governing the Company’s Credit Agreement and the First Mortgage Notes indentures).</w:t>
      </w:r>
    </w:p>
    <w:p>
      <w:pPr>
        <w:spacing w:after="0" w:line="99"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Company’s Credit Agreement and the First Mortgage Notes indentures.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with the fourth quarter of 2008 and ending with the third quarter of 2009, the Company was unable to and did not intend to settle this corporate allocation and accordingly, such allocations were recorded as a contribution to equity from Wynn Resorts. During the years ended December 31, 2010, 2009 and 2008, $25.9 million, $25 million, and $22 million, respectively, was charged to the Company for such corporate allocations.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terminated December 31, 2010. The lease is currently on a month-to-month basis.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a prior agreement.</w:t>
      </w:r>
    </w:p>
    <w:p>
      <w:pPr>
        <w:spacing w:after="0" w:line="8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The rental value for the villa suite will be re-determined every two years during the term of the lease by the Audit Committee, with the assistance of an independent third-party appraisal. Certain services for, and maintenance of, the villa suite are included in the rental.</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Property charges and other for the years ended December 31, 2010, 2009 and 2008, were $19 million, $24.5 million and $22.4 million, respectively. In response to the Company’s evaluation of its resorts and the reactions of its guests, the Company makes enhancements and refinements to the resorts. Costs relating to assets retired as a result of these enhancement and remodel efforts have been expensed as property charges.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Property charges and other for the year ended December 31, 2010 include a contract termination payment of $14.9 million related to a management contract for certain of the nightclubs at Wynn Las Vegas as well as miscellaneous renovations, abandonments and gain/loss on sale of equipment .</w:t>
      </w:r>
    </w:p>
    <w:p>
      <w:pPr>
        <w:spacing w:after="0" w:line="4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$16.7 million charge for the abandonment of the front porte-cochere at Encore to make way for the Encore Beach Club, a $5.3 million charge for the write-off of two aircraft deposits, and $2.5 million related to miscellaneous remodels, abandonments and loss on sale of equipment.</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Property charges and other for the year ended December 31, 2008 include $17.8 million of costs associated with Spamalot at Wynn Las Vegas which closed in mid-July 2008. Together with the producers, the Company elected to end the show’s run at Wynn Las Vegas pursuant to the contract. The charge includes production rights that were included in intangible assets, show production costs that were included in other assets and certain other property and equipment. The remaining property charges were related to miscellaneous renovations and abandonments at Wynn Las Vegas.</w:t>
      </w:r>
    </w:p>
    <w:p>
      <w:pPr>
        <w:spacing w:after="0" w:line="93" w:lineRule="exact"/>
        <w:rPr>
          <w:sz w:val="20"/>
          <w:szCs w:val="20"/>
          <w:color w:val="auto"/>
        </w:rPr>
      </w:pPr>
    </w:p>
    <w:p>
      <w:pPr>
        <w:ind w:left="240" w:right="9520" w:hanging="232"/>
        <w:spacing w:after="0" w:line="398" w:lineRule="auto"/>
        <w:tabs>
          <w:tab w:leader="none" w:pos="266"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Wynn Resorts established a retirement savings plan under Section 401(k) of the Internal Revenue Code covering its non-union employees in July 2000. The plan allows employees to defer, within prescribed limits, a percentage of their income on a pre-tax basis through contributions to this plan. The Company matched the contributions, within prescribed limits, with an amount equal to 100% of the participant’s initial 2% tax deferred contribution and 50% of the tax deferred contribution between 2% and 4% of the participant’s compensation. Effective March 16, 2009, the Company suspended matching contributions to this plan. The Company recorded expense for matching contributions of $0, $1.2 million and $4.8 million for the years ended December 31, 2010, 2009 and 2008, respectively.</w:t>
      </w:r>
    </w:p>
    <w:p>
      <w:pPr>
        <w:spacing w:after="0" w:line="8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 of $6.8 million, $6.2 million and $4.6 million under such plans for the years ended December 31, 2010, 2009 and 2008, respectively. Information from the plans’ sponsors is not available to permit the Company to determine its share of unfunded vested benefits, if any.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93"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A maximum of 12,750,000 shares of Wynn Resorts’ common stock has been reserved for issuance under the Stock Plan. As of December 31, 2010, 4,107,378 shares remain available for the grant of stock options or nonvested shares of Wynn Resorts’ common stock.</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Options are granted at the current market price at the date of grant. The Stock Plan provides for a variety of vesting schedules determined at the time of grant. All options expire ten years from the date of grant.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summary of option activity under the Stock Plan that relates to employees of the Company as of December 31, 2010, and changes during the year then ended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5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5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52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2,174,592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$ 60.14</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260" w:type="dxa"/>
            <w:vAlign w:val="bottom"/>
          </w:tcPr>
          <w:p>
            <w:pPr>
              <w:spacing w:after="0"/>
              <w:rPr>
                <w:sz w:val="18"/>
                <w:szCs w:val="18"/>
                <w:color w:val="auto"/>
              </w:rPr>
            </w:pPr>
          </w:p>
        </w:tc>
        <w:tc>
          <w:tcPr>
            <w:tcW w:w="78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$ 70.68</w:t>
            </w: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(811,709)</w:t>
            </w:r>
          </w:p>
        </w:tc>
        <w:tc>
          <w:tcPr>
            <w:tcW w:w="7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$ 53.35</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(470,833)</w:t>
            </w:r>
          </w:p>
        </w:tc>
        <w:tc>
          <w:tcPr>
            <w:tcW w:w="78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$ 73.67</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1,092,050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$ 61.28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7"/>
              </w:rPr>
              <w:t>$46,838,241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2010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1,005,535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$ 60.06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7"/>
              </w:rPr>
              <w:t>$43,666,843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208,716</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$ 54.10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color w:val="auto"/>
                <w:w w:val="87"/>
              </w:rPr>
              <w:t>$10,381,088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-629285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-629285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-629285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-329565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-329565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-329565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weighted average fair value of options granted during the years ended December 31, 2010, 2009 and 2008 was $39.16, $29.04 and $60.09, respectively. The total intrinsic value of the options exercised for the years ended December 31, 2010, 2009 and 2008 was $39 million, $6 million and $1.3 million, respectively. As of December 31, 2010, there was a total of $21.6 million of unamortized compensation related to stock options, which is expected to be recognized as compensation over the vesting period of the related grants through May 2019.</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Nonvested Shares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summary of nonvested share activity under the Stock Plan that relates to employees of the Company as of December 31, 2010, and changes during the year then ended is presented below:</w:t>
      </w:r>
    </w:p>
    <w:p>
      <w:pPr>
        <w:spacing w:after="0" w:line="1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5"/>
          </w:tcPr>
          <w:p>
            <w:pPr>
              <w:ind w:left="24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180" w:type="dxa"/>
            <w:vAlign w:val="bottom"/>
          </w:tcPr>
          <w:p>
            <w:pPr>
              <w:spacing w:after="0"/>
              <w:rPr>
                <w:sz w:val="15"/>
                <w:szCs w:val="15"/>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7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227,250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35,000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106.07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8"/>
              </w:rPr>
              <w:t>(26,000)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tcPr>
          <w:p>
            <w:pPr>
              <w:ind w:left="420"/>
              <w:spacing w:after="0"/>
              <w:rPr>
                <w:sz w:val="20"/>
                <w:szCs w:val="20"/>
                <w:color w:val="auto"/>
              </w:rPr>
            </w:pPr>
            <w:r>
              <w:rPr>
                <w:rFonts w:ascii="Arial" w:cs="Arial" w:eastAsia="Arial" w:hAnsi="Arial"/>
                <w:sz w:val="18"/>
                <w:szCs w:val="18"/>
                <w:color w:val="auto"/>
              </w:rPr>
              <w:t>Canceled</w:t>
            </w:r>
          </w:p>
        </w:tc>
        <w:tc>
          <w:tcPr>
            <w:tcW w:w="940" w:type="dxa"/>
            <w:vAlign w:val="bottom"/>
            <w:gridSpan w:val="3"/>
          </w:tcPr>
          <w:p>
            <w:pPr>
              <w:jc w:val="right"/>
              <w:ind w:right="260"/>
              <w:spacing w:after="0"/>
              <w:rPr>
                <w:sz w:val="20"/>
                <w:szCs w:val="20"/>
                <w:color w:val="auto"/>
              </w:rPr>
            </w:pPr>
            <w:r>
              <w:rPr>
                <w:rFonts w:ascii="Arial" w:cs="Arial" w:eastAsia="Arial" w:hAnsi="Arial"/>
                <w:sz w:val="18"/>
                <w:szCs w:val="18"/>
                <w:color w:val="auto"/>
                <w:w w:val="98"/>
              </w:rPr>
              <w:t>(52,000)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106.96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184,250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The weighted average grant date fair value of nonvested shares granted during the years ended December 31, 2010 and 2008 was $106.07 and $104.27, respectively. No shares were granted during 2009. The total fair value of shares vested during the year ended December 31, 2010 and 2008 was $2.8 million and $0.8 million, respectively. No shares vested during the year ended December 31, 2009. Approximately $7.3 million of unamortized compensation cost relating to nonvested shares at December 31, 2010, will be recognized as compensation over the vesting period of the related grants through December 2016.</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Cost</w:t>
      </w:r>
    </w:p>
    <w:p>
      <w:pPr>
        <w:spacing w:after="0" w:line="7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Wynn Resorts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Wynn Resort’s common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Expected term represents the weighted average time between the option’s grant date and its exercise date. Wynn Resorts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per option was estimated on the date of grant using the weighted-average assumptions noted in the table below.</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7"/>
              </w:rPr>
              <w:t>Years Ended December 31,</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1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0.30%</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1880" w:type="dxa"/>
            <w:vAlign w:val="bottom"/>
            <w:gridSpan w:val="3"/>
          </w:tcPr>
          <w:p>
            <w:pPr>
              <w:jc w:val="right"/>
              <w:ind w:right="680"/>
              <w:spacing w:after="0"/>
              <w:rPr>
                <w:sz w:val="20"/>
                <w:szCs w:val="20"/>
                <w:color w:val="auto"/>
              </w:rPr>
            </w:pPr>
            <w:r>
              <w:rPr>
                <w:rFonts w:ascii="Arial" w:cs="Arial" w:eastAsia="Arial" w:hAnsi="Arial"/>
                <w:sz w:val="18"/>
                <w:szCs w:val="18"/>
                <w:color w:val="auto"/>
              </w:rPr>
              <w:t>56.2%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1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2.8%</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40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2010, 2009 and 2008 is allocated as follows (amounts in thousands):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6"/>
          </w:tcPr>
          <w:p>
            <w:pPr>
              <w:ind w:left="46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102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$3,313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Rooms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4,509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Preopening costs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11,278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0"/>
              </w:rPr>
              <w:t>$9,502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left="240" w:right="8400" w:hanging="232"/>
        <w:spacing w:after="0" w:line="398" w:lineRule="auto"/>
        <w:tabs>
          <w:tab w:leader="none" w:pos="275" w:val="left"/>
        </w:tabs>
        <w:numPr>
          <w:ilvl w:val="0"/>
          <w:numId w:val="2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Leases and other arrangements</w:t>
      </w:r>
    </w:p>
    <w:p>
      <w:pPr>
        <w:spacing w:after="0" w:line="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6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6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2012</w:t>
            </w:r>
          </w:p>
        </w:tc>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2014</w:t>
            </w:r>
          </w:p>
        </w:tc>
        <w:tc>
          <w:tcPr>
            <w:tcW w:w="6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Thereafter</w:t>
            </w:r>
          </w:p>
        </w:tc>
        <w:tc>
          <w:tcPr>
            <w:tcW w:w="6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2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6280" w:type="dxa"/>
            <w:vAlign w:val="bottom"/>
            <w:vMerge w:val="restart"/>
          </w:tcPr>
          <w:p>
            <w:pPr>
              <w:jc w:val="right"/>
              <w:ind w:right="3732"/>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addition, the Company is the lessee under leases for certain land, buildings and office equipment. At December 31, 2010, the Company was obligated under non-cancellable operating leases, to make future minimum lease payments as follows (amounts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35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52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2012</w:t>
            </w:r>
          </w:p>
        </w:tc>
        <w:tc>
          <w:tcPr>
            <w:tcW w:w="3520" w:type="dxa"/>
            <w:vAlign w:val="bottom"/>
          </w:tcPr>
          <w:p>
            <w:pPr>
              <w:spacing w:after="0"/>
              <w:rPr>
                <w:sz w:val="18"/>
                <w:szCs w:val="18"/>
                <w:color w:val="auto"/>
              </w:rPr>
            </w:pPr>
          </w:p>
        </w:tc>
        <w:tc>
          <w:tcPr>
            <w:tcW w:w="4020" w:type="dxa"/>
            <w:vAlign w:val="bottom"/>
            <w:gridSpan w:val="3"/>
          </w:tcPr>
          <w:p>
            <w:pPr>
              <w:jc w:val="right"/>
              <w:ind w:right="60"/>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52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2014</w:t>
            </w:r>
          </w:p>
        </w:tc>
        <w:tc>
          <w:tcPr>
            <w:tcW w:w="3520" w:type="dxa"/>
            <w:vAlign w:val="bottom"/>
          </w:tcPr>
          <w:p>
            <w:pPr>
              <w:spacing w:after="0"/>
              <w:rPr>
                <w:sz w:val="18"/>
                <w:szCs w:val="18"/>
                <w:color w:val="auto"/>
              </w:rPr>
            </w:pPr>
          </w:p>
        </w:tc>
        <w:tc>
          <w:tcPr>
            <w:tcW w:w="4020" w:type="dxa"/>
            <w:vAlign w:val="bottom"/>
            <w:gridSpan w:val="3"/>
          </w:tcPr>
          <w:p>
            <w:pPr>
              <w:jc w:val="right"/>
              <w:ind w:right="60"/>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52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020" w:type="dxa"/>
            <w:vAlign w:val="bottom"/>
            <w:gridSpan w:val="3"/>
          </w:tcPr>
          <w:p>
            <w:pPr>
              <w:jc w:val="right"/>
              <w:ind w:right="60"/>
              <w:spacing w:after="0"/>
              <w:rPr>
                <w:sz w:val="20"/>
                <w:szCs w:val="20"/>
                <w:color w:val="auto"/>
              </w:rPr>
            </w:pPr>
            <w:r>
              <w:rPr>
                <w:rFonts w:ascii="Arial" w:cs="Arial" w:eastAsia="Arial" w:hAnsi="Arial"/>
                <w:sz w:val="18"/>
                <w:szCs w:val="18"/>
                <w:color w:val="auto"/>
              </w:rPr>
              <w:t>2,802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right="1640" w:firstLine="228"/>
        <w:spacing w:after="0" w:line="375" w:lineRule="auto"/>
        <w:rPr>
          <w:sz w:val="20"/>
          <w:szCs w:val="20"/>
          <w:color w:val="auto"/>
        </w:rPr>
      </w:pPr>
      <w:r>
        <w:rPr>
          <w:rFonts w:ascii="Arial" w:cs="Arial" w:eastAsia="Arial" w:hAnsi="Arial"/>
          <w:sz w:val="18"/>
          <w:szCs w:val="18"/>
          <w:color w:val="auto"/>
        </w:rPr>
        <w:t xml:space="preserve">Rent expense for the years ended December 31, 2010, 2009 and 2008 was $18.3 million, $8.0 million and $6.9 million, respectively. </w:t>
      </w:r>
      <w:r>
        <w:rPr>
          <w:rFonts w:ascii="Arial" w:cs="Arial" w:eastAsia="Arial" w:hAnsi="Arial"/>
          <w:sz w:val="18"/>
          <w:szCs w:val="18"/>
          <w:i w:val="1"/>
          <w:iCs w:val="1"/>
          <w:color w:val="auto"/>
        </w:rPr>
        <w:t>Self-insurance</w:t>
      </w:r>
    </w:p>
    <w:p>
      <w:pPr>
        <w:spacing w:after="0" w:line="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$300,000 per year for each insured person. Amounts in excess of these thresholds are covered by the Company’s insurance programs, subject to customary policy limits.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2010.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Due to the uncertainty surrounding this matter, a receivable has not been recorded as of December 31,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Member’s Equity</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During the years ended December 31, 2010 and 2009, Wynn Resorts made cash capital contributions to the Company totaling $50 million and $413 million, respectively. The proceeds from these contributions were used to fund construction costs of Encore paid during the period and to fund paydowns of the Company’s debt.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Information of Guarantors and Issuers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condensed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2010 and 2009, and for each of the three years in the period ended December 31, 2010.</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52,535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124,814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20,778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262,647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3,537,264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193,947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3,731,211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47,437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(19,685)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38,219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1,086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17,361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(160,735)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194,277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88,083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196,444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2,584,784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35,700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2,620,484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2,783,121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3,010,014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1,973,424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1,973,424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(874,922)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(40,101)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32,215</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(874,922)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1,098,502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(27,571)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1,098,502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3,881,623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204,573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4,108,516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40"/>
              <w:spacing w:after="0"/>
              <w:rPr>
                <w:sz w:val="20"/>
                <w:szCs w:val="20"/>
                <w:color w:val="auto"/>
              </w:rPr>
            </w:pPr>
            <w:r>
              <w:rPr>
                <w:rFonts w:ascii="Arial" w:cs="Arial" w:eastAsia="Arial" w:hAnsi="Arial"/>
                <w:sz w:val="14"/>
                <w:szCs w:val="14"/>
                <w:b w:val="1"/>
                <w:bCs w:val="1"/>
                <w:color w:val="auto"/>
              </w:rPr>
              <w:t>Guarantor</w:t>
            </w: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Issuers</w:t>
            </w:r>
          </w:p>
        </w:tc>
        <w:tc>
          <w:tcPr>
            <w:tcW w:w="130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65,998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24,864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282,583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3,653,786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197,882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3,851,668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(16,450)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28,226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36,342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16,153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101,340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(163,895)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193,256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42,872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195,697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2,514,420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37,100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2,551,520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2,643,855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232,797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(7,881)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2,868,771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1,912,146</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1,912,146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(526,593)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1,385,553</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1,385,553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4,029,408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208,461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4,254,324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-4099560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-4099560</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-4099560</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-4099560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-4099560</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-4099560</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-4099560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-4099560</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-4099560</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-4099560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-4099560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-4099560</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-4099560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-4099560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-4099560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3235960</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-325755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-325755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2159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-325755</wp:posOffset>
            </wp:positionV>
            <wp:extent cx="3873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-325755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2159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-325755</wp:posOffset>
            </wp:positionV>
            <wp:extent cx="3873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534,286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308,368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417,240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214,312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1,474,206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1,473,939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(177,383)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(177,383)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1,296,823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1,296,556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288,263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119,381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256,234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239,105</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24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237,678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270,280</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1,375,231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(309)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1,377,870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(78,408)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(192,806)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(193,444)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(70,055)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(3,235)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w w:val="93"/>
              </w:rPr>
              <w:t>309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(269,921)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(267,015)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(348,329)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(348,329)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7"/>
              </w:rPr>
              <w:t>Issuers</w:t>
            </w:r>
          </w:p>
        </w:tc>
        <w:tc>
          <w:tcPr>
            <w:tcW w:w="1280" w:type="dxa"/>
            <w:vAlign w:val="bottom"/>
            <w:gridSpan w:val="5"/>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321,075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385,774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202,972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1,415,600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1,416,102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w w:val="95"/>
              </w:rPr>
              <w:t>(185,982)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(185,982)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1,229,618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1,230,120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109,171</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239,767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133,824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248,566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246,776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309,012</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1,366,105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427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1,374,399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(136,487)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(7,792)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(144,279)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(156,262)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(4,224)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(3,779)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9"/>
                <w:szCs w:val="19"/>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(9,164)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52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(173,383)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(165,591)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5"/>
              </w:rPr>
              <w:t>(309,870)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(9,164)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(309,870)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-325755</wp:posOffset>
            </wp:positionV>
            <wp:extent cx="3873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2159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-325755</wp:posOffset>
            </wp:positionV>
            <wp:extent cx="3873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-325755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-325755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-325755</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-325755</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5"/>
          </w:tcPr>
          <w:p>
            <w:pPr>
              <w:ind w:left="60"/>
              <w:spacing w:after="0"/>
              <w:rPr>
                <w:sz w:val="20"/>
                <w:szCs w:val="20"/>
                <w:color w:val="auto"/>
              </w:rPr>
            </w:pPr>
            <w:r>
              <w:rPr>
                <w:rFonts w:ascii="Arial" w:cs="Arial" w:eastAsia="Arial" w:hAnsi="Arial"/>
                <w:sz w:val="14"/>
                <w:szCs w:val="14"/>
                <w:b w:val="1"/>
                <w:bCs w:val="1"/>
                <w:color w:val="auto"/>
              </w:rPr>
              <w:t>Guarantor</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7"/>
              </w:rPr>
              <w:t>Issuers</w:t>
            </w: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479,711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268,515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305,702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305,702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202,388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1,256,316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1,256,050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Less: promotional allowances</w:t>
            </w:r>
          </w:p>
        </w:tc>
        <w:tc>
          <w:tcPr>
            <w:tcW w:w="100" w:type="dxa"/>
            <w:vAlign w:val="bottom"/>
          </w:tcPr>
          <w:p>
            <w:pPr>
              <w:spacing w:after="0"/>
              <w:rPr>
                <w:sz w:val="19"/>
                <w:szCs w:val="19"/>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(156,159)</w:t>
            </w:r>
          </w:p>
        </w:tc>
        <w:tc>
          <w:tcPr>
            <w:tcW w:w="180" w:type="dxa"/>
            <w:vAlign w:val="bottom"/>
          </w:tcPr>
          <w:p>
            <w:pPr>
              <w:spacing w:after="0"/>
              <w:rPr>
                <w:sz w:val="19"/>
                <w:szCs w:val="19"/>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(156,159)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1,100,157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1,099,891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257,983</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257,983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73,782</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188,521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132,870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201,017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color w:val="auto"/>
              </w:rPr>
              <w:t>(1,216)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199,540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165,121</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490</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1,154,975</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79"/>
              </w:rPr>
              <w:t>5</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1,158,507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(54,818)</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(3,793)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(58,616)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4,205</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(73,652)</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1200" w:type="dxa"/>
            <w:vAlign w:val="bottom"/>
            <w:gridSpan w:val="4"/>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(5,113)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266</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(74,976)</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622</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(129,794)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617</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(129,794)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gridSpan w:val="2"/>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3098800</wp:posOffset>
            </wp:positionH>
            <wp:positionV relativeFrom="paragraph">
              <wp:posOffset>-325755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-325755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-325755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-325755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-325755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-325755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-325755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-325755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4"/>
              </w:rPr>
              <w:t>Guarantor</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(348,329)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5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270,280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274,305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64,673</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 off of deferred financing costs and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(29,683)</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36,645</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retention</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(156,987)</w:t>
            </w:r>
          </w:p>
        </w:tc>
        <w:tc>
          <w:tcPr>
            <w:tcW w:w="18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(157,080)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(4,796)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(163,888)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(158,061)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(1,931,838)</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(1,933,238)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1,995,686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1,995,686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(72,846)</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(72,846)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41,002</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(13,463)</w:t>
            </w:r>
          </w:p>
        </w:tc>
        <w:tc>
          <w:tcPr>
            <w:tcW w:w="1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52,535</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3235960</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-29210</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-29210</wp:posOffset>
            </wp:positionV>
            <wp:extent cx="2159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-29210</wp:posOffset>
            </wp:positionV>
            <wp:extent cx="3873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Non-guarantor</w:t>
            </w:r>
          </w:p>
        </w:tc>
        <w:tc>
          <w:tcPr>
            <w:tcW w:w="420" w:type="dxa"/>
            <w:vAlign w:val="bottom"/>
          </w:tcPr>
          <w:p>
            <w:pPr>
              <w:spacing w:after="0"/>
              <w:rPr>
                <w:sz w:val="14"/>
                <w:szCs w:val="14"/>
                <w:color w:val="auto"/>
              </w:rPr>
            </w:pPr>
          </w:p>
        </w:tc>
        <w:tc>
          <w:tcPr>
            <w:tcW w:w="118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9"/>
              </w:rPr>
              <w:t>Issuers</w:t>
            </w: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1"/>
              </w:rPr>
              <w:t>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(loss) income</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(309,870)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(9,164)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(309,870)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income to net cash provided by (used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309,012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4,747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313,759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 off of deferred financing costs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(9,164)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19,206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5,262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swap fair value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(25,021)</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(14,274)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48,765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(6,886)</w:t>
            </w:r>
          </w:p>
        </w:tc>
        <w:tc>
          <w:tcPr>
            <w:tcW w:w="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41,879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(5,340)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 retention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(244,904)</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(245,040)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(3,810)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rPr>
              <w:t>(7,607)</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85"/>
              </w:rPr>
              <w:t>(256,279)</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(249,188)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85"/>
              </w:rPr>
              <w:t>(928,509)</w:t>
            </w:r>
          </w:p>
        </w:tc>
        <w:tc>
          <w:tcPr>
            <w:tcW w:w="18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(929,909)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649,481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649,481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Capital contribution from the Parent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412,951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412,951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deferred financing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8"/>
              </w:rPr>
              <w:t>(20,698)</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(20,698)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(1,400)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111,825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8"/>
                <w:szCs w:val="18"/>
                <w:color w:val="auto"/>
                <w:w w:val="98"/>
              </w:rPr>
              <w:t>(57,317)</w:t>
            </w:r>
          </w:p>
        </w:tc>
        <w:tc>
          <w:tcPr>
            <w:tcW w:w="1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65,998</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80" w:type="dxa"/>
            <w:vAlign w:val="bottom"/>
            <w:gridSpan w:val="3"/>
          </w:tcPr>
          <w:p>
            <w:pPr>
              <w:ind w:left="24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-325755</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-325755</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-325755</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-325755</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-325755</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-325755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-325755</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5"/>
                <w:szCs w:val="15"/>
                <w:color w:val="auto"/>
              </w:rPr>
            </w:pPr>
          </w:p>
        </w:tc>
        <w:tc>
          <w:tcPr>
            <w:tcW w:w="11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(129,794)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(5,730)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w w:val="99"/>
              </w:rPr>
              <w:t>617</w:t>
            </w:r>
          </w:p>
        </w:tc>
        <w:tc>
          <w:tcPr>
            <w:tcW w:w="5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(129,794)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income to net cash provided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165,121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4,519</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Amortization and write off of deferred financing costs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 net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5,113</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(5,113)</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 swap fair value</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20,309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(38,691)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22,327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22,392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29,739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(7,284)</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141,923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612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 and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retentions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w w:val="86"/>
              </w:rPr>
              <w:t>(1,128,089)</w:t>
            </w:r>
          </w:p>
        </w:tc>
        <w:tc>
          <w:tcPr>
            <w:tcW w:w="160" w:type="dxa"/>
            <w:vAlign w:val="bottom"/>
          </w:tcPr>
          <w:p>
            <w:pPr>
              <w:spacing w:after="0"/>
              <w:rPr>
                <w:sz w:val="19"/>
                <w:szCs w:val="19"/>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(1,436)</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(1,129,525)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(26,161)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31,044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19,166</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(31,664)</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6"/>
              </w:rPr>
              <w:t>(1,040,669)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(1,032,451)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tcPr>
          <w:p>
            <w:pPr>
              <w:spacing w:after="0"/>
              <w:rPr>
                <w:sz w:val="18"/>
                <w:szCs w:val="18"/>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879,484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Payments of deferred financing costs</w:t>
            </w:r>
          </w:p>
        </w:tc>
        <w:tc>
          <w:tcPr>
            <w:tcW w:w="100" w:type="dxa"/>
            <w:vAlign w:val="bottom"/>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(3,979)</w:t>
            </w:r>
          </w:p>
        </w:tc>
        <w:tc>
          <w:tcPr>
            <w:tcW w:w="16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875,505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874,105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tcPr>
          <w:p>
            <w:pPr>
              <w:spacing w:after="0"/>
              <w:rPr>
                <w:sz w:val="18"/>
                <w:szCs w:val="18"/>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(23,241)</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146,556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-29210</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selected quarterly financial information for 2010 and 2009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4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Year Ended December 31, 2010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First</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22"/>
                <w:szCs w:val="22"/>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$318,607</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$318,321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$ 334,503</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$ 325,125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Operating loss</w:t>
            </w:r>
          </w:p>
        </w:tc>
        <w:tc>
          <w:tcPr>
            <w:tcW w:w="3760" w:type="dxa"/>
            <w:vAlign w:val="bottom"/>
            <w:gridSpan w:val="3"/>
          </w:tcPr>
          <w:p>
            <w:pPr>
              <w:jc w:val="right"/>
              <w:ind w:right="360"/>
              <w:spacing w:after="0"/>
              <w:rPr>
                <w:sz w:val="20"/>
                <w:szCs w:val="20"/>
                <w:color w:val="auto"/>
              </w:rPr>
            </w:pPr>
            <w:r>
              <w:rPr>
                <w:rFonts w:ascii="Arial" w:cs="Arial" w:eastAsia="Arial" w:hAnsi="Arial"/>
                <w:sz w:val="18"/>
                <w:szCs w:val="18"/>
                <w:color w:val="auto"/>
              </w:rPr>
              <w:t>(34,485)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(17,222)</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(16,195)</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(13,412)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(81,692)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(68,747)</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(134,981)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(62,909)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(348,329)</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Year Ended December 31, 2009</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100" w:type="dxa"/>
            <w:vAlign w:val="bottom"/>
            <w:tcBorders>
              <w:bottom w:val="single" w:sz="8" w:color="808080"/>
            </w:tcBorders>
            <w:gridSpan w:val="2"/>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gridSpan w:val="2"/>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First</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22"/>
                <w:szCs w:val="22"/>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00" w:type="dxa"/>
            <w:vAlign w:val="bottom"/>
          </w:tcPr>
          <w:p>
            <w:pPr>
              <w:spacing w:after="0"/>
              <w:rPr>
                <w:sz w:val="8"/>
                <w:szCs w:val="8"/>
                <w:color w:val="auto"/>
              </w:rPr>
            </w:pPr>
          </w:p>
        </w:tc>
        <w:tc>
          <w:tcPr>
            <w:tcW w:w="2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$291,522</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$312,959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$ 324,461</w:t>
            </w: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$ 301,178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$1,230,120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Operating loss</w:t>
            </w:r>
          </w:p>
        </w:tc>
        <w:tc>
          <w:tcPr>
            <w:tcW w:w="3760" w:type="dxa"/>
            <w:vAlign w:val="bottom"/>
            <w:gridSpan w:val="3"/>
          </w:tcPr>
          <w:p>
            <w:pPr>
              <w:jc w:val="right"/>
              <w:ind w:right="360"/>
              <w:spacing w:after="0"/>
              <w:rPr>
                <w:sz w:val="20"/>
                <w:szCs w:val="20"/>
                <w:color w:val="auto"/>
              </w:rPr>
            </w:pPr>
            <w:r>
              <w:rPr>
                <w:rFonts w:ascii="Arial" w:cs="Arial" w:eastAsia="Arial" w:hAnsi="Arial"/>
                <w:sz w:val="18"/>
                <w:szCs w:val="18"/>
                <w:color w:val="auto"/>
              </w:rPr>
              <w:t>(58,384)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(8,346)</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(20,886)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(56,663)</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(95,464)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(46,183)</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(104,472)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(309,870)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60" w:type="dxa"/>
            <w:vAlign w:val="bottom"/>
          </w:tcPr>
          <w:p>
            <w:pPr>
              <w:jc w:val="right"/>
              <w:ind w:right="92"/>
              <w:spacing w:after="0"/>
              <w:rPr>
                <w:sz w:val="20"/>
                <w:szCs w:val="20"/>
                <w:color w:val="auto"/>
              </w:rPr>
            </w:pPr>
            <w:r>
              <w:rPr>
                <w:rFonts w:ascii="Arial" w:cs="Arial" w:eastAsia="Arial" w:hAnsi="Arial"/>
                <w:sz w:val="18"/>
                <w:szCs w:val="18"/>
                <w:color w:val="auto"/>
              </w:rPr>
              <w:t>71</w:t>
            </w: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83" w:lineRule="exact"/>
        <w:rPr>
          <w:sz w:val="20"/>
          <w:szCs w:val="20"/>
          <w:color w:val="auto"/>
        </w:rPr>
      </w:pPr>
    </w:p>
    <w:p>
      <w:pPr>
        <w:ind w:firstLine="464"/>
        <w:spacing w:after="0" w:line="286"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2010,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13"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1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2010.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Based on our assessment, management believes that, as of December 31, 2010, the Company’s internal control over financial reporting was effective.</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The attestation report of the Company’s registered public accounting firm is not required in this annual report under the SEC’s rules, which permit the Company to provide only management’s report in this annual report.</w:t>
      </w:r>
    </w:p>
    <w:p>
      <w:pPr>
        <w:spacing w:after="0" w:line="127" w:lineRule="exact"/>
        <w:rPr>
          <w:sz w:val="20"/>
          <w:szCs w:val="20"/>
          <w:color w:val="auto"/>
        </w:rPr>
      </w:pPr>
    </w:p>
    <w:p>
      <w:pPr>
        <w:ind w:right="40" w:firstLine="464"/>
        <w:spacing w:after="0" w:line="306"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2010 and 2009:</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5"/>
          </w:tcPr>
          <w:p>
            <w:pPr>
              <w:ind w:left="420"/>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740" w:type="dxa"/>
            <w:vAlign w:val="bottom"/>
            <w:gridSpan w:val="2"/>
          </w:tcPr>
          <w:p>
            <w:pPr>
              <w:spacing w:after="0"/>
              <w:rPr>
                <w:sz w:val="8"/>
                <w:szCs w:val="8"/>
                <w:color w:val="auto"/>
              </w:rPr>
            </w:pPr>
          </w:p>
        </w:tc>
        <w:tc>
          <w:tcPr>
            <w:tcW w:w="3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3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390,419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259,410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“Audit fees” includes the aggregate fees billed by our principal auditors for professional services rendered for the audit of our consolidated financial statements for the year ended December 31. “Audit fees” also includes amounts billed for services provided in connection with debt offerings in 2010 and 2009.</w:t>
      </w:r>
    </w:p>
    <w:p>
      <w:pPr>
        <w:spacing w:after="0" w:line="7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of the principal accounting fees and services were pre-approved by the Audit Committee in 2010 and 2009. The Audit Committee pre-approves services either by: (1) approving a request from management to engage our principal auditors for a specific project at a specific fee or rate or (2) by pre-approving certain types of services that would comprise the fees within each of the above categories at our principal auditors usual and customary rates.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(a)1. The following consolidated financial statements of the Company are filed as part of this report under Item 8—Financial Statements and Supplemental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70"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Balance Sheets as of December 31, 2010 and 2009</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2010, 2009 and 2008</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Statements of Member’s Equity for the years ended December 31, 2010, 2009 and 2008</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2010, 2009 and 2008</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w:t>
      </w:r>
    </w:p>
    <w:p>
      <w:pPr>
        <w:spacing w:after="0" w:line="77" w:lineRule="exact"/>
        <w:rPr>
          <w:sz w:val="20"/>
          <w:szCs w:val="20"/>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85"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3700" w:type="dxa"/>
            <w:vAlign w:val="bottom"/>
            <w:gridSpan w:val="2"/>
          </w:tcPr>
          <w:p>
            <w:pPr>
              <w:jc w:val="center"/>
              <w:ind w:left="3021"/>
              <w:spacing w:after="0"/>
              <w:rPr>
                <w:sz w:val="20"/>
                <w:szCs w:val="20"/>
                <w:color w:val="auto"/>
              </w:rPr>
            </w:pPr>
            <w:r>
              <w:rPr>
                <w:rFonts w:ascii="Arial" w:cs="Arial" w:eastAsia="Arial" w:hAnsi="Arial"/>
                <w:sz w:val="14"/>
                <w:szCs w:val="14"/>
                <w:b w:val="1"/>
                <w:bCs w:val="1"/>
                <w:color w:val="auto"/>
                <w:w w:val="89"/>
              </w:rPr>
              <w:t>2010</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320" w:type="dxa"/>
            <w:vAlign w:val="bottom"/>
            <w:gridSpan w:val="3"/>
            <w:shd w:val="clear" w:color="auto" w:fill="CCEEFF"/>
          </w:tcPr>
          <w:p>
            <w:pPr>
              <w:jc w:val="center"/>
              <w:ind w:left="2381"/>
              <w:spacing w:after="0"/>
              <w:rPr>
                <w:sz w:val="20"/>
                <w:szCs w:val="20"/>
                <w:color w:val="auto"/>
              </w:rPr>
            </w:pPr>
            <w:r>
              <w:rPr>
                <w:rFonts w:ascii="Arial" w:cs="Arial" w:eastAsia="Arial" w:hAnsi="Arial"/>
                <w:sz w:val="18"/>
                <w:szCs w:val="18"/>
                <w:color w:val="auto"/>
                <w:w w:val="88"/>
              </w:rPr>
              <w:t>$ 67,406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15,729</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(12,059)</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3700" w:type="dxa"/>
            <w:vAlign w:val="bottom"/>
            <w:gridSpan w:val="2"/>
          </w:tcPr>
          <w:p>
            <w:pPr>
              <w:jc w:val="center"/>
              <w:ind w:left="3021"/>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320" w:type="dxa"/>
            <w:vAlign w:val="bottom"/>
            <w:gridSpan w:val="3"/>
            <w:shd w:val="clear" w:color="auto" w:fill="CCEEFF"/>
          </w:tcPr>
          <w:p>
            <w:pPr>
              <w:jc w:val="center"/>
              <w:ind w:left="2381"/>
              <w:spacing w:after="0"/>
              <w:rPr>
                <w:sz w:val="20"/>
                <w:szCs w:val="20"/>
                <w:color w:val="auto"/>
              </w:rPr>
            </w:pPr>
            <w:r>
              <w:rPr>
                <w:rFonts w:ascii="Arial" w:cs="Arial" w:eastAsia="Arial" w:hAnsi="Arial"/>
                <w:sz w:val="18"/>
                <w:szCs w:val="18"/>
                <w:color w:val="auto"/>
                <w:w w:val="88"/>
              </w:rPr>
              <w:t>$ 65,414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(10,446)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Provisions for</w:t>
            </w:r>
          </w:p>
        </w:tc>
        <w:tc>
          <w:tcPr>
            <w:tcW w:w="62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Write-offs,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January 1,</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Doubtful</w:t>
            </w:r>
          </w:p>
        </w:tc>
        <w:tc>
          <w:tcPr>
            <w:tcW w:w="6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Net of</w:t>
            </w:r>
          </w:p>
        </w:tc>
        <w:tc>
          <w:tcPr>
            <w:tcW w:w="2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3700" w:type="dxa"/>
            <w:vAlign w:val="bottom"/>
            <w:gridSpan w:val="2"/>
          </w:tcPr>
          <w:p>
            <w:pPr>
              <w:jc w:val="center"/>
              <w:ind w:left="3021"/>
              <w:spacing w:after="0"/>
              <w:rPr>
                <w:sz w:val="20"/>
                <w:szCs w:val="20"/>
                <w:color w:val="auto"/>
              </w:rPr>
            </w:pPr>
            <w:r>
              <w:rPr>
                <w:rFonts w:ascii="Arial" w:cs="Arial" w:eastAsia="Arial" w:hAnsi="Arial"/>
                <w:sz w:val="14"/>
                <w:szCs w:val="14"/>
                <w:b w:val="1"/>
                <w:bCs w:val="1"/>
                <w:color w:val="auto"/>
                <w:w w:val="89"/>
              </w:rPr>
              <w:t>2008</w:t>
            </w:r>
          </w:p>
        </w:tc>
        <w:tc>
          <w:tcPr>
            <w:tcW w:w="6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62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Recoveries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4320" w:type="dxa"/>
            <w:vAlign w:val="bottom"/>
            <w:gridSpan w:val="3"/>
            <w:shd w:val="clear" w:color="auto" w:fill="CCEEFF"/>
          </w:tcPr>
          <w:p>
            <w:pPr>
              <w:jc w:val="center"/>
              <w:ind w:left="2381"/>
              <w:spacing w:after="0"/>
              <w:rPr>
                <w:sz w:val="20"/>
                <w:szCs w:val="20"/>
                <w:color w:val="auto"/>
              </w:rPr>
            </w:pPr>
            <w:r>
              <w:rPr>
                <w:rFonts w:ascii="Arial" w:cs="Arial" w:eastAsia="Arial" w:hAnsi="Arial"/>
                <w:sz w:val="18"/>
                <w:szCs w:val="18"/>
                <w:color w:val="auto"/>
                <w:w w:val="88"/>
              </w:rPr>
              <w:t>$ 50,604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(10,077)</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80" w:type="dxa"/>
            <w:vAlign w:val="bottom"/>
          </w:tcPr>
          <w:p>
            <w:pPr>
              <w:jc w:val="right"/>
              <w:ind w:right="701"/>
              <w:spacing w:after="0"/>
              <w:rPr>
                <w:sz w:val="20"/>
                <w:szCs w:val="20"/>
                <w:color w:val="auto"/>
              </w:rPr>
            </w:pPr>
            <w:r>
              <w:rPr>
                <w:rFonts w:ascii="Arial" w:cs="Arial" w:eastAsia="Arial" w:hAnsi="Arial"/>
                <w:sz w:val="18"/>
                <w:szCs w:val="18"/>
                <w:color w:val="auto"/>
              </w:rPr>
              <w:t>75</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920" w:type="dxa"/>
            <w:vAlign w:val="bottom"/>
            <w:gridSpan w:val="3"/>
          </w:tcPr>
          <w:p>
            <w:pPr>
              <w:spacing w:after="0"/>
              <w:rPr>
                <w:sz w:val="20"/>
                <w:szCs w:val="20"/>
                <w:color w:val="auto"/>
              </w:rPr>
            </w:pPr>
            <w:r>
              <w:rPr>
                <w:rFonts w:ascii="Arial" w:cs="Arial" w:eastAsia="Arial" w:hAnsi="Arial"/>
                <w:sz w:val="18"/>
                <w:szCs w:val="18"/>
                <w:color w:val="auto"/>
              </w:rPr>
              <w:t>(a)3. Exhibits</w:t>
            </w:r>
          </w:p>
        </w:tc>
      </w:tr>
      <w:tr>
        <w:trPr>
          <w:trHeight w:val="284"/>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920" w:type="dxa"/>
            <w:vAlign w:val="bottom"/>
            <w:gridSpan w:val="3"/>
          </w:tcPr>
          <w:p>
            <w:pPr>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tc>
      </w:tr>
      <w:tr>
        <w:trPr>
          <w:trHeight w:val="365"/>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92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Exhibit</w:t>
            </w:r>
          </w:p>
        </w:tc>
        <w:tc>
          <w:tcPr>
            <w:tcW w:w="5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174"/>
        </w:trPr>
        <w:tc>
          <w:tcPr>
            <w:tcW w:w="4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No.</w:t>
            </w:r>
          </w:p>
        </w:tc>
        <w:tc>
          <w:tcPr>
            <w:tcW w:w="5500" w:type="dxa"/>
            <w:vAlign w:val="bottom"/>
          </w:tcPr>
          <w:p>
            <w:pPr>
              <w:spacing w:after="0"/>
              <w:rPr>
                <w:sz w:val="15"/>
                <w:szCs w:val="15"/>
                <w:color w:val="auto"/>
              </w:rPr>
            </w:pPr>
          </w:p>
        </w:tc>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4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55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720" w:type="dxa"/>
            <w:vAlign w:val="bottom"/>
          </w:tcPr>
          <w:p>
            <w:pPr>
              <w:spacing w:after="0"/>
              <w:rPr>
                <w:sz w:val="8"/>
                <w:szCs w:val="8"/>
                <w:color w:val="auto"/>
              </w:rPr>
            </w:pPr>
          </w:p>
        </w:tc>
      </w:tr>
      <w:tr>
        <w:trPr>
          <w:trHeight w:val="316"/>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Articles of Organization of Kevyn, LLC. (19)</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Operating Agreement of Kevyn, LLC. (19)</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3.12</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3.19</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w w:val="89"/>
              </w:rPr>
              <w:t>Indenture, dated as of December 14, 2004, among Wynn Las Vegas, LLC, Wynn Las Vegas Capital Corp., the Guarantors set forth therein and</w:t>
            </w:r>
          </w:p>
        </w:tc>
      </w:tr>
      <w:tr>
        <w:trPr>
          <w:trHeight w:val="222"/>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U.S. Bank National Association, as trustee. (3)</w:t>
            </w:r>
          </w:p>
        </w:tc>
      </w:tr>
      <w:tr>
        <w:trPr>
          <w:trHeight w:val="31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w w:val="87"/>
              </w:rPr>
              <w:t>Supplemental Indenture, dated as of December 14, 2004, among Wynn Las Vegas, LLC, Wynn Las Vegas Capital Corp., the Guarantors set forth</w:t>
            </w:r>
          </w:p>
        </w:tc>
      </w:tr>
      <w:tr>
        <w:trPr>
          <w:trHeight w:val="222"/>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therein and Wells Fargo Bank, National Association, as trustee. (3)</w:t>
            </w:r>
          </w:p>
        </w:tc>
      </w:tr>
      <w:tr>
        <w:trPr>
          <w:trHeight w:val="31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w w:val="87"/>
              </w:rPr>
              <w:t>First Supplemental Indenture, dated as of June 29, 2005, among Wynn Las Vegas, LLC, Wynn Las Vegas Capital Corp., the Guarantors set forth</w:t>
            </w:r>
          </w:p>
        </w:tc>
      </w:tr>
      <w:tr>
        <w:trPr>
          <w:trHeight w:val="222"/>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therein and U.S. Bank National Association, as trustee. (8)</w:t>
            </w:r>
          </w:p>
        </w:tc>
      </w:tr>
      <w:tr>
        <w:trPr>
          <w:trHeight w:val="31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w w:val="89"/>
              </w:rPr>
              <w:t>Second Supplemental Indenture, dated as of July 29, 2005, among Wynn Las Vegas, LLC, Wynn Las Vegas Capital Corp., the Guarantors set</w:t>
            </w:r>
          </w:p>
        </w:tc>
      </w:tr>
      <w:tr>
        <w:trPr>
          <w:trHeight w:val="222"/>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forth therein and U.S. Bank National Association, as trustee. (19)</w:t>
            </w:r>
          </w:p>
        </w:tc>
      </w:tr>
      <w:tr>
        <w:trPr>
          <w:trHeight w:val="318"/>
        </w:trPr>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w w:val="87"/>
              </w:rPr>
              <w:t>Indenture, dated as of October 19, 2009, among Wynn Las Vegas, LLC, Wynn Las Vegas Capital Corp., the Guarantors set forth therein and U.S.</w:t>
            </w:r>
          </w:p>
        </w:tc>
      </w:tr>
      <w:tr>
        <w:trPr>
          <w:trHeight w:val="222"/>
        </w:trPr>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920" w:type="dxa"/>
            <w:vAlign w:val="bottom"/>
            <w:gridSpan w:val="3"/>
          </w:tcPr>
          <w:p>
            <w:pPr>
              <w:ind w:left="740"/>
              <w:spacing w:after="0"/>
              <w:rPr>
                <w:sz w:val="20"/>
                <w:szCs w:val="20"/>
                <w:color w:val="auto"/>
              </w:rPr>
            </w:pPr>
            <w:r>
              <w:rPr>
                <w:rFonts w:ascii="Arial" w:cs="Arial" w:eastAsia="Arial" w:hAnsi="Arial"/>
                <w:sz w:val="18"/>
                <w:szCs w:val="18"/>
                <w:color w:val="auto"/>
              </w:rPr>
              <w:t>Bank National Association, as trustee. (22)</w:t>
            </w:r>
          </w:p>
        </w:tc>
      </w:tr>
      <w:tr>
        <w:trPr>
          <w:trHeight w:val="365"/>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00" w:type="dxa"/>
            <w:vAlign w:val="bottom"/>
          </w:tcPr>
          <w:p>
            <w:pPr>
              <w:ind w:left="5160"/>
              <w:spacing w:after="0"/>
              <w:rPr>
                <w:sz w:val="20"/>
                <w:szCs w:val="20"/>
                <w:color w:val="auto"/>
              </w:rPr>
            </w:pPr>
            <w:r>
              <w:rPr>
                <w:rFonts w:ascii="Arial" w:cs="Arial" w:eastAsia="Arial" w:hAnsi="Arial"/>
                <w:sz w:val="18"/>
                <w:szCs w:val="18"/>
                <w:color w:val="auto"/>
              </w:rPr>
              <w:t>76</w:t>
            </w:r>
          </w:p>
        </w:tc>
        <w:tc>
          <w:tcPr>
            <w:tcW w:w="70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40" w:type="dxa"/>
            <w:vAlign w:val="bottom"/>
          </w:tcPr>
          <w:p>
            <w:pPr>
              <w:spacing w:after="0"/>
              <w:rPr>
                <w:sz w:val="14"/>
                <w:szCs w:val="14"/>
                <w:color w:val="auto"/>
              </w:rPr>
            </w:pPr>
          </w:p>
        </w:tc>
      </w:tr>
      <w:tr>
        <w:trPr>
          <w:trHeight w:val="174"/>
        </w:trPr>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No.</w:t>
            </w:r>
          </w:p>
        </w:tc>
        <w:tc>
          <w:tcPr>
            <w:tcW w:w="5340" w:type="dxa"/>
            <w:vAlign w:val="bottom"/>
          </w:tcPr>
          <w:p>
            <w:pPr>
              <w:spacing w:after="0"/>
              <w:rPr>
                <w:sz w:val="15"/>
                <w:szCs w:val="15"/>
                <w:color w:val="auto"/>
              </w:rPr>
            </w:pPr>
          </w:p>
        </w:tc>
        <w:tc>
          <w:tcPr>
            <w:tcW w:w="54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808080"/>
            </w:tcBorders>
          </w:tcPr>
          <w:p>
            <w:pPr>
              <w:spacing w:after="0"/>
              <w:rPr>
                <w:sz w:val="8"/>
                <w:szCs w:val="8"/>
                <w:color w:val="auto"/>
              </w:rPr>
            </w:pPr>
          </w:p>
        </w:tc>
        <w:tc>
          <w:tcPr>
            <w:tcW w:w="53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54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9"/>
              </w:rPr>
              <w:t>Indenture, dated as of April 28, 2010, by and among Wynn Las Vegas, LLC, Wynn Las Vegas Capital Corp., the Guarantors set forth therein</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and U.S. Bank National Association, as trustee. (25)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8"/>
              </w:rPr>
              <w:t>Indenture, dated as of August 4, 2010, among Wynn Las Vegas, LLC, Wynn Las Vegas Capital Corp., the Guarantors named therein and U.S.</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Bank National Association, as trustee. (26)</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0"/>
              </w:rPr>
              <w:t>Third Supplemental Indenture, dated August 4, 2010, among Wynn Las Vegas, LLC, Wynn Las Vegas Capital Corp., the Guarantors name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therein and U.S. Bank National Association, as trustee. (26)</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0"/>
              </w:rPr>
              <w:t>Registration Rights Agreement, dated as of December 14, 2004, by and among Wynn Las Vegas, LLC, Wynn Las Vegas Capital Corp., the</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1"/>
              </w:rPr>
              <w:t>Guarantor signatories thereto and Deutsche Bank Securities Inc., Banc of America Securities LLC, Bear, Stearns &amp; Co. Inc., J.P. Morgan</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Securities Inc. and SG Americas Securities, LLC. (4)</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4.10</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1"/>
              </w:rPr>
              <w:t>Registration Rights Agreement, dated as of November 6, 2007, by and among Wynn Las Vegas, LLC, Wynn Las Vegas Capital Corp., the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Guarantor signatories thereto and Deutsche Bank Securities Inc., Banc of America Securities LLC. (16)</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4.11</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2"/>
              </w:rPr>
              <w:t>Registration Rights Agreement, dated as of October 19, 2009, by and among Wynn Las Vegas, LLC, Wynn Las Vegas Capital Corp., the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Guarantors set forth therein, Deutsche Bank Securities Inc. and Banc of America Securities LLC. (22)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4.12</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4"/>
              </w:rPr>
              <w:t>Registration Rights Agreement, dated as of April 28, 2010, by and among Wynn Las Vegas, LLC, Wynn Las Vegas Capital Corp., the</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7"/>
              </w:rPr>
              <w:t>Guarantors set forth therein, Deutsche Bank Securities Inc., Banc of America Securities LLC and J.P. Morgan Securities Inc. (25)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4.13</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3"/>
              </w:rPr>
              <w:t>Registration Rights Agreement, dated as of August 4, 2010, by and among Wynn Las Vegas, LLC, Wynn Las Vegas Capital Corp., the</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8"/>
              </w:rPr>
              <w:t>Guarantors, Deutsche Bank Securities Inc., Banc of America Securities LLC, J.P. Morgan Securities Inc., Morgan Stanley &amp; Co. Incorporated,</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RBS Securities Inc. and UBS Securities LLC. (26)</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7"/>
              </w:rPr>
              <w:t>Amended and Restated Master Disbursement Agreement, dated as of October 25, 2007, by and among Wynn Las Vegas, LLC, Deutsche Bank</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2"/>
              </w:rPr>
              <w:t>Trust Company Americas, as the initial Bank Agent, and Deutsche Bank Trust Company America, as the initial Disbursement Agent. (17)</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8"/>
              </w:rPr>
              <w:t>First Amendment to Amended and Restated Master Disbursement Agreement, dated as of October 31, 2007, by and among Wynn Las Vegas,</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5"/>
              </w:rPr>
              <w:t>LLC, Deutsche Bank Trust Company Americas, as the initial Bank Agent, and Deutsche Bank Trust Company America, as the initial</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Disbursement Agent. (15)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0"/>
              </w:rPr>
              <w:t>Second Amendment to Amended and Restated Master Disbursement Agreement, dated as of November 6, 2007, by and among Wynn Las</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7"/>
              </w:rPr>
              <w:t>Vegas, LLC, Deutsche Bank Trust Company Americas, as the Bank Agent, and Deutsche Bank Trust Company Americas, as the Disbursement</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Agent. (16)</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10.4</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8"/>
              </w:rPr>
              <w:t>Third Amendment to Amended and Restated Master Disbursement Agreement, dated October 19, 2009, by and among Wynn Las Vegas, LLC,</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8"/>
              </w:rPr>
              <w:t>Deutsche Bank Trust Company Americas, as the Bank Agent, and Deutsche Bank Trust Company Americas, as the Disbursement Agent. (22)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10.5</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9"/>
              </w:rPr>
              <w:t>Fourth Amendment to Amended and Restated Master Disbursement Agreement, dated April 28, 2010, by and among Wynn Las Vegas, LLC,</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88"/>
              </w:rPr>
              <w:t>Deutsche Bank Trust Company Americas, as the Bank Agent, and Deutsche Bank Trust Company Americas, as the Disbursement Agent. (25)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2"/>
              </w:rPr>
              <w:t>Promissory Note and Agreement, dated May 24, 2005, by Wells Fargo Northwest, National Association, not in its individual capacity but</w:t>
            </w:r>
          </w:p>
        </w:tc>
      </w:tr>
      <w:tr>
        <w:trPr>
          <w:trHeight w:val="216"/>
        </w:trPr>
        <w:tc>
          <w:tcPr>
            <w:tcW w:w="600" w:type="dxa"/>
            <w:vAlign w:val="bottom"/>
          </w:tcPr>
          <w:p>
            <w:pPr>
              <w:spacing w:after="0"/>
              <w:rPr>
                <w:sz w:val="18"/>
                <w:szCs w:val="18"/>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w w:val="92"/>
              </w:rPr>
              <w:t>solely as owner trustee, and World Travel, LLC; and accepted and agreed to by Bank of America, N.A., as lender and Wells Fargo Bank,</w:t>
            </w:r>
          </w:p>
        </w:tc>
      </w:tr>
      <w:tr>
        <w:trPr>
          <w:trHeight w:val="222"/>
        </w:trPr>
        <w:tc>
          <w:tcPr>
            <w:tcW w:w="600" w:type="dxa"/>
            <w:vAlign w:val="bottom"/>
          </w:tcPr>
          <w:p>
            <w:pPr>
              <w:spacing w:after="0"/>
              <w:rPr>
                <w:sz w:val="19"/>
                <w:szCs w:val="19"/>
                <w:color w:val="auto"/>
              </w:rPr>
            </w:pPr>
          </w:p>
        </w:tc>
        <w:tc>
          <w:tcPr>
            <w:tcW w:w="10780" w:type="dxa"/>
            <w:vAlign w:val="bottom"/>
            <w:gridSpan w:val="3"/>
          </w:tcPr>
          <w:p>
            <w:pPr>
              <w:ind w:left="740"/>
              <w:spacing w:after="0"/>
              <w:rPr>
                <w:sz w:val="20"/>
                <w:szCs w:val="20"/>
                <w:color w:val="auto"/>
              </w:rPr>
            </w:pPr>
            <w:r>
              <w:rPr>
                <w:rFonts w:ascii="Arial" w:cs="Arial" w:eastAsia="Arial" w:hAnsi="Arial"/>
                <w:sz w:val="18"/>
                <w:szCs w:val="18"/>
                <w:color w:val="auto"/>
              </w:rPr>
              <w:t>National Association, not in its individual capacity but solely as collateral agent. (9)</w:t>
            </w:r>
          </w:p>
        </w:tc>
      </w:tr>
      <w:tr>
        <w:trPr>
          <w:trHeight w:val="365"/>
        </w:trPr>
        <w:tc>
          <w:tcPr>
            <w:tcW w:w="600" w:type="dxa"/>
            <w:vAlign w:val="bottom"/>
          </w:tcPr>
          <w:p>
            <w:pPr>
              <w:spacing w:after="0"/>
              <w:rPr>
                <w:sz w:val="24"/>
                <w:szCs w:val="24"/>
                <w:color w:val="auto"/>
              </w:rPr>
            </w:pPr>
          </w:p>
        </w:tc>
        <w:tc>
          <w:tcPr>
            <w:tcW w:w="5340" w:type="dxa"/>
            <w:vAlign w:val="bottom"/>
          </w:tcPr>
          <w:p>
            <w:pPr>
              <w:ind w:left="5020"/>
              <w:spacing w:after="0"/>
              <w:rPr>
                <w:sz w:val="20"/>
                <w:szCs w:val="20"/>
                <w:color w:val="auto"/>
              </w:rPr>
            </w:pPr>
            <w:r>
              <w:rPr>
                <w:rFonts w:ascii="Arial" w:cs="Arial" w:eastAsia="Arial" w:hAnsi="Arial"/>
                <w:sz w:val="18"/>
                <w:szCs w:val="18"/>
                <w:color w:val="auto"/>
              </w:rPr>
              <w:t>77</w:t>
            </w:r>
          </w:p>
        </w:tc>
        <w:tc>
          <w:tcPr>
            <w:tcW w:w="900" w:type="dxa"/>
            <w:vAlign w:val="bottom"/>
          </w:tcPr>
          <w:p>
            <w:pPr>
              <w:spacing w:after="0"/>
              <w:rPr>
                <w:sz w:val="24"/>
                <w:szCs w:val="24"/>
                <w:color w:val="auto"/>
              </w:rPr>
            </w:pPr>
          </w:p>
        </w:tc>
        <w:tc>
          <w:tcPr>
            <w:tcW w:w="45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20" w:type="dxa"/>
            <w:vAlign w:val="bottom"/>
          </w:tcPr>
          <w:p>
            <w:pPr>
              <w:spacing w:after="0"/>
              <w:rPr>
                <w:sz w:val="14"/>
                <w:szCs w:val="14"/>
                <w:color w:val="auto"/>
              </w:rPr>
            </w:pPr>
          </w:p>
        </w:tc>
      </w:tr>
      <w:tr>
        <w:trPr>
          <w:trHeight w:val="174"/>
        </w:trPr>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5"/>
                <w:szCs w:val="15"/>
                <w:color w:val="auto"/>
              </w:rPr>
            </w:pPr>
          </w:p>
        </w:tc>
        <w:tc>
          <w:tcPr>
            <w:tcW w:w="5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808080"/>
            </w:tcBorders>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62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Promissory Note and Agreement, dated May 24, 2005, by Wells Fargo Northwest, National Association, not in its individual capacity but solely</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as owner trustee, and World Travel, LLC; and accepted and agreed to by The CIT Group / Equipment Financing, Inc., as lender and Wells Fargo</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Bank, National Association, not in its individual capacity but solely as collateral agent. (9)</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10.8</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Aircraft Security Agreement, dated May 24, 2005, between Wells Fargo Northwest, National Association, not in its individual capacity but</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solely as owner trustee, World Travel, LLC and Wells Fargo Bank, National Association, not in its individual capacity but solely as collateral</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agent. (9)</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Guaranty, dated May 24, 2005, by Wynn Las Vegas, LLC in favor of The CIT Group / Equipment Financing, Inc., Bank of America, N.A.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Wells Fargo Bank, National Association, not in its individual capacity but solely as collateral agent. (9)</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10.10</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(10)</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7"/>
              </w:rPr>
              <w:t>Fifth Amended and Restated Art Rental and Licensing Agreement, dated as of July 1, 2007, between Stephen A. Wynn, as lessor, Wynn Gallery,</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LLC, as lessee. (27)</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Lump Sum Agreement, by and between Wynn Las Vegas, LLC and Wadsworth Golf Construction Company, effective as of February 18, 2003.</w:t>
            </w:r>
          </w:p>
        </w:tc>
      </w:tr>
      <w:tr>
        <w:trPr>
          <w:trHeight w:val="222"/>
        </w:trPr>
        <w:tc>
          <w:tcPr>
            <w:tcW w:w="600" w:type="dxa"/>
            <w:vAlign w:val="bottom"/>
          </w:tcPr>
          <w:p>
            <w:pPr>
              <w:spacing w:after="0"/>
              <w:rPr>
                <w:sz w:val="19"/>
                <w:szCs w:val="19"/>
                <w:color w:val="auto"/>
              </w:rPr>
            </w:pPr>
          </w:p>
        </w:tc>
        <w:tc>
          <w:tcPr>
            <w:tcW w:w="5280" w:type="dxa"/>
            <w:vAlign w:val="bottom"/>
          </w:tcPr>
          <w:p>
            <w:pPr>
              <w:ind w:left="660"/>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10.13</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Completion Guaranty, dated December 14, 2004, by Wynn Completion Guarantor, LLC in favor of Deutsche Bank Trust Company Americas, as</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the Bank Agent, and U.S. Bank National Association, as Indenture Trustee. (4)</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10.14</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Purchase Agreement, dated October 25, 2002, by and among Wynn Las Vegas, LLC, Wynn Las Vegas Capital Corp. and Stephen A. Wynn. (2)</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10.15</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Aruze USA, Inc. (2)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10.16</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Acknowledgement and Agreement, dated as of September 1, 2004, among Wynn Las Vegas, LLC, Wells Fargo Bank, National Association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the lenders named therein. (7)</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10.17</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Third Amended and Restated Art Rental and Licensing Agreement, dated as of August 6, 2004, by and between Stephen A. Wynn and Wynn</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Las Vegas, LLC. (5)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10.18</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Deed of Trust, Assignment of Rents and Leases, Security Agreement and Fixture Filing, dated as of December 14, 2004, made by Wynn Las</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Vegas, LLC, as trustor, to Nevada Title Company, as trustee, for the benefit of Deutsche Bank Trust Company Americas, as collateral agent. (4)</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10.19</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Deed of Trust, Assignment of Rents and Leases, Security Agreement and Fixture Filing, dated as of December 14, 2004, made by Wynn</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Sunrise, LLC, as trustor, to Nevada Title Company, as trustee, for the benefit of Deutsche Bank Trust Company Americas, as collateral agent.</w:t>
            </w:r>
          </w:p>
        </w:tc>
      </w:tr>
      <w:tr>
        <w:trPr>
          <w:trHeight w:val="222"/>
        </w:trPr>
        <w:tc>
          <w:tcPr>
            <w:tcW w:w="600" w:type="dxa"/>
            <w:vAlign w:val="bottom"/>
          </w:tcPr>
          <w:p>
            <w:pPr>
              <w:spacing w:after="0"/>
              <w:rPr>
                <w:sz w:val="19"/>
                <w:szCs w:val="19"/>
                <w:color w:val="auto"/>
              </w:rPr>
            </w:pPr>
          </w:p>
        </w:tc>
        <w:tc>
          <w:tcPr>
            <w:tcW w:w="5280" w:type="dxa"/>
            <w:vAlign w:val="bottom"/>
          </w:tcPr>
          <w:p>
            <w:pPr>
              <w:ind w:left="660"/>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9"/>
                <w:szCs w:val="19"/>
                <w:color w:val="auto"/>
              </w:rPr>
            </w:pPr>
          </w:p>
        </w:tc>
        <w:tc>
          <w:tcPr>
            <w:tcW w:w="4620" w:type="dxa"/>
            <w:vAlign w:val="bottom"/>
          </w:tcPr>
          <w:p>
            <w:pPr>
              <w:spacing w:after="0"/>
              <w:rPr>
                <w:sz w:val="19"/>
                <w:szCs w:val="19"/>
                <w:color w:val="auto"/>
              </w:rPr>
            </w:pP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10.20</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Deed of Trust, Assignment of Rents and Leases, Security Agreement and Fixture Filing, dated as of December 14, 2004, made by Wynn Golf,</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LLC, as trustor, to Nevada Title Company, as trustee, for the benefit of Deutsche Bank Trust Company Americas, as collateral agent. (4)</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10.21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Guarantee and Collateral Agreement, dated as of December 14, 2004, made by Wynn Resorts Holdings, LLC, Wynn Las Vegas, LLC, Wynn</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Show Performers, LLC, Wynn Las Vegas Capital Corp., Wynn Golf, LLC, World Travel, LLC, Las Vegas Jet, LLC, Wynn Sunrise, LLC and the</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other Grantors from time to time party thereto in favor of Deutsche Bank Trust Company Americas, as administrative agent. (4)</w:t>
            </w:r>
          </w:p>
        </w:tc>
      </w:tr>
      <w:tr>
        <w:trPr>
          <w:trHeight w:val="365"/>
        </w:trPr>
        <w:tc>
          <w:tcPr>
            <w:tcW w:w="600" w:type="dxa"/>
            <w:vAlign w:val="bottom"/>
          </w:tcPr>
          <w:p>
            <w:pPr>
              <w:spacing w:after="0"/>
              <w:rPr>
                <w:sz w:val="24"/>
                <w:szCs w:val="24"/>
                <w:color w:val="auto"/>
              </w:rPr>
            </w:pPr>
          </w:p>
        </w:tc>
        <w:tc>
          <w:tcPr>
            <w:tcW w:w="5280" w:type="dxa"/>
            <w:vAlign w:val="bottom"/>
          </w:tcPr>
          <w:p>
            <w:pPr>
              <w:ind w:left="5020"/>
              <w:spacing w:after="0"/>
              <w:rPr>
                <w:sz w:val="20"/>
                <w:szCs w:val="20"/>
                <w:color w:val="auto"/>
              </w:rPr>
            </w:pPr>
            <w:r>
              <w:rPr>
                <w:rFonts w:ascii="Arial" w:cs="Arial" w:eastAsia="Arial" w:hAnsi="Arial"/>
                <w:sz w:val="18"/>
                <w:szCs w:val="18"/>
                <w:color w:val="auto"/>
              </w:rPr>
              <w:t>78</w:t>
            </w:r>
          </w:p>
        </w:tc>
        <w:tc>
          <w:tcPr>
            <w:tcW w:w="90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74"/>
        </w:trPr>
        <w:tc>
          <w:tcPr>
            <w:tcW w:w="600" w:type="dxa"/>
            <w:vAlign w:val="bottom"/>
          </w:tcPr>
          <w:p>
            <w:pPr>
              <w:ind w:left="200"/>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5"/>
                <w:szCs w:val="15"/>
                <w:color w:val="auto"/>
              </w:rPr>
            </w:pPr>
          </w:p>
        </w:tc>
        <w:tc>
          <w:tcPr>
            <w:tcW w:w="54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808080"/>
            </w:tcBorders>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60" w:type="dxa"/>
            <w:vAlign w:val="bottom"/>
          </w:tcPr>
          <w:p>
            <w:pPr>
              <w:spacing w:after="0"/>
              <w:rPr>
                <w:sz w:val="8"/>
                <w:szCs w:val="8"/>
                <w:color w:val="auto"/>
              </w:rPr>
            </w:pPr>
          </w:p>
        </w:tc>
      </w:tr>
      <w:tr>
        <w:trPr>
          <w:trHeight w:val="309"/>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10.22</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87"/>
              </w:rPr>
              <w:t>Intercreditor Agreement, dated as of December 14, 2004, among Deutsche Bank Trust Company Americas, as bank agent, Deutsche Bank Trust</w:t>
            </w:r>
          </w:p>
        </w:tc>
      </w:tr>
      <w:tr>
        <w:trPr>
          <w:trHeight w:val="222"/>
        </w:trPr>
        <w:tc>
          <w:tcPr>
            <w:tcW w:w="600" w:type="dxa"/>
            <w:vAlign w:val="bottom"/>
          </w:tcPr>
          <w:p>
            <w:pPr>
              <w:spacing w:after="0"/>
              <w:rPr>
                <w:sz w:val="19"/>
                <w:szCs w:val="19"/>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Company Americas, as collateral agent, and U.S. Bank National Association, as trustee. (3)</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10.23</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89"/>
              </w:rPr>
              <w:t>Pledge and Security Agreement, dated as of December 14, 2004, made by Wynn Resorts Holdings, LLC, Wynn Las Vegas, LLC, Wynn Show</w:t>
            </w:r>
          </w:p>
        </w:tc>
      </w:tr>
      <w:tr>
        <w:trPr>
          <w:trHeight w:val="216"/>
        </w:trPr>
        <w:tc>
          <w:tcPr>
            <w:tcW w:w="600" w:type="dxa"/>
            <w:vAlign w:val="bottom"/>
          </w:tcPr>
          <w:p>
            <w:pPr>
              <w:spacing w:after="0"/>
              <w:rPr>
                <w:sz w:val="18"/>
                <w:szCs w:val="18"/>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89"/>
              </w:rPr>
              <w:t>Performers, LLC, Wynn Las Vegas Capital Corp., Wynn Golf, LLC, World Travel, LLC, Las Vegas Jet, LLC, Wynn Sunrise, LLC and the other</w:t>
            </w:r>
          </w:p>
        </w:tc>
      </w:tr>
      <w:tr>
        <w:trPr>
          <w:trHeight w:val="222"/>
        </w:trPr>
        <w:tc>
          <w:tcPr>
            <w:tcW w:w="600" w:type="dxa"/>
            <w:vAlign w:val="bottom"/>
          </w:tcPr>
          <w:p>
            <w:pPr>
              <w:spacing w:after="0"/>
              <w:rPr>
                <w:sz w:val="19"/>
                <w:szCs w:val="19"/>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Grantors from time to time party thereto in favor of Deutsche Bank Trust Company Americas, as administrative agent. (4)</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10.24</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0"/>
              </w:rPr>
              <w:t>Management Fees Subordination Agreement, dated as of December 14, 2004, by Wynn Resorts, Limited, Wynn Las Vegas, LLC, Wynn Las</w:t>
            </w:r>
          </w:p>
        </w:tc>
      </w:tr>
      <w:tr>
        <w:trPr>
          <w:trHeight w:val="184"/>
        </w:trPr>
        <w:tc>
          <w:tcPr>
            <w:tcW w:w="600" w:type="dxa"/>
            <w:vAlign w:val="bottom"/>
          </w:tcPr>
          <w:p>
            <w:pPr>
              <w:spacing w:after="0"/>
              <w:rPr>
                <w:sz w:val="15"/>
                <w:szCs w:val="15"/>
                <w:color w:val="auto"/>
              </w:rPr>
            </w:pPr>
          </w:p>
        </w:tc>
        <w:tc>
          <w:tcPr>
            <w:tcW w:w="10760" w:type="dxa"/>
            <w:vAlign w:val="bottom"/>
            <w:gridSpan w:val="5"/>
          </w:tcPr>
          <w:p>
            <w:pPr>
              <w:ind w:left="660"/>
              <w:spacing w:after="0" w:line="184" w:lineRule="exact"/>
              <w:rPr>
                <w:sz w:val="20"/>
                <w:szCs w:val="20"/>
                <w:color w:val="auto"/>
              </w:rPr>
            </w:pPr>
            <w:r>
              <w:rPr>
                <w:rFonts w:ascii="Arial" w:cs="Arial" w:eastAsia="Arial" w:hAnsi="Arial"/>
                <w:sz w:val="18"/>
                <w:szCs w:val="18"/>
                <w:color w:val="auto"/>
                <w:w w:val="91"/>
              </w:rPr>
              <w:t>Vegas Capital Corp., and those subsidiaries of Wynn Las Vegas, LLC listed on Exhibit A hereto in favor of Deutsche Bank Trust Company</w:t>
            </w:r>
          </w:p>
        </w:tc>
      </w:tr>
      <w:tr>
        <w:trPr>
          <w:trHeight w:val="20"/>
        </w:trPr>
        <w:tc>
          <w:tcPr>
            <w:tcW w:w="60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35"/>
        </w:trPr>
        <w:tc>
          <w:tcPr>
            <w:tcW w:w="600" w:type="dxa"/>
            <w:vAlign w:val="bottom"/>
          </w:tcPr>
          <w:p>
            <w:pPr>
              <w:spacing w:after="0"/>
              <w:rPr>
                <w:sz w:val="20"/>
                <w:szCs w:val="20"/>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Americas, as administrative agent, and U.S. Bank National Association, as trustee. (4)</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10.25</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1"/>
              </w:rPr>
              <w:t>Management Agreement, made as of December 14, 2004, by and among Wynn Las Vegas, LLC, Wynn Show Performers, LLC, Wynn Las</w:t>
            </w:r>
          </w:p>
        </w:tc>
      </w:tr>
      <w:tr>
        <w:trPr>
          <w:trHeight w:val="222"/>
        </w:trPr>
        <w:tc>
          <w:tcPr>
            <w:tcW w:w="600" w:type="dxa"/>
            <w:vAlign w:val="bottom"/>
          </w:tcPr>
          <w:p>
            <w:pPr>
              <w:spacing w:after="0"/>
              <w:rPr>
                <w:sz w:val="19"/>
                <w:szCs w:val="19"/>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6"/>
              </w:rPr>
              <w:t>Vegas Capital Corp., Wynn Golf, LLC, World Travel, LLC, Las Vegas Jet, LLC, Wynn Sunrise, LLC, and Wynn Resorts, Limited. (4)</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10.26</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88"/>
              </w:rPr>
              <w:t>Irrevocable Trust Agreement, dated as of December 14, 2004, by and among Wynn Las Vegas, LLC, Wynn Las Vegas Capital Corp., and Wells</w:t>
            </w:r>
          </w:p>
        </w:tc>
      </w:tr>
      <w:tr>
        <w:trPr>
          <w:trHeight w:val="222"/>
        </w:trPr>
        <w:tc>
          <w:tcPr>
            <w:tcW w:w="600" w:type="dxa"/>
            <w:vAlign w:val="bottom"/>
          </w:tcPr>
          <w:p>
            <w:pPr>
              <w:spacing w:after="0"/>
              <w:rPr>
                <w:sz w:val="19"/>
                <w:szCs w:val="19"/>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Fargo Bank, National Association, as Trustee. (4)</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10.27</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1"/>
              </w:rPr>
              <w:t>Amended and Restated Project Administration Services Agreement, dated December 14, 2004, between Wynn Las Vegas, LLC and Wynn</w:t>
            </w:r>
          </w:p>
        </w:tc>
      </w:tr>
      <w:tr>
        <w:trPr>
          <w:trHeight w:val="222"/>
        </w:trPr>
        <w:tc>
          <w:tcPr>
            <w:tcW w:w="600" w:type="dxa"/>
            <w:vAlign w:val="bottom"/>
          </w:tcPr>
          <w:p>
            <w:pPr>
              <w:spacing w:after="0"/>
              <w:rPr>
                <w:sz w:val="19"/>
                <w:szCs w:val="19"/>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Design &amp; Development, LLC. (4)</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10.28</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89"/>
              </w:rPr>
              <w:t>Intellectual Property License Agreement, dated as of December 14, 2004, by and among Wynn Resorts Holdings, Wynn Resorts, Limited and</w:t>
            </w:r>
          </w:p>
        </w:tc>
      </w:tr>
      <w:tr>
        <w:trPr>
          <w:trHeight w:val="222"/>
        </w:trPr>
        <w:tc>
          <w:tcPr>
            <w:tcW w:w="600" w:type="dxa"/>
            <w:vAlign w:val="bottom"/>
          </w:tcPr>
          <w:p>
            <w:pPr>
              <w:spacing w:after="0"/>
              <w:rPr>
                <w:sz w:val="19"/>
                <w:szCs w:val="19"/>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Wynn Las Vegas, LLC. (4)</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10.29</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 (24)</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10.30</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3"/>
              </w:rPr>
              <w:t>Amended and Restated Agreement of Lease made as of March 18, 2010, by and between Wynn Las Vegas and Stephen A. Wynn. (24)</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10.31</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Employment Agreement, dated as of November 8, 2010, between Wynn Las Vegas, LLC and Marilyn Spiegel. (27)</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10.32</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Employment Agreement, dated as of August 31, 2005, between Wynn Las Vegas, LLC and Andrew Pascal. (11)</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10.33</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1"/>
              </w:rPr>
              <w:t>First Amendment to Employment Agreement, dated December 31, 2008, by and between Wynn Las Vegas, LLC and Andrew Pascal. (13)</w:t>
            </w:r>
          </w:p>
        </w:tc>
      </w:tr>
      <w:tr>
        <w:trPr>
          <w:trHeight w:val="324"/>
        </w:trPr>
        <w:tc>
          <w:tcPr>
            <w:tcW w:w="600" w:type="dxa"/>
            <w:vAlign w:val="bottom"/>
          </w:tcPr>
          <w:p>
            <w:pPr>
              <w:ind w:left="200"/>
              <w:spacing w:after="0"/>
              <w:rPr>
                <w:sz w:val="20"/>
                <w:szCs w:val="20"/>
                <w:color w:val="auto"/>
              </w:rPr>
            </w:pPr>
            <w:r>
              <w:rPr>
                <w:rFonts w:ascii="Arial" w:cs="Arial" w:eastAsia="Arial" w:hAnsi="Arial"/>
                <w:sz w:val="18"/>
                <w:szCs w:val="18"/>
                <w:color w:val="auto"/>
                <w:w w:val="84"/>
              </w:rPr>
              <w:t>10.34</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Employment Agreement, dated as of May 5, 2009 by and between Wynn Las Vegas, LLC and Scott Peterson. (23)</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10.35</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0"/>
              </w:rPr>
              <w:t>Amended and Restated Credit Agreement, dated as of August 15, 2006 among Wynn Las Vegas, LLC, as the Borrower, several lenders and</w:t>
            </w:r>
          </w:p>
        </w:tc>
      </w:tr>
      <w:tr>
        <w:trPr>
          <w:trHeight w:val="222"/>
        </w:trPr>
        <w:tc>
          <w:tcPr>
            <w:tcW w:w="600" w:type="dxa"/>
            <w:vAlign w:val="bottom"/>
          </w:tcPr>
          <w:p>
            <w:pPr>
              <w:spacing w:after="0"/>
              <w:rPr>
                <w:sz w:val="19"/>
                <w:szCs w:val="19"/>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rPr>
              <w:t>agents, and Deutsche Bank Trust Company Americas, as Administrative Agent. (18)</w:t>
            </w:r>
          </w:p>
        </w:tc>
      </w:tr>
      <w:tr>
        <w:trPr>
          <w:trHeight w:val="318"/>
        </w:trPr>
        <w:tc>
          <w:tcPr>
            <w:tcW w:w="600" w:type="dxa"/>
            <w:vAlign w:val="bottom"/>
          </w:tcPr>
          <w:p>
            <w:pPr>
              <w:ind w:left="200"/>
              <w:spacing w:after="0"/>
              <w:rPr>
                <w:sz w:val="20"/>
                <w:szCs w:val="20"/>
                <w:color w:val="auto"/>
              </w:rPr>
            </w:pPr>
            <w:r>
              <w:rPr>
                <w:rFonts w:ascii="Arial" w:cs="Arial" w:eastAsia="Arial" w:hAnsi="Arial"/>
                <w:sz w:val="18"/>
                <w:szCs w:val="18"/>
                <w:color w:val="auto"/>
                <w:w w:val="84"/>
              </w:rPr>
              <w:t>10.36</w:t>
            </w: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1"/>
              </w:rPr>
              <w:t>First Amendment to Amended and Restated Credit Agreement dated April 9, 2007 among Wynn Las Vegas, LLC, Wynn Las Vegas Capital</w:t>
            </w:r>
          </w:p>
        </w:tc>
      </w:tr>
      <w:tr>
        <w:trPr>
          <w:trHeight w:val="216"/>
        </w:trPr>
        <w:tc>
          <w:tcPr>
            <w:tcW w:w="600" w:type="dxa"/>
            <w:vAlign w:val="bottom"/>
          </w:tcPr>
          <w:p>
            <w:pPr>
              <w:spacing w:after="0"/>
              <w:rPr>
                <w:sz w:val="18"/>
                <w:szCs w:val="18"/>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5"/>
              </w:rPr>
              <w:t>Corp., Wynn Show Performers, LLC, Wynn Golf, LLC, Wynn Sunrise, LLC, World Travel, LLC, Kevyn, LLC, Las Vegas Jet, LLC, and</w:t>
            </w:r>
          </w:p>
        </w:tc>
      </w:tr>
      <w:tr>
        <w:trPr>
          <w:trHeight w:val="216"/>
        </w:trPr>
        <w:tc>
          <w:tcPr>
            <w:tcW w:w="600" w:type="dxa"/>
            <w:vAlign w:val="bottom"/>
          </w:tcPr>
          <w:p>
            <w:pPr>
              <w:spacing w:after="0"/>
              <w:rPr>
                <w:sz w:val="18"/>
                <w:szCs w:val="18"/>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1"/>
              </w:rPr>
              <w:t>Deutsche Bank Trust Company Americas, as Administrative Agent on behalf of the several banks and other financial institutions or entities</w:t>
            </w:r>
          </w:p>
        </w:tc>
      </w:tr>
      <w:tr>
        <w:trPr>
          <w:trHeight w:val="222"/>
        </w:trPr>
        <w:tc>
          <w:tcPr>
            <w:tcW w:w="600" w:type="dxa"/>
            <w:vAlign w:val="bottom"/>
          </w:tcPr>
          <w:p>
            <w:pPr>
              <w:spacing w:after="0"/>
              <w:rPr>
                <w:sz w:val="19"/>
                <w:szCs w:val="19"/>
                <w:color w:val="auto"/>
              </w:rPr>
            </w:pPr>
          </w:p>
        </w:tc>
        <w:tc>
          <w:tcPr>
            <w:tcW w:w="10760" w:type="dxa"/>
            <w:vAlign w:val="bottom"/>
            <w:gridSpan w:val="5"/>
          </w:tcPr>
          <w:p>
            <w:pPr>
              <w:ind w:left="660"/>
              <w:spacing w:after="0"/>
              <w:rPr>
                <w:sz w:val="20"/>
                <w:szCs w:val="20"/>
                <w:color w:val="auto"/>
              </w:rPr>
            </w:pPr>
            <w:r>
              <w:rPr>
                <w:rFonts w:ascii="Arial" w:cs="Arial" w:eastAsia="Arial" w:hAnsi="Arial"/>
                <w:sz w:val="18"/>
                <w:szCs w:val="18"/>
                <w:color w:val="auto"/>
                <w:w w:val="99"/>
              </w:rPr>
              <w:t>from time to time party to Wynn Las Vegas LLC’s Amended and Restated Credit Agreement, dated as of August 15, 2006. (14)</w:t>
            </w:r>
          </w:p>
        </w:tc>
      </w:tr>
      <w:tr>
        <w:trPr>
          <w:trHeight w:val="365"/>
        </w:trPr>
        <w:tc>
          <w:tcPr>
            <w:tcW w:w="600" w:type="dxa"/>
            <w:vAlign w:val="bottom"/>
          </w:tcPr>
          <w:p>
            <w:pPr>
              <w:spacing w:after="0"/>
              <w:rPr>
                <w:sz w:val="24"/>
                <w:szCs w:val="24"/>
                <w:color w:val="auto"/>
              </w:rPr>
            </w:pPr>
          </w:p>
        </w:tc>
        <w:tc>
          <w:tcPr>
            <w:tcW w:w="5280" w:type="dxa"/>
            <w:vAlign w:val="bottom"/>
          </w:tcPr>
          <w:p>
            <w:pPr>
              <w:ind w:left="5020"/>
              <w:spacing w:after="0"/>
              <w:rPr>
                <w:sz w:val="20"/>
                <w:szCs w:val="20"/>
                <w:color w:val="auto"/>
              </w:rPr>
            </w:pPr>
            <w:r>
              <w:rPr>
                <w:rFonts w:ascii="Arial" w:cs="Arial" w:eastAsia="Arial" w:hAnsi="Arial"/>
                <w:sz w:val="18"/>
                <w:szCs w:val="18"/>
                <w:color w:val="auto"/>
              </w:rPr>
              <w:t>79</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20" w:type="dxa"/>
            <w:vAlign w:val="bottom"/>
          </w:tcPr>
          <w:p>
            <w:pPr>
              <w:spacing w:after="0"/>
              <w:rPr>
                <w:sz w:val="14"/>
                <w:szCs w:val="14"/>
                <w:color w:val="auto"/>
              </w:rPr>
            </w:pPr>
          </w:p>
        </w:tc>
      </w:tr>
      <w:tr>
        <w:trPr>
          <w:trHeight w:val="174"/>
        </w:trPr>
        <w:tc>
          <w:tcPr>
            <w:tcW w:w="600" w:type="dxa"/>
            <w:vAlign w:val="bottom"/>
          </w:tcPr>
          <w:p>
            <w:pPr>
              <w:jc w:val="right"/>
              <w:ind w:right="116"/>
              <w:spacing w:after="0"/>
              <w:rPr>
                <w:sz w:val="20"/>
                <w:szCs w:val="20"/>
                <w:color w:val="auto"/>
              </w:rPr>
            </w:pPr>
            <w:r>
              <w:rPr>
                <w:rFonts w:ascii="Arial" w:cs="Arial" w:eastAsia="Arial" w:hAnsi="Arial"/>
                <w:sz w:val="14"/>
                <w:szCs w:val="14"/>
                <w:b w:val="1"/>
                <w:bCs w:val="1"/>
                <w:color w:val="auto"/>
              </w:rPr>
              <w:t>No.</w:t>
            </w:r>
          </w:p>
        </w:tc>
        <w:tc>
          <w:tcPr>
            <w:tcW w:w="5280" w:type="dxa"/>
            <w:vAlign w:val="bottom"/>
          </w:tcPr>
          <w:p>
            <w:pPr>
              <w:spacing w:after="0"/>
              <w:rPr>
                <w:sz w:val="15"/>
                <w:szCs w:val="15"/>
                <w:color w:val="auto"/>
              </w:rPr>
            </w:pPr>
          </w:p>
        </w:tc>
        <w:tc>
          <w:tcPr>
            <w:tcW w:w="55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808080"/>
            </w:tcBorders>
          </w:tcPr>
          <w:p>
            <w:pPr>
              <w:spacing w:after="0"/>
              <w:rPr>
                <w:sz w:val="8"/>
                <w:szCs w:val="8"/>
                <w:color w:val="auto"/>
              </w:rPr>
            </w:pPr>
          </w:p>
        </w:tc>
        <w:tc>
          <w:tcPr>
            <w:tcW w:w="52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62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rPr>
              <w:t>10.37</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Second Amendment to Amended and Restated Credit Agreement dated October 31, 2007 among Wynn Las Vegas, LLC, Wynn Las Vegas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Wynn Resorts Holdings, LLC, Wynn Completion Guarantors, LLC and Deutsche Bank Trust Company Americas, as Administrative Agent on</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behalf of the several banks and other financial institutions or entities from time to time party to Wynn Las Vegas LLC’s Amended and Restated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Credit Agreement, dated as of August 15, 2006. (15)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10.38</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7"/>
              </w:rPr>
              <w:t>Third Amendment to Amended and Restated Credit Agreement dated as of September 17, 2008 among Wynn Las Vegas, LLC, Wynn Las Vegas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 on</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behalf of the several banks and other financial institutions or entities from time to time party to Wynn Las Vegas, LLC’s Amended and Restated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Credit Agreement, dated as of August 15, 2006. (12)</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10.39</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2"/>
              </w:rPr>
              <w:t>Fourth Amendment to Amended and Restated Credit Agreement, dated as of April 17, 2009, among Wynn Las Vegas, LLC and Wynn Las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2"/>
              </w:rPr>
              <w:t>Vegas Capital Corp., Wynn Show Performers, LLC, Wynn Golf, LLC, Wynn Sunrise, LLC, World Travel, LLC, Kevyn, LLC, Las Vegas Jet,</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LLC, Wynn Resorts Holdings, LLC, Wynn Completion Guarantors, LLC and Deutsche Bank Trust Company Americas, as Administrative</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Agent on behalf of the several banks and other financial institutions or entities from time to time party to Wynn Las Vegas LLC’s Amended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Restated Credit Agreement, dated as of August 15, 2006. (20)</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Fifth Amendment to Amended and Restated Credit Agreement, dated as of September 10, 2009, among Wynn Las Vegas, LLC and Wynn Las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2"/>
              </w:rPr>
              <w:t>Vegas Capital Corp., Wynn Show Performers, LLC, Wynn Golf, LLC, Wynn Sunrise, LLC, World Travel, LLC, Kevyn, LLC, Las Vegas Jet,</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LLC, Wynn Resorts Holdings, LLC, Wynn Completion Guarantors, LLC and Deutsche Bank Trust Company Americas, as Administrative</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Agent on behalf of the several banks and other financial institutions or entities from time to time party to Wynn Las Vegas LLC’s Amended and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Restated Credit Agreement, dated as of August 15, 2006. (21)</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10.41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Sixth Amendment to Amended and Restated Credit Agreement dated as of April 28, 2010 among Wynn Las Vegas, LLC, Wynn Las Vegas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0"/>
              </w:rPr>
              <w:t>Wynn Resorts Holdings, LLC, Wynn Completion Guarantor, LLC and Deutsche Bank Trust Company Americas, as Administrative Agent. (25)</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10.42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Seventh Amendment to Amended and Restated Credit Agreement dated as of August 4, 2010 among Wynn Las Vegas, LLC, Wynn Las Vegas</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3"/>
              </w:rPr>
              <w:t>Capital Corp., Wynn Show Performers, LLC, Wynn Golf, LLC, Wynn Sunrise, LLC, World Travel, LLC, Kevyn, LLC, Las Vegas Jet, LLC,</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 on</w:t>
            </w: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behalf of the several banks and other financial institutions or entities from time to time party to Wynn Las Vegas, LLC’s Amended and Restated</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Credit Agreement, dated as of August 15, 2006. (26)</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(27)</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(27)</w:t>
            </w:r>
          </w:p>
        </w:tc>
      </w:tr>
    </w:tbl>
    <w:p>
      <w:pPr>
        <w:spacing w:after="0" w:line="102" w:lineRule="exact"/>
        <w:rPr>
          <w:sz w:val="20"/>
          <w:szCs w:val="20"/>
          <w:color w:val="auto"/>
        </w:rPr>
      </w:pPr>
    </w:p>
    <w:p>
      <w:pPr>
        <w:ind w:left="1260" w:right="320" w:hanging="833"/>
        <w:spacing w:after="0" w:line="268"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 (27)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Previously filed with the Registration Statement on Form S-4 (File No. 333-124052) filed by the registrant on April 13, 2005.</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December 17,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Wynn Resorts on November 4, 2004.</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June 29,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Periodic Report on form 10-Q filed by Wynn Resorts, Limited on August 2, 2005.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19, 2008.</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Quarterly Report on Form 10-Q filed by the Registrant on November 9, 2006.</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February 22,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September 14, 2009.</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May 8,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19,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28,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LAS VEGAS, LLC</w:t>
      </w:r>
    </w:p>
    <w:p>
      <w:pPr>
        <w:spacing w:after="0" w:line="231" w:lineRule="exact"/>
        <w:rPr>
          <w:sz w:val="20"/>
          <w:szCs w:val="20"/>
          <w:color w:val="auto"/>
        </w:rPr>
      </w:pPr>
    </w:p>
    <w:p>
      <w:pPr>
        <w:spacing w:after="0"/>
        <w:tabs>
          <w:tab w:leader="none" w:pos="6060" w:val="left"/>
          <w:tab w:leader="none" w:pos="7960" w:val="left"/>
          <w:tab w:leader="none" w:pos="8320" w:val="left"/>
        </w:tabs>
        <w:rPr>
          <w:sz w:val="20"/>
          <w:szCs w:val="20"/>
          <w:color w:val="auto"/>
        </w:rPr>
      </w:pPr>
      <w:r>
        <w:rPr>
          <w:rFonts w:ascii="Arial" w:cs="Arial" w:eastAsia="Arial" w:hAnsi="Arial"/>
          <w:sz w:val="18"/>
          <w:szCs w:val="18"/>
          <w:color w:val="auto"/>
        </w:rPr>
        <w:t>Dated: February 28,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ARILYN</w:t>
      </w:r>
      <w:r>
        <w:rPr>
          <w:rFonts w:ascii="Arial" w:cs="Arial" w:eastAsia="Arial" w:hAnsi="Arial"/>
          <w:sz w:val="18"/>
          <w:szCs w:val="18"/>
          <w:color w:val="auto"/>
        </w:rPr>
        <w:t xml:space="preserve"> S</w:t>
      </w:r>
      <w:r>
        <w:rPr>
          <w:rFonts w:ascii="Arial" w:cs="Arial" w:eastAsia="Arial" w:hAnsi="Arial"/>
          <w:sz w:val="14"/>
          <w:szCs w:val="14"/>
          <w:color w:val="auto"/>
        </w:rPr>
        <w:t>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Marilyn Spiegel</w:t>
      </w:r>
    </w:p>
    <w:p>
      <w:pPr>
        <w:jc w:val="center"/>
        <w:ind w:left="6520"/>
        <w:spacing w:after="0" w:line="223" w:lineRule="auto"/>
        <w:rPr>
          <w:sz w:val="20"/>
          <w:szCs w:val="20"/>
          <w:color w:val="auto"/>
        </w:rPr>
      </w:pPr>
      <w:r>
        <w:rPr>
          <w:rFonts w:ascii="Arial" w:cs="Arial" w:eastAsia="Arial" w:hAnsi="Arial"/>
          <w:sz w:val="14"/>
          <w:szCs w:val="14"/>
          <w:b w:val="1"/>
          <w:bCs w:val="1"/>
          <w:color w:val="auto"/>
        </w:rPr>
        <w:t>President</w:t>
      </w:r>
    </w:p>
    <w:p>
      <w:pPr>
        <w:jc w:val="center"/>
        <w:ind w:left="652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5"/>
                <w:szCs w:val="15"/>
                <w:color w:val="auto"/>
              </w:rPr>
            </w:pPr>
          </w:p>
        </w:tc>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76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92"/>
              </w:rPr>
              <w:t>Date</w:t>
            </w:r>
          </w:p>
        </w:tc>
      </w:tr>
      <w:tr>
        <w:trPr>
          <w:trHeight w:val="95"/>
        </w:trPr>
        <w:tc>
          <w:tcPr>
            <w:tcW w:w="1600" w:type="dxa"/>
            <w:vAlign w:val="bottom"/>
            <w:gridSpan w:val="2"/>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r>
      <w:tr>
        <w:trPr>
          <w:trHeight w:val="532"/>
        </w:trPr>
        <w:tc>
          <w:tcPr>
            <w:tcW w:w="1600" w:type="dxa"/>
            <w:vAlign w:val="bottom"/>
            <w:gridSpan w:val="2"/>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TEPHEN</w:t>
            </w:r>
            <w:r>
              <w:rPr>
                <w:rFonts w:ascii="Arial" w:cs="Arial" w:eastAsia="Arial" w:hAnsi="Arial"/>
                <w:sz w:val="18"/>
                <w:szCs w:val="18"/>
                <w:color w:val="auto"/>
                <w:w w:val="96"/>
              </w:rPr>
              <w:t xml:space="preserve"> A. W</w:t>
            </w:r>
            <w:r>
              <w:rPr>
                <w:rFonts w:ascii="Arial" w:cs="Arial" w:eastAsia="Arial" w:hAnsi="Arial"/>
                <w:sz w:val="14"/>
                <w:szCs w:val="14"/>
                <w:color w:val="auto"/>
                <w:w w:val="96"/>
              </w:rPr>
              <w:t>YNN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6"/>
              </w:rPr>
              <w:t>Stephen A. Wynn</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Vice Chairman of the Board</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Kazuo Okada</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360" w:type="dxa"/>
            <w:vAlign w:val="bottom"/>
          </w:tcPr>
          <w:p>
            <w:pPr>
              <w:spacing w:after="0"/>
              <w:rPr>
                <w:sz w:val="24"/>
                <w:szCs w:val="24"/>
                <w:color w:val="auto"/>
              </w:rPr>
            </w:pPr>
          </w:p>
        </w:tc>
        <w:tc>
          <w:tcPr>
            <w:tcW w:w="3220" w:type="dxa"/>
            <w:vAlign w:val="bottom"/>
            <w:gridSpan w:val="4"/>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President, Wynn International Marketing and Director</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9"/>
              </w:rPr>
              <w:t>Linda Chen</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360" w:type="dxa"/>
            <w:vAlign w:val="bottom"/>
          </w:tcPr>
          <w:p>
            <w:pPr>
              <w:ind w:left="11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20" w:type="dxa"/>
            <w:vAlign w:val="bottom"/>
            <w:gridSpan w:val="4"/>
          </w:tcPr>
          <w:p>
            <w:pPr>
              <w:jc w:val="center"/>
              <w:ind w:right="128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USSELL</w:t>
            </w:r>
            <w:r>
              <w:rPr>
                <w:rFonts w:ascii="Arial" w:cs="Arial" w:eastAsia="Arial" w:hAnsi="Arial"/>
                <w:sz w:val="18"/>
                <w:szCs w:val="18"/>
                <w:color w:val="auto"/>
                <w:w w:val="99"/>
              </w:rPr>
              <w:t xml:space="preserve"> G</w:t>
            </w:r>
            <w:r>
              <w:rPr>
                <w:rFonts w:ascii="Arial" w:cs="Arial" w:eastAsia="Arial" w:hAnsi="Arial"/>
                <w:sz w:val="14"/>
                <w:szCs w:val="14"/>
                <w:color w:val="auto"/>
                <w:w w:val="99"/>
              </w:rPr>
              <w:t>OLDSMITH</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4"/>
              </w:rPr>
              <w:t>Russell Goldsmith</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3"/>
              </w:rPr>
              <w:t>Dr. Ray R. Irani</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600" w:type="dxa"/>
            <w:vAlign w:val="bottom"/>
            <w:gridSpan w:val="2"/>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Robert J. Miller</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John A. Moran</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ARC</w:t>
            </w:r>
            <w:r>
              <w:rPr>
                <w:rFonts w:ascii="Arial" w:cs="Arial" w:eastAsia="Arial" w:hAnsi="Arial"/>
                <w:sz w:val="18"/>
                <w:szCs w:val="18"/>
                <w:color w:val="auto"/>
                <w:w w:val="97"/>
              </w:rPr>
              <w:t xml:space="preserve"> S</w:t>
            </w:r>
            <w:r>
              <w:rPr>
                <w:rFonts w:ascii="Arial" w:cs="Arial" w:eastAsia="Arial" w:hAnsi="Arial"/>
                <w:sz w:val="14"/>
                <w:szCs w:val="14"/>
                <w:color w:val="auto"/>
                <w:w w:val="97"/>
              </w:rPr>
              <w:t>CHORR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90"/>
              </w:rPr>
              <w:t>Marc Schorr</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360" w:type="dxa"/>
            <w:vAlign w:val="bottom"/>
          </w:tcPr>
          <w:p>
            <w:pPr>
              <w:ind w:left="11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20" w:type="dxa"/>
            <w:vAlign w:val="bottom"/>
            <w:gridSpan w:val="4"/>
          </w:tcPr>
          <w:p>
            <w:pPr>
              <w:jc w:val="center"/>
              <w:ind w:right="128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LVIN</w:t>
            </w:r>
            <w:r>
              <w:rPr>
                <w:rFonts w:ascii="Arial" w:cs="Arial" w:eastAsia="Arial" w:hAnsi="Arial"/>
                <w:sz w:val="18"/>
                <w:szCs w:val="18"/>
                <w:color w:val="auto"/>
                <w:w w:val="99"/>
              </w:rPr>
              <w:t xml:space="preserve"> V. S</w:t>
            </w:r>
            <w:r>
              <w:rPr>
                <w:rFonts w:ascii="Arial" w:cs="Arial" w:eastAsia="Arial" w:hAnsi="Arial"/>
                <w:sz w:val="14"/>
                <w:szCs w:val="14"/>
                <w:color w:val="auto"/>
                <w:w w:val="99"/>
              </w:rPr>
              <w:t>HOEMAKER</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8"/>
              </w:rPr>
              <w:t>Alvin V. Shoemaker</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600" w:type="dxa"/>
            <w:vAlign w:val="bottom"/>
            <w:gridSpan w:val="2"/>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4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5"/>
              </w:rPr>
              <w:t>D. Boone Wayson</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LAINE</w:t>
            </w:r>
            <w:r>
              <w:rPr>
                <w:rFonts w:ascii="Arial" w:cs="Arial" w:eastAsia="Arial" w:hAnsi="Arial"/>
                <w:sz w:val="18"/>
                <w:szCs w:val="18"/>
                <w:color w:val="auto"/>
                <w:w w:val="96"/>
              </w:rPr>
              <w:t xml:space="preserve"> P. W</w:t>
            </w:r>
            <w:r>
              <w:rPr>
                <w:rFonts w:ascii="Arial" w:cs="Arial" w:eastAsia="Arial" w:hAnsi="Arial"/>
                <w:sz w:val="14"/>
                <w:szCs w:val="14"/>
                <w:color w:val="auto"/>
                <w:w w:val="96"/>
              </w:rPr>
              <w:t>YNN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7"/>
              </w:rPr>
              <w:t>Elaine P. Wynn</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431"/>
        </w:trPr>
        <w:tc>
          <w:tcPr>
            <w:tcW w:w="13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80" w:type="dxa"/>
            <w:vAlign w:val="bottom"/>
            <w:gridSpan w:val="3"/>
          </w:tcPr>
          <w:p>
            <w:pPr>
              <w:jc w:val="center"/>
              <w:ind w:right="15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60" w:type="dxa"/>
            <w:vAlign w:val="bottom"/>
            <w:gridSpan w:val="3"/>
          </w:tcPr>
          <w:p>
            <w:pPr>
              <w:jc w:val="center"/>
              <w:ind w:left="394"/>
              <w:spacing w:after="0"/>
              <w:rPr>
                <w:sz w:val="20"/>
                <w:szCs w:val="20"/>
                <w:color w:val="auto"/>
              </w:rPr>
            </w:pPr>
            <w:r>
              <w:rPr>
                <w:rFonts w:ascii="Arial" w:cs="Arial" w:eastAsia="Arial" w:hAnsi="Arial"/>
                <w:sz w:val="18"/>
                <w:szCs w:val="18"/>
                <w:color w:val="auto"/>
                <w:w w:val="86"/>
              </w:rPr>
              <w:t>February 28, 2011</w:t>
            </w:r>
          </w:p>
        </w:tc>
      </w:tr>
      <w:tr>
        <w:trPr>
          <w:trHeight w:val="110"/>
        </w:trPr>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980" w:type="dxa"/>
            <w:vAlign w:val="bottom"/>
            <w:tcBorders>
              <w:bottom w:val="single" w:sz="8" w:color="808080"/>
            </w:tcBorders>
            <w:gridSpan w:val="3"/>
          </w:tcPr>
          <w:p>
            <w:pPr>
              <w:spacing w:after="0"/>
              <w:rPr>
                <w:sz w:val="9"/>
                <w:szCs w:val="9"/>
                <w:color w:val="auto"/>
              </w:rPr>
            </w:pPr>
          </w:p>
        </w:tc>
        <w:tc>
          <w:tcPr>
            <w:tcW w:w="2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263"/>
        </w:trPr>
        <w:tc>
          <w:tcPr>
            <w:tcW w:w="1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98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1"/>
              </w:rPr>
              <w:t>Allan Zeman</w:t>
            </w: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8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86"/>
              </w:rPr>
              <w:t>Signature</w:t>
            </w:r>
          </w:p>
        </w:tc>
        <w:tc>
          <w:tcPr>
            <w:tcW w:w="2080" w:type="dxa"/>
            <w:vAlign w:val="bottom"/>
          </w:tcPr>
          <w:p>
            <w:pPr>
              <w:spacing w:after="0"/>
              <w:rPr>
                <w:sz w:val="15"/>
                <w:szCs w:val="15"/>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spacing w:after="0"/>
              <w:rPr>
                <w:sz w:val="15"/>
                <w:szCs w:val="15"/>
                <w:color w:val="auto"/>
              </w:rPr>
            </w:pPr>
          </w:p>
        </w:tc>
        <w:tc>
          <w:tcPr>
            <w:tcW w:w="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9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1580" w:type="dxa"/>
            <w:vAlign w:val="bottom"/>
          </w:tcPr>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00" w:type="dxa"/>
            <w:vAlign w:val="bottom"/>
            <w:gridSpan w:val="3"/>
          </w:tcPr>
          <w:p>
            <w:pPr>
              <w:jc w:val="center"/>
              <w:ind w:right="15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ARILYN</w:t>
            </w:r>
            <w:r>
              <w:rPr>
                <w:rFonts w:ascii="Arial" w:cs="Arial" w:eastAsia="Arial" w:hAnsi="Arial"/>
                <w:sz w:val="18"/>
                <w:szCs w:val="18"/>
                <w:color w:val="auto"/>
              </w:rPr>
              <w:t xml:space="preserve"> S</w:t>
            </w:r>
            <w:r>
              <w:rPr>
                <w:rFonts w:ascii="Arial" w:cs="Arial" w:eastAsia="Arial" w:hAnsi="Arial"/>
                <w:sz w:val="14"/>
                <w:szCs w:val="14"/>
                <w:color w:val="auto"/>
              </w:rPr>
              <w:t>PIEGEL</w:t>
            </w:r>
          </w:p>
        </w:tc>
        <w:tc>
          <w:tcPr>
            <w:tcW w:w="4420" w:type="dxa"/>
            <w:vAlign w:val="bottom"/>
            <w:gridSpan w:val="3"/>
          </w:tcPr>
          <w:p>
            <w:pPr>
              <w:ind w:left="240"/>
              <w:spacing w:after="0"/>
              <w:rPr>
                <w:sz w:val="20"/>
                <w:szCs w:val="20"/>
                <w:color w:val="auto"/>
              </w:rPr>
            </w:pPr>
            <w:r>
              <w:rPr>
                <w:rFonts w:ascii="Arial" w:cs="Arial" w:eastAsia="Arial" w:hAnsi="Arial"/>
                <w:sz w:val="18"/>
                <w:szCs w:val="18"/>
                <w:color w:val="auto"/>
              </w:rPr>
              <w:t>President (Principal Executive Officer)</w:t>
            </w:r>
          </w:p>
        </w:tc>
        <w:tc>
          <w:tcPr>
            <w:tcW w:w="1860" w:type="dxa"/>
            <w:vAlign w:val="bottom"/>
            <w:gridSpan w:val="3"/>
          </w:tcPr>
          <w:p>
            <w:pPr>
              <w:jc w:val="center"/>
              <w:ind w:left="49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10"/>
        </w:trPr>
        <w:tc>
          <w:tcPr>
            <w:tcW w:w="15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gridSpan w:val="3"/>
          </w:tcPr>
          <w:p>
            <w:pPr>
              <w:spacing w:after="0"/>
              <w:rPr>
                <w:sz w:val="9"/>
                <w:szCs w:val="9"/>
                <w:color w:val="auto"/>
              </w:rPr>
            </w:pPr>
          </w:p>
        </w:tc>
        <w:tc>
          <w:tcPr>
            <w:tcW w:w="2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580" w:type="dxa"/>
            <w:vAlign w:val="bottom"/>
          </w:tcPr>
          <w:p>
            <w:pPr>
              <w:spacing w:after="0"/>
              <w:rPr>
                <w:sz w:val="22"/>
                <w:szCs w:val="22"/>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9"/>
              </w:rPr>
              <w:t>Marilyn Spiegel</w:t>
            </w:r>
          </w:p>
        </w:tc>
        <w:tc>
          <w:tcPr>
            <w:tcW w:w="2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580" w:type="dxa"/>
            <w:vAlign w:val="bottom"/>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00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S</w:t>
            </w:r>
            <w:r>
              <w:rPr>
                <w:rFonts w:ascii="Arial" w:cs="Arial" w:eastAsia="Arial" w:hAnsi="Arial"/>
                <w:sz w:val="14"/>
                <w:szCs w:val="14"/>
                <w:color w:val="auto"/>
                <w:w w:val="94"/>
              </w:rPr>
              <w:t>COTT</w:t>
            </w:r>
            <w:r>
              <w:rPr>
                <w:rFonts w:ascii="Arial" w:cs="Arial" w:eastAsia="Arial" w:hAnsi="Arial"/>
                <w:sz w:val="18"/>
                <w:szCs w:val="18"/>
                <w:color w:val="auto"/>
                <w:w w:val="94"/>
              </w:rPr>
              <w:t xml:space="preserve"> P</w:t>
            </w:r>
            <w:r>
              <w:rPr>
                <w:rFonts w:ascii="Arial" w:cs="Arial" w:eastAsia="Arial" w:hAnsi="Arial"/>
                <w:sz w:val="14"/>
                <w:szCs w:val="14"/>
                <w:color w:val="auto"/>
                <w:w w:val="94"/>
              </w:rPr>
              <w:t>ETERSON</w:t>
            </w:r>
          </w:p>
        </w:tc>
        <w:tc>
          <w:tcPr>
            <w:tcW w:w="4420" w:type="dxa"/>
            <w:vAlign w:val="bottom"/>
            <w:gridSpan w:val="3"/>
          </w:tcPr>
          <w:p>
            <w:pPr>
              <w:jc w:val="center"/>
              <w:ind w:right="2120"/>
              <w:spacing w:after="0"/>
              <w:rPr>
                <w:sz w:val="20"/>
                <w:szCs w:val="20"/>
                <w:color w:val="auto"/>
              </w:rPr>
            </w:pPr>
            <w:r>
              <w:rPr>
                <w:rFonts w:ascii="Arial" w:cs="Arial" w:eastAsia="Arial" w:hAnsi="Arial"/>
                <w:sz w:val="18"/>
                <w:szCs w:val="18"/>
                <w:color w:val="auto"/>
                <w:w w:val="87"/>
              </w:rPr>
              <w:t>Senior Vice President and</w:t>
            </w:r>
          </w:p>
        </w:tc>
        <w:tc>
          <w:tcPr>
            <w:tcW w:w="1860" w:type="dxa"/>
            <w:vAlign w:val="bottom"/>
            <w:gridSpan w:val="3"/>
          </w:tcPr>
          <w:p>
            <w:pPr>
              <w:jc w:val="center"/>
              <w:ind w:left="492"/>
              <w:spacing w:after="0"/>
              <w:rPr>
                <w:sz w:val="20"/>
                <w:szCs w:val="20"/>
                <w:color w:val="auto"/>
              </w:rPr>
            </w:pPr>
            <w:r>
              <w:rPr>
                <w:rFonts w:ascii="Arial" w:cs="Arial" w:eastAsia="Arial" w:hAnsi="Arial"/>
                <w:sz w:val="18"/>
                <w:szCs w:val="18"/>
                <w:color w:val="auto"/>
                <w:w w:val="86"/>
              </w:rPr>
              <w:t>February 28, 2011</w:t>
            </w:r>
          </w:p>
        </w:tc>
        <w:tc>
          <w:tcPr>
            <w:tcW w:w="0" w:type="dxa"/>
            <w:vAlign w:val="bottom"/>
          </w:tcPr>
          <w:p>
            <w:pPr>
              <w:spacing w:after="0"/>
              <w:rPr>
                <w:sz w:val="1"/>
                <w:szCs w:val="1"/>
                <w:color w:val="auto"/>
              </w:rPr>
            </w:pPr>
          </w:p>
        </w:tc>
      </w:tr>
      <w:tr>
        <w:trPr>
          <w:trHeight w:val="116"/>
        </w:trPr>
        <w:tc>
          <w:tcPr>
            <w:tcW w:w="15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4420" w:type="dxa"/>
            <w:vAlign w:val="bottom"/>
            <w:gridSpan w:val="3"/>
            <w:vMerge w:val="restart"/>
          </w:tcPr>
          <w:p>
            <w:pPr>
              <w:ind w:left="460"/>
              <w:spacing w:after="0"/>
              <w:rPr>
                <w:sz w:val="20"/>
                <w:szCs w:val="20"/>
                <w:color w:val="auto"/>
              </w:rPr>
            </w:pPr>
            <w:r>
              <w:rPr>
                <w:rFonts w:ascii="Arial" w:cs="Arial" w:eastAsia="Arial" w:hAnsi="Arial"/>
                <w:sz w:val="18"/>
                <w:szCs w:val="18"/>
                <w:color w:val="auto"/>
              </w:rPr>
              <w:t>Chief Financial Officer (Principal Financial and</w:t>
            </w: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4420" w:type="dxa"/>
            <w:vAlign w:val="bottom"/>
            <w:gridSpan w:val="3"/>
            <w:vMerge w:val="continue"/>
          </w:tcPr>
          <w:p>
            <w:pPr>
              <w:spacing w:after="0"/>
              <w:rPr>
                <w:sz w:val="6"/>
                <w:szCs w:val="6"/>
                <w:color w:val="auto"/>
              </w:rPr>
            </w:pPr>
          </w:p>
        </w:tc>
        <w:tc>
          <w:tcPr>
            <w:tcW w:w="10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1580" w:type="dxa"/>
            <w:vAlign w:val="bottom"/>
          </w:tcPr>
          <w:p>
            <w:pPr>
              <w:spacing w:after="0"/>
              <w:rPr>
                <w:sz w:val="19"/>
                <w:szCs w:val="19"/>
                <w:color w:val="auto"/>
              </w:rPr>
            </w:pPr>
          </w:p>
        </w:tc>
        <w:tc>
          <w:tcPr>
            <w:tcW w:w="3000" w:type="dxa"/>
            <w:vAlign w:val="bottom"/>
            <w:gridSpan w:val="3"/>
          </w:tcPr>
          <w:p>
            <w:pPr>
              <w:jc w:val="center"/>
              <w:ind w:right="1560"/>
              <w:spacing w:after="0"/>
              <w:rPr>
                <w:sz w:val="20"/>
                <w:szCs w:val="20"/>
                <w:color w:val="auto"/>
              </w:rPr>
            </w:pPr>
            <w:r>
              <w:rPr>
                <w:rFonts w:ascii="Arial" w:cs="Arial" w:eastAsia="Arial" w:hAnsi="Arial"/>
                <w:sz w:val="14"/>
                <w:szCs w:val="14"/>
                <w:b w:val="1"/>
                <w:bCs w:val="1"/>
                <w:color w:val="auto"/>
                <w:w w:val="84"/>
              </w:rPr>
              <w:t>Scott Peterson</w:t>
            </w:r>
          </w:p>
        </w:tc>
        <w:tc>
          <w:tcPr>
            <w:tcW w:w="4420" w:type="dxa"/>
            <w:vAlign w:val="bottom"/>
            <w:gridSpan w:val="3"/>
          </w:tcPr>
          <w:p>
            <w:pPr>
              <w:jc w:val="center"/>
              <w:ind w:right="2080"/>
              <w:spacing w:after="0"/>
              <w:rPr>
                <w:sz w:val="20"/>
                <w:szCs w:val="20"/>
                <w:color w:val="auto"/>
              </w:rPr>
            </w:pPr>
            <w:r>
              <w:rPr>
                <w:rFonts w:ascii="Arial" w:cs="Arial" w:eastAsia="Arial" w:hAnsi="Arial"/>
                <w:sz w:val="18"/>
                <w:szCs w:val="18"/>
                <w:color w:val="auto"/>
                <w:w w:val="92"/>
              </w:rPr>
              <w:t>Accounting Officer)</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80" w:type="dxa"/>
            <w:vAlign w:val="bottom"/>
          </w:tcPr>
          <w:p>
            <w:pPr>
              <w:jc w:val="center"/>
              <w:ind w:left="92"/>
              <w:spacing w:after="0"/>
              <w:rPr>
                <w:sz w:val="20"/>
                <w:szCs w:val="20"/>
                <w:color w:val="auto"/>
              </w:rPr>
            </w:pPr>
            <w:r>
              <w:rPr>
                <w:rFonts w:ascii="Arial" w:cs="Arial" w:eastAsia="Arial" w:hAnsi="Arial"/>
                <w:sz w:val="18"/>
                <w:szCs w:val="18"/>
                <w:color w:val="auto"/>
                <w:w w:val="89"/>
              </w:rPr>
              <w:t>83</w:t>
            </w:r>
          </w:p>
        </w:tc>
        <w:tc>
          <w:tcPr>
            <w:tcW w:w="3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459" w:right="79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FIFTH AMENDED AND RESTATED</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ART RENTAL</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LICENSING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STEPHEN A. WYNN</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(Lessor)</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WYNN LAS VEGAS, LLC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(Lessee)</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July 1, 2007</w:t>
      </w:r>
    </w:p>
    <w:p>
      <w:pPr>
        <w:sectPr>
          <w:pgSz w:w="11900" w:h="16838" w:orient="portrait"/>
          <w:cols w:equalWidth="0" w:num="1">
            <w:col w:w="10220"/>
          </w:cols>
          <w:pgMar w:left="1440" w:top="125" w:right="239"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AMENDED AND RESTATED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 RENTAL AND LICENSING AGREEMENT</w:t>
      </w:r>
    </w:p>
    <w:p>
      <w:pPr>
        <w:spacing w:after="0" w:line="159"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This Fifth Amended and Restated Art Rental and Licensing Agreement (“Agreement”), is entered into this 1st day of July, 2007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STEPHEN A. WYNN (“</w:t>
      </w:r>
      <w:r>
        <w:rPr>
          <w:rFonts w:ascii="Arial" w:cs="Arial" w:eastAsia="Arial" w:hAnsi="Arial"/>
          <w:sz w:val="18"/>
          <w:szCs w:val="18"/>
          <w:b w:val="1"/>
          <w:bCs w:val="1"/>
          <w:color w:val="auto"/>
        </w:rPr>
        <w:t>Lessor</w:t>
      </w:r>
      <w:r>
        <w:rPr>
          <w:rFonts w:ascii="Arial" w:cs="Arial" w:eastAsia="Arial" w:hAnsi="Arial"/>
          <w:sz w:val="18"/>
          <w:szCs w:val="18"/>
          <w:color w:val="auto"/>
        </w:rPr>
        <w:t>”) and WYNN LAS VEGAS, LLC (“</w:t>
      </w:r>
      <w:r>
        <w:rPr>
          <w:rFonts w:ascii="Arial" w:cs="Arial" w:eastAsia="Arial" w:hAnsi="Arial"/>
          <w:sz w:val="18"/>
          <w:szCs w:val="18"/>
          <w:b w:val="1"/>
          <w:bCs w:val="1"/>
          <w:color w:val="auto"/>
        </w:rPr>
        <w:t>Lessee</w:t>
      </w:r>
      <w:r>
        <w:rPr>
          <w:rFonts w:ascii="Arial" w:cs="Arial" w:eastAsia="Arial" w:hAnsi="Arial"/>
          <w:sz w:val="18"/>
          <w:szCs w:val="18"/>
          <w:color w:val="auto"/>
        </w:rPr>
        <w:t>”).</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 E C I T A L 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A. Lessor is the owner of the paintings and other art works identified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this reference (collectively, the “</w:t>
      </w:r>
      <w:r>
        <w:rPr>
          <w:rFonts w:ascii="Arial" w:cs="Arial" w:eastAsia="Arial" w:hAnsi="Arial"/>
          <w:sz w:val="18"/>
          <w:szCs w:val="18"/>
          <w:b w:val="1"/>
          <w:bCs w:val="1"/>
          <w:color w:val="auto"/>
        </w:rPr>
        <w:t>Works</w:t>
      </w:r>
      <w:r>
        <w:rPr>
          <w:rFonts w:ascii="Arial" w:cs="Arial" w:eastAsia="Arial" w:hAnsi="Arial"/>
          <w:sz w:val="18"/>
          <w:szCs w:val="18"/>
          <w:color w:val="auto"/>
        </w:rPr>
        <w:t>”), which may be updated from time to time in accordance with this Agreement. Works shall only include Works deemed to be on display by Lessee as provided in Section 7.</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B. Lessor wishes to lease to Lessee, and Lessee wishes to lease from Lessor, the Works, in order to publicly display the Works at various public locations within the Wynn Las Vegas resort at 3131 Las Vegas Boulevard South, Las Vegas, Nevada (the “</w:t>
      </w:r>
      <w:r>
        <w:rPr>
          <w:rFonts w:ascii="Arial" w:cs="Arial" w:eastAsia="Arial" w:hAnsi="Arial"/>
          <w:sz w:val="16"/>
          <w:szCs w:val="16"/>
          <w:b w:val="1"/>
          <w:bCs w:val="1"/>
          <w:color w:val="auto"/>
        </w:rPr>
        <w:t>Resort</w:t>
      </w:r>
      <w:r>
        <w:rPr>
          <w:rFonts w:ascii="Arial" w:cs="Arial" w:eastAsia="Arial" w:hAnsi="Arial"/>
          <w:sz w:val="16"/>
          <w:szCs w:val="16"/>
          <w:color w:val="auto"/>
        </w:rPr>
        <w:t>”), as well as public locations located within any connected addition or expansion of the Resort, including but not limited to the Encore expansion of the Resort.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 By publicly displaying the Works, Lessor and Lessee desire to promote the Works and to enhance the cultural and educational opportunities for Nevada residents and visitors.</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A G R E E M E N T</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Based upon the foregoing and the following terms and conditions, the parties hereto agree that the foregoing recitals are true and correct and as follows:</w:t>
      </w:r>
    </w:p>
    <w:p>
      <w:pPr>
        <w:spacing w:after="0" w:line="194" w:lineRule="exact"/>
        <w:rPr>
          <w:sz w:val="20"/>
          <w:szCs w:val="20"/>
          <w:color w:val="auto"/>
        </w:rPr>
      </w:pPr>
    </w:p>
    <w:p>
      <w:pPr>
        <w:ind w:right="60" w:firstLine="464"/>
        <w:spacing w:after="0" w:line="259"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Rental</w:t>
      </w:r>
      <w:r>
        <w:rPr>
          <w:rFonts w:ascii="Arial" w:cs="Arial" w:eastAsia="Arial" w:hAnsi="Arial"/>
          <w:sz w:val="18"/>
          <w:szCs w:val="18"/>
          <w:color w:val="auto"/>
        </w:rPr>
        <w:t>. Upon the terms and subject to the conditions of this Agreement, Lessor hereby grants to Lessee a continuing right to publicly display the Works in the Resort, and Lessee hereby accepts from Lessor the rental of the works. The installation layout and plan for the Works shall be subject to Lessor’s prior approval.</w:t>
      </w:r>
    </w:p>
    <w:p>
      <w:pPr>
        <w:spacing w:after="0" w:line="126" w:lineRule="exact"/>
        <w:rPr>
          <w:rFonts w:ascii="Arial" w:cs="Arial" w:eastAsia="Arial" w:hAnsi="Arial"/>
          <w:sz w:val="18"/>
          <w:szCs w:val="18"/>
          <w:color w:val="auto"/>
        </w:rPr>
      </w:pPr>
    </w:p>
    <w:p>
      <w:pPr>
        <w:ind w:left="5660" w:hanging="107"/>
        <w:spacing w:after="0"/>
        <w:tabs>
          <w:tab w:leader="none" w:pos="5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340"/>
          </w:cols>
          <w:pgMar w:left="240" w:top="274" w:right="319" w:bottom="1440" w:gutter="0" w:footer="0" w:header="0"/>
        </w:sectPr>
      </w:pPr>
    </w:p>
    <w:bookmarkStart w:id="85" w:name="page86"/>
    <w:bookmarkEnd w:id="85"/>
    <w:p>
      <w:pPr>
        <w:jc w:val="both"/>
        <w:ind w:left="-464" w:right="40" w:firstLine="464"/>
        <w:spacing w:after="0" w:line="259" w:lineRule="auto"/>
        <w:tabs>
          <w:tab w:leader="none" w:pos="16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w:t>
      </w:r>
      <w:r>
        <w:rPr>
          <w:rFonts w:ascii="Arial" w:cs="Arial" w:eastAsia="Arial" w:hAnsi="Arial"/>
          <w:sz w:val="18"/>
          <w:szCs w:val="18"/>
          <w:color w:val="auto"/>
        </w:rPr>
        <w:t>. Lessee agrees to maintain the Works on public display, make the Resort available for student tours, and take such other actions as may be necessary or appropriate for meeting the requirements of Sections 361.068, 361.186, 374.291 and 374.2911 of the Nevada Revised Statutes (“</w:t>
      </w:r>
      <w:r>
        <w:rPr>
          <w:rFonts w:ascii="Arial" w:cs="Arial" w:eastAsia="Arial" w:hAnsi="Arial"/>
          <w:sz w:val="18"/>
          <w:szCs w:val="18"/>
          <w:b w:val="1"/>
          <w:bCs w:val="1"/>
          <w:color w:val="auto"/>
        </w:rPr>
        <w:t>NRS</w:t>
      </w:r>
      <w:r>
        <w:rPr>
          <w:rFonts w:ascii="Arial" w:cs="Arial" w:eastAsia="Arial" w:hAnsi="Arial"/>
          <w:sz w:val="18"/>
          <w:szCs w:val="18"/>
          <w:color w:val="auto"/>
        </w:rPr>
        <w:t xml:space="preserve">”), and agrees to comply with NRS 597.720, </w:t>
      </w:r>
      <w:r>
        <w:rPr>
          <w:rFonts w:ascii="Arial" w:cs="Arial" w:eastAsia="Arial" w:hAnsi="Arial"/>
          <w:sz w:val="18"/>
          <w:szCs w:val="18"/>
          <w:u w:val="single" w:color="auto"/>
          <w:color w:val="auto"/>
        </w:rPr>
        <w:t>et seq</w:t>
      </w:r>
      <w:r>
        <w:rPr>
          <w:rFonts w:ascii="Arial" w:cs="Arial" w:eastAsia="Arial" w:hAnsi="Arial"/>
          <w:sz w:val="18"/>
          <w:szCs w:val="18"/>
          <w:color w:val="auto"/>
        </w:rPr>
        <w:t>., and all other applicable laws.</w:t>
      </w:r>
    </w:p>
    <w:p>
      <w:pPr>
        <w:spacing w:after="0" w:line="140" w:lineRule="exact"/>
        <w:rPr>
          <w:rFonts w:ascii="Arial" w:cs="Arial" w:eastAsia="Arial" w:hAnsi="Arial"/>
          <w:sz w:val="18"/>
          <w:szCs w:val="18"/>
          <w:color w:val="auto"/>
        </w:rPr>
      </w:pPr>
    </w:p>
    <w:p>
      <w:pPr>
        <w:ind w:left="-464" w:right="200" w:firstLine="464"/>
        <w:spacing w:after="0" w:line="259" w:lineRule="auto"/>
        <w:tabs>
          <w:tab w:leader="none" w:pos="16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Exhibition and Promotion</w:t>
      </w:r>
      <w:r>
        <w:rPr>
          <w:rFonts w:ascii="Arial" w:cs="Arial" w:eastAsia="Arial" w:hAnsi="Arial"/>
          <w:sz w:val="18"/>
          <w:szCs w:val="18"/>
          <w:color w:val="auto"/>
        </w:rPr>
        <w:t>. Lessee agrees (a) to exhibit the Works in a manner approved by Lessor, (b) to transport, handle, care for, and display the Works in a manner consistent with the world-class quality of the Works, (c) to maintain the Resort as a first-class facility, and (d) to promote the Works through “Openings,” “Receptions,” and public events.</w:t>
      </w:r>
    </w:p>
    <w:p>
      <w:pPr>
        <w:spacing w:after="0" w:line="140" w:lineRule="exact"/>
        <w:rPr>
          <w:rFonts w:ascii="Arial" w:cs="Arial" w:eastAsia="Arial" w:hAnsi="Arial"/>
          <w:sz w:val="18"/>
          <w:szCs w:val="18"/>
          <w:color w:val="auto"/>
        </w:rPr>
      </w:pPr>
    </w:p>
    <w:p>
      <w:pPr>
        <w:ind w:left="-464" w:firstLine="464"/>
        <w:spacing w:after="0" w:line="288" w:lineRule="auto"/>
        <w:tabs>
          <w:tab w:leader="none" w:pos="16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Merchandising</w:t>
      </w:r>
      <w:r>
        <w:rPr>
          <w:rFonts w:ascii="Arial" w:cs="Arial" w:eastAsia="Arial" w:hAnsi="Arial"/>
          <w:sz w:val="16"/>
          <w:szCs w:val="16"/>
          <w:color w:val="auto"/>
        </w:rPr>
        <w:t xml:space="preserve">. To the extent, if any, that he possesses the required rights, Lessor hereby authorizes Lessee to develop, manufacture (by subcontract or otherwise), and sell such merchandising and promotional items based upon the Works as Lessee may determine in its best business judgment. To the extent, if any, that he possesses any such rights in any Work, Lessor hereby grants to Lessee a nonexclusive license for such purposes for the period of the rental of such Work hereunder. In the event that any Work is withdrawn or rental terminated, the corresponding license shall automatically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following such termination, Lessee shall have the right to sell its remaining inventory of the applicable merchandise. The merchandise and promotional items based on the Works may include, but are not limited to, educational catalogues, educational works (including audiovisual and audio recordings), fine art reproductions, and retail merchandise based upon the Works. Lessee shall be solely responsible for clearing and/or obtaining such rights, for obtaining all required permissions, and for taking all reasonable steps necessary to obtain intellectual property protection for said items based on the Works, all of which shall, with respect to any Work, inure to the benefit of Lessee during the rental of such</w:t>
      </w:r>
    </w:p>
    <w:p>
      <w:pPr>
        <w:spacing w:after="0" w:line="106" w:lineRule="exact"/>
        <w:rPr>
          <w:rFonts w:ascii="Arial" w:cs="Arial" w:eastAsia="Arial" w:hAnsi="Arial"/>
          <w:sz w:val="16"/>
          <w:szCs w:val="16"/>
          <w:color w:val="auto"/>
        </w:rPr>
      </w:pPr>
    </w:p>
    <w:p>
      <w:pPr>
        <w:ind w:left="5196" w:hanging="107"/>
        <w:spacing w:after="0"/>
        <w:tabs>
          <w:tab w:leader="none" w:pos="5196" w:val="left"/>
        </w:tabs>
        <w:numPr>
          <w:ilvl w:val="1"/>
          <w:numId w:val="3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56"/>
          </w:cols>
          <w:pgMar w:left="704" w:top="280" w:right="239" w:bottom="1440" w:gutter="0" w:footer="0" w:header="0"/>
        </w:sectPr>
      </w:pPr>
    </w:p>
    <w:bookmarkStart w:id="86" w:name="page87"/>
    <w:bookmarkEnd w:id="86"/>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Work hereunder and to the benefit of Lessor thereafter. Notwithstanding any other provision of this Agreement (including without limitation this Section 4 and Section 11 below), Lessor does not make (and hereby disclaims) any and all representations and/or warranties to Lessee or otherwise in respect of the Works or any rights in the Works, including, but not limited to, title, quiet enjoyment, authenticity, copyright, or moral rights. Lessor shall not have any liability to Lessee in respect of any, and Lessee hereby expressly and to the full extent permitted by law waives as against Lessor all, claims. damages, expenses, fees, or losses that may be incurred by or threatened against Lessee as a result of the Works being leased to Lessee, in the possession of Lessee during the term hereof, displayed at the Resort and/or reproduced (by, on behalf of, or with the consent of Lessee) in merchandising, promotional, or other items relating to the Works.</w:t>
      </w:r>
    </w:p>
    <w:p>
      <w:pPr>
        <w:spacing w:after="0" w:line="120"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Rental Fees</w:t>
      </w:r>
      <w:r>
        <w:rPr>
          <w:rFonts w:ascii="Arial" w:cs="Arial" w:eastAsia="Arial" w:hAnsi="Arial"/>
          <w:sz w:val="16"/>
          <w:szCs w:val="16"/>
          <w:color w:val="auto"/>
        </w:rPr>
        <w:t>. Lessee agrees to pay to Lessor a rental fee of One Dollar ($1.00) on the Effective Date and each anniversary of the Effective Date.</w:t>
      </w:r>
    </w:p>
    <w:p>
      <w:pPr>
        <w:spacing w:after="0" w:line="194" w:lineRule="exact"/>
        <w:rPr>
          <w:rFonts w:ascii="Arial" w:cs="Arial" w:eastAsia="Arial" w:hAnsi="Arial"/>
          <w:sz w:val="16"/>
          <w:szCs w:val="16"/>
          <w:color w:val="auto"/>
        </w:rPr>
      </w:pPr>
    </w:p>
    <w:p>
      <w:pPr>
        <w:ind w:firstLine="464"/>
        <w:spacing w:after="0" w:line="290"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Additions, Withdrawals, and Termination</w:t>
      </w:r>
      <w:r>
        <w:rPr>
          <w:rFonts w:ascii="Arial" w:cs="Arial" w:eastAsia="Arial" w:hAnsi="Arial"/>
          <w:sz w:val="16"/>
          <w:szCs w:val="16"/>
          <w:color w:val="auto"/>
        </w:rPr>
        <w:t xml:space="preserve">. Lessor and Lessee may, by mutual agreement, add other art works from time to time to the Works covered by this Agreement. Lessor shall have the right to withdraw any but not all of the Works from this Agreement and terminate the rental of such Work(s) hereunder on fifteen (15) days’ written notice to Lessee. Lessee shall have the right to return any or all Works covered by this Agreement and terminate the rental of such Work(s) hereunder on thirty (30) days’ written notice to Lessor. Upon termination of the rental of any Work hereunder, Lessee shall have no further right or license with respect to such Work, except to the extent that, under Section 4 and Section 11 hereof, Lessee is specifically provided with a six-month period to discontinue sales and use of merchandise. The parties shall periodically update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to reflect Works added to or withdrawn from this Agreement. The parties shall also maintain separate records indicating which Works are added to or withdrawn from the Agreement. Notwithstanding the foregoing, and</w:t>
      </w:r>
    </w:p>
    <w:p>
      <w:pPr>
        <w:spacing w:after="0" w:line="104" w:lineRule="exact"/>
        <w:rPr>
          <w:rFonts w:ascii="Arial" w:cs="Arial" w:eastAsia="Arial" w:hAnsi="Arial"/>
          <w:sz w:val="16"/>
          <w:szCs w:val="16"/>
          <w:color w:val="auto"/>
        </w:rPr>
      </w:pPr>
    </w:p>
    <w:p>
      <w:pPr>
        <w:ind w:left="5660" w:hanging="107"/>
        <w:spacing w:after="0"/>
        <w:tabs>
          <w:tab w:leader="none" w:pos="5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20"/>
          </w:cols>
          <w:pgMar w:left="240" w:top="280" w:right="339" w:bottom="1440" w:gutter="0" w:footer="0" w:header="0"/>
        </w:sectPr>
      </w:pPr>
    </w:p>
    <w:bookmarkStart w:id="87" w:name="page88"/>
    <w:bookmarkEnd w:id="8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prejudice to any other rights or remedies that Lessor may have hereunder, Lessor may terminate the rental of all Works hereunder (a) by delivery of notice to Lessee no less than ninety (90) days in advance of the date selected by Lessor for termination, or (b) immediately by delivery of notice to Lessee at any time if any of the following events occurs: (i) Lessor ceases to be the Chairman of the Board and Chief Executive Officer of Wynn Resorts, Limited (“</w:t>
      </w:r>
      <w:r>
        <w:rPr>
          <w:rFonts w:ascii="Arial" w:cs="Arial" w:eastAsia="Arial" w:hAnsi="Arial"/>
          <w:sz w:val="16"/>
          <w:szCs w:val="16"/>
          <w:b w:val="1"/>
          <w:bCs w:val="1"/>
          <w:color w:val="auto"/>
        </w:rPr>
        <w:t>Wynn Resorts</w:t>
      </w:r>
      <w:r>
        <w:rPr>
          <w:rFonts w:ascii="Arial" w:cs="Arial" w:eastAsia="Arial" w:hAnsi="Arial"/>
          <w:sz w:val="16"/>
          <w:szCs w:val="16"/>
          <w:color w:val="auto"/>
        </w:rPr>
        <w:t>”), or any successor company; (ii) there is filed any petition in bankruptcy by or against Lessee or any of Wynn Resorts’ other subsidiary companies (collectively, the “</w:t>
      </w:r>
      <w:r>
        <w:rPr>
          <w:rFonts w:ascii="Arial" w:cs="Arial" w:eastAsia="Arial" w:hAnsi="Arial"/>
          <w:sz w:val="16"/>
          <w:szCs w:val="16"/>
          <w:b w:val="1"/>
          <w:bCs w:val="1"/>
          <w:color w:val="auto"/>
        </w:rPr>
        <w:t>Lessee Parties</w:t>
      </w:r>
      <w:r>
        <w:rPr>
          <w:rFonts w:ascii="Arial" w:cs="Arial" w:eastAsia="Arial" w:hAnsi="Arial"/>
          <w:sz w:val="16"/>
          <w:szCs w:val="16"/>
          <w:color w:val="auto"/>
        </w:rPr>
        <w:t>”), which petition is not dismissed within ninety (90) days of its filing, or there is appointed a receiver or trustee to take possession of any of the Lessee Parties or of all or substantially all of the assets of any Lessee Parties, or there is a general assignment by any of the Lessee Parties for the benefit of creditors, or any action is taken by or against any of the Lessee Parties under any state or federal insolvency or bankruptcy act, or any similar law now or hereafter in effect, including, without limitation, the filing of execution or attachment against any of the Lessee Parties and such levy continues in effect for a period of sixty (60) calendar days; or (iii) Lessee defaults under any material provision of this Agreement and fails to cure such default within seven (7) days after it receives written notice of such default from Lessor unless such default relates to the care, custody, or protection of any of the Works, in which event such default must be cured immediately upon notice from Lessor. Upon termination of the rental of all Works hereunder, this Agreement shall automatically terminate; provided, however, that the termination of this Agreement shall not affect the obligations of the parties under Sections 5, 7, 9 or 10 hereof or any other provision that can be fulfilled only after the termination date.</w:t>
      </w:r>
    </w:p>
    <w:p>
      <w:pPr>
        <w:spacing w:after="0" w:line="121" w:lineRule="exact"/>
        <w:rPr>
          <w:sz w:val="20"/>
          <w:szCs w:val="20"/>
          <w:color w:val="auto"/>
        </w:rPr>
      </w:pPr>
    </w:p>
    <w:p>
      <w:pPr>
        <w:ind w:right="380" w:firstLine="464"/>
        <w:spacing w:after="0" w:line="268"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Lessee shall, at its expense, insure the Works on a “wall-to-wall” basis, for the full rental period hereunder (including, without limitation, terrorism insurance), in an amount equal to the value of the Works as stipulated in writing by</w:t>
      </w:r>
    </w:p>
    <w:p>
      <w:pPr>
        <w:spacing w:after="0" w:line="118" w:lineRule="exact"/>
        <w:rPr>
          <w:rFonts w:ascii="Arial" w:cs="Arial" w:eastAsia="Arial" w:hAnsi="Arial"/>
          <w:sz w:val="18"/>
          <w:szCs w:val="18"/>
          <w:color w:val="auto"/>
        </w:rPr>
      </w:pPr>
    </w:p>
    <w:p>
      <w:pPr>
        <w:ind w:left="5660" w:hanging="107"/>
        <w:spacing w:after="0"/>
        <w:tabs>
          <w:tab w:leader="none" w:pos="5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80" w:right="239" w:bottom="1440" w:gutter="0" w:footer="0" w:header="0"/>
        </w:sectPr>
      </w:pPr>
    </w:p>
    <w:bookmarkStart w:id="88" w:name="page89"/>
    <w:bookmarkEnd w:id="8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Lessor, provided, however that Lessee shall not be responsible for insuring the Works during any period when the Works are not on display or are in transit to or from the Resort (the “</w:t>
      </w:r>
      <w:r>
        <w:rPr>
          <w:rFonts w:ascii="Arial" w:cs="Arial" w:eastAsia="Arial" w:hAnsi="Arial"/>
          <w:sz w:val="16"/>
          <w:szCs w:val="16"/>
          <w:b w:val="1"/>
          <w:bCs w:val="1"/>
          <w:color w:val="auto"/>
        </w:rPr>
        <w:t>Non-Displayed Period</w:t>
      </w:r>
      <w:r>
        <w:rPr>
          <w:rFonts w:ascii="Arial" w:cs="Arial" w:eastAsia="Arial" w:hAnsi="Arial"/>
          <w:sz w:val="16"/>
          <w:szCs w:val="16"/>
          <w:color w:val="auto"/>
        </w:rPr>
        <w:t>”). The parties agree that for purposes of this Section 7 the Non-Display Period shall also include, and the Works shall be deemed to not be on display, any time the Works are on display in the offices of Lessor (including adjacent conference room), Lessor’s executive assistants, Elaine Wynn or Elaine Wynn’s executive assistant. The parties also agree that for purposes of this Section 7, the Works shall be deemed to on display any time the Works appear in any public area of the Resort, including within the offices of any executive located in the Resort, other than the offices of Lessor (including adjacent conference room), Lessor’s executive assistants, Elaine Wynn or Elaine Wynn’s executive assistant.. Upon reasonable prior notice to Lessee, Lessor shall have the right from time to time to reasonably increase the stated value of any one or more of the Works, and require Lessee to increase the amount of insurance required by this Section 7. Lessor shall be named as an additional insured on Lessee’s insurance policy. A certificate of insurance and a copy of those portions of the insurance policy covering the Works and setting forth any exclusions to coverage shall be furnished by Lessee to Lessor, and shall be subject to Lessor’s reasonable approval as to form and content (including, without limitation, any deductible). The foregoing insurance policy shall include coverage against all risk of physical loss or damage from any external cause while in transit and on location in the Resort during the rental period hereunder. Lessee shall bear sole responsibility and shall be liable to Lessor for all loss, damage, or destruction of the Works and any of them during the rental period hereunder (including, without limitation, loss, damage, or destruction incurred during packing or crating or while in transit) other than during any Non-Displayed Period, regardless of any exceptions, exclusions, or limitations to its insurance policy covering the Works, regardless of fault or the degree of care exercised by Lessee, and regardless of the presence or supervision of, or any direction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sectPr>
      </w:pPr>
    </w:p>
    <w:bookmarkStart w:id="89" w:name="page90"/>
    <w:bookmarkEnd w:id="89"/>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by, Lessor or any Lessor’s representative; provided, however, that Lessee’s liability in the event of such loss, damage, or destruction shall not exceed the value of the Works as stipulated in writing by Lessor. Lessee shall be responsible to pay any and all deductibles relating to the insurance coverage required by this Section 7. In the event any Work is lost or stolen, and then recovered after Lessor has obtained insurance proceeds, Lessor shall have the option to exchange those insurance proceeds for such Work. In the event any Work is damaged but not destroyed, Lessee agrees to be responsible for both the cost of repairing and restoring such Work and the loss in value of such Work as determined by an appraiser mutually agreed upon by the parties.</w:t>
      </w:r>
    </w:p>
    <w:p>
      <w:pPr>
        <w:spacing w:after="0" w:line="116" w:lineRule="exact"/>
        <w:rPr>
          <w:sz w:val="20"/>
          <w:szCs w:val="20"/>
          <w:color w:val="auto"/>
        </w:rPr>
      </w:pPr>
    </w:p>
    <w:p>
      <w:pPr>
        <w:ind w:firstLine="464"/>
        <w:spacing w:after="0" w:line="291" w:lineRule="auto"/>
        <w:tabs>
          <w:tab w:leader="none" w:pos="63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Lessee agrees to take all reasonable steps necessary to secure and protect the Works from loss, theft or injury and to treat them in a manner consistent with maintaining its own most valuable assets at all times the Works are in its possession, control or custody, or in transit to or from Lessor. Without limiting the generality of the foregoing, Lessee shall provide for an adequate number of guards to be on duty in and around the Resort at all times while the Works are in the Resort. All Works shall be within direct sight lines of at least one guard and under direct video surveillance at all times during the rental period hereunder. Lessee shall comply with further reasonable security restrictions and arrangements as directed in writing by Lessor. Lessee represents and warrants to Lessor that the Resort is and shall be equipped with adequate fire detection/prevention systems and protected by alarm systems that are activated at all times.</w:t>
      </w:r>
    </w:p>
    <w:p>
      <w:pPr>
        <w:spacing w:after="0" w:line="120" w:lineRule="exact"/>
        <w:rPr>
          <w:rFonts w:ascii="Arial" w:cs="Arial" w:eastAsia="Arial" w:hAnsi="Arial"/>
          <w:sz w:val="16"/>
          <w:szCs w:val="16"/>
          <w:color w:val="auto"/>
        </w:rPr>
      </w:pPr>
    </w:p>
    <w:p>
      <w:pPr>
        <w:ind w:left="640" w:hanging="176"/>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Lessee shall indemnify, defend, protect, and hold harmless Lessor, his agents, heirs, assigns, and successors (collectively,</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from and against any and all claims, damages, liabilities, losses, actions, complaints, or judgments, including, without limitation, attorneys’ fees, threatened against, incurred, or suffered by the Indemnitees, arising out of Lessee’s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90" w:name="page91"/>
    <w:bookmarkEnd w:id="90"/>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or failure to perform, under this Agreement, the inaccuracy when made of any representation or warranty made by Lessee, or any act or omission by or on behalf of Lessee or its respective officers, agents, employees, contractors, or representatives, relating to the Works or this Agreement.</w:t>
      </w:r>
    </w:p>
    <w:p>
      <w:pPr>
        <w:spacing w:after="0" w:line="85" w:lineRule="exact"/>
        <w:rPr>
          <w:sz w:val="20"/>
          <w:szCs w:val="20"/>
          <w:color w:val="auto"/>
        </w:rPr>
      </w:pPr>
    </w:p>
    <w:p>
      <w:pPr>
        <w:ind w:right="60" w:firstLine="464"/>
        <w:spacing w:after="0" w:line="312" w:lineRule="auto"/>
        <w:tabs>
          <w:tab w:leader="none" w:pos="720"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Taxes</w:t>
      </w:r>
      <w:r>
        <w:rPr>
          <w:rFonts w:ascii="Arial" w:cs="Arial" w:eastAsia="Arial" w:hAnsi="Arial"/>
          <w:sz w:val="15"/>
          <w:szCs w:val="15"/>
          <w:color w:val="auto"/>
        </w:rPr>
        <w:t>. Lessee shall pay all of the following Nevada state and local taxes, along with all interest, penalties, and other additions related thereto: (a) sales and use taxes applicable to the rental of the Works pursuant hereto; and (b) except to the extent provided otherwise in the following sentence, personal property taxes applicable to each of the Works for each fiscal year during which Lessee is renting such Work hereunder. In the event that Lessor withdraws any Work from this Agreement and terminates the rental of such Work hereunder pursuant to the second sentence of Section 6 hereof, Lessor and Lessee shall make an equitable allocation of the personal property taxes applicable to such Work for the fiscal year in which such withdrawal occurs. For purposes of explanation and clarification of this Section 10, the personal property tax obligations of Lessee shall include Works that are on display in the offices of any executive located in the Resort, other than offices of Lessor (including adjacent conference room), Lessor’s executive assistants, Elaine Wynn or Elaine Wynn’s executive assistant.</w:t>
      </w:r>
    </w:p>
    <w:p>
      <w:pPr>
        <w:spacing w:after="0" w:line="105" w:lineRule="exact"/>
        <w:rPr>
          <w:rFonts w:ascii="Arial" w:cs="Arial" w:eastAsia="Arial" w:hAnsi="Arial"/>
          <w:sz w:val="15"/>
          <w:szCs w:val="15"/>
          <w:color w:val="auto"/>
        </w:rPr>
      </w:pPr>
    </w:p>
    <w:p>
      <w:pPr>
        <w:ind w:firstLine="464"/>
        <w:spacing w:after="0" w:line="294" w:lineRule="auto"/>
        <w:tabs>
          <w:tab w:leader="none" w:pos="71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Intellectual Properties</w:t>
      </w:r>
      <w:r>
        <w:rPr>
          <w:rFonts w:ascii="Arial" w:cs="Arial" w:eastAsia="Arial" w:hAnsi="Arial"/>
          <w:sz w:val="16"/>
          <w:szCs w:val="16"/>
          <w:color w:val="auto"/>
        </w:rPr>
        <w:t>. Lessor consents to the photography, filming, videotaping and recordation of the Works for the purpose of obtaining photographic and other copyrights in the new derivative works, which shall be owned and controlled by Lessor, but which is hereby licensed to Lessee for use in advertising, promotion, and merchandising of, and education relating to, the Works, such license to run concurrently, with respect to any Work, with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w:t>
      </w:r>
    </w:p>
    <w:p>
      <w:pPr>
        <w:spacing w:after="0" w:line="102" w:lineRule="exact"/>
        <w:rPr>
          <w:rFonts w:ascii="Arial" w:cs="Arial" w:eastAsia="Arial" w:hAnsi="Arial"/>
          <w:sz w:val="16"/>
          <w:szCs w:val="16"/>
          <w:color w:val="auto"/>
        </w:rPr>
      </w:pPr>
    </w:p>
    <w:p>
      <w:pPr>
        <w:ind w:left="5660" w:hanging="107"/>
        <w:spacing w:after="0"/>
        <w:tabs>
          <w:tab w:leader="none" w:pos="5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80" w:right="239" w:bottom="1440" w:gutter="0" w:footer="0" w:header="0"/>
        </w:sectPr>
      </w:pPr>
    </w:p>
    <w:bookmarkStart w:id="91" w:name="page92"/>
    <w:bookmarkEnd w:id="91"/>
    <w:p>
      <w:pPr>
        <w:ind w:left="-460" w:right="20" w:firstLine="464"/>
        <w:spacing w:after="0" w:line="294"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w:t>
      </w:r>
      <w:r>
        <w:rPr>
          <w:rFonts w:ascii="Arial" w:cs="Arial" w:eastAsia="Arial" w:hAnsi="Arial"/>
          <w:sz w:val="16"/>
          <w:szCs w:val="16"/>
          <w:color w:val="auto"/>
        </w:rPr>
        <w:t>. Any notice to be given pursuant to this Agreement by either party to the other shall be in writing and may be effected either by personal delivery, by mail, registered or certified, postage prepaid, with return receipt requested, or by facsimile. Notice by mail shall be sent concurrently with any facsimile notice. Notices shall be addressed to the parties at the address specified below, but each party may change such party’s address by written notice in accordance with this Section 12. Notices delivered personally shall be deemed communicated as of actual receipt; and mailed notices and facsimile notices (with a concurrent mailing) shall be deemed communicated three (3) days after mailing. Notices shall be given as follows:</w:t>
      </w:r>
    </w:p>
    <w:p>
      <w:pPr>
        <w:sectPr>
          <w:pgSz w:w="11900" w:h="16838" w:orient="portrait"/>
          <w:cols w:equalWidth="0" w:num="1">
            <w:col w:w="10860"/>
          </w:cols>
          <w:pgMar w:left="700" w:top="280" w:right="3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702-770-7000</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Wynn Las Vegas, LLC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702-770-7700</w:t>
      </w:r>
    </w:p>
    <w:p>
      <w:pPr>
        <w:spacing w:after="0" w:line="165" w:lineRule="exact"/>
        <w:rPr>
          <w:sz w:val="20"/>
          <w:szCs w:val="20"/>
          <w:color w:val="auto"/>
        </w:rPr>
      </w:pPr>
    </w:p>
    <w:p>
      <w:pPr>
        <w:sectPr>
          <w:pgSz w:w="11900" w:h="16838" w:orient="portrait"/>
          <w:cols w:equalWidth="0" w:num="2">
            <w:col w:w="2980" w:space="720"/>
            <w:col w:w="7160"/>
          </w:cols>
          <w:pgMar w:left="700" w:top="280" w:right="339" w:bottom="1440" w:gutter="0" w:footer="0" w:header="0"/>
          <w:type w:val="continuous"/>
        </w:sectPr>
      </w:pPr>
    </w:p>
    <w:p>
      <w:pPr>
        <w:ind w:left="-460" w:firstLine="464"/>
        <w:spacing w:after="0" w:line="255"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This Agreement constitutes the entire agreement between the parties and supersedes any oral or written communications between Lessor and Lessee, with respect to its subject matter, including, without limitation, that certain Fourth Amended and Restated Art Rental Licensing Agreement, as amended, between Lessor and Lessee’s affiliate, Wynn Gallery, LLC, and that certain Second Amended and Restated Art Rental and Licensing Agreement, as amended, between Lessor and Lessee’s affiliate, Wynn Resorts Holdings, LLC. This Agreement may be amended only if such amendment is set forth in writing and executed by each of the parties.</w:t>
      </w:r>
    </w:p>
    <w:p>
      <w:pPr>
        <w:spacing w:after="0" w:line="142" w:lineRule="exact"/>
        <w:rPr>
          <w:rFonts w:ascii="Arial" w:cs="Arial" w:eastAsia="Arial" w:hAnsi="Arial"/>
          <w:sz w:val="18"/>
          <w:szCs w:val="18"/>
          <w:color w:val="auto"/>
        </w:rPr>
      </w:pPr>
    </w:p>
    <w:p>
      <w:pPr>
        <w:ind w:left="-460" w:right="80" w:firstLine="464"/>
        <w:spacing w:after="0" w:line="268" w:lineRule="auto"/>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in all respects be construed according to the laws of the State of Nevada, regardless of the choice or conflict of laws provisions of Nevada or any other jurisdiction.</w:t>
      </w:r>
    </w:p>
    <w:p>
      <w:pPr>
        <w:spacing w:after="0" w:line="118" w:lineRule="exact"/>
        <w:rPr>
          <w:rFonts w:ascii="Arial" w:cs="Arial" w:eastAsia="Arial" w:hAnsi="Arial"/>
          <w:sz w:val="18"/>
          <w:szCs w:val="18"/>
          <w:color w:val="auto"/>
        </w:rPr>
      </w:pPr>
    </w:p>
    <w:p>
      <w:pPr>
        <w:ind w:left="5200" w:hanging="107"/>
        <w:spacing w:after="0"/>
        <w:tabs>
          <w:tab w:leader="none" w:pos="5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860"/>
          </w:cols>
          <w:pgMar w:left="700" w:top="280" w:right="339" w:bottom="1440" w:gutter="0" w:footer="0" w:header="0"/>
          <w:type w:val="continuous"/>
        </w:sectPr>
      </w:pPr>
    </w:p>
    <w:bookmarkStart w:id="92" w:name="page93"/>
    <w:bookmarkEnd w:id="92"/>
    <w:p>
      <w:pPr>
        <w:ind w:left="-60" w:right="20" w:firstLine="464"/>
        <w:spacing w:after="0" w:line="294"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Binding Effect</w:t>
      </w:r>
      <w:r>
        <w:rPr>
          <w:rFonts w:ascii="Arial" w:cs="Arial" w:eastAsia="Arial" w:hAnsi="Arial"/>
          <w:sz w:val="16"/>
          <w:szCs w:val="16"/>
          <w:color w:val="auto"/>
        </w:rPr>
        <w:t>. Lessor may assign any or all of his rights and obligations under this Agreement. Lessee may not assign all or any portion of its rights or obligations under this Agreement without Lessor’s prior consent. Subject to the preceding sentence, this Agreement shall be binding upon, inure to the benefit of, and be enforceable by the parties hereto and their respective heirs, legal representatives, successors, and assigns. This Agreement does not create, and shall not be construed or deemed to create, any rights or benefits enforceable by or for the benefit of any person or entity other than the parties hereto and their respective heirs, legal representatives, successors, and permitted assigns.</w:t>
      </w:r>
    </w:p>
    <w:p>
      <w:pPr>
        <w:spacing w:after="0" w:line="115" w:lineRule="exact"/>
        <w:rPr>
          <w:rFonts w:ascii="Arial" w:cs="Arial" w:eastAsia="Arial" w:hAnsi="Arial"/>
          <w:sz w:val="16"/>
          <w:szCs w:val="16"/>
          <w:color w:val="auto"/>
        </w:rPr>
      </w:pPr>
    </w:p>
    <w:p>
      <w:pPr>
        <w:ind w:left="-60" w:right="40" w:firstLine="464"/>
        <w:spacing w:after="0" w:line="30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Headings; Context</w:t>
      </w:r>
      <w:r>
        <w:rPr>
          <w:rFonts w:ascii="Arial" w:cs="Arial" w:eastAsia="Arial" w:hAnsi="Arial"/>
          <w:sz w:val="16"/>
          <w:szCs w:val="16"/>
          <w:color w:val="auto"/>
        </w:rPr>
        <w:t>. All headings herein are inserted only for convenience and ease of reference and shall not be considered in the construction or interpretation of any provision of this Agreement. Whenever used in this Agreement, the singular shall include the plural and the plural shall include the singular, and the neuter gender shall include the male and female as well as an entity, all as the context and meaning of this Agreement may require.</w:t>
      </w:r>
    </w:p>
    <w:p>
      <w:pPr>
        <w:spacing w:after="0" w:line="106" w:lineRule="exact"/>
        <w:rPr>
          <w:rFonts w:ascii="Arial" w:cs="Arial" w:eastAsia="Arial" w:hAnsi="Arial"/>
          <w:sz w:val="16"/>
          <w:szCs w:val="16"/>
          <w:color w:val="auto"/>
        </w:rPr>
      </w:pPr>
    </w:p>
    <w:p>
      <w:pPr>
        <w:ind w:left="-60" w:firstLine="464"/>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shall constitute one and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20"/>
          </w:cols>
          <w:pgMar w:left="300" w:top="280" w:right="279" w:bottom="1440" w:gutter="0" w:footer="0" w:header="0"/>
        </w:sectPr>
      </w:pPr>
    </w:p>
    <w:bookmarkStart w:id="93" w:name="page94"/>
    <w:bookmarkEnd w:id="9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Effective Date.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“Lessor”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7589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“Lessee”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0326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0326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0219"/>
          </w:cols>
          <w:pgMar w:left="240" w:top="280"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EXHIBIT A</w:t>
            </w:r>
          </w:p>
        </w:tc>
        <w:tc>
          <w:tcPr>
            <w:tcW w:w="5260" w:type="dxa"/>
            <w:vAlign w:val="bottom"/>
          </w:tcPr>
          <w:p>
            <w:pPr>
              <w:spacing w:after="0"/>
              <w:rPr>
                <w:sz w:val="17"/>
                <w:szCs w:val="17"/>
                <w:color w:val="auto"/>
              </w:rPr>
            </w:pPr>
          </w:p>
        </w:tc>
      </w:tr>
      <w:tr>
        <w:trPr>
          <w:trHeight w:val="397"/>
        </w:trPr>
        <w:tc>
          <w:tcPr>
            <w:tcW w:w="20" w:type="dxa"/>
            <w:vAlign w:val="bottom"/>
          </w:tcPr>
          <w:p>
            <w:pPr>
              <w:spacing w:after="0"/>
              <w:rPr>
                <w:sz w:val="24"/>
                <w:szCs w:val="24"/>
                <w:color w:val="auto"/>
              </w:rPr>
            </w:pPr>
          </w:p>
        </w:tc>
        <w:tc>
          <w:tcPr>
            <w:tcW w:w="11400" w:type="dxa"/>
            <w:vAlign w:val="bottom"/>
            <w:gridSpan w:val="5"/>
          </w:tcPr>
          <w:p>
            <w:pPr>
              <w:jc w:val="center"/>
              <w:spacing w:after="0"/>
              <w:rPr>
                <w:sz w:val="20"/>
                <w:szCs w:val="20"/>
                <w:color w:val="auto"/>
              </w:rPr>
            </w:pPr>
            <w:r>
              <w:rPr>
                <w:rFonts w:ascii="Arial" w:cs="Arial" w:eastAsia="Arial" w:hAnsi="Arial"/>
                <w:sz w:val="18"/>
                <w:szCs w:val="18"/>
                <w:color w:val="auto"/>
                <w:w w:val="92"/>
              </w:rPr>
              <w:t>WORKS OF ART</w:t>
            </w:r>
          </w:p>
        </w:tc>
      </w:tr>
      <w:tr>
        <w:trPr>
          <w:trHeight w:val="366"/>
        </w:trPr>
        <w:tc>
          <w:tcPr>
            <w:tcW w:w="20" w:type="dxa"/>
            <w:vAlign w:val="bottom"/>
          </w:tcPr>
          <w:p>
            <w:pPr>
              <w:spacing w:after="0"/>
              <w:rPr>
                <w:sz w:val="24"/>
                <w:szCs w:val="24"/>
                <w:color w:val="auto"/>
              </w:rPr>
            </w:pPr>
          </w:p>
        </w:tc>
        <w:tc>
          <w:tcPr>
            <w:tcW w:w="5700" w:type="dxa"/>
            <w:vAlign w:val="bottom"/>
            <w:tcBorders>
              <w:bottom w:val="single" w:sz="8" w:color="auto"/>
            </w:tcBorders>
            <w:gridSpan w:val="2"/>
          </w:tcPr>
          <w:p>
            <w:pPr>
              <w:ind w:left="2520"/>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Artist</w:t>
            </w:r>
          </w:p>
        </w:tc>
      </w:tr>
      <w:tr>
        <w:trPr>
          <w:trHeight w:val="201"/>
        </w:trPr>
        <w:tc>
          <w:tcPr>
            <w:tcW w:w="20" w:type="dxa"/>
            <w:vAlign w:val="bottom"/>
          </w:tcPr>
          <w:p>
            <w:pPr>
              <w:spacing w:after="0"/>
              <w:rPr>
                <w:sz w:val="17"/>
                <w:szCs w:val="17"/>
                <w:color w:val="auto"/>
              </w:rPr>
            </w:pPr>
          </w:p>
        </w:tc>
        <w:tc>
          <w:tcPr>
            <w:tcW w:w="5700" w:type="dxa"/>
            <w:vAlign w:val="bottom"/>
            <w:gridSpan w:val="2"/>
          </w:tcPr>
          <w:p>
            <w:pPr>
              <w:spacing w:after="0" w:line="201" w:lineRule="exact"/>
              <w:rPr>
                <w:sz w:val="20"/>
                <w:szCs w:val="20"/>
                <w:color w:val="auto"/>
              </w:rPr>
            </w:pPr>
            <w:r>
              <w:rPr>
                <w:rFonts w:ascii="Arial" w:cs="Arial" w:eastAsia="Arial" w:hAnsi="Arial"/>
                <w:sz w:val="18"/>
                <w:szCs w:val="18"/>
                <w:color w:val="auto"/>
                <w:w w:val="89"/>
              </w:rPr>
              <w:t>Rembrandt Self Portrait with Shaded Eyes, 1634. Signed and dated Rembrandt.</w:t>
            </w:r>
          </w:p>
        </w:tc>
        <w:tc>
          <w:tcPr>
            <w:tcW w:w="240" w:type="dxa"/>
            <w:vAlign w:val="bottom"/>
          </w:tcPr>
          <w:p>
            <w:pPr>
              <w:spacing w:after="0"/>
              <w:rPr>
                <w:sz w:val="17"/>
                <w:szCs w:val="17"/>
                <w:color w:val="auto"/>
              </w:rPr>
            </w:pPr>
          </w:p>
        </w:tc>
        <w:tc>
          <w:tcPr>
            <w:tcW w:w="5460" w:type="dxa"/>
            <w:vAlign w:val="bottom"/>
            <w:gridSpan w:val="2"/>
          </w:tcPr>
          <w:p>
            <w:pPr>
              <w:spacing w:after="0" w:line="201" w:lineRule="exact"/>
              <w:rPr>
                <w:sz w:val="20"/>
                <w:szCs w:val="20"/>
                <w:color w:val="auto"/>
              </w:rPr>
            </w:pPr>
            <w:r>
              <w:rPr>
                <w:rFonts w:ascii="Arial" w:cs="Arial" w:eastAsia="Arial" w:hAnsi="Arial"/>
                <w:sz w:val="18"/>
                <w:szCs w:val="18"/>
                <w:color w:val="auto"/>
              </w:rPr>
              <w:t>Rembrandt, Harmensz van Rinj</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F/ 1634 lower right. Oil on oak panel 27 7/8 X 21 3/4 inches.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w w:val="90"/>
              </w:rPr>
              <w:t>Myths, 1981 (portfolio of 10 screen prints valued at $10,000 each - Garbo, Aunt</w:t>
            </w:r>
          </w:p>
        </w:tc>
        <w:tc>
          <w:tcPr>
            <w:tcW w:w="2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Warhol, Andy</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w w:val="90"/>
              </w:rPr>
              <w:t>Jemima, Superman, Uncle Sam, Santa Claus, Silhouette of Any Warhol, Witch,</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Dracula, Mickey Mouse, Howdy Doody)</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Master of Ceremonies</w:t>
            </w:r>
          </w:p>
        </w:tc>
        <w:tc>
          <w:tcPr>
            <w:tcW w:w="2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Shapiro, Miriam</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I’m Dancin’ as Fast as I can, 1984</w:t>
            </w:r>
          </w:p>
        </w:tc>
        <w:tc>
          <w:tcPr>
            <w:tcW w:w="2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Shapiro, Miriam</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Magritte II, 1998 - Sculpture</w:t>
            </w:r>
          </w:p>
        </w:tc>
        <w:tc>
          <w:tcPr>
            <w:tcW w:w="2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Marisol Escobar</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Picasso’s Studio (Bateau Lavoir, 1908). Oil on canvas, 42 X 72 inches.</w:t>
            </w:r>
          </w:p>
        </w:tc>
        <w:tc>
          <w:tcPr>
            <w:tcW w:w="2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Elwes, Damian</w:t>
            </w:r>
          </w:p>
        </w:tc>
      </w:tr>
      <w:tr>
        <w:trPr>
          <w:trHeight w:val="216"/>
        </w:trPr>
        <w:tc>
          <w:tcPr>
            <w:tcW w:w="5720" w:type="dxa"/>
            <w:vAlign w:val="bottom"/>
            <w:gridSpan w:val="3"/>
          </w:tcPr>
          <w:p>
            <w:pPr>
              <w:spacing w:after="0"/>
              <w:rPr>
                <w:sz w:val="20"/>
                <w:szCs w:val="20"/>
                <w:color w:val="auto"/>
              </w:rPr>
            </w:pPr>
            <w:r>
              <w:rPr>
                <w:rFonts w:ascii="Arial" w:cs="Arial" w:eastAsia="Arial" w:hAnsi="Arial"/>
                <w:sz w:val="18"/>
                <w:szCs w:val="18"/>
                <w:color w:val="auto"/>
              </w:rPr>
              <w:t>Composition with glass</w:t>
            </w:r>
          </w:p>
        </w:tc>
        <w:tc>
          <w:tcPr>
            <w:tcW w:w="24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Yasani, Masoud</w:t>
            </w:r>
          </w:p>
        </w:tc>
      </w:tr>
      <w:tr>
        <w:trPr>
          <w:trHeight w:val="222"/>
        </w:trPr>
        <w:tc>
          <w:tcPr>
            <w:tcW w:w="5720" w:type="dxa"/>
            <w:vAlign w:val="bottom"/>
            <w:gridSpan w:val="3"/>
          </w:tcPr>
          <w:p>
            <w:pPr>
              <w:spacing w:after="0"/>
              <w:rPr>
                <w:sz w:val="20"/>
                <w:szCs w:val="20"/>
                <w:color w:val="auto"/>
              </w:rPr>
            </w:pPr>
            <w:r>
              <w:rPr>
                <w:rFonts w:ascii="Arial" w:cs="Arial" w:eastAsia="Arial" w:hAnsi="Arial"/>
                <w:sz w:val="18"/>
                <w:szCs w:val="18"/>
                <w:color w:val="auto"/>
              </w:rPr>
              <w:t>Nude After Bathus</w:t>
            </w:r>
          </w:p>
        </w:tc>
        <w:tc>
          <w:tcPr>
            <w:tcW w:w="24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Ludwig, Daniel</w:t>
            </w: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10.31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191135</wp:posOffset>
            </wp:positionV>
            <wp:extent cx="26155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15565" cy="260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6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by and between -</w:t>
      </w:r>
    </w:p>
    <w:p>
      <w:pPr>
        <w:spacing w:after="0" w:line="16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(“Employer”)</w:t>
      </w:r>
    </w:p>
    <w:p>
      <w:pPr>
        <w:spacing w:after="0" w:line="16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and -</w:t>
      </w:r>
    </w:p>
    <w:p>
      <w:pPr>
        <w:spacing w:after="0" w:line="16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Marilyn Winn Spiegel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178435</wp:posOffset>
            </wp:positionV>
            <wp:extent cx="26155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15565" cy="260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ind w:left="4480"/>
        <w:spacing w:after="0"/>
        <w:tabs>
          <w:tab w:leader="none" w:pos="34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color w:val="auto"/>
        </w:rPr>
        <w:t>November 8th,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194945</wp:posOffset>
            </wp:positionV>
            <wp:extent cx="26155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15565"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191135</wp:posOffset>
            </wp:positionV>
            <wp:extent cx="26155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15565" cy="26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182880</wp:posOffset>
            </wp:positionV>
            <wp:extent cx="26155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15565" cy="2603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 xml:space="preserve">THIS EMPLOYMENT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8th day of November 2010, by and between</w:t>
      </w:r>
      <w:r>
        <w:rPr>
          <w:rFonts w:ascii="Arial" w:cs="Arial" w:eastAsia="Arial" w:hAnsi="Arial"/>
          <w:sz w:val="18"/>
          <w:szCs w:val="18"/>
          <w:b w:val="1"/>
          <w:bCs w:val="1"/>
          <w:color w:val="auto"/>
        </w:rPr>
        <w:t xml:space="preserve"> WYNN LAS VEGAS, LLC </w:t>
      </w:r>
      <w:r>
        <w:rPr>
          <w:rFonts w:ascii="Arial" w:cs="Arial" w:eastAsia="Arial" w:hAnsi="Arial"/>
          <w:sz w:val="18"/>
          <w:szCs w:val="18"/>
          <w:color w:val="auto"/>
        </w:rPr>
        <w:t>(“</w:t>
      </w:r>
      <w:r>
        <w:rPr>
          <w:rFonts w:ascii="Arial" w:cs="Arial" w:eastAsia="Arial" w:hAnsi="Arial"/>
          <w:sz w:val="18"/>
          <w:szCs w:val="18"/>
          <w:b w:val="1"/>
          <w:bCs w:val="1"/>
          <w:color w:val="auto"/>
        </w:rPr>
        <w:t>Employer</w:t>
      </w:r>
      <w:r>
        <w:rPr>
          <w:rFonts w:ascii="Arial" w:cs="Arial" w:eastAsia="Arial" w:hAnsi="Arial"/>
          <w:sz w:val="18"/>
          <w:szCs w:val="18"/>
          <w:color w:val="auto"/>
        </w:rPr>
        <w:t>”) and</w:t>
      </w:r>
      <w:r>
        <w:rPr>
          <w:rFonts w:ascii="Arial" w:cs="Arial" w:eastAsia="Arial" w:hAnsi="Arial"/>
          <w:sz w:val="18"/>
          <w:szCs w:val="18"/>
          <w:b w:val="1"/>
          <w:bCs w:val="1"/>
          <w:color w:val="auto"/>
        </w:rPr>
        <w:t xml:space="preserve"> MARILYN WINN SPIEGEL </w:t>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u w:val="single" w:color="auto"/>
          <w:color w:val="auto"/>
        </w:rPr>
        <w:t>W I T N E S S E T H</w:t>
      </w:r>
      <w:r>
        <w:rPr>
          <w:rFonts w:ascii="Arial" w:cs="Arial" w:eastAsia="Arial" w:hAnsi="Arial"/>
          <w:sz w:val="18"/>
          <w:szCs w:val="18"/>
          <w:b w:val="1"/>
          <w:bCs w:val="1"/>
          <w:i w:val="1"/>
          <w:iCs w:val="1"/>
          <w:color w:val="auto"/>
        </w:rPr>
        <w:t>:</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limited liability company duly organized and existing under the laws of the State of Nevada, maintains its principal place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at 3131 Las Vegas Boulevard South, Las Vegas, Nevada 89109, and is engaged in the business of developing, owning and operating a casino resort at such place of business; and,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a wholly-owned subsidiary of Wynn Resorts, Limited, a corporation duly organized and existing under the laws of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(“WRL”); and</w:t>
      </w:r>
    </w:p>
    <w:p>
      <w:pPr>
        <w:spacing w:after="0" w:line="132" w:lineRule="exact"/>
        <w:rPr>
          <w:sz w:val="20"/>
          <w:szCs w:val="20"/>
          <w:color w:val="auto"/>
        </w:rPr>
      </w:pPr>
    </w:p>
    <w:p>
      <w:pPr>
        <w:ind w:left="460" w:right="3640"/>
        <w:spacing w:after="0" w:line="493" w:lineRule="auto"/>
        <w:rPr>
          <w:sz w:val="20"/>
          <w:szCs w:val="20"/>
          <w:color w:val="auto"/>
        </w:rPr>
      </w:pPr>
      <w:r>
        <w:rPr>
          <w:rFonts w:ascii="Arial" w:cs="Arial" w:eastAsia="Arial" w:hAnsi="Arial"/>
          <w:sz w:val="16"/>
          <w:szCs w:val="16"/>
          <w:b w:val="1"/>
          <w:bCs w:val="1"/>
          <w:i w:val="1"/>
          <w:iCs w:val="1"/>
          <w:color w:val="auto"/>
        </w:rPr>
        <w:t xml:space="preserve">WHEREAS, </w:t>
      </w:r>
      <w:r>
        <w:rPr>
          <w:rFonts w:ascii="Arial" w:cs="Arial" w:eastAsia="Arial" w:hAnsi="Arial"/>
          <w:sz w:val="16"/>
          <w:szCs w:val="16"/>
          <w:color w:val="auto"/>
        </w:rPr>
        <w:t>in furtherance of its business, Employer has need of qualified, experienced personnel; and,</w:t>
      </w:r>
      <w:r>
        <w:rPr>
          <w:rFonts w:ascii="Arial" w:cs="Arial" w:eastAsia="Arial" w:hAnsi="Arial"/>
          <w:sz w:val="16"/>
          <w:szCs w:val="16"/>
          <w:b w:val="1"/>
          <w:bCs w:val="1"/>
          <w:i w:val="1"/>
          <w:iCs w:val="1"/>
          <w:color w:val="auto"/>
        </w:rPr>
        <w:t xml:space="preserve"> WHEREAS, </w:t>
      </w:r>
      <w:r>
        <w:rPr>
          <w:rFonts w:ascii="Arial" w:cs="Arial" w:eastAsia="Arial" w:hAnsi="Arial"/>
          <w:sz w:val="16"/>
          <w:szCs w:val="16"/>
          <w:color w:val="auto"/>
        </w:rPr>
        <w:t>Employee is an adult individual residing in Las Vegas, NV; and,</w:t>
      </w: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WHEREAS, </w:t>
      </w:r>
      <w:r>
        <w:rPr>
          <w:rFonts w:ascii="Arial" w:cs="Arial" w:eastAsia="Arial" w:hAnsi="Arial"/>
          <w:sz w:val="18"/>
          <w:szCs w:val="18"/>
          <w:color w:val="auto"/>
        </w:rPr>
        <w:t>Employer is willing to employ Employee, and Employee is desirous of accepting employment from Employer under the terms and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conditions set forth herein;</w:t>
      </w:r>
    </w:p>
    <w:p>
      <w:pPr>
        <w:spacing w:after="0" w:line="132"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NOW, THEREFORE, </w:t>
      </w:r>
      <w:r>
        <w:rPr>
          <w:rFonts w:ascii="Arial" w:cs="Arial" w:eastAsia="Arial" w:hAnsi="Arial"/>
          <w:sz w:val="18"/>
          <w:szCs w:val="18"/>
          <w:color w:val="auto"/>
        </w:rPr>
        <w:t>for and in consideration of the foregoing recitals, and in consideration of the mutual covenants, agreements, understandings,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undertakings, representations, warranties and promises hereinafter set forth, and intending to be legally bound thereby, Employer and Employee do hereby covenant and agree as follows:</w:t>
      </w:r>
    </w:p>
    <w:p>
      <w:pPr>
        <w:spacing w:after="0" w:line="140" w:lineRule="exact"/>
        <w:rPr>
          <w:sz w:val="20"/>
          <w:szCs w:val="20"/>
          <w:color w:val="auto"/>
        </w:rPr>
      </w:pPr>
    </w:p>
    <w:p>
      <w:pPr>
        <w:ind w:right="200" w:firstLine="464"/>
        <w:spacing w:after="0" w:line="268" w:lineRule="auto"/>
        <w:tabs>
          <w:tab w:leader="none" w:pos="632"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DEFINITIONS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used in this Agreement, the words and terms hereinafter defined have the respective meanings ascribed to them, unless a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 clearly appears from the context:</w:t>
      </w:r>
    </w:p>
    <w:p>
      <w:pPr>
        <w:spacing w:after="0" w:line="44" w:lineRule="exact"/>
        <w:rPr>
          <w:rFonts w:ascii="Arial" w:cs="Arial" w:eastAsia="Arial" w:hAnsi="Arial"/>
          <w:sz w:val="18"/>
          <w:szCs w:val="18"/>
          <w:b w:val="1"/>
          <w:bCs w:val="1"/>
          <w:i w:val="1"/>
          <w:iCs w:val="1"/>
          <w:color w:val="auto"/>
        </w:rPr>
      </w:pPr>
    </w:p>
    <w:p>
      <w:pPr>
        <w:ind w:left="460" w:right="260" w:firstLine="443"/>
        <w:spacing w:after="0" w:line="301" w:lineRule="auto"/>
        <w:tabs>
          <w:tab w:leader="none" w:pos="1137" w:val="left"/>
        </w:tabs>
        <w:numPr>
          <w:ilvl w:val="1"/>
          <w:numId w:val="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w:t>
      </w:r>
    </w:p>
    <w:p>
      <w:pPr>
        <w:sectPr>
          <w:pgSz w:w="11900" w:h="16838" w:orient="portrait"/>
          <w:cols w:equalWidth="0" w:num="1">
            <w:col w:w="11420"/>
          </w:cols>
          <w:pgMar w:left="240" w:top="280" w:right="239" w:bottom="1440" w:gutter="0" w:footer="0" w:header="0"/>
        </w:sectPr>
      </w:pPr>
    </w:p>
    <w:bookmarkStart w:id="97" w:name="page98"/>
    <w:bookmarkEnd w:id="97"/>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spacing w:after="0" w:line="53" w:lineRule="exact"/>
        <w:rPr>
          <w:sz w:val="20"/>
          <w:szCs w:val="20"/>
          <w:color w:val="auto"/>
        </w:rPr>
      </w:pPr>
    </w:p>
    <w:p>
      <w:pPr>
        <w:ind w:left="700" w:hanging="25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 means each anniversary date of the Effective Date during the Term (as defined in Section 5 hereof).</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Cause</w:t>
      </w:r>
      <w:r>
        <w:rPr>
          <w:rFonts w:ascii="Arial" w:cs="Arial" w:eastAsia="Arial" w:hAnsi="Arial"/>
          <w:sz w:val="18"/>
          <w:szCs w:val="18"/>
          <w:color w:val="auto"/>
        </w:rPr>
        <w:t>” – means</w:t>
      </w:r>
    </w:p>
    <w:p>
      <w:pPr>
        <w:spacing w:after="0" w:line="96" w:lineRule="exact"/>
        <w:rPr>
          <w:rFonts w:ascii="Arial" w:cs="Arial" w:eastAsia="Arial" w:hAnsi="Arial"/>
          <w:sz w:val="18"/>
          <w:szCs w:val="18"/>
          <w:color w:val="auto"/>
        </w:rPr>
      </w:pPr>
    </w:p>
    <w:p>
      <w:pPr>
        <w:ind w:left="1100" w:hanging="219"/>
        <w:spacing w:after="0"/>
        <w:tabs>
          <w:tab w:leader="none" w:pos="11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willful destruction by Employee of the property of Employer or an Affiliate having a material value to Employer or such Affiliate;</w:t>
      </w:r>
    </w:p>
    <w:p>
      <w:pPr>
        <w:spacing w:after="0" w:line="113" w:lineRule="exact"/>
        <w:rPr>
          <w:rFonts w:ascii="Arial" w:cs="Arial" w:eastAsia="Arial" w:hAnsi="Arial"/>
          <w:sz w:val="16"/>
          <w:szCs w:val="16"/>
          <w:color w:val="auto"/>
        </w:rPr>
      </w:pPr>
    </w:p>
    <w:p>
      <w:pPr>
        <w:ind w:left="460" w:right="60" w:firstLine="421"/>
        <w:spacing w:after="0" w:line="268" w:lineRule="auto"/>
        <w:tabs>
          <w:tab w:leader="none" w:pos="1138"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fraud, embezzlement, theft, or comparable dishonest activity committed by Employee (excluding acts involving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dollar value and not related to Employer or an Affiliate);</w:t>
      </w:r>
    </w:p>
    <w:p>
      <w:pPr>
        <w:spacing w:after="0" w:line="50" w:lineRule="exact"/>
        <w:rPr>
          <w:rFonts w:ascii="Arial" w:cs="Arial" w:eastAsia="Arial" w:hAnsi="Arial"/>
          <w:sz w:val="18"/>
          <w:szCs w:val="18"/>
          <w:color w:val="auto"/>
        </w:rPr>
      </w:pPr>
    </w:p>
    <w:p>
      <w:pPr>
        <w:ind w:left="460" w:firstLine="421"/>
        <w:spacing w:after="0" w:line="332" w:lineRule="auto"/>
        <w:tabs>
          <w:tab w:leader="none" w:pos="1187" w:val="left"/>
        </w:tabs>
        <w:numPr>
          <w:ilvl w:val="1"/>
          <w:numId w:val="44"/>
        </w:numPr>
        <w:rPr>
          <w:rFonts w:ascii="Arial" w:cs="Arial" w:eastAsia="Arial" w:hAnsi="Arial"/>
          <w:sz w:val="16"/>
          <w:szCs w:val="16"/>
          <w:color w:val="auto"/>
        </w:rPr>
      </w:pPr>
      <w:r>
        <w:rPr>
          <w:rFonts w:ascii="Arial" w:cs="Arial" w:eastAsia="Arial" w:hAnsi="Arial"/>
          <w:sz w:val="16"/>
          <w:szCs w:val="16"/>
          <w:color w:val="auto"/>
        </w:rPr>
        <w:t xml:space="preserve">Employee’s conviction of or entering a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crime constituting a felony or any misdemeanor involving fraud, dishonesty or moral turpitude (excluding acts involving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dollar value and not related to Employer or an Affiliate);</w:t>
      </w:r>
    </w:p>
    <w:p>
      <w:pPr>
        <w:spacing w:after="0" w:line="4" w:lineRule="exact"/>
        <w:rPr>
          <w:rFonts w:ascii="Arial" w:cs="Arial" w:eastAsia="Arial" w:hAnsi="Arial"/>
          <w:sz w:val="16"/>
          <w:szCs w:val="16"/>
          <w:color w:val="auto"/>
        </w:rPr>
      </w:pPr>
    </w:p>
    <w:p>
      <w:pPr>
        <w:ind w:left="460" w:right="120" w:firstLine="421"/>
        <w:spacing w:after="0" w:line="259" w:lineRule="auto"/>
        <w:tabs>
          <w:tab w:leader="none" w:pos="1177" w:val="left"/>
        </w:tabs>
        <w:numPr>
          <w:ilvl w:val="1"/>
          <w:numId w:val="44"/>
        </w:numPr>
        <w:rPr>
          <w:rFonts w:ascii="Arial" w:cs="Arial" w:eastAsia="Arial" w:hAnsi="Arial"/>
          <w:sz w:val="18"/>
          <w:szCs w:val="18"/>
          <w:color w:val="auto"/>
        </w:rPr>
      </w:pPr>
      <w:r>
        <w:rPr>
          <w:rFonts w:ascii="Arial" w:cs="Arial" w:eastAsia="Arial" w:hAnsi="Arial"/>
          <w:sz w:val="18"/>
          <w:szCs w:val="18"/>
          <w:color w:val="auto"/>
        </w:rPr>
        <w:t>Employee’s breach, neglect, refusal, or failure to materially discharge her duties (other than due to physical or mental illness) commensurate with her title and function, or Employee’s failure to comply with the lawful directions of Employer’s Board of Directors, that is not cured within fifteen (15) days after Employee has received written notice thereof from the Board;</w:t>
      </w:r>
    </w:p>
    <w:p>
      <w:pPr>
        <w:spacing w:after="0" w:line="59" w:lineRule="exact"/>
        <w:rPr>
          <w:rFonts w:ascii="Arial" w:cs="Arial" w:eastAsia="Arial" w:hAnsi="Arial"/>
          <w:sz w:val="18"/>
          <w:szCs w:val="18"/>
          <w:color w:val="auto"/>
        </w:rPr>
      </w:pPr>
    </w:p>
    <w:p>
      <w:pPr>
        <w:ind w:left="1120" w:hanging="23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willful and knowing material misrepresentation to Employer’s Board of Directors;</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willful violation of a material policy of Employer, which does or could result in material harm to Employer or to Employer’s reputation;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83" w:lineRule="exact"/>
        <w:rPr>
          <w:rFonts w:ascii="Arial" w:cs="Arial" w:eastAsia="Arial" w:hAnsi="Arial"/>
          <w:sz w:val="16"/>
          <w:szCs w:val="16"/>
          <w:color w:val="auto"/>
        </w:rPr>
      </w:pPr>
    </w:p>
    <w:p>
      <w:pPr>
        <w:ind w:left="1220" w:hanging="339"/>
        <w:spacing w:after="0"/>
        <w:tabs>
          <w:tab w:leader="none" w:pos="12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Employee’s material violation of a statutory or common law duty of loyalty or fiduciary duty to Employer,</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i w:val="1"/>
          <w:iCs w:val="1"/>
          <w:color w:val="auto"/>
        </w:rPr>
        <w:t xml:space="preserve">, </w:t>
      </w:r>
      <w:r>
        <w:rPr>
          <w:rFonts w:ascii="Arial" w:cs="Arial" w:eastAsia="Arial" w:hAnsi="Arial"/>
          <w:sz w:val="18"/>
          <w:szCs w:val="18"/>
          <w:color w:val="auto"/>
        </w:rPr>
        <w:t>that Employee’s disability due to illness or accident or any other mental or physical incapacity shall not constitute “Cause”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700" w:top="280" w:right="339" w:bottom="1440" w:gutter="0" w:footer="0" w:header="0"/>
        </w:sectPr>
      </w:pPr>
    </w:p>
    <w:bookmarkStart w:id="98" w:name="page99"/>
    <w:bookmarkEnd w:id="98"/>
    <w:p>
      <w:pPr>
        <w:ind w:left="257" w:hanging="257"/>
        <w:spacing w:after="0"/>
        <w:tabs>
          <w:tab w:leader="none" w:pos="257"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 – means the occurrence, after the Effective Date, of any of the following events:</w:t>
      </w:r>
    </w:p>
    <w:p>
      <w:pPr>
        <w:spacing w:after="0" w:line="96" w:lineRule="exact"/>
        <w:rPr>
          <w:rFonts w:ascii="Arial" w:cs="Arial" w:eastAsia="Arial" w:hAnsi="Arial"/>
          <w:sz w:val="18"/>
          <w:szCs w:val="18"/>
          <w:color w:val="auto"/>
        </w:rPr>
      </w:pPr>
    </w:p>
    <w:p>
      <w:pPr>
        <w:ind w:left="17" w:right="80" w:firstLine="421"/>
        <w:spacing w:after="0" w:line="255" w:lineRule="auto"/>
        <w:tabs>
          <w:tab w:leader="none" w:pos="6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WRL, Employer, or of any entity resulting from a merger or consolidation involving WRL or Employer, representing more than fifty percent (50%) of the combined voting power of the then outstanding securities of WRL, Employer or such entity;</w:t>
      </w:r>
    </w:p>
    <w:p>
      <w:pPr>
        <w:spacing w:after="0" w:line="61" w:lineRule="exact"/>
        <w:rPr>
          <w:rFonts w:ascii="Arial" w:cs="Arial" w:eastAsia="Arial" w:hAnsi="Arial"/>
          <w:sz w:val="18"/>
          <w:szCs w:val="18"/>
          <w:color w:val="auto"/>
        </w:rPr>
      </w:pPr>
    </w:p>
    <w:p>
      <w:pPr>
        <w:ind w:left="17" w:firstLine="421"/>
        <w:spacing w:after="0" w:line="289" w:lineRule="auto"/>
        <w:tabs>
          <w:tab w:leader="none" w:pos="696"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the individuals who, as of the Effective Date, are members of WLR’s Board of Directors (the “Existing Directors”) cease, for any reason, to constitute more than fifty percent (50%) of the number of authorized directors of WRL as determined in the manner prescribed in WRL’s Articles of Incorporation and Bylaws;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xml:space="preserve">, that if the election, or nomination for election, by WRL’s stockholders of any new director was approved by a vote of at least fifty percent (50%) of the Existing Directors, such new director shall be considered an Existing Director;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individual shall be considered an Existing Director if such individual initially assumed office as a result of either an actual</w:t>
      </w:r>
      <w:r>
        <w:rPr>
          <w:rFonts w:ascii="Arial" w:cs="Arial" w:eastAsia="Arial" w:hAnsi="Arial"/>
          <w:sz w:val="16"/>
          <w:szCs w:val="16"/>
          <w:i w:val="1"/>
          <w:iCs w:val="1"/>
          <w:color w:val="auto"/>
        </w:rPr>
        <w:t xml:space="preserve"> </w:t>
      </w:r>
      <w:r>
        <w:rPr>
          <w:rFonts w:ascii="Arial" w:cs="Arial" w:eastAsia="Arial" w:hAnsi="Arial"/>
          <w:sz w:val="16"/>
          <w:szCs w:val="16"/>
          <w:color w:val="auto"/>
        </w:rPr>
        <w:t>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37" w:lineRule="exact"/>
        <w:rPr>
          <w:rFonts w:ascii="Arial" w:cs="Arial" w:eastAsia="Arial" w:hAnsi="Arial"/>
          <w:sz w:val="16"/>
          <w:szCs w:val="16"/>
          <w:color w:val="auto"/>
        </w:rPr>
      </w:pPr>
    </w:p>
    <w:p>
      <w:pPr>
        <w:ind w:left="17" w:right="60" w:firstLine="421"/>
        <w:spacing w:after="0" w:line="298" w:lineRule="auto"/>
        <w:tabs>
          <w:tab w:leader="none" w:pos="744"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consummation of (x) a merger, consolidation or reorganization to which WRL or Employer is a party, whether or not WRL or Employer is the Person surviving or resulting therefrom, or (y) a sale, assignment, lease, conveyance or other disposition of all or substantially all of the assets of WRL or Employer, in one transaction or a series of related transactions, to any Person other than WRL or Employer, where any such transaction or series of related transactions as is referred to in clause (x) or clause (y) above in this subparagraph (iii) (singly or collectively, a</w:t>
      </w:r>
    </w:p>
    <w:p>
      <w:pPr>
        <w:spacing w:after="0" w:line="99" w:lineRule="exact"/>
        <w:rPr>
          <w:sz w:val="20"/>
          <w:szCs w:val="20"/>
          <w:color w:val="auto"/>
        </w:rPr>
      </w:pPr>
    </w:p>
    <w:p>
      <w:pPr>
        <w:ind w:left="477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17"/>
          </w:cols>
          <w:pgMar w:left="1143" w:top="274" w:right="239" w:bottom="1440" w:gutter="0" w:footer="0" w:header="0"/>
        </w:sectPr>
      </w:pPr>
    </w:p>
    <w:bookmarkStart w:id="99" w:name="page100"/>
    <w:bookmarkEnd w:id="99"/>
    <w:p>
      <w:pPr>
        <w:ind w:left="4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“Transaction”) does not otherwise result in a “Change in Control” pursuant to subparagraph (i) of this definition of “Change in Control”;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no such Transaction shall constitute a “Change in Control” under this subparagraph (iii) if the Persons who were the stockholders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WRL or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WRL or Employer are sold, assigned, leased, conveyed or disposed of in any transaction or series of related transactions referred in clause (y) above in this subparagraph (iii), in substantially the same proportions in which such Beneficial Owners held voting stock in WRL or Employer immediately before such Transaction.</w:t>
      </w:r>
    </w:p>
    <w:p>
      <w:pPr>
        <w:spacing w:after="0" w:line="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purposes of the foregoing definition of “Change in Control,” the term “Excluded Stockholder” means Stephen A. Wynn, the spouse, ex-spouse, siblings, children, grandchildren or great grandchildren of Stephen A. Wynn, any trust primarily for the benefit of the foregoing persons, or any Affiliate of any of the foregoing persons.</w:t>
      </w:r>
    </w:p>
    <w:p>
      <w:pPr>
        <w:spacing w:after="0" w:line="53" w:lineRule="exact"/>
        <w:rPr>
          <w:sz w:val="20"/>
          <w:szCs w:val="20"/>
          <w:color w:val="auto"/>
        </w:rPr>
      </w:pPr>
    </w:p>
    <w:p>
      <w:pPr>
        <w:ind w:right="380" w:firstLine="443"/>
        <w:spacing w:after="0" w:line="334" w:lineRule="auto"/>
        <w:tabs>
          <w:tab w:leader="none" w:pos="6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Complete Disability</w:t>
      </w:r>
      <w:r>
        <w:rPr>
          <w:rFonts w:ascii="Arial" w:cs="Arial" w:eastAsia="Arial" w:hAnsi="Arial"/>
          <w:sz w:val="16"/>
          <w:szCs w:val="16"/>
          <w:color w:val="auto"/>
        </w:rPr>
        <w:t>” – means the inability of Employee, due to illness or accident or other mental or physical incapacity, to perform (with reasonable accommodation) Employee’s obligations under this Agreement for a period as defined by Employer’s disability plan or plans.</w:t>
      </w:r>
    </w:p>
    <w:p>
      <w:pPr>
        <w:spacing w:after="0" w:line="1" w:lineRule="exact"/>
        <w:rPr>
          <w:rFonts w:ascii="Arial" w:cs="Arial" w:eastAsia="Arial" w:hAnsi="Arial"/>
          <w:sz w:val="16"/>
          <w:szCs w:val="16"/>
          <w:color w:val="auto"/>
        </w:rPr>
      </w:pPr>
    </w:p>
    <w:p>
      <w:pPr>
        <w:ind w:right="60" w:firstLine="443"/>
        <w:spacing w:after="0" w:line="290" w:lineRule="auto"/>
        <w:tabs>
          <w:tab w:leader="none" w:pos="657"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color w:val="auto"/>
        </w:rPr>
        <w:t>”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100" w:name="page101"/>
    <w:bookmarkEnd w:id="100"/>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Notwithstanding anything to the contrary contained herein, the term “Confidential Information” shall not include information, data, analyses, documents, compilations or materials that (i) are when furnished or thereafter become available to the public other than as a result of a disclosure by Employee, (ii) are already in the possession of or become available to Employee from a source other than Employer or its Affiliates, or (iii) Employee demonstrates have been independently developed without a violation of this Agreement.</w:t>
      </w:r>
    </w:p>
    <w:p>
      <w:pPr>
        <w:spacing w:after="0" w:line="60" w:lineRule="exact"/>
        <w:rPr>
          <w:sz w:val="20"/>
          <w:szCs w:val="20"/>
          <w:color w:val="auto"/>
        </w:rPr>
      </w:pPr>
    </w:p>
    <w:p>
      <w:pPr>
        <w:ind w:left="700" w:hanging="25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 means December 1, 2010.</w:t>
      </w:r>
    </w:p>
    <w:p>
      <w:pPr>
        <w:spacing w:after="0" w:line="90" w:lineRule="exact"/>
        <w:rPr>
          <w:rFonts w:ascii="Arial" w:cs="Arial" w:eastAsia="Arial" w:hAnsi="Arial"/>
          <w:sz w:val="18"/>
          <w:szCs w:val="18"/>
          <w:color w:val="auto"/>
        </w:rPr>
      </w:pPr>
    </w:p>
    <w:p>
      <w:pPr>
        <w:ind w:right="120" w:firstLine="443"/>
        <w:spacing w:after="0" w:line="262" w:lineRule="auto"/>
        <w:tabs>
          <w:tab w:leader="none" w:pos="687"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 means the occurrence, on or after the occurrence of a Change in Control, of any of the following (except with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or resulting from an isolated, insubstantial and inadvertent action not taken in bad faith and which is remedied by Employer or its Affiliate promptly after receipt of notice thereof from Employee):</w:t>
      </w:r>
    </w:p>
    <w:p>
      <w:pPr>
        <w:spacing w:after="0" w:line="57" w:lineRule="exact"/>
        <w:rPr>
          <w:rFonts w:ascii="Arial" w:cs="Arial" w:eastAsia="Arial" w:hAnsi="Arial"/>
          <w:sz w:val="18"/>
          <w:szCs w:val="18"/>
          <w:color w:val="auto"/>
        </w:rPr>
      </w:pPr>
    </w:p>
    <w:p>
      <w:pPr>
        <w:ind w:left="1460" w:hanging="440"/>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Employer or an Affiliate reduces Employee’s Base Salary (as defined in Subsection 7(a) below);</w:t>
      </w:r>
    </w:p>
    <w:p>
      <w:pPr>
        <w:spacing w:after="0" w:line="90" w:lineRule="exact"/>
        <w:rPr>
          <w:rFonts w:ascii="Arial" w:cs="Arial" w:eastAsia="Arial" w:hAnsi="Arial"/>
          <w:sz w:val="18"/>
          <w:szCs w:val="18"/>
          <w:color w:val="auto"/>
        </w:rPr>
      </w:pPr>
    </w:p>
    <w:p>
      <w:pPr>
        <w:ind w:left="1460" w:right="420" w:hanging="440"/>
        <w:spacing w:after="0" w:line="298" w:lineRule="auto"/>
        <w:tabs>
          <w:tab w:leader="none" w:pos="14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Employer or any of its Affiliates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its Affiliates or its successor entity;</w:t>
      </w:r>
    </w:p>
    <w:p>
      <w:pPr>
        <w:spacing w:after="0" w:line="31" w:lineRule="exact"/>
        <w:rPr>
          <w:rFonts w:ascii="Arial" w:cs="Arial" w:eastAsia="Arial" w:hAnsi="Arial"/>
          <w:sz w:val="16"/>
          <w:szCs w:val="16"/>
          <w:color w:val="auto"/>
        </w:rPr>
      </w:pPr>
    </w:p>
    <w:p>
      <w:pPr>
        <w:ind w:left="1460" w:right="340" w:hanging="440"/>
        <w:spacing w:after="0" w:line="268"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Employer or any of its Affiliates materially reduces the aggregate benefits and perquisites to Employee from those being provided immediately before the Change in Control;</w:t>
      </w:r>
    </w:p>
    <w:p>
      <w:pPr>
        <w:spacing w:after="0" w:line="50" w:lineRule="exact"/>
        <w:rPr>
          <w:rFonts w:ascii="Arial" w:cs="Arial" w:eastAsia="Arial" w:hAnsi="Arial"/>
          <w:sz w:val="18"/>
          <w:szCs w:val="18"/>
          <w:color w:val="auto"/>
        </w:rPr>
      </w:pPr>
    </w:p>
    <w:p>
      <w:pPr>
        <w:ind w:left="1460" w:hanging="440"/>
        <w:spacing w:after="0" w:line="332" w:lineRule="auto"/>
        <w:tabs>
          <w:tab w:leader="none" w:pos="14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Employer or any of its Affiliates requires Employee to change the location of Employee’s job or office, so that Employee will be based at a location more than 25 miles from the location of Employee’s job or office immediately before the Change in Control; and</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101" w:name="page102"/>
    <w:bookmarkEnd w:id="101"/>
    <w:p>
      <w:pPr>
        <w:ind w:left="1900" w:right="320" w:hanging="440"/>
        <w:spacing w:after="0" w:line="306" w:lineRule="auto"/>
        <w:tabs>
          <w:tab w:leader="none" w:pos="1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Employer or any of its Affiliates reduces Employee’s responsibilities or directs Employee to report to a person of lower rank or responsibilities than the person to whom Employee reported immediately before the Change in Control; or (vi) the successor to Employer or any of its Affiliates fails or refuses expressly to assume in writing the obligations of Employer under this Agreement.</w:t>
      </w:r>
    </w:p>
    <w:p>
      <w:pPr>
        <w:spacing w:after="0" w:line="26" w:lineRule="exact"/>
        <w:rPr>
          <w:sz w:val="20"/>
          <w:szCs w:val="20"/>
          <w:color w:val="auto"/>
        </w:rPr>
      </w:pPr>
    </w:p>
    <w:p>
      <w:pPr>
        <w:ind w:left="440" w:right="220"/>
        <w:spacing w:after="0" w:line="268" w:lineRule="auto"/>
        <w:rPr>
          <w:sz w:val="20"/>
          <w:szCs w:val="20"/>
          <w:color w:val="auto"/>
        </w:rPr>
      </w:pPr>
      <w:r>
        <w:rPr>
          <w:rFonts w:ascii="Arial" w:cs="Arial" w:eastAsia="Arial" w:hAnsi="Arial"/>
          <w:sz w:val="18"/>
          <w:szCs w:val="18"/>
          <w:color w:val="auto"/>
        </w:rPr>
        <w:t>For purposes of this Agreement, a determination by Employee that Employee has “Good Reason” shall be final and binding on Employer and Employee absent a showing of bad faith on Employee’s part.</w:t>
      </w:r>
    </w:p>
    <w:p>
      <w:pPr>
        <w:spacing w:after="0" w:line="45" w:lineRule="exact"/>
        <w:rPr>
          <w:sz w:val="20"/>
          <w:szCs w:val="20"/>
          <w:color w:val="auto"/>
        </w:rPr>
      </w:pPr>
    </w:p>
    <w:p>
      <w:pPr>
        <w:ind w:left="440" w:firstLine="443"/>
        <w:spacing w:after="0" w:line="310" w:lineRule="auto"/>
        <w:tabs>
          <w:tab w:leader="none" w:pos="1088"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Separation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 means a lump sum equal to (A) Employee’s Base Salary for the remainder of the Term (but not less than 12 months)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Section 7(a) of this Agreement, plus (B) the bonus that was paid to Employee under Section 7(b) for the preceding bonus period (projected over 12 months if the bonus was for less than a year), plus (C) any accrued but unpaid vacation pay and unreimbursed expenses.</w:t>
      </w:r>
    </w:p>
    <w:p>
      <w:pPr>
        <w:spacing w:after="0" w:line="16" w:lineRule="exact"/>
        <w:rPr>
          <w:sz w:val="20"/>
          <w:szCs w:val="20"/>
          <w:color w:val="auto"/>
        </w:rPr>
      </w:pPr>
    </w:p>
    <w:p>
      <w:pPr>
        <w:ind w:left="440" w:right="260" w:firstLine="443"/>
        <w:spacing w:after="0" w:line="296" w:lineRule="auto"/>
        <w:tabs>
          <w:tab w:leader="none" w:pos="1127" w:val="left"/>
        </w:tabs>
        <w:numPr>
          <w:ilvl w:val="1"/>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Trade Secrets</w:t>
      </w:r>
      <w:r>
        <w:rPr>
          <w:rFonts w:ascii="Arial" w:cs="Arial" w:eastAsia="Arial" w:hAnsi="Arial"/>
          <w:sz w:val="16"/>
          <w:szCs w:val="16"/>
          <w:color w:val="auto"/>
        </w:rPr>
        <w:t>”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26" w:lineRule="exact"/>
        <w:rPr>
          <w:rFonts w:ascii="Arial" w:cs="Arial" w:eastAsia="Arial" w:hAnsi="Arial"/>
          <w:sz w:val="16"/>
          <w:szCs w:val="16"/>
          <w:color w:val="auto"/>
        </w:rPr>
      </w:pPr>
    </w:p>
    <w:p>
      <w:pPr>
        <w:ind w:left="440" w:firstLine="443"/>
        <w:spacing w:after="0" w:line="296" w:lineRule="auto"/>
        <w:tabs>
          <w:tab w:leader="none" w:pos="1127" w:val="left"/>
        </w:tabs>
        <w:numPr>
          <w:ilvl w:val="1"/>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Work of Authorship</w:t>
      </w:r>
      <w:r>
        <w:rPr>
          <w:rFonts w:ascii="Arial" w:cs="Arial" w:eastAsia="Arial" w:hAnsi="Arial"/>
          <w:sz w:val="16"/>
          <w:szCs w:val="16"/>
          <w:color w:val="auto"/>
        </w:rPr>
        <w:t>” –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13" w:lineRule="exact"/>
        <w:rPr>
          <w:rFonts w:ascii="Arial" w:cs="Arial" w:eastAsia="Arial" w:hAnsi="Arial"/>
          <w:sz w:val="16"/>
          <w:szCs w:val="16"/>
          <w:color w:val="auto"/>
        </w:rPr>
      </w:pPr>
    </w:p>
    <w:p>
      <w:pPr>
        <w:ind w:left="-20" w:right="60" w:firstLine="464"/>
        <w:spacing w:after="0" w:line="268" w:lineRule="auto"/>
        <w:tabs>
          <w:tab w:leader="none" w:pos="612"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BASIC EMPLOYMENT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and pursuant to the conditions hereinafter set forth, Employer hereby employs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Term hereinafter specified to serve in a management or executive capacity, under a title,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102" w:name="page103"/>
    <w:bookmarkEnd w:id="102"/>
    <w:p>
      <w:pPr>
        <w:jc w:val="both"/>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that Employee shall only report directly to the Chief Operating Officer of WRL.</w:t>
      </w:r>
    </w:p>
    <w:p>
      <w:pPr>
        <w:spacing w:after="0" w:line="107" w:lineRule="exact"/>
        <w:rPr>
          <w:sz w:val="20"/>
          <w:szCs w:val="20"/>
          <w:color w:val="auto"/>
        </w:rPr>
      </w:pPr>
    </w:p>
    <w:p>
      <w:pPr>
        <w:ind w:right="20" w:firstLine="464"/>
        <w:spacing w:after="0" w:line="289" w:lineRule="auto"/>
        <w:tabs>
          <w:tab w:leader="none" w:pos="632"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DUTIES OF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shall serve as “President – Wynn Las Vegas and Encore” and Employee shall perform such duties assigned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by Employer as are consistent with such position and title. Employee’s duties shall include, but not be limited to: (i) the efficient and continuous operation of Employer; (ii) the preparation of relevant budgets and allocation or relevant funds; (iii) the selection and delegation of duties and responsibilities of subordinates; (iv) the direction, review and oversight of all programs under Employee’s supervision and (v) such other and further duties as may be assigned by Employer to Employee from time to time, consistent with Employee’s position and title. The foregoing notwithstanding, Employee shall devote such time to Employer or its Affiliates as may be required by Employer, provided such duties are not inconsistent with Employee’s primary duties to Employer hereunder. Without Employee’s consent, Employee shall not be required to perform any duties hereunder at any location other than the Wynn/Encore Resort premises in Las Vegas, Nevada.</w:t>
      </w:r>
    </w:p>
    <w:p>
      <w:pPr>
        <w:spacing w:after="0" w:line="118" w:lineRule="exact"/>
        <w:rPr>
          <w:rFonts w:ascii="Arial" w:cs="Arial" w:eastAsia="Arial" w:hAnsi="Arial"/>
          <w:sz w:val="16"/>
          <w:szCs w:val="16"/>
          <w:b w:val="1"/>
          <w:bCs w:val="1"/>
          <w:i w:val="1"/>
          <w:iCs w:val="1"/>
          <w:color w:val="auto"/>
        </w:rPr>
      </w:pPr>
    </w:p>
    <w:p>
      <w:pPr>
        <w:ind w:right="20" w:firstLine="464"/>
        <w:spacing w:after="0" w:line="289" w:lineRule="auto"/>
        <w:tabs>
          <w:tab w:leader="none" w:pos="632"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ACCEPTANCE OF EMPLOYMENT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hereby accepts the employment set forth hereunder, under the terms and pursuant to the conditions 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forth in this Agreement. Employee hereby covenants and agrees that, during the Term, Employee will devote the whole of Employee’s normal and customary working time and reasonable efforts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 Notwithstanding anything to the contrary contained herein, Employee may (i) serve as a director of non-affiliated entities involved in charitable, educational, religious, industry trade, public interest or public service causes, and (ii) engage in passive investing and managing personal and family investments so long as such activities do not detract from the performance of Employee’s duties in any material respect and are not inconsistent with Employer’s brand or corporate philosophy.</w:t>
      </w:r>
    </w:p>
    <w:p>
      <w:pPr>
        <w:spacing w:after="0" w:line="112" w:lineRule="exact"/>
        <w:rPr>
          <w:rFonts w:ascii="Arial" w:cs="Arial" w:eastAsia="Arial" w:hAnsi="Arial"/>
          <w:sz w:val="16"/>
          <w:szCs w:val="16"/>
          <w:b w:val="1"/>
          <w:bCs w:val="1"/>
          <w:i w:val="1"/>
          <w:iCs w:val="1"/>
          <w:color w:val="auto"/>
        </w:rPr>
      </w:pPr>
    </w:p>
    <w:p>
      <w:pPr>
        <w:ind w:firstLine="464"/>
        <w:spacing w:after="0" w:line="256" w:lineRule="auto"/>
        <w:tabs>
          <w:tab w:leader="none" w:pos="632"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Unless sooner terminated as provided in this Agreement, the term of this Agreement (the “</w:t>
      </w:r>
      <w:r>
        <w:rPr>
          <w:rFonts w:ascii="Arial" w:cs="Arial" w:eastAsia="Arial" w:hAnsi="Arial"/>
          <w:sz w:val="18"/>
          <w:szCs w:val="18"/>
          <w:b w:val="1"/>
          <w:bCs w:val="1"/>
          <w:color w:val="auto"/>
        </w:rPr>
        <w:t>Term</w:t>
      </w:r>
      <w:r>
        <w:rPr>
          <w:rFonts w:ascii="Arial" w:cs="Arial" w:eastAsia="Arial" w:hAnsi="Arial"/>
          <w:sz w:val="18"/>
          <w:szCs w:val="18"/>
          <w:color w:val="auto"/>
        </w:rPr>
        <w:t>”) shall consist of five years commencing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 of this Agreement and terminating on the fifth Anniversary of the Effective Date at which time the terms of this Agreement shall expire and shall not apply to any continued employment of Employee by Employer, except for those obligations under Paragraphs 9 and 10. Following the Term, unless the parties enter into a new written contract of employment, (a) any continued employment of Employee shall be at-will, and (b) the employment relationship may be terminated at any time by either party, with or without cause or notice.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03" w:name="page104"/>
    <w:bookmarkEnd w:id="10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Concurrent with Employee’s resignation from Employer or upon the termination of Employee’s employment with Employer, Employee agrees to resign, and shall be deemed to have resigned, all other positions (including but not limited to board of director memberships) that Employee may have held immediately prior to Employee’s resignation or termination.</w:t>
      </w:r>
    </w:p>
    <w:p>
      <w:pPr>
        <w:spacing w:after="0" w:line="134"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SPECIAL TERMINATION PROVISIONS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provisions of Section 5, this Agreement shall terminate upon the occurrence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events:</w:t>
      </w:r>
    </w:p>
    <w:p>
      <w:pPr>
        <w:spacing w:after="0" w:line="45" w:lineRule="exact"/>
        <w:rPr>
          <w:sz w:val="20"/>
          <w:szCs w:val="20"/>
          <w:color w:val="auto"/>
        </w:rPr>
      </w:pPr>
    </w:p>
    <w:p>
      <w:pPr>
        <w:ind w:left="1140" w:hanging="237"/>
        <w:spacing w:after="0"/>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death of Employee;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giving of written notice from Employer to Employee of the termination of this Agreement upon the Complete Disability of Employee;</w:t>
      </w:r>
    </w:p>
    <w:p>
      <w:pPr>
        <w:spacing w:after="0" w:line="113" w:lineRule="exact"/>
        <w:rPr>
          <w:rFonts w:ascii="Arial" w:cs="Arial" w:eastAsia="Arial" w:hAnsi="Arial"/>
          <w:sz w:val="16"/>
          <w:szCs w:val="16"/>
          <w:color w:val="auto"/>
        </w:rPr>
      </w:pPr>
    </w:p>
    <w:p>
      <w:pPr>
        <w:ind w:left="1140" w:hanging="237"/>
        <w:spacing w:after="0"/>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upon the discharge of Employee for Cause;</w:t>
      </w:r>
    </w:p>
    <w:p>
      <w:pPr>
        <w:spacing w:after="0" w:line="113" w:lineRule="exact"/>
        <w:rPr>
          <w:rFonts w:ascii="Arial" w:cs="Arial" w:eastAsia="Arial" w:hAnsi="Arial"/>
          <w:sz w:val="16"/>
          <w:szCs w:val="16"/>
          <w:color w:val="auto"/>
        </w:rPr>
      </w:pPr>
    </w:p>
    <w:p>
      <w:pPr>
        <w:ind w:left="460" w:right="360" w:firstLine="443"/>
        <w:spacing w:after="0" w:line="332" w:lineRule="auto"/>
        <w:tabs>
          <w:tab w:leader="none" w:pos="11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the giving of written notice by Employer to Employee of the termination of this Agreement following a disapproval of this Agreement or the denial, suspension, limitation or revocation of Employee’s License (as defined in Subsection 8(b) of this Agreement);</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Employer to Employee of the termination of this Agreement without Cause,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within ten</w:t>
      </w:r>
    </w:p>
    <w:p>
      <w:pPr>
        <w:spacing w:after="0" w:line="38" w:lineRule="exact"/>
        <w:rPr>
          <w:rFonts w:ascii="Arial" w:cs="Arial" w:eastAsia="Arial" w:hAnsi="Arial"/>
          <w:sz w:val="16"/>
          <w:szCs w:val="16"/>
          <w:color w:val="auto"/>
        </w:rPr>
      </w:pPr>
    </w:p>
    <w:p>
      <w:pPr>
        <w:ind w:left="800" w:hanging="336"/>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calendar days after such notice, Employer must tender the Separation Payment to Employee;</w:t>
      </w:r>
    </w:p>
    <w:p>
      <w:pPr>
        <w:spacing w:after="0" w:line="83" w:lineRule="exact"/>
        <w:rPr>
          <w:rFonts w:ascii="Arial" w:cs="Arial" w:eastAsia="Arial" w:hAnsi="Arial"/>
          <w:sz w:val="18"/>
          <w:szCs w:val="18"/>
          <w:color w:val="auto"/>
        </w:rPr>
      </w:pPr>
    </w:p>
    <w:p>
      <w:pPr>
        <w:ind w:left="460" w:right="220" w:firstLine="443"/>
        <w:spacing w:after="0" w:line="306" w:lineRule="auto"/>
        <w:tabs>
          <w:tab w:leader="none" w:pos="1117"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the giving of written notice by Employee to Employer upon a material breach of this Agreement by Employer, which material breach remains uncured for a period of thirty (30) days after the giving of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within ten (10) calendar days after the expiration of such cure period without the cure having been effected, Employer must tender the Separation Payment to Employee; or</w:t>
      </w:r>
    </w:p>
    <w:p>
      <w:pPr>
        <w:spacing w:after="0" w:line="25" w:lineRule="exact"/>
        <w:rPr>
          <w:rFonts w:ascii="Arial" w:cs="Arial" w:eastAsia="Arial" w:hAnsi="Arial"/>
          <w:sz w:val="16"/>
          <w:szCs w:val="16"/>
          <w:color w:val="auto"/>
        </w:rPr>
      </w:pPr>
    </w:p>
    <w:p>
      <w:pPr>
        <w:ind w:left="460" w:right="280" w:firstLine="443"/>
        <w:spacing w:after="0" w:line="259"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at Employee’s sole election in writing as provided in Section 17 of this Agreement, after both a Change of Control and as a result of Good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within ten (10) calendar days after the expiration of such cure period without the cure having been effected, Employer must tender the Separation Payment to Employee.</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the event of a termination of this Agreement pursuant to the provisions of Section(s) 6(a), (b), (c) or (d), Employer shall not be required to make any payments to Employee other than payment of Base Salary, vacation pay accrued but unpaid through the termination date and the reimbursement of permitted expenses. In the event of a termination of this Agreement pursuant to the provisions of Section(s) 6(e), (f) or (g), Employer must tender the Separation Payment within ten (10) days of such termination.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4" w:name="page105"/>
    <w:bookmarkEnd w:id="104"/>
    <w:p>
      <w:pPr>
        <w:ind w:left="-20" w:right="200" w:firstLine="464"/>
        <w:spacing w:after="0" w:line="259" w:lineRule="auto"/>
        <w:tabs>
          <w:tab w:leader="none" w:pos="612"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TO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and in complete consideration of Employee’s full and faithful performance of Employee’s duties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Employer hereby covenants and agrees to pay to Employee, and Employee hereby covenants and agrees to accept from Employer, the following items of compensation:</w:t>
      </w:r>
    </w:p>
    <w:p>
      <w:pPr>
        <w:spacing w:after="0" w:line="53" w:lineRule="exact"/>
        <w:rPr>
          <w:rFonts w:ascii="Arial" w:cs="Arial" w:eastAsia="Arial" w:hAnsi="Arial"/>
          <w:sz w:val="18"/>
          <w:szCs w:val="18"/>
          <w:b w:val="1"/>
          <w:bCs w:val="1"/>
          <w:i w:val="1"/>
          <w:iCs w:val="1"/>
          <w:color w:val="auto"/>
        </w:rPr>
      </w:pPr>
    </w:p>
    <w:p>
      <w:pPr>
        <w:ind w:left="440" w:firstLine="443"/>
        <w:spacing w:after="0" w:line="293" w:lineRule="auto"/>
        <w:tabs>
          <w:tab w:leader="none" w:pos="1117" w:val="left"/>
        </w:tabs>
        <w:numPr>
          <w:ilvl w:val="1"/>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to pay to Employee, and Employee hereby covenants and agrees to accept from Employer, a</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at the rate of One Million Dollars ($1,000,000) per annum, payable in such weekly, bi-weekly or semi-monthly installments as shall be convenient to Employer (the “</w:t>
      </w:r>
      <w:r>
        <w:rPr>
          <w:rFonts w:ascii="Arial" w:cs="Arial" w:eastAsia="Arial" w:hAnsi="Arial"/>
          <w:sz w:val="16"/>
          <w:szCs w:val="16"/>
          <w:b w:val="1"/>
          <w:bCs w:val="1"/>
          <w:color w:val="auto"/>
        </w:rPr>
        <w:t>Base Salary”</w:t>
      </w:r>
      <w:r>
        <w:rPr>
          <w:rFonts w:ascii="Arial" w:cs="Arial" w:eastAsia="Arial" w:hAnsi="Arial"/>
          <w:sz w:val="16"/>
          <w:szCs w:val="16"/>
          <w:color w:val="auto"/>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but not limited to, any discretionary bonus, profit sharing plan, pension plan, retirement plan, disability or life insurance plan, medical and/or hospitalization plan, or any and all other benefit plans which may be in effect during the Term.</w:t>
      </w:r>
    </w:p>
    <w:p>
      <w:pPr>
        <w:spacing w:after="0" w:line="29" w:lineRule="exact"/>
        <w:rPr>
          <w:rFonts w:ascii="Arial" w:cs="Arial" w:eastAsia="Arial" w:hAnsi="Arial"/>
          <w:sz w:val="16"/>
          <w:szCs w:val="16"/>
          <w:color w:val="auto"/>
        </w:rPr>
      </w:pPr>
    </w:p>
    <w:p>
      <w:pPr>
        <w:ind w:left="440" w:firstLine="443"/>
        <w:spacing w:after="0" w:line="258" w:lineRule="auto"/>
        <w:tabs>
          <w:tab w:leader="none" w:pos="1127" w:val="left"/>
        </w:tabs>
        <w:numPr>
          <w:ilvl w:val="1"/>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Bonus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will be eligible to receive a bonus at such times and in such amounts as the Compensation Committee of WRL</w:t>
      </w:r>
      <w:r>
        <w:rPr>
          <w:rFonts w:ascii="Arial" w:cs="Arial" w:eastAsia="Arial" w:hAnsi="Arial"/>
          <w:sz w:val="18"/>
          <w:szCs w:val="18"/>
          <w:b w:val="1"/>
          <w:bCs w:val="1"/>
          <w:color w:val="auto"/>
        </w:rPr>
        <w:t xml:space="preserve"> </w:t>
      </w:r>
      <w:r>
        <w:rPr>
          <w:rFonts w:ascii="Arial" w:cs="Arial" w:eastAsia="Arial" w:hAnsi="Arial"/>
          <w:sz w:val="18"/>
          <w:szCs w:val="18"/>
          <w:color w:val="auto"/>
        </w:rPr>
        <w:t>or Employer, as the case may be, may determine in their sole and exclusive discretion, until such time as WRL or Employer, as applicable, may adopt a performance-based bonus plan, and thereafter in accordance with such plan. Employer retains the discretion to adopt, amend or terminate any bonus plan at any time.</w:t>
      </w:r>
    </w:p>
    <w:p>
      <w:pPr>
        <w:spacing w:after="0" w:line="55" w:lineRule="exact"/>
        <w:rPr>
          <w:rFonts w:ascii="Arial" w:cs="Arial" w:eastAsia="Arial" w:hAnsi="Arial"/>
          <w:sz w:val="18"/>
          <w:szCs w:val="18"/>
          <w:color w:val="auto"/>
        </w:rPr>
      </w:pPr>
    </w:p>
    <w:p>
      <w:pPr>
        <w:ind w:left="440" w:right="80" w:firstLine="443"/>
        <w:spacing w:after="0" w:line="293" w:lineRule="auto"/>
        <w:tabs>
          <w:tab w:leader="none" w:pos="1117" w:val="left"/>
        </w:tabs>
        <w:numPr>
          <w:ilvl w:val="1"/>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Employee Benefit Plans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hereby covenants and agrees that it shall include Employee, if otherwise eligible, in any profit sharing plan,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stock plan, pension plan, retirement plan, disability or life insurance plan, medical and/or hospitalization plan, and any other benefit plan which may be placed in effect by Employer or any of its Affiliates and generally available to employees of Employer or any of its Affiliates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w:t>
      </w:r>
    </w:p>
    <w:p>
      <w:pPr>
        <w:spacing w:after="0" w:line="29" w:lineRule="exact"/>
        <w:rPr>
          <w:rFonts w:ascii="Arial" w:cs="Arial" w:eastAsia="Arial" w:hAnsi="Arial"/>
          <w:sz w:val="16"/>
          <w:szCs w:val="16"/>
          <w:color w:val="auto"/>
        </w:rPr>
      </w:pPr>
    </w:p>
    <w:p>
      <w:pPr>
        <w:ind w:left="440" w:right="100" w:firstLine="443"/>
        <w:spacing w:after="0" w:line="339" w:lineRule="auto"/>
        <w:tabs>
          <w:tab w:leader="none" w:pos="1127" w:val="left"/>
        </w:tabs>
        <w:numPr>
          <w:ilvl w:val="1"/>
          <w:numId w:val="55"/>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 Reimbursement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and provided the same are authorized by Employer, Employer shall either pay directly or reimburse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for Employee’s reasonable expenses incurred for the benefit of Employer in accordance with Employer’s general policy regarding</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280" w:right="259" w:bottom="1440" w:gutter="0" w:footer="0" w:header="0"/>
        </w:sectPr>
      </w:pPr>
    </w:p>
    <w:bookmarkStart w:id="105" w:name="page106"/>
    <w:bookmarkEnd w:id="105"/>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 reimbursement, as the same may be modified from time to time. Such reimbursable expenses shall include, but are not limited to, (i) reasonable entertainment and promotional expenses, (ii) gift and travel expenses, (iii) dues and expenses of membership in professional societies and fraternal organization, and (iv) the like. Prior to such payment or reimbursement, Employee shall provide Employer with sufficient detailed invoices of such expenses as may be required by Employer’s policy.</w:t>
      </w:r>
    </w:p>
    <w:p>
      <w:pPr>
        <w:spacing w:after="0" w:line="56" w:lineRule="exact"/>
        <w:rPr>
          <w:sz w:val="20"/>
          <w:szCs w:val="20"/>
          <w:color w:val="auto"/>
        </w:rPr>
      </w:pPr>
    </w:p>
    <w:p>
      <w:pPr>
        <w:ind w:right="60" w:firstLine="443"/>
        <w:spacing w:after="0" w:line="275" w:lineRule="auto"/>
        <w:tabs>
          <w:tab w:leader="none" w:pos="677"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Vacations and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as of the Effective Date, Employee shall be entitled to four weeks annual paid vacation and paid holidays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Employer’s respective standard policies.</w:t>
      </w:r>
    </w:p>
    <w:p>
      <w:pPr>
        <w:spacing w:after="0" w:line="38" w:lineRule="exact"/>
        <w:rPr>
          <w:rFonts w:ascii="Arial" w:cs="Arial" w:eastAsia="Arial" w:hAnsi="Arial"/>
          <w:sz w:val="18"/>
          <w:szCs w:val="18"/>
          <w:color w:val="auto"/>
        </w:rPr>
      </w:pPr>
    </w:p>
    <w:p>
      <w:pPr>
        <w:ind w:right="20" w:firstLine="443"/>
        <w:spacing w:after="0" w:line="262" w:lineRule="auto"/>
        <w:tabs>
          <w:tab w:leader="none" w:pos="657"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All compensation provided to Employee by Employer under this Section 7 shall be subject to applicable withholdings for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or local income or other taxes, Social Security Tax, Medicare Tax, State Unemployment Insurance, State Disability Insurance, charitable contributions and the like.</w:t>
      </w:r>
    </w:p>
    <w:p>
      <w:pPr>
        <w:spacing w:after="0" w:line="51" w:lineRule="exact"/>
        <w:rPr>
          <w:rFonts w:ascii="Arial" w:cs="Arial" w:eastAsia="Arial" w:hAnsi="Arial"/>
          <w:sz w:val="18"/>
          <w:szCs w:val="18"/>
          <w:color w:val="auto"/>
        </w:rPr>
      </w:pPr>
    </w:p>
    <w:p>
      <w:pPr>
        <w:ind w:firstLine="443"/>
        <w:spacing w:after="0" w:line="283" w:lineRule="auto"/>
        <w:tabs>
          <w:tab w:leader="none" w:pos="687" w:val="left"/>
        </w:tabs>
        <w:numPr>
          <w:ilvl w:val="1"/>
          <w:numId w:val="56"/>
        </w:numPr>
        <w:rPr>
          <w:rFonts w:ascii="Arial" w:cs="Arial" w:eastAsia="Arial" w:hAnsi="Arial"/>
          <w:sz w:val="16"/>
          <w:szCs w:val="16"/>
          <w:color w:val="auto"/>
        </w:rPr>
      </w:pPr>
      <w:r>
        <w:rPr>
          <w:rFonts w:ascii="Arial" w:cs="Arial" w:eastAsia="Arial" w:hAnsi="Arial"/>
          <w:sz w:val="16"/>
          <w:szCs w:val="16"/>
          <w:b w:val="1"/>
          <w:bCs w:val="1"/>
          <w:u w:val="single" w:color="auto"/>
          <w:color w:val="auto"/>
        </w:rPr>
        <w:t>Equity Grant</w:t>
      </w:r>
      <w:r>
        <w:rPr>
          <w:rFonts w:ascii="Arial" w:cs="Arial" w:eastAsia="Arial" w:hAnsi="Arial"/>
          <w:sz w:val="16"/>
          <w:szCs w:val="16"/>
          <w:color w:val="auto"/>
        </w:rPr>
        <w:t>. The Compensation Committee of WRL has approved the grant to Employee, effective as of the Effective Date, of 25,000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restricted stock of WRL in accordance with WRL’s Stock Incentive Plan (the “Grant”). Such Grant shall automatically vest, and the applicable restrictions on the subject shares shall automatically lapse, on the date that is the fifth (5</w:t>
      </w:r>
      <w:r>
        <w:rPr>
          <w:rFonts w:ascii="Arial" w:cs="Arial" w:eastAsia="Arial" w:hAnsi="Arial"/>
          <w:sz w:val="10"/>
          <w:szCs w:val="10"/>
          <w:color w:val="auto"/>
        </w:rPr>
        <w:t>th</w:t>
      </w:r>
      <w:r>
        <w:rPr>
          <w:rFonts w:ascii="Arial" w:cs="Arial" w:eastAsia="Arial" w:hAnsi="Arial"/>
          <w:sz w:val="16"/>
          <w:szCs w:val="16"/>
          <w:color w:val="auto"/>
        </w:rPr>
        <w:t>) Anniversary of the Effective Date; provided, however, that, in addition to the Employer’s obligations relating to the Separation Payment, if Employee’s employment is terminated pursuant to Section 6(e) or Section 6(f), then such Grant shall automatically vest, and the applicable restrictions on the subject shares shall automatically lapse, with respect to that portion of the Grant equal to the greater of (x) 12,500 shares of such restricted stock and (y) the number of shares of such restricted stock that would have been vested if such shares had vested, and the applicable restrictions had lapsed, pro rata on a monthly basis for the number of months during the Term that had elapsed prior to such termination. For example, if Employee’s employment is terminated without Cause in accordance with Section 6(e) or Section 6(f):</w:t>
      </w:r>
    </w:p>
    <w:p>
      <w:pPr>
        <w:spacing w:after="0" w:line="5" w:lineRule="exact"/>
        <w:rPr>
          <w:rFonts w:ascii="Arial" w:cs="Arial" w:eastAsia="Arial" w:hAnsi="Arial"/>
          <w:sz w:val="16"/>
          <w:szCs w:val="16"/>
          <w:color w:val="auto"/>
        </w:rPr>
      </w:pPr>
    </w:p>
    <w:p>
      <w:pPr>
        <w:ind w:right="80" w:firstLine="4"/>
        <w:spacing w:after="0" w:line="302" w:lineRule="auto"/>
        <w:tabs>
          <w:tab w:leader="none" w:pos="28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twenty-eight (28) months after the Effective Date, then 12,500 shares of such restricted stock shall automatically vest coincident with such termination and (B) thirty-eight (38) months after the Effective Date, then 15,833 shares of such restricted stock shall automatically vest coincident with such termination (i.e. 63% of the 25,000 restricted shares subject to the Grant due to fact that 63% of the total 60 months had elapsed during the term).</w:t>
      </w:r>
    </w:p>
    <w:p>
      <w:pPr>
        <w:spacing w:after="0" w:line="109" w:lineRule="exact"/>
        <w:rPr>
          <w:sz w:val="20"/>
          <w:szCs w:val="20"/>
          <w:color w:val="auto"/>
        </w:rPr>
      </w:pPr>
    </w:p>
    <w:p>
      <w:pPr>
        <w:ind w:left="180" w:hanging="176"/>
        <w:spacing w:after="0"/>
        <w:tabs>
          <w:tab w:leader="none" w:pos="18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LICENSING REQUIREMENTS</w:t>
      </w:r>
      <w:r>
        <w:rPr>
          <w:rFonts w:ascii="Arial" w:cs="Arial" w:eastAsia="Arial" w:hAnsi="Arial"/>
          <w:sz w:val="18"/>
          <w:szCs w:val="18"/>
          <w:color w:val="auto"/>
        </w:rPr>
        <w:t>.</w:t>
      </w:r>
    </w:p>
    <w:p>
      <w:pPr>
        <w:spacing w:after="0" w:line="90" w:lineRule="exact"/>
        <w:rPr>
          <w:rFonts w:ascii="Arial" w:cs="Arial" w:eastAsia="Arial" w:hAnsi="Arial"/>
          <w:sz w:val="18"/>
          <w:szCs w:val="18"/>
          <w:b w:val="1"/>
          <w:bCs w:val="1"/>
          <w:i w:val="1"/>
          <w:iCs w:val="1"/>
          <w:color w:val="auto"/>
        </w:rPr>
      </w:pPr>
    </w:p>
    <w:p>
      <w:pPr>
        <w:ind w:left="680" w:hanging="237"/>
        <w:spacing w:after="0"/>
        <w:tabs>
          <w:tab w:leader="none" w:pos="6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Employer and Employee hereby covenant and agree that this Agreement and/or Employee’s employment may be subject to the approval</w:t>
      </w:r>
    </w:p>
    <w:p>
      <w:pPr>
        <w:spacing w:after="0" w:line="18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80" w:right="239" w:bottom="1440" w:gutter="0" w:footer="0" w:header="0"/>
        </w:sectPr>
      </w:pPr>
    </w:p>
    <w:bookmarkStart w:id="106" w:name="page107"/>
    <w:bookmarkEnd w:id="10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one or more gaming regulatory authorities (the “</w:t>
      </w:r>
      <w:r>
        <w:rPr>
          <w:rFonts w:ascii="Arial" w:cs="Arial" w:eastAsia="Arial" w:hAnsi="Arial"/>
          <w:sz w:val="16"/>
          <w:szCs w:val="16"/>
          <w:b w:val="1"/>
          <w:bCs w:val="1"/>
          <w:color w:val="auto"/>
        </w:rPr>
        <w:t>Authorities</w:t>
      </w:r>
      <w:r>
        <w:rPr>
          <w:rFonts w:ascii="Arial" w:cs="Arial" w:eastAsia="Arial" w:hAnsi="Arial"/>
          <w:sz w:val="16"/>
          <w:szCs w:val="16"/>
          <w:color w:val="auto"/>
        </w:rPr>
        <w:t>”) pursuant to the provisions of the relevant gaming regulatory statutes (the “</w:t>
      </w:r>
      <w:r>
        <w:rPr>
          <w:rFonts w:ascii="Arial" w:cs="Arial" w:eastAsia="Arial" w:hAnsi="Arial"/>
          <w:sz w:val="16"/>
          <w:szCs w:val="16"/>
          <w:b w:val="1"/>
          <w:bCs w:val="1"/>
          <w:color w:val="auto"/>
        </w:rPr>
        <w:t>Gaming</w:t>
      </w:r>
      <w:r>
        <w:rPr>
          <w:rFonts w:ascii="Arial" w:cs="Arial" w:eastAsia="Arial" w:hAnsi="Arial"/>
          <w:sz w:val="16"/>
          <w:szCs w:val="16"/>
          <w:color w:val="auto"/>
        </w:rPr>
        <w:t xml:space="preserve"> </w:t>
      </w:r>
      <w:r>
        <w:rPr>
          <w:rFonts w:ascii="Arial" w:cs="Arial" w:eastAsia="Arial" w:hAnsi="Arial"/>
          <w:sz w:val="16"/>
          <w:szCs w:val="16"/>
          <w:b w:val="1"/>
          <w:bCs w:val="1"/>
          <w:color w:val="auto"/>
        </w:rPr>
        <w:t>Acts</w:t>
      </w:r>
      <w:r>
        <w:rPr>
          <w:rFonts w:ascii="Arial" w:cs="Arial" w:eastAsia="Arial" w:hAnsi="Arial"/>
          <w:sz w:val="16"/>
          <w:szCs w:val="16"/>
          <w:color w:val="auto"/>
        </w:rPr>
        <w:t>”) and the regulations promulgated thereunder (the “</w:t>
      </w:r>
      <w:r>
        <w:rPr>
          <w:rFonts w:ascii="Arial" w:cs="Arial" w:eastAsia="Arial" w:hAnsi="Arial"/>
          <w:sz w:val="16"/>
          <w:szCs w:val="16"/>
          <w:b w:val="1"/>
          <w:bCs w:val="1"/>
          <w:color w:val="auto"/>
        </w:rPr>
        <w:t>Gaming Regulations</w:t>
      </w:r>
      <w:r>
        <w:rPr>
          <w:rFonts w:ascii="Arial" w:cs="Arial" w:eastAsia="Arial" w:hAnsi="Arial"/>
          <w:sz w:val="16"/>
          <w:szCs w:val="16"/>
          <w:color w:val="auto"/>
        </w:rPr>
        <w:t>”). Employer and Employee hereby covenant and agree to use their best</w:t>
      </w:r>
      <w:r>
        <w:rPr>
          <w:rFonts w:ascii="Arial" w:cs="Arial" w:eastAsia="Arial" w:hAnsi="Arial"/>
          <w:sz w:val="16"/>
          <w:szCs w:val="16"/>
          <w:b w:val="1"/>
          <w:bCs w:val="1"/>
          <w:color w:val="auto"/>
        </w:rPr>
        <w:t xml:space="preserve"> </w:t>
      </w:r>
      <w:r>
        <w:rPr>
          <w:rFonts w:ascii="Arial" w:cs="Arial" w:eastAsia="Arial" w:hAnsi="Arial"/>
          <w:sz w:val="16"/>
          <w:szCs w:val="16"/>
          <w:color w:val="auto"/>
        </w:rPr>
        <w:t>efforts to obtain any and all approvals required by the Gaming Acts and/or Gaming Regulations. In the 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extinguishing any and all obligations of Employer except for the payment of Base Salary, accrued and unpaid vacation and expense reimbursement through the date of such termination.</w:t>
      </w:r>
    </w:p>
    <w:p>
      <w:pPr>
        <w:spacing w:after="0" w:line="38" w:lineRule="exact"/>
        <w:rPr>
          <w:sz w:val="20"/>
          <w:szCs w:val="20"/>
          <w:color w:val="auto"/>
        </w:rPr>
      </w:pPr>
    </w:p>
    <w:p>
      <w:pPr>
        <w:ind w:right="20" w:firstLine="443"/>
        <w:spacing w:after="0" w:line="289" w:lineRule="auto"/>
        <w:tabs>
          <w:tab w:leader="none" w:pos="687" w:val="left"/>
        </w:tabs>
        <w:numPr>
          <w:ilvl w:val="1"/>
          <w:numId w:val="59"/>
        </w:numPr>
        <w:rPr>
          <w:rFonts w:ascii="Arial" w:cs="Arial" w:eastAsia="Arial" w:hAnsi="Arial"/>
          <w:sz w:val="16"/>
          <w:szCs w:val="16"/>
          <w:color w:val="auto"/>
        </w:rPr>
      </w:pPr>
      <w:r>
        <w:rPr>
          <w:rFonts w:ascii="Arial" w:cs="Arial" w:eastAsia="Arial" w:hAnsi="Arial"/>
          <w:sz w:val="16"/>
          <w:szCs w:val="16"/>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6"/>
          <w:szCs w:val="16"/>
          <w:b w:val="1"/>
          <w:bCs w:val="1"/>
          <w:color w:val="auto"/>
        </w:rPr>
        <w:t>License</w:t>
      </w:r>
      <w:r>
        <w:rPr>
          <w:rFonts w:ascii="Arial" w:cs="Arial" w:eastAsia="Arial" w:hAnsi="Arial"/>
          <w:sz w:val="16"/>
          <w:szCs w:val="16"/>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Authorities’ final refusal to renew or maintain Employee’s License arise as a result of any of the events described in Subsection 1(c) of this Agreement, then Employer’s obligations under this Section 8 also shall not be operative and Employee shall promptly reimburse Employer upon demand for any expenses incurred by Employer pursuant to this Section 8.</w:t>
      </w:r>
    </w:p>
    <w:p>
      <w:pPr>
        <w:spacing w:after="0" w:line="37" w:lineRule="exact"/>
        <w:rPr>
          <w:rFonts w:ascii="Arial" w:cs="Arial" w:eastAsia="Arial" w:hAnsi="Arial"/>
          <w:sz w:val="16"/>
          <w:szCs w:val="16"/>
          <w:color w:val="auto"/>
        </w:rPr>
      </w:pPr>
    </w:p>
    <w:p>
      <w:pPr>
        <w:ind w:right="200" w:firstLine="443"/>
        <w:spacing w:after="0" w:line="268" w:lineRule="auto"/>
        <w:tabs>
          <w:tab w:leader="none" w:pos="677" w:val="left"/>
        </w:tabs>
        <w:numPr>
          <w:ilvl w:val="1"/>
          <w:numId w:val="59"/>
        </w:numPr>
        <w:rPr>
          <w:rFonts w:ascii="Arial" w:cs="Arial" w:eastAsia="Arial" w:hAnsi="Arial"/>
          <w:sz w:val="18"/>
          <w:szCs w:val="18"/>
          <w:color w:val="auto"/>
        </w:rPr>
      </w:pPr>
      <w:r>
        <w:rPr>
          <w:rFonts w:ascii="Arial" w:cs="Arial" w:eastAsia="Arial" w:hAnsi="Arial"/>
          <w:sz w:val="18"/>
          <w:szCs w:val="18"/>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31" w:lineRule="exact"/>
        <w:rPr>
          <w:rFonts w:ascii="Arial" w:cs="Arial" w:eastAsia="Arial" w:hAnsi="Arial"/>
          <w:sz w:val="18"/>
          <w:szCs w:val="18"/>
          <w:color w:val="auto"/>
        </w:rPr>
      </w:pPr>
    </w:p>
    <w:p>
      <w:pPr>
        <w:ind w:left="180" w:hanging="176"/>
        <w:spacing w:after="0"/>
        <w:tabs>
          <w:tab w:leader="none" w:pos="1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CONFIDENTIALITY</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color w:val="auto"/>
        </w:rPr>
      </w:pPr>
    </w:p>
    <w:p>
      <w:pPr>
        <w:ind w:right="140" w:firstLine="443"/>
        <w:spacing w:after="0" w:line="256" w:lineRule="auto"/>
        <w:tabs>
          <w:tab w:leader="none" w:pos="677" w:val="left"/>
        </w:tabs>
        <w:numPr>
          <w:ilvl w:val="1"/>
          <w:numId w:val="60"/>
        </w:numPr>
        <w:rPr>
          <w:rFonts w:ascii="Arial" w:cs="Arial" w:eastAsia="Arial" w:hAnsi="Arial"/>
          <w:sz w:val="18"/>
          <w:szCs w:val="18"/>
          <w:color w:val="auto"/>
        </w:rPr>
      </w:pPr>
      <w:r>
        <w:rPr>
          <w:rFonts w:ascii="Arial" w:cs="Arial" w:eastAsia="Arial" w:hAnsi="Arial"/>
          <w:sz w:val="18"/>
          <w:szCs w:val="18"/>
          <w:color w:val="auto"/>
        </w:rPr>
        <w:t>Employee hereby warrants, covenants and agrees that 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74" w:right="259" w:bottom="1440" w:gutter="0" w:footer="0" w:header="0"/>
        </w:sectPr>
      </w:pPr>
    </w:p>
    <w:bookmarkStart w:id="107" w:name="page108"/>
    <w:bookmarkEnd w:id="107"/>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Trade Secrets, or Works of Authorship. Employee acknowledges and agrees that such Confidential Information, Trade Secrets, or Works of Authorship are the sole and exclusive property of Employer.</w:t>
      </w:r>
    </w:p>
    <w:p>
      <w:pPr>
        <w:spacing w:after="0" w:line="51" w:lineRule="exact"/>
        <w:rPr>
          <w:sz w:val="20"/>
          <w:szCs w:val="20"/>
          <w:color w:val="auto"/>
        </w:rPr>
      </w:pPr>
    </w:p>
    <w:p>
      <w:pPr>
        <w:ind w:right="20" w:firstLine="443"/>
        <w:spacing w:after="0" w:line="256"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62" w:lineRule="exact"/>
        <w:rPr>
          <w:rFonts w:ascii="Arial" w:cs="Arial" w:eastAsia="Arial" w:hAnsi="Arial"/>
          <w:sz w:val="18"/>
          <w:szCs w:val="18"/>
          <w:color w:val="auto"/>
        </w:rPr>
      </w:pPr>
    </w:p>
    <w:p>
      <w:pPr>
        <w:ind w:firstLine="443"/>
        <w:spacing w:after="0" w:line="290" w:lineRule="auto"/>
        <w:tabs>
          <w:tab w:leader="none" w:pos="677" w:val="left"/>
        </w:tabs>
        <w:numPr>
          <w:ilvl w:val="0"/>
          <w:numId w:val="61"/>
        </w:numPr>
        <w:rPr>
          <w:rFonts w:ascii="Arial" w:cs="Arial" w:eastAsia="Arial" w:hAnsi="Arial"/>
          <w:sz w:val="16"/>
          <w:szCs w:val="16"/>
          <w:color w:val="auto"/>
        </w:rPr>
      </w:pPr>
      <w:r>
        <w:rPr>
          <w:rFonts w:ascii="Arial" w:cs="Arial" w:eastAsia="Arial" w:hAnsi="Arial"/>
          <w:sz w:val="16"/>
          <w:szCs w:val="16"/>
          <w:color w:val="auto"/>
        </w:rPr>
        <w:t>Upon termination of Employee’s employment with Employer for any reason,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37" w:lineRule="exact"/>
        <w:rPr>
          <w:rFonts w:ascii="Arial" w:cs="Arial" w:eastAsia="Arial" w:hAnsi="Arial"/>
          <w:sz w:val="16"/>
          <w:szCs w:val="16"/>
          <w:color w:val="auto"/>
        </w:rPr>
      </w:pPr>
    </w:p>
    <w:p>
      <w:pPr>
        <w:ind w:right="180" w:firstLine="443"/>
        <w:spacing w:after="0" w:line="294" w:lineRule="auto"/>
        <w:tabs>
          <w:tab w:leader="none" w:pos="687" w:val="left"/>
        </w:tabs>
        <w:numPr>
          <w:ilvl w:val="0"/>
          <w:numId w:val="61"/>
        </w:numPr>
        <w:rPr>
          <w:rFonts w:ascii="Arial" w:cs="Arial" w:eastAsia="Arial" w:hAnsi="Arial"/>
          <w:sz w:val="16"/>
          <w:szCs w:val="16"/>
          <w:color w:val="auto"/>
        </w:rPr>
      </w:pPr>
      <w:r>
        <w:rPr>
          <w:rFonts w:ascii="Arial" w:cs="Arial" w:eastAsia="Arial" w:hAnsi="Arial"/>
          <w:sz w:val="16"/>
          <w:szCs w:val="16"/>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obligations of this Section 9 are continuing and shall survive the termination of Employee’s employment with Employer for any reason.</w:t>
      </w:r>
    </w:p>
    <w:p>
      <w:pPr>
        <w:spacing w:after="0" w:line="113" w:lineRule="exact"/>
        <w:rPr>
          <w:rFonts w:ascii="Arial" w:cs="Arial" w:eastAsia="Arial" w:hAnsi="Arial"/>
          <w:sz w:val="16"/>
          <w:szCs w:val="16"/>
          <w:color w:val="auto"/>
        </w:rPr>
      </w:pPr>
    </w:p>
    <w:p>
      <w:pPr>
        <w:ind w:left="660" w:hanging="217"/>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following the termination of this Agreement for any reason, the conscious</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80" w:right="259" w:bottom="1440" w:gutter="0" w:footer="0" w:header="0"/>
        </w:sectPr>
      </w:pPr>
    </w:p>
    <w:bookmarkStart w:id="108" w:name="page109"/>
    <w:bookmarkEnd w:id="108"/>
    <w:p>
      <w:pPr>
        <w:ind w:left="400"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awareness of any Confidential Information by the Employee without the actual disclosure thereof, and Employee’s personal consideration of such information, without the actual disclosure thereof, in connection with her pursuit or evaluation of, involvement with or participation in, any project or activity shall not constitute a breach of this Section 9 in any manner whatsoever.</w:t>
      </w:r>
    </w:p>
    <w:p>
      <w:pPr>
        <w:spacing w:after="0" w:line="140" w:lineRule="exact"/>
        <w:rPr>
          <w:sz w:val="20"/>
          <w:szCs w:val="20"/>
          <w:color w:val="auto"/>
        </w:rPr>
      </w:pPr>
    </w:p>
    <w:p>
      <w:pPr>
        <w:ind w:left="660" w:hanging="256"/>
        <w:spacing w:after="0"/>
        <w:tabs>
          <w:tab w:leader="none" w:pos="66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RESTRICTIVE COVENANT/NO SOLICITATION</w:t>
      </w:r>
      <w:r>
        <w:rPr>
          <w:rFonts w:ascii="Arial" w:cs="Arial" w:eastAsia="Arial" w:hAnsi="Arial"/>
          <w:sz w:val="18"/>
          <w:szCs w:val="18"/>
          <w:b w:val="1"/>
          <w:bCs w:val="1"/>
          <w:i w:val="1"/>
          <w:iCs w:val="1"/>
          <w:color w:val="auto"/>
        </w:rPr>
        <w:t>.</w:t>
      </w:r>
    </w:p>
    <w:p>
      <w:pPr>
        <w:spacing w:after="0" w:line="90" w:lineRule="exact"/>
        <w:rPr>
          <w:rFonts w:ascii="Arial" w:cs="Arial" w:eastAsia="Arial" w:hAnsi="Arial"/>
          <w:sz w:val="18"/>
          <w:szCs w:val="18"/>
          <w:b w:val="1"/>
          <w:bCs w:val="1"/>
          <w:i w:val="1"/>
          <w:iCs w:val="1"/>
          <w:color w:val="auto"/>
        </w:rPr>
      </w:pPr>
    </w:p>
    <w:p>
      <w:pPr>
        <w:ind w:left="400" w:right="140" w:firstLine="443"/>
        <w:spacing w:after="0" w:line="291" w:lineRule="auto"/>
        <w:tabs>
          <w:tab w:leader="none" w:pos="107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hereby covenants and agrees that during the Term, or for such period as Employer continues to employ or compensate Employee following the Term, whichever is longer,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w:t>
      </w:r>
    </w:p>
    <w:p>
      <w:pPr>
        <w:spacing w:after="0" w:line="39" w:lineRule="exact"/>
        <w:rPr>
          <w:rFonts w:ascii="Arial" w:cs="Arial" w:eastAsia="Arial" w:hAnsi="Arial"/>
          <w:sz w:val="16"/>
          <w:szCs w:val="16"/>
          <w:color w:val="auto"/>
        </w:rPr>
      </w:pPr>
    </w:p>
    <w:p>
      <w:pPr>
        <w:ind w:left="400" w:firstLine="443"/>
        <w:spacing w:after="0" w:line="298" w:lineRule="auto"/>
        <w:tabs>
          <w:tab w:leader="none" w:pos="108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during the Term and for a period of one (1) year following the expiration of the Term, Employee shall not, directly or indirectly, solicit or attempt to solicit for employment any management level employee of Employer or its Affiliates with or on behalf of any business that is in competition in any manner whatsoever with the principal business activity of Employer or its Affiliates, in or about any market in which Employer or its Affiliates operate have publicly announced, publicly or otherwise, a plan to have hotel or gaming operations.</w:t>
      </w:r>
    </w:p>
    <w:p>
      <w:pPr>
        <w:spacing w:after="0" w:line="31" w:lineRule="exact"/>
        <w:rPr>
          <w:rFonts w:ascii="Arial" w:cs="Arial" w:eastAsia="Arial" w:hAnsi="Arial"/>
          <w:sz w:val="16"/>
          <w:szCs w:val="16"/>
          <w:color w:val="auto"/>
        </w:rPr>
      </w:pPr>
    </w:p>
    <w:p>
      <w:pPr>
        <w:ind w:left="400" w:right="20" w:firstLine="443"/>
        <w:spacing w:after="0" w:line="294" w:lineRule="auto"/>
        <w:tabs>
          <w:tab w:leader="none" w:pos="107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115" w:lineRule="exact"/>
        <w:rPr>
          <w:rFonts w:ascii="Arial" w:cs="Arial" w:eastAsia="Arial" w:hAnsi="Arial"/>
          <w:sz w:val="16"/>
          <w:szCs w:val="16"/>
          <w:color w:val="auto"/>
        </w:rPr>
      </w:pPr>
    </w:p>
    <w:p>
      <w:pPr>
        <w:ind w:left="-60" w:right="820" w:firstLine="464"/>
        <w:spacing w:after="0" w:line="332" w:lineRule="auto"/>
        <w:tabs>
          <w:tab w:leader="none" w:pos="650" w:val="left"/>
        </w:tabs>
        <w:numPr>
          <w:ilvl w:val="0"/>
          <w:numId w:val="6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REMEDIES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acknowledges that Employer has and will continue to deliver, provide and expose Employee to certain knowledge,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practices, and procedures possessed or developed by or for Employer at a considerable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00"/>
          </w:cols>
          <w:pgMar w:left="300" w:top="280" w:right="299" w:bottom="1440" w:gutter="0" w:footer="0" w:header="0"/>
        </w:sectPr>
      </w:pPr>
    </w:p>
    <w:bookmarkStart w:id="109" w:name="page110"/>
    <w:bookmarkEnd w:id="109"/>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w:t>
      </w:r>
    </w:p>
    <w:p>
      <w:pPr>
        <w:spacing w:after="0" w:line="120" w:lineRule="exact"/>
        <w:rPr>
          <w:sz w:val="20"/>
          <w:szCs w:val="20"/>
          <w:color w:val="auto"/>
        </w:rPr>
      </w:pPr>
    </w:p>
    <w:p>
      <w:pPr>
        <w:ind w:right="200" w:firstLine="464"/>
        <w:spacing w:after="0" w:line="268" w:lineRule="auto"/>
        <w:tabs>
          <w:tab w:leader="none" w:pos="72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BEST EVIDENCE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executed in original and “Xerox” or photostatic copies and each copy bearing original signatures in ink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deemed an original.</w:t>
      </w:r>
    </w:p>
    <w:p>
      <w:pPr>
        <w:spacing w:after="0" w:line="131" w:lineRule="exact"/>
        <w:rPr>
          <w:rFonts w:ascii="Arial" w:cs="Arial" w:eastAsia="Arial" w:hAnsi="Arial"/>
          <w:sz w:val="18"/>
          <w:szCs w:val="18"/>
          <w:b w:val="1"/>
          <w:bCs w:val="1"/>
          <w:i w:val="1"/>
          <w:iCs w:val="1"/>
          <w:color w:val="auto"/>
        </w:rPr>
      </w:pPr>
    </w:p>
    <w:p>
      <w:pPr>
        <w:ind w:left="720" w:hanging="256"/>
        <w:spacing w:after="0"/>
        <w:tabs>
          <w:tab w:leader="none" w:pos="720" w:val="left"/>
        </w:tabs>
        <w:numPr>
          <w:ilvl w:val="0"/>
          <w:numId w:val="6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u w:val="single" w:color="auto"/>
          <w:color w:val="auto"/>
        </w:rPr>
        <w:t>SUCCESSION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This Agreement shall be binding upon and inure to the benefit of Employer and Employee and their respective successors and assigns.</w:t>
      </w:r>
    </w:p>
    <w:p>
      <w:pPr>
        <w:spacing w:after="0" w:line="205" w:lineRule="exact"/>
        <w:rPr>
          <w:rFonts w:ascii="Arial" w:cs="Arial" w:eastAsia="Arial" w:hAnsi="Arial"/>
          <w:sz w:val="15"/>
          <w:szCs w:val="15"/>
          <w:b w:val="1"/>
          <w:bCs w:val="1"/>
          <w:i w:val="1"/>
          <w:iCs w:val="1"/>
          <w:color w:val="auto"/>
        </w:rPr>
      </w:pPr>
    </w:p>
    <w:p>
      <w:pPr>
        <w:ind w:right="100" w:firstLine="464"/>
        <w:spacing w:after="0" w:line="255" w:lineRule="auto"/>
        <w:tabs>
          <w:tab w:leader="none" w:pos="72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ASSIGNMENT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not assign this Agreement or delegate Employee’s duties hereunder without the express written prior consent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thereto. Any purported assignment by Employee in violation of this Section 14 shall be null and void and of no force or effect. Employer shall not assign this Agreement or its duties hereunder without the express written prior consent of Employee thereto; provided, however, that Employer shall have the right to assign this Agreement to any successor to Employer’s business and assets in a bona fide transaction. Any purported assignment by Employer in violation of this Section 14 shall be null and void and of no force or effect.</w:t>
      </w:r>
    </w:p>
    <w:p>
      <w:pPr>
        <w:spacing w:after="0" w:line="142" w:lineRule="exact"/>
        <w:rPr>
          <w:rFonts w:ascii="Arial" w:cs="Arial" w:eastAsia="Arial" w:hAnsi="Arial"/>
          <w:sz w:val="18"/>
          <w:szCs w:val="18"/>
          <w:b w:val="1"/>
          <w:bCs w:val="1"/>
          <w:i w:val="1"/>
          <w:iCs w:val="1"/>
          <w:color w:val="auto"/>
        </w:rPr>
      </w:pPr>
    </w:p>
    <w:p>
      <w:pPr>
        <w:ind w:right="580" w:firstLine="464"/>
        <w:spacing w:after="0" w:line="268" w:lineRule="auto"/>
        <w:tabs>
          <w:tab w:leader="none" w:pos="72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AMENDMENT OR MODIFICATION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may not be amended, modified, changed or altered except by a writing signed by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and Employee.</w:t>
      </w:r>
    </w:p>
    <w:p>
      <w:pPr>
        <w:spacing w:after="0" w:line="131" w:lineRule="exact"/>
        <w:rPr>
          <w:rFonts w:ascii="Arial" w:cs="Arial" w:eastAsia="Arial" w:hAnsi="Arial"/>
          <w:sz w:val="18"/>
          <w:szCs w:val="18"/>
          <w:b w:val="1"/>
          <w:bCs w:val="1"/>
          <w:i w:val="1"/>
          <w:iCs w:val="1"/>
          <w:color w:val="auto"/>
        </w:rPr>
      </w:pPr>
    </w:p>
    <w:p>
      <w:pPr>
        <w:ind w:right="20" w:firstLine="464"/>
        <w:spacing w:after="0" w:line="268" w:lineRule="auto"/>
        <w:tabs>
          <w:tab w:leader="none" w:pos="72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GOVERNING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shall be governed by and construed in accordance with the laws of the State of Nevada, without regard to conflict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laws principles.</w:t>
      </w:r>
    </w:p>
    <w:p>
      <w:pPr>
        <w:spacing w:after="0" w:line="131" w:lineRule="exact"/>
        <w:rPr>
          <w:rFonts w:ascii="Arial" w:cs="Arial" w:eastAsia="Arial" w:hAnsi="Arial"/>
          <w:sz w:val="18"/>
          <w:szCs w:val="18"/>
          <w:b w:val="1"/>
          <w:bCs w:val="1"/>
          <w:i w:val="1"/>
          <w:iCs w:val="1"/>
          <w:color w:val="auto"/>
        </w:rPr>
      </w:pPr>
    </w:p>
    <w:p>
      <w:pPr>
        <w:ind w:right="300" w:firstLine="464"/>
        <w:spacing w:after="0" w:line="268" w:lineRule="auto"/>
        <w:tabs>
          <w:tab w:leader="none" w:pos="720" w:val="left"/>
        </w:tabs>
        <w:numPr>
          <w:ilvl w:val="0"/>
          <w:numId w:val="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NOTICES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and all notices required under this Agreement shall be in writing and shall be either hand-delivered or mailed, certified mail, return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receipt requested, addressed to:</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2040" w:type="dxa"/>
            <w:vAlign w:val="bottom"/>
            <w:gridSpan w:val="2"/>
          </w:tcPr>
          <w:p>
            <w:pPr>
              <w:spacing w:after="0"/>
              <w:rPr>
                <w:sz w:val="20"/>
                <w:szCs w:val="20"/>
                <w:color w:val="auto"/>
              </w:rPr>
            </w:pPr>
            <w:r>
              <w:rPr>
                <w:rFonts w:ascii="Arial" w:cs="Arial" w:eastAsia="Arial" w:hAnsi="Arial"/>
                <w:sz w:val="18"/>
                <w:szCs w:val="18"/>
                <w:color w:val="auto"/>
              </w:rPr>
              <w:t>TO EMPLOYER:</w:t>
            </w:r>
          </w:p>
        </w:tc>
        <w:tc>
          <w:tcPr>
            <w:tcW w:w="3080" w:type="dxa"/>
            <w:vAlign w:val="bottom"/>
          </w:tcPr>
          <w:p>
            <w:pPr>
              <w:ind w:left="740"/>
              <w:spacing w:after="0"/>
              <w:rPr>
                <w:sz w:val="20"/>
                <w:szCs w:val="20"/>
                <w:color w:val="auto"/>
              </w:rPr>
            </w:pPr>
            <w:r>
              <w:rPr>
                <w:rFonts w:ascii="Arial" w:cs="Arial" w:eastAsia="Arial" w:hAnsi="Arial"/>
                <w:sz w:val="18"/>
                <w:szCs w:val="18"/>
                <w:color w:val="auto"/>
              </w:rPr>
              <w:t>Wynn Las Vegas, LLC</w:t>
            </w:r>
          </w:p>
        </w:tc>
      </w:tr>
      <w:tr>
        <w:trPr>
          <w:trHeight w:val="228"/>
        </w:trPr>
        <w:tc>
          <w:tcPr>
            <w:tcW w:w="12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080" w:type="dxa"/>
            <w:vAlign w:val="bottom"/>
          </w:tcPr>
          <w:p>
            <w:pPr>
              <w:ind w:left="740"/>
              <w:spacing w:after="0"/>
              <w:rPr>
                <w:sz w:val="20"/>
                <w:szCs w:val="20"/>
                <w:color w:val="auto"/>
              </w:rPr>
            </w:pPr>
            <w:r>
              <w:rPr>
                <w:rFonts w:ascii="Arial" w:cs="Arial" w:eastAsia="Arial" w:hAnsi="Arial"/>
                <w:sz w:val="18"/>
                <w:szCs w:val="18"/>
                <w:color w:val="auto"/>
                <w:w w:val="86"/>
              </w:rPr>
              <w:t>3131 Las Vegas Boulevard South</w:t>
            </w:r>
          </w:p>
        </w:tc>
      </w:tr>
      <w:tr>
        <w:trPr>
          <w:trHeight w:val="216"/>
        </w:trPr>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80" w:type="dxa"/>
            <w:vAlign w:val="bottom"/>
          </w:tcPr>
          <w:p>
            <w:pPr>
              <w:ind w:left="740"/>
              <w:spacing w:after="0"/>
              <w:rPr>
                <w:sz w:val="20"/>
                <w:szCs w:val="20"/>
                <w:color w:val="auto"/>
              </w:rPr>
            </w:pPr>
            <w:r>
              <w:rPr>
                <w:rFonts w:ascii="Arial" w:cs="Arial" w:eastAsia="Arial" w:hAnsi="Arial"/>
                <w:sz w:val="18"/>
                <w:szCs w:val="18"/>
                <w:color w:val="auto"/>
              </w:rPr>
              <w:t>Las Vegas, Nevada 89109</w:t>
            </w:r>
          </w:p>
        </w:tc>
      </w:tr>
      <w:tr>
        <w:trPr>
          <w:trHeight w:val="222"/>
        </w:trPr>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80" w:type="dxa"/>
            <w:vAlign w:val="bottom"/>
          </w:tcPr>
          <w:p>
            <w:pPr>
              <w:ind w:left="740"/>
              <w:spacing w:after="0"/>
              <w:rPr>
                <w:sz w:val="20"/>
                <w:szCs w:val="20"/>
                <w:color w:val="auto"/>
              </w:rPr>
            </w:pPr>
            <w:r>
              <w:rPr>
                <w:rFonts w:ascii="Arial" w:cs="Arial" w:eastAsia="Arial" w:hAnsi="Arial"/>
                <w:sz w:val="18"/>
                <w:szCs w:val="18"/>
                <w:color w:val="auto"/>
              </w:rPr>
              <w:t>Attn: General Counsel</w:t>
            </w:r>
          </w:p>
        </w:tc>
      </w:tr>
      <w:tr>
        <w:trPr>
          <w:trHeight w:val="394"/>
        </w:trPr>
        <w:tc>
          <w:tcPr>
            <w:tcW w:w="2040" w:type="dxa"/>
            <w:vAlign w:val="bottom"/>
            <w:gridSpan w:val="2"/>
          </w:tcPr>
          <w:p>
            <w:pPr>
              <w:spacing w:after="0"/>
              <w:rPr>
                <w:sz w:val="20"/>
                <w:szCs w:val="20"/>
                <w:color w:val="auto"/>
              </w:rPr>
            </w:pPr>
            <w:r>
              <w:rPr>
                <w:rFonts w:ascii="Arial" w:cs="Arial" w:eastAsia="Arial" w:hAnsi="Arial"/>
                <w:sz w:val="18"/>
                <w:szCs w:val="18"/>
                <w:color w:val="auto"/>
              </w:rPr>
              <w:t>TO EMPLOYEE:</w:t>
            </w:r>
          </w:p>
        </w:tc>
        <w:tc>
          <w:tcPr>
            <w:tcW w:w="3080" w:type="dxa"/>
            <w:vAlign w:val="bottom"/>
          </w:tcPr>
          <w:p>
            <w:pPr>
              <w:ind w:left="740"/>
              <w:spacing w:after="0"/>
              <w:rPr>
                <w:sz w:val="20"/>
                <w:szCs w:val="20"/>
                <w:color w:val="auto"/>
              </w:rPr>
            </w:pPr>
            <w:r>
              <w:rPr>
                <w:rFonts w:ascii="Arial" w:cs="Arial" w:eastAsia="Arial" w:hAnsi="Arial"/>
                <w:sz w:val="18"/>
                <w:szCs w:val="18"/>
                <w:color w:val="auto"/>
              </w:rPr>
              <w:t>Marilyn Winn Spiegel</w:t>
            </w:r>
          </w:p>
        </w:tc>
      </w:tr>
      <w:tr>
        <w:trPr>
          <w:trHeight w:val="228"/>
        </w:trPr>
        <w:tc>
          <w:tcPr>
            <w:tcW w:w="122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3080" w:type="dxa"/>
            <w:vAlign w:val="bottom"/>
          </w:tcPr>
          <w:p>
            <w:pPr>
              <w:ind w:left="740"/>
              <w:spacing w:after="0"/>
              <w:rPr>
                <w:sz w:val="20"/>
                <w:szCs w:val="20"/>
                <w:color w:val="auto"/>
              </w:rPr>
            </w:pPr>
            <w:r>
              <w:rPr>
                <w:rFonts w:ascii="Arial" w:cs="Arial" w:eastAsia="Arial" w:hAnsi="Arial"/>
                <w:sz w:val="18"/>
                <w:szCs w:val="18"/>
                <w:color w:val="auto"/>
              </w:rPr>
              <w:t>9705 Winter Palace</w:t>
            </w:r>
          </w:p>
        </w:tc>
      </w:tr>
      <w:tr>
        <w:trPr>
          <w:trHeight w:val="222"/>
        </w:trPr>
        <w:tc>
          <w:tcPr>
            <w:tcW w:w="1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80" w:type="dxa"/>
            <w:vAlign w:val="bottom"/>
          </w:tcPr>
          <w:p>
            <w:pPr>
              <w:ind w:left="740"/>
              <w:spacing w:after="0"/>
              <w:rPr>
                <w:sz w:val="20"/>
                <w:szCs w:val="20"/>
                <w:color w:val="auto"/>
              </w:rPr>
            </w:pPr>
            <w:r>
              <w:rPr>
                <w:rFonts w:ascii="Arial" w:cs="Arial" w:eastAsia="Arial" w:hAnsi="Arial"/>
                <w:sz w:val="18"/>
                <w:szCs w:val="18"/>
                <w:color w:val="auto"/>
              </w:rPr>
              <w:t>Las Vegas, NV 89145</w:t>
            </w:r>
          </w:p>
        </w:tc>
      </w:tr>
      <w:tr>
        <w:trPr>
          <w:trHeight w:val="365"/>
        </w:trPr>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tcPr>
          <w:p>
            <w:pPr>
              <w:ind w:left="266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280" w:right="239" w:bottom="1440" w:gutter="0" w:footer="0" w:header="0"/>
        </w:sectPr>
      </w:pPr>
    </w:p>
    <w:bookmarkStart w:id="110" w:name="page111"/>
    <w:bookmarkEnd w:id="110"/>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85" w:lineRule="exact"/>
        <w:rPr>
          <w:sz w:val="20"/>
          <w:szCs w:val="20"/>
          <w:color w:val="auto"/>
        </w:rPr>
      </w:pPr>
    </w:p>
    <w:p>
      <w:pPr>
        <w:ind w:right="340" w:firstLine="464"/>
        <w:spacing w:after="0" w:line="268" w:lineRule="auto"/>
        <w:tabs>
          <w:tab w:leader="none" w:pos="72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 of paragraphs 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convenience only and are not to be considered a part of this Agreement.</w:t>
      </w:r>
    </w:p>
    <w:p>
      <w:pPr>
        <w:spacing w:after="0" w:line="131" w:lineRule="exact"/>
        <w:rPr>
          <w:rFonts w:ascii="Arial" w:cs="Arial" w:eastAsia="Arial" w:hAnsi="Arial"/>
          <w:sz w:val="18"/>
          <w:szCs w:val="18"/>
          <w:b w:val="1"/>
          <w:bCs w:val="1"/>
          <w:i w:val="1"/>
          <w:iCs w:val="1"/>
          <w:color w:val="auto"/>
        </w:rPr>
      </w:pPr>
    </w:p>
    <w:p>
      <w:pPr>
        <w:ind w:right="180" w:firstLine="464"/>
        <w:spacing w:after="0" w:line="332" w:lineRule="auto"/>
        <w:tabs>
          <w:tab w:leader="none" w:pos="720" w:val="left"/>
        </w:tabs>
        <w:numPr>
          <w:ilvl w:val="0"/>
          <w:numId w:val="6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SEVERABILITY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event any one or more provisions of this Agreement is declared judicially void or otherwise unenforceable, the remainder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shall survive and such provision(s) shall be deemed modified or amended so as to fulfill the intent of the parties hereto.</w:t>
      </w:r>
    </w:p>
    <w:p>
      <w:pPr>
        <w:spacing w:after="0" w:line="85" w:lineRule="exact"/>
        <w:rPr>
          <w:rFonts w:ascii="Arial" w:cs="Arial" w:eastAsia="Arial" w:hAnsi="Arial"/>
          <w:sz w:val="16"/>
          <w:szCs w:val="16"/>
          <w:b w:val="1"/>
          <w:bCs w:val="1"/>
          <w:i w:val="1"/>
          <w:iCs w:val="1"/>
          <w:color w:val="auto"/>
        </w:rPr>
      </w:pPr>
    </w:p>
    <w:p>
      <w:pPr>
        <w:ind w:right="120" w:firstLine="464"/>
        <w:spacing w:after="0" w:line="259" w:lineRule="auto"/>
        <w:tabs>
          <w:tab w:leader="none" w:pos="72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None of the terms of this Agreement, or any term, right or remedy hereunder, shall be deemed waived unless such waiver is in writing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signed by the party to be charged therewith and in no event by reason of any failure to assert or delay in asserting any such term, right or remedy or similar term, right or remedy hereunder.</w:t>
      </w:r>
    </w:p>
    <w:p>
      <w:pPr>
        <w:spacing w:after="0" w:line="140" w:lineRule="exact"/>
        <w:rPr>
          <w:rFonts w:ascii="Arial" w:cs="Arial" w:eastAsia="Arial" w:hAnsi="Arial"/>
          <w:sz w:val="18"/>
          <w:szCs w:val="18"/>
          <w:b w:val="1"/>
          <w:bCs w:val="1"/>
          <w:i w:val="1"/>
          <w:iCs w:val="1"/>
          <w:color w:val="auto"/>
        </w:rPr>
      </w:pPr>
    </w:p>
    <w:p>
      <w:pPr>
        <w:ind w:firstLine="464"/>
        <w:spacing w:after="0" w:line="290" w:lineRule="auto"/>
        <w:tabs>
          <w:tab w:leader="none" w:pos="720" w:val="left"/>
        </w:tabs>
        <w:numPr>
          <w:ilvl w:val="0"/>
          <w:numId w:val="6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DISPUTE RESOLUTION</w:t>
      </w:r>
      <w:r>
        <w:rPr>
          <w:rFonts w:ascii="Arial" w:cs="Arial" w:eastAsia="Arial" w:hAnsi="Arial"/>
          <w:sz w:val="16"/>
          <w:szCs w:val="16"/>
          <w:color w:val="auto"/>
        </w:rPr>
        <w:t>. Except for a claim by either Employee or Employer for injunctive relief where such would be otherwise authorized by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enforce Sections 9, 10 and/or 11 of this Agreement, any controversy or claim arising out of or relating to this Agreement, the breach hereof, or Employee’s employment by Employer, including without limitation any claim involving the interpretation or application of this Agreement, or claims for wrongful termination, discrimination, or other claims based upon statutory or common law, shall be submitted to binding arbitration in accordance with the employment arbitration rules then in effect of the American Arbitration (“AAA”), to the extent not inconsistent with this Section as set forth below. This Section 21 applies to any claim Employee might have against any officer, director, employee, or agent of Employer or its Affiliate, and all successors and assigns of any of them. These arbitration provisions shall survive the termination of Employee’s employment with Employer and the expiration of the Agreement.</w:t>
      </w:r>
    </w:p>
    <w:p>
      <w:pPr>
        <w:spacing w:after="0" w:line="37" w:lineRule="exact"/>
        <w:rPr>
          <w:rFonts w:ascii="Arial" w:cs="Arial" w:eastAsia="Arial" w:hAnsi="Arial"/>
          <w:sz w:val="16"/>
          <w:szCs w:val="16"/>
          <w:b w:val="1"/>
          <w:bCs w:val="1"/>
          <w:i w:val="1"/>
          <w:iCs w:val="1"/>
          <w:color w:val="auto"/>
        </w:rPr>
      </w:pPr>
    </w:p>
    <w:p>
      <w:pPr>
        <w:ind w:left="460" w:right="160" w:firstLine="443"/>
        <w:spacing w:after="0" w:line="259" w:lineRule="auto"/>
        <w:tabs>
          <w:tab w:leader="none" w:pos="1137"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Coverage of Arbitration Agreement: The promises by Employer and Employee to arbitrate differences, rather than litigate them before courts or other bodies, provide consideration for each other, in addition to other consideration provided under the Agreement. The parties contemplate by this Section 21 arbitration of all clams against each of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11" w:name="page112"/>
    <w:bookmarkEnd w:id="111"/>
    <w:p>
      <w:pPr>
        <w:ind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fullest extent permitted by law except as specifically excluded by this Agreement. Only claims that are justiciable or arguably justiciable under applicable federal, state or local law are covered by this Section, and include, without limitation, any and all alleged violations of any federal, state or local law whether common law, statutory, arising under regulation or ordinance, or any other law, brought by any current or former employee. Such claims may include, but are not limited to, claims for: wages or other compensation; breach of contract; torts; work-related injury claims not covered under workers’ compensation laws; wrongful discharge; and any and all unlawful employment discrimination and/or harassment claims. 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and claims for injunctive or equitable relief for violations of non-competition and/or confidentiality agreements in Sections 9, 10 and 11.</w:t>
      </w:r>
    </w:p>
    <w:p>
      <w:pPr>
        <w:spacing w:after="0" w:line="37" w:lineRule="exact"/>
        <w:rPr>
          <w:sz w:val="20"/>
          <w:szCs w:val="20"/>
          <w:color w:val="auto"/>
        </w:rPr>
      </w:pPr>
    </w:p>
    <w:p>
      <w:pPr>
        <w:ind w:right="60" w:firstLine="443"/>
        <w:spacing w:after="0" w:line="253" w:lineRule="auto"/>
        <w:tabs>
          <w:tab w:leader="none" w:pos="687" w:val="left"/>
        </w:tabs>
        <w:numPr>
          <w:ilvl w:val="0"/>
          <w:numId w:val="65"/>
        </w:numPr>
        <w:rPr>
          <w:rFonts w:ascii="Arial" w:cs="Arial" w:eastAsia="Arial" w:hAnsi="Arial"/>
          <w:sz w:val="18"/>
          <w:szCs w:val="18"/>
          <w:color w:val="auto"/>
        </w:rPr>
      </w:pPr>
      <w:r>
        <w:rPr>
          <w:rFonts w:ascii="Arial" w:cs="Arial" w:eastAsia="Arial" w:hAnsi="Arial"/>
          <w:sz w:val="18"/>
          <w:szCs w:val="18"/>
          <w:color w:val="auto"/>
        </w:rPr>
        <w:t>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this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66" w:lineRule="exact"/>
        <w:rPr>
          <w:rFonts w:ascii="Arial" w:cs="Arial" w:eastAsia="Arial" w:hAnsi="Arial"/>
          <w:sz w:val="18"/>
          <w:szCs w:val="18"/>
          <w:color w:val="auto"/>
        </w:rPr>
      </w:pPr>
    </w:p>
    <w:p>
      <w:pPr>
        <w:ind w:firstLine="443"/>
        <w:spacing w:after="0" w:line="254" w:lineRule="auto"/>
        <w:tabs>
          <w:tab w:leader="none" w:pos="677"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700" w:top="280" w:right="259" w:bottom="1440" w:gutter="0" w:footer="0" w:header="0"/>
        </w:sectPr>
      </w:pPr>
    </w:p>
    <w:bookmarkStart w:id="112" w:name="page113"/>
    <w:bookmarkEnd w:id="112"/>
    <w:p>
      <w:pPr>
        <w:ind w:right="80" w:firstLine="443"/>
        <w:spacing w:after="0" w:line="314" w:lineRule="auto"/>
        <w:tabs>
          <w:tab w:leader="none" w:pos="687" w:val="left"/>
        </w:tabs>
        <w:numPr>
          <w:ilvl w:val="1"/>
          <w:numId w:val="6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Limit to Initiate Arbitration: To ensure timely resolution of disputes, Employee and Employer must initiate arbitration within the statute of limitations (deadline for filing) provided by applicable law pertaining to the claim, or six (6) months following the discovery of such claim by the parties hereto,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23" w:lineRule="exact"/>
        <w:rPr>
          <w:rFonts w:ascii="Arial" w:cs="Arial" w:eastAsia="Arial" w:hAnsi="Arial"/>
          <w:sz w:val="15"/>
          <w:szCs w:val="15"/>
          <w:color w:val="auto"/>
        </w:rPr>
      </w:pPr>
    </w:p>
    <w:p>
      <w:pPr>
        <w:ind w:firstLine="443"/>
        <w:spacing w:after="0" w:line="254" w:lineRule="auto"/>
        <w:tabs>
          <w:tab w:leader="none" w:pos="66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Arbitrator Selection: The parties contemplate that, except as specifically set forth in this Section 21, selection of three (3) arbitrators shall take place pursuant to the then-current rules of the AAA applicable to employment disputes. The arbitrators must be either retired judges or attorneys experienced in employment law. The parties will select three (3) arbitrators from among a list of qualified neutral arbitrators provided by AAA. If the parties are unable to agree on the arbitrators, the parties will select arbitrators by alternatively striking names from a list of qualified arbitrators provided by AAA. AAA will flip a coin to determine which party has the final strike (that is, when the list has been narrowed by striking to four arbitrators). The remaining named arbitrator will be selected.</w:t>
      </w:r>
    </w:p>
    <w:p>
      <w:pPr>
        <w:spacing w:after="0" w:line="63" w:lineRule="exact"/>
        <w:rPr>
          <w:rFonts w:ascii="Arial" w:cs="Arial" w:eastAsia="Arial" w:hAnsi="Arial"/>
          <w:sz w:val="18"/>
          <w:szCs w:val="18"/>
          <w:color w:val="auto"/>
        </w:rPr>
      </w:pPr>
    </w:p>
    <w:p>
      <w:pPr>
        <w:ind w:firstLine="443"/>
        <w:spacing w:after="0" w:line="287" w:lineRule="auto"/>
        <w:tabs>
          <w:tab w:leader="none" w:pos="657" w:val="left"/>
        </w:tabs>
        <w:numPr>
          <w:ilvl w:val="1"/>
          <w:numId w:val="66"/>
        </w:numPr>
        <w:rPr>
          <w:rFonts w:ascii="Arial" w:cs="Arial" w:eastAsia="Arial" w:hAnsi="Arial"/>
          <w:sz w:val="16"/>
          <w:szCs w:val="16"/>
          <w:color w:val="auto"/>
        </w:rPr>
      </w:pPr>
      <w:r>
        <w:rPr>
          <w:rFonts w:ascii="Arial" w:cs="Arial" w:eastAsia="Arial" w:hAnsi="Arial"/>
          <w:sz w:val="16"/>
          <w:szCs w:val="16"/>
          <w:color w:val="auto"/>
        </w:rPr>
        <w:t>Arbitration Rights and Procedures: Employee may be represented by an attorney of his/her choice at his/her own expense. Any arbitration hearing or proceeding will take place in private, not open to the public, in Clark County, Nevada. The arbitrators shall apply the substantive law (and the law of remedies, if applicable) of Nevada (without regard to its choice of law provisions) and/or federal law when applicable. The arbitrators are without power or jurisdiction to apply any different substantive law or law of remedies or to modify any term or condition of this Agreement. The arbitrators will have no power or authority to award non-economic damages or punitive damages except where such relief is specifically authorized by an applicable federal, state or local statute or ordinance, or common law. In such a situation, the arbitrators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arbitrators will decide disputes regarding the scope of discovery and will have</w:t>
      </w:r>
    </w:p>
    <w:p>
      <w:pPr>
        <w:spacing w:after="0" w:line="10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80" w:right="279" w:bottom="1440" w:gutter="0" w:footer="0" w:header="0"/>
        </w:sectPr>
      </w:pPr>
    </w:p>
    <w:bookmarkStart w:id="113" w:name="page114"/>
    <w:bookmarkEnd w:id="113"/>
    <w:p>
      <w:pPr>
        <w:ind w:left="4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authority to regulate the conduct of any hearing. The arbitrators will have the right to entertain a motion or request to dismiss, for summary judgment, or for other summary disposition. The parties will exchange witness lists at least 30 days prior to the hearing. The arbitrators will have subpoena power so that either Employee or Employer may summon witnesses. The arbitrators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35" w:lineRule="exact"/>
        <w:rPr>
          <w:sz w:val="20"/>
          <w:szCs w:val="20"/>
          <w:color w:val="auto"/>
        </w:rPr>
      </w:pPr>
    </w:p>
    <w:p>
      <w:pPr>
        <w:ind w:left="440" w:right="160" w:firstLine="443"/>
        <w:spacing w:after="0" w:line="294" w:lineRule="auto"/>
        <w:tabs>
          <w:tab w:leader="none" w:pos="1127" w:val="left"/>
        </w:tabs>
        <w:numPr>
          <w:ilvl w:val="1"/>
          <w:numId w:val="67"/>
        </w:numPr>
        <w:rPr>
          <w:rFonts w:ascii="Arial" w:cs="Arial" w:eastAsia="Arial" w:hAnsi="Arial"/>
          <w:sz w:val="16"/>
          <w:szCs w:val="16"/>
          <w:color w:val="auto"/>
        </w:rPr>
      </w:pPr>
      <w:r>
        <w:rPr>
          <w:rFonts w:ascii="Arial" w:cs="Arial" w:eastAsia="Arial" w:hAnsi="Arial"/>
          <w:sz w:val="16"/>
          <w:szCs w:val="16"/>
          <w:color w:val="auto"/>
        </w:rPr>
        <w:t>Arbitrators’ Award: The decision of two (2) out of three (3) of the arbitrators shall be binding and the arbitrators will issue a written decision containing the specific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arbitrators may be entered in any court having competent jurisdiction.</w:t>
      </w:r>
    </w:p>
    <w:p>
      <w:pPr>
        <w:spacing w:after="0" w:line="34" w:lineRule="exact"/>
        <w:rPr>
          <w:rFonts w:ascii="Arial" w:cs="Arial" w:eastAsia="Arial" w:hAnsi="Arial"/>
          <w:sz w:val="16"/>
          <w:szCs w:val="16"/>
          <w:color w:val="auto"/>
        </w:rPr>
      </w:pPr>
    </w:p>
    <w:p>
      <w:pPr>
        <w:ind w:left="440" w:right="40" w:firstLine="443"/>
        <w:spacing w:after="0" w:line="254" w:lineRule="auto"/>
        <w:tabs>
          <w:tab w:leader="none" w:pos="1127" w:val="left"/>
        </w:tabs>
        <w:numPr>
          <w:ilvl w:val="1"/>
          <w:numId w:val="67"/>
        </w:numPr>
        <w:rPr>
          <w:rFonts w:ascii="Arial" w:cs="Arial" w:eastAsia="Arial" w:hAnsi="Arial"/>
          <w:sz w:val="18"/>
          <w:szCs w:val="18"/>
          <w:color w:val="auto"/>
        </w:rPr>
      </w:pPr>
      <w:r>
        <w:rPr>
          <w:rFonts w:ascii="Arial" w:cs="Arial" w:eastAsia="Arial" w:hAnsi="Arial"/>
          <w:sz w:val="18"/>
          <w:szCs w:val="18"/>
          <w:color w:val="auto"/>
        </w:rPr>
        <w:t>Fees and Expenses: Unless the law requires otherwise for a particular claim or claims, the party demanding arbitration bears the responsibility for payment of the fee to file with AAA and the fees and expenses of the arbitrators shall be allocated by AAA under its rules and procedures. Employee and Employer shall each pay his/her/its own expenses for presentation of their cases, including but not limited to attorney’s fees, costs, and fees for witnesses, photocopying and other preparation expenses. If any party prevails on a statutory claim that affords the prevailing party attorney’s fees and costs, the arbitrators may award reasonable attorney’s fees and/or costs to the prevailing party, applying the same standards a court would apply under the law applicable to the claim.</w:t>
      </w:r>
    </w:p>
    <w:p>
      <w:pPr>
        <w:spacing w:after="0" w:line="144" w:lineRule="exact"/>
        <w:rPr>
          <w:rFonts w:ascii="Arial" w:cs="Arial" w:eastAsia="Arial" w:hAnsi="Arial"/>
          <w:sz w:val="18"/>
          <w:szCs w:val="18"/>
          <w:color w:val="auto"/>
        </w:rPr>
      </w:pPr>
    </w:p>
    <w:p>
      <w:pPr>
        <w:ind w:left="-20" w:right="20" w:firstLine="464"/>
        <w:spacing w:after="0" w:line="291" w:lineRule="auto"/>
        <w:tabs>
          <w:tab w:leader="none" w:pos="700" w:val="left"/>
        </w:tabs>
        <w:numPr>
          <w:ilvl w:val="0"/>
          <w:numId w:val="6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PAROL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Agreement constitutes the entire agreement between Employer and Employee, and supersedes any prior understandings, agreements,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80" w:right="239" w:bottom="1440" w:gutter="0" w:footer="0" w:header="0"/>
        </w:sectPr>
      </w:pPr>
    </w:p>
    <w:bookmarkStart w:id="114" w:name="page115"/>
    <w:bookmarkEnd w:id="114"/>
    <w:p>
      <w:pPr>
        <w:ind w:right="120" w:firstLine="464"/>
        <w:spacing w:after="0" w:line="259" w:lineRule="auto"/>
        <w:tabs>
          <w:tab w:leader="none" w:pos="720" w:val="left"/>
        </w:tabs>
        <w:numPr>
          <w:ilvl w:val="0"/>
          <w:numId w:val="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 BY PARTIES AND THEIR LEGAL COUNSEL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represent that they have read this Agreement and acknowledge that they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discussed its contents with their respective legal counsel or have been afforded the opportunity to avail themselves of the opportunity to the extent they each wished to do so.</w:t>
      </w:r>
    </w:p>
    <w:p>
      <w:pPr>
        <w:spacing w:after="0" w:line="140" w:lineRule="exact"/>
        <w:rPr>
          <w:rFonts w:ascii="Arial" w:cs="Arial" w:eastAsia="Arial" w:hAnsi="Arial"/>
          <w:sz w:val="18"/>
          <w:szCs w:val="18"/>
          <w:b w:val="1"/>
          <w:bCs w:val="1"/>
          <w:i w:val="1"/>
          <w:iCs w:val="1"/>
          <w:color w:val="auto"/>
        </w:rPr>
      </w:pPr>
    </w:p>
    <w:p>
      <w:pPr>
        <w:ind w:firstLine="464"/>
        <w:spacing w:after="0" w:line="285" w:lineRule="auto"/>
        <w:tabs>
          <w:tab w:leader="none" w:pos="720" w:val="left"/>
        </w:tabs>
        <w:numPr>
          <w:ilvl w:val="0"/>
          <w:numId w:val="6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u w:val="single" w:color="auto"/>
          <w:color w:val="auto"/>
        </w:rPr>
        <w:t>COMPLIANCE WITH IRC SECTION 409A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Notwithstanding anything herein to the contrary, (i) if at the time of Employee’s termination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employment with Employer, Employee is a “specified employee” as defined in Section 409A of the Internal Revenue Code of 1986, as amended (the “Code”) and the deferral of the commencement of any payments or benefits otherwise payable hereunder as a result of such termination of employment is necessary in order to prevent any accelerated or additional tax under Section 409A of the Code, then Employer will defer the commencement of the payment of any such payments or benefits hereunder (without any reduction in such payments or benefits ultimately paid or provided to Employee) until the date that is six months following Employee’s termination of employment with Employer (or the earliest date as is permitted under Section 409A of the Code without any accelerated or additional tax) and (ii) if any other payments of money or other benefits due to Employee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Employer, that is reasonably expected not to cause such an accelerated or additional tax. For purposes of Section 409A of the Code, each payment made under this Agreement shall be designated as a “separate payment” within the meaning of the Section 409A of the Code, and references herein to Employee’s “termination of employment” shall refer to Employee’s separation from service with Employer within the meaning of Section 409A. To the extent any reimbursements or in-kind benefits due to Employee under this Agreement constitute “deferred compensation” under Section 409A of the Code, any such reimbursements or in-kind benefits shall be paid to Employee in a manner consistent with Treas. Reg. Section 1.409A-3(i)(1)(iv).</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 WITNESS WHEREOF AND INTENDING TO BE LEGALLY BOUND THEREBY, </w:t>
      </w:r>
      <w:r>
        <w:rPr>
          <w:rFonts w:ascii="Arial" w:cs="Arial" w:eastAsia="Arial" w:hAnsi="Arial"/>
          <w:sz w:val="18"/>
          <w:szCs w:val="18"/>
          <w:color w:val="auto"/>
        </w:rPr>
        <w:t>the parties hereto have executed and delivered this Agreement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year and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b w:val="1"/>
                <w:bCs w:val="1"/>
                <w:color w:val="auto"/>
                <w:w w:val="97"/>
              </w:rPr>
              <w:t>WYNN LAS VEGAS, LLC</w:t>
            </w:r>
          </w:p>
        </w:tc>
        <w:tc>
          <w:tcPr>
            <w:tcW w:w="18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9"/>
              </w:rPr>
              <w:t>EMPLOYEE</w:t>
            </w:r>
          </w:p>
        </w:tc>
      </w:tr>
      <w:tr>
        <w:trPr>
          <w:trHeight w:val="43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Marc D. Schorr</w:t>
            </w:r>
          </w:p>
        </w:tc>
        <w:tc>
          <w:tcPr>
            <w:tcW w:w="1820" w:type="dxa"/>
            <w:vAlign w:val="bottom"/>
          </w:tcPr>
          <w:p>
            <w:pPr>
              <w:spacing w:after="0"/>
              <w:rPr>
                <w:sz w:val="24"/>
                <w:szCs w:val="2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Marilyn Winn Spiegel</w:t>
            </w:r>
          </w:p>
        </w:tc>
      </w:tr>
      <w:tr>
        <w:trPr>
          <w:trHeight w:val="222"/>
        </w:trPr>
        <w:tc>
          <w:tcPr>
            <w:tcW w:w="58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0"/>
              </w:rPr>
              <w:t>Marc D. Schorr</w:t>
            </w:r>
          </w:p>
        </w:tc>
        <w:tc>
          <w:tcPr>
            <w:tcW w:w="18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Marilyn Winn Spiegel</w:t>
            </w:r>
          </w:p>
        </w:tc>
      </w:tr>
      <w:tr>
        <w:trPr>
          <w:trHeight w:val="36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20" w:type="dxa"/>
            <w:vAlign w:val="bottom"/>
          </w:tcPr>
          <w:p>
            <w:pPr>
              <w:jc w:val="right"/>
              <w:ind w:right="972"/>
              <w:spacing w:after="0"/>
              <w:rPr>
                <w:sz w:val="20"/>
                <w:szCs w:val="20"/>
                <w:color w:val="auto"/>
              </w:rPr>
            </w:pPr>
            <w:r>
              <w:rPr>
                <w:rFonts w:ascii="Arial" w:cs="Arial" w:eastAsia="Arial" w:hAnsi="Arial"/>
                <w:sz w:val="18"/>
                <w:szCs w:val="18"/>
                <w:color w:val="auto"/>
              </w:rPr>
              <w:t>19</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Marilyn Spiegel, certify that:</w:t>
      </w:r>
    </w:p>
    <w:p>
      <w:pPr>
        <w:spacing w:after="0" w:line="77"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2011</w:t>
      </w:r>
    </w:p>
    <w:p>
      <w:pPr>
        <w:spacing w:after="0" w:line="374" w:lineRule="exact"/>
        <w:rPr>
          <w:sz w:val="20"/>
          <w:szCs w:val="20"/>
          <w:color w:val="auto"/>
        </w:rPr>
      </w:pPr>
    </w:p>
    <w:p>
      <w:pPr>
        <w:ind w:left="8300"/>
        <w:spacing w:after="0"/>
        <w:tabs>
          <w:tab w:leader="none" w:pos="8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ARILYN</w:t>
      </w:r>
      <w:r>
        <w:rPr>
          <w:rFonts w:ascii="Arial" w:cs="Arial" w:eastAsia="Arial" w:hAnsi="Arial"/>
          <w:sz w:val="18"/>
          <w:szCs w:val="18"/>
          <w:color w:val="auto"/>
        </w:rPr>
        <w:t xml:space="preserve"> S</w:t>
      </w:r>
      <w:r>
        <w:rPr>
          <w:rFonts w:ascii="Arial" w:cs="Arial" w:eastAsia="Arial" w:hAnsi="Arial"/>
          <w:sz w:val="14"/>
          <w:szCs w:val="14"/>
          <w:color w:val="auto"/>
        </w:rPr>
        <w:t>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Marilyn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77"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28, 2011</w:t>
      </w:r>
    </w:p>
    <w:p>
      <w:pPr>
        <w:spacing w:after="0" w:line="374" w:lineRule="exact"/>
        <w:rPr>
          <w:sz w:val="20"/>
          <w:szCs w:val="20"/>
          <w:color w:val="auto"/>
        </w:rPr>
      </w:pPr>
    </w:p>
    <w:p>
      <w:pPr>
        <w:ind w:left="8320"/>
        <w:spacing w:after="0"/>
        <w:tabs>
          <w:tab w:leader="none" w:pos="8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2010 as filed with the Securities and Exchange Commission on the date hereof (the “Report”), Marilyn Spiegel, as Chief Operating Officer of the Company, and Scott Peterson,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ARILYN</w:t>
      </w:r>
      <w:r>
        <w:rPr>
          <w:rFonts w:ascii="Arial" w:cs="Arial" w:eastAsia="Arial" w:hAnsi="Arial"/>
          <w:sz w:val="18"/>
          <w:szCs w:val="18"/>
          <w:color w:val="auto"/>
        </w:rPr>
        <w:t xml:space="preserve"> S</w:t>
      </w:r>
      <w:r>
        <w:rPr>
          <w:rFonts w:ascii="Arial" w:cs="Arial" w:eastAsia="Arial" w:hAnsi="Arial"/>
          <w:sz w:val="14"/>
          <w:szCs w:val="14"/>
          <w:color w:val="auto"/>
        </w:rPr>
        <w:t>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0"/>
              <w:spacing w:after="0"/>
              <w:rPr>
                <w:sz w:val="20"/>
                <w:szCs w:val="20"/>
                <w:color w:val="auto"/>
              </w:rPr>
            </w:pPr>
            <w:r>
              <w:rPr>
                <w:rFonts w:ascii="Arial" w:cs="Arial" w:eastAsia="Arial" w:hAnsi="Arial"/>
                <w:sz w:val="18"/>
                <w:szCs w:val="18"/>
                <w:color w:val="auto"/>
              </w:rPr>
              <w:t>Marilyn Spiegel</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0"/>
              <w:spacing w:after="0"/>
              <w:rPr>
                <w:sz w:val="20"/>
                <w:szCs w:val="20"/>
                <w:color w:val="auto"/>
              </w:rPr>
            </w:pPr>
            <w:r>
              <w:rPr>
                <w:rFonts w:ascii="Arial" w:cs="Arial" w:eastAsia="Arial" w:hAnsi="Arial"/>
                <w:sz w:val="18"/>
                <w:szCs w:val="18"/>
                <w:color w:val="auto"/>
              </w:rPr>
              <w:t>Chief Operating Officer and President</w:t>
            </w:r>
          </w:p>
        </w:tc>
      </w:tr>
      <w:tr>
        <w:trPr>
          <w:trHeight w:val="222"/>
        </w:trPr>
        <w:tc>
          <w:tcPr>
            <w:tcW w:w="68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900" w:type="dxa"/>
            <w:vAlign w:val="bottom"/>
          </w:tcPr>
          <w:p>
            <w:pPr>
              <w:ind w:left="200"/>
              <w:spacing w:after="0"/>
              <w:rPr>
                <w:sz w:val="20"/>
                <w:szCs w:val="20"/>
                <w:color w:val="auto"/>
              </w:rPr>
            </w:pPr>
            <w:r>
              <w:rPr>
                <w:rFonts w:ascii="Arial" w:cs="Arial" w:eastAsia="Arial" w:hAnsi="Arial"/>
                <w:sz w:val="18"/>
                <w:szCs w:val="18"/>
                <w:color w:val="auto"/>
              </w:rPr>
              <w:t>February 28, 2011</w:t>
            </w:r>
          </w:p>
        </w:tc>
      </w:tr>
      <w:tr>
        <w:trPr>
          <w:trHeight w:val="365"/>
        </w:trPr>
        <w:tc>
          <w:tcPr>
            <w:tcW w:w="680" w:type="dxa"/>
            <w:vAlign w:val="bottom"/>
          </w:tcPr>
          <w:p>
            <w:pPr>
              <w:spacing w:after="0"/>
              <w:rPr>
                <w:sz w:val="24"/>
                <w:szCs w:val="24"/>
                <w:color w:val="auto"/>
              </w:rPr>
            </w:pPr>
          </w:p>
        </w:tc>
        <w:tc>
          <w:tcPr>
            <w:tcW w:w="3900" w:type="dxa"/>
            <w:vAlign w:val="bottom"/>
          </w:tcPr>
          <w:p>
            <w:pPr>
              <w:ind w:left="66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COTT</w:t>
            </w:r>
            <w:r>
              <w:rPr>
                <w:rFonts w:ascii="Arial" w:cs="Arial" w:eastAsia="Arial" w:hAnsi="Arial"/>
                <w:sz w:val="18"/>
                <w:szCs w:val="18"/>
                <w:color w:val="auto"/>
              </w:rPr>
              <w:t xml:space="preserve"> P</w:t>
            </w:r>
            <w:r>
              <w:rPr>
                <w:rFonts w:ascii="Arial" w:cs="Arial" w:eastAsia="Arial" w:hAnsi="Arial"/>
                <w:sz w:val="14"/>
                <w:szCs w:val="14"/>
                <w:color w:val="auto"/>
              </w:rPr>
              <w:t>ETERSON</w:t>
            </w:r>
          </w:p>
        </w:tc>
      </w:tr>
      <w:tr>
        <w:trPr>
          <w:trHeight w:val="110"/>
        </w:trPr>
        <w:tc>
          <w:tcPr>
            <w:tcW w:w="680" w:type="dxa"/>
            <w:vAlign w:val="bottom"/>
            <w:tcBorders>
              <w:bottom w:val="single" w:sz="8" w:color="808080"/>
            </w:tcBorders>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r>
      <w:tr>
        <w:trPr>
          <w:trHeight w:val="3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900" w:type="dxa"/>
            <w:vAlign w:val="bottom"/>
          </w:tcPr>
          <w:p>
            <w:pPr>
              <w:ind w:left="200"/>
              <w:spacing w:after="0"/>
              <w:rPr>
                <w:sz w:val="20"/>
                <w:szCs w:val="20"/>
                <w:color w:val="auto"/>
              </w:rPr>
            </w:pPr>
            <w:r>
              <w:rPr>
                <w:rFonts w:ascii="Arial" w:cs="Arial" w:eastAsia="Arial" w:hAnsi="Arial"/>
                <w:sz w:val="18"/>
                <w:szCs w:val="18"/>
                <w:color w:val="auto"/>
              </w:rPr>
              <w:t>Scott Peterson</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900" w:type="dxa"/>
            <w:vAlign w:val="bottom"/>
          </w:tcPr>
          <w:p>
            <w:pPr>
              <w:ind w:left="200"/>
              <w:spacing w:after="0"/>
              <w:rPr>
                <w:sz w:val="20"/>
                <w:szCs w:val="20"/>
                <w:color w:val="auto"/>
              </w:rPr>
            </w:pPr>
            <w:r>
              <w:rPr>
                <w:rFonts w:ascii="Arial" w:cs="Arial" w:eastAsia="Arial" w:hAnsi="Arial"/>
                <w:sz w:val="18"/>
                <w:szCs w:val="18"/>
                <w:color w:val="auto"/>
                <w:w w:val="94"/>
              </w:rPr>
              <w:t>Chief Financial Officer and Senior Vice President</w:t>
            </w:r>
          </w:p>
        </w:tc>
      </w:tr>
      <w:tr>
        <w:trPr>
          <w:trHeight w:val="222"/>
        </w:trPr>
        <w:tc>
          <w:tcPr>
            <w:tcW w:w="68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3900" w:type="dxa"/>
            <w:vAlign w:val="bottom"/>
          </w:tcPr>
          <w:p>
            <w:pPr>
              <w:ind w:left="200"/>
              <w:spacing w:after="0"/>
              <w:rPr>
                <w:sz w:val="20"/>
                <w:szCs w:val="20"/>
                <w:color w:val="auto"/>
              </w:rPr>
            </w:pPr>
            <w:r>
              <w:rPr>
                <w:rFonts w:ascii="Arial" w:cs="Arial" w:eastAsia="Arial" w:hAnsi="Arial"/>
                <w:sz w:val="18"/>
                <w:szCs w:val="18"/>
                <w:color w:val="auto"/>
              </w:rPr>
              <w:t>February 28, 2011</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lvl w:ilvl="1">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decimal"/>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1]"/>
      <w:numFmt w:val="decimal"/>
      <w:start w:val="1"/>
    </w:lvl>
  </w:abstractNum>
  <w:abstractNum w:abstractNumId="23">
    <w:nsid w:val="7644A45C"/>
    <w:multiLevelType w:val="hybridMultilevel"/>
    <w:lvl w:ilvl="0">
      <w:lvlJc w:val="left"/>
      <w:lvlText w:val="%1."/>
      <w:numFmt w:val="decimal"/>
      <w:start w:val="2"/>
    </w:lvl>
  </w:abstractNum>
  <w:abstractNum w:abstractNumId="24">
    <w:nsid w:val="32FFF902"/>
    <w:multiLevelType w:val="hybridMultilevel"/>
    <w:lvl w:ilvl="0">
      <w:lvlJc w:val="left"/>
      <w:lvlText w:val="%1."/>
      <w:numFmt w:val="decimal"/>
      <w:start w:val="9"/>
    </w:lvl>
  </w:abstractNum>
  <w:abstractNum w:abstractNumId="25">
    <w:nsid w:val="684A481A"/>
    <w:multiLevelType w:val="hybridMultilevel"/>
    <w:lvl w:ilvl="0">
      <w:lvlJc w:val="left"/>
      <w:lvlText w:val="%1."/>
      <w:numFmt w:val="decimal"/>
      <w:start w:val="11"/>
    </w:lvl>
  </w:abstractNum>
  <w:abstractNum w:abstractNumId="26">
    <w:nsid w:val="579478FE"/>
    <w:multiLevelType w:val="hybridMultilevel"/>
    <w:lvl w:ilvl="0">
      <w:lvlJc w:val="left"/>
      <w:lvlText w:val="%1."/>
      <w:numFmt w:val="decimal"/>
      <w:start w:val="12"/>
    </w:lvl>
  </w:abstractNum>
  <w:abstractNum w:abstractNumId="27">
    <w:nsid w:val="749ABB43"/>
    <w:multiLevelType w:val="hybridMultilevel"/>
    <w:lvl w:ilvl="0">
      <w:lvlJc w:val="left"/>
      <w:lvlText w:val="(%1)"/>
      <w:numFmt w:val="lowerLetter"/>
      <w:start w:val="1"/>
    </w:lvl>
  </w:abstractNum>
  <w:abstractNum w:abstractNumId="28">
    <w:nsid w:val="3DC240FB"/>
    <w:multiLevelType w:val="hybridMultilevel"/>
    <w:lvl w:ilvl="0">
      <w:lvlJc w:val="left"/>
      <w:lvlText w:val="(%1)"/>
      <w:numFmt w:val="lowerLetter"/>
      <w:start w:val="3"/>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1"/>
      <w:numFmt w:val="decimal"/>
      <w:start w:val="32"/>
    </w:lvl>
  </w:abstractNum>
  <w:abstractNum w:abstractNumId="32">
    <w:nsid w:val="12E685FB"/>
    <w:multiLevelType w:val="hybridMultilevel"/>
    <w:lvl w:ilvl="0">
      <w:lvlJc w:val="left"/>
      <w:lvlText w:val="(%1)"/>
      <w:numFmt w:val="decimal"/>
      <w:start w:val="1"/>
    </w:lvl>
  </w:abstractNum>
  <w:abstractNum w:abstractNumId="33">
    <w:nsid w:val="70C6A529"/>
    <w:multiLevelType w:val="hybridMultilevel"/>
    <w:lvl w:ilvl="0">
      <w:lvlJc w:val="left"/>
      <w:lvlText w:val="%1."/>
      <w:numFmt w:val="decimal"/>
      <w:start w:val="1"/>
    </w:lvl>
    <w:lvl w:ilvl="1">
      <w:lvlJc w:val="left"/>
      <w:lvlText w:val="-"/>
      <w:numFmt w:val="bullet"/>
      <w:start w:val="1"/>
    </w:lvl>
  </w:abstractNum>
  <w:abstractNum w:abstractNumId="34">
    <w:nsid w:val="520EEDD1"/>
    <w:multiLevelType w:val="hybridMultilevel"/>
    <w:lvl w:ilvl="0">
      <w:lvlJc w:val="left"/>
      <w:lvlText w:val="%1."/>
      <w:numFmt w:val="decimal"/>
      <w:start w:val="2"/>
    </w:lvl>
    <w:lvl w:ilvl="1">
      <w:lvlJc w:val="left"/>
      <w:lvlText w:val="-"/>
      <w:numFmt w:val="bullet"/>
      <w:start w:val="1"/>
    </w:lvl>
  </w:abstractNum>
  <w:abstractNum w:abstractNumId="35">
    <w:nsid w:val="374A3FE6"/>
    <w:multiLevelType w:val="hybridMultilevel"/>
    <w:lvl w:ilvl="0">
      <w:lvlJc w:val="left"/>
      <w:lvlText w:val="%1."/>
      <w:numFmt w:val="decimal"/>
      <w:start w:val="5"/>
    </w:lvl>
    <w:lvl w:ilvl="1">
      <w:lvlJc w:val="left"/>
      <w:lvlText w:val="-"/>
      <w:numFmt w:val="bullet"/>
      <w:start w:val="1"/>
    </w:lvl>
  </w:abstractNum>
  <w:abstractNum w:abstractNumId="36">
    <w:nsid w:val="4F4EF005"/>
    <w:multiLevelType w:val="hybridMultilevel"/>
    <w:lvl w:ilvl="0">
      <w:lvlJc w:val="left"/>
      <w:lvlText w:val="%1."/>
      <w:numFmt w:val="decimal"/>
      <w:start w:val="7"/>
    </w:lvl>
    <w:lvl w:ilvl="1">
      <w:lvlJc w:val="left"/>
      <w:lvlText w:val="-"/>
      <w:numFmt w:val="bullet"/>
      <w:start w:val="1"/>
    </w:lvl>
  </w:abstractNum>
  <w:abstractNum w:abstractNumId="37">
    <w:nsid w:val="23F9C13C"/>
    <w:multiLevelType w:val="hybridMultilevel"/>
    <w:lvl w:ilvl="0">
      <w:lvlJc w:val="left"/>
      <w:lvlText w:val="%1."/>
      <w:numFmt w:val="decimal"/>
      <w:start w:val="8"/>
    </w:lvl>
  </w:abstractNum>
  <w:abstractNum w:abstractNumId="38">
    <w:nsid w:val="649BB77C"/>
    <w:multiLevelType w:val="hybridMultilevel"/>
    <w:lvl w:ilvl="0">
      <w:lvlJc w:val="left"/>
      <w:lvlText w:val="%1."/>
      <w:numFmt w:val="decimal"/>
      <w:start w:val="10"/>
    </w:lvl>
    <w:lvl w:ilvl="1">
      <w:lvlJc w:val="left"/>
      <w:lvlText w:val="-"/>
      <w:numFmt w:val="bullet"/>
      <w:start w:val="1"/>
    </w:lvl>
  </w:abstractNum>
  <w:abstractNum w:abstractNumId="39">
    <w:nsid w:val="275AC794"/>
    <w:multiLevelType w:val="hybridMultilevel"/>
    <w:lvl w:ilvl="0">
      <w:lvlJc w:val="left"/>
      <w:lvlText w:val="%1."/>
      <w:numFmt w:val="decimal"/>
      <w:start w:val="12"/>
    </w:lvl>
  </w:abstractNum>
  <w:abstractNum w:abstractNumId="40">
    <w:nsid w:val="39386575"/>
    <w:multiLevelType w:val="hybridMultilevel"/>
    <w:lvl w:ilvl="0">
      <w:lvlJc w:val="left"/>
      <w:lvlText w:val="%1."/>
      <w:numFmt w:val="decimal"/>
      <w:start w:val="13"/>
    </w:lvl>
    <w:lvl w:ilvl="1">
      <w:lvlJc w:val="left"/>
      <w:lvlText w:val="-"/>
      <w:numFmt w:val="bullet"/>
      <w:start w:val="1"/>
    </w:lvl>
  </w:abstractNum>
  <w:abstractNum w:abstractNumId="41">
    <w:nsid w:val="1CF10FD8"/>
    <w:multiLevelType w:val="hybridMultilevel"/>
    <w:lvl w:ilvl="0">
      <w:lvlJc w:val="left"/>
      <w:lvlText w:val="%1."/>
      <w:numFmt w:val="decimal"/>
      <w:start w:val="15"/>
    </w:lvl>
  </w:abstractNum>
  <w:abstractNum w:abstractNumId="42">
    <w:nsid w:val="180115BE"/>
    <w:multiLevelType w:val="hybridMultilevel"/>
    <w:lvl w:ilvl="0">
      <w:lvlJc w:val="left"/>
      <w:lvlText w:val="%1."/>
      <w:numFmt w:val="decimal"/>
      <w:start w:val="1"/>
    </w:lvl>
    <w:lvl w:ilvl="1">
      <w:lvlJc w:val="left"/>
      <w:lvlText w:val="(%2)"/>
      <w:numFmt w:val="lowerLetter"/>
      <w:start w:val="1"/>
    </w:lvl>
  </w:abstractNum>
  <w:abstractNum w:abstractNumId="43">
    <w:nsid w:val="235BA861"/>
    <w:multiLevelType w:val="hybridMultilevel"/>
    <w:lvl w:ilvl="0">
      <w:lvlJc w:val="left"/>
      <w:lvlText w:val="(%1)"/>
      <w:numFmt w:val="lowerLetter"/>
      <w:start w:val="2"/>
    </w:lvl>
    <w:lvl w:ilvl="1">
      <w:lvlJc w:val="left"/>
      <w:lvlText w:val="(%2)"/>
      <w:numFmt w:val="lowerRoman"/>
      <w:start w:val="1"/>
    </w:lvl>
  </w:abstractNum>
  <w:abstractNum w:abstractNumId="44">
    <w:nsid w:val="47398C89"/>
    <w:multiLevelType w:val="hybridMultilevel"/>
    <w:lvl w:ilvl="0">
      <w:lvlJc w:val="left"/>
      <w:lvlText w:val="(%1)"/>
      <w:numFmt w:val="lowerLetter"/>
      <w:start w:val="4"/>
    </w:lvl>
    <w:lvl w:ilvl="1">
      <w:lvlJc w:val="left"/>
      <w:lvlText w:val="(%2)"/>
      <w:numFmt w:val="lowerRoman"/>
      <w:start w:val="1"/>
    </w:lvl>
  </w:abstractNum>
  <w:abstractNum w:abstractNumId="45">
    <w:nsid w:val="354FE9F9"/>
    <w:multiLevelType w:val="hybridMultilevel"/>
    <w:lvl w:ilvl="0">
      <w:lvlJc w:val="left"/>
      <w:lvlText w:val="(%1)"/>
      <w:numFmt w:val="lowerLetter"/>
      <w:start w:val="5"/>
    </w:lvl>
  </w:abstractNum>
  <w:abstractNum w:abstractNumId="46">
    <w:nsid w:val="15B5AF5C"/>
    <w:multiLevelType w:val="hybridMultilevel"/>
    <w:lvl w:ilvl="0">
      <w:lvlJc w:val="left"/>
      <w:lvlText w:val="(%1)"/>
      <w:numFmt w:val="lowerLetter"/>
      <w:start w:val="7"/>
    </w:lvl>
    <w:lvl w:ilvl="1">
      <w:lvlJc w:val="left"/>
      <w:lvlText w:val="(%2)"/>
      <w:numFmt w:val="lowerRoman"/>
      <w:start w:val="1"/>
    </w:lvl>
  </w:abstractNum>
  <w:abstractNum w:abstractNumId="47">
    <w:nsid w:val="741226BB"/>
    <w:multiLevelType w:val="hybridMultilevel"/>
    <w:lvl w:ilvl="0">
      <w:lvlJc w:val="left"/>
      <w:lvlText w:val="(%1)"/>
      <w:numFmt w:val="lowerRoman"/>
      <w:start w:val="5"/>
    </w:lvl>
  </w:abstractNum>
  <w:abstractNum w:abstractNumId="48">
    <w:nsid w:val="D34B6A8"/>
    <w:multiLevelType w:val="hybridMultilevel"/>
    <w:lvl w:ilvl="0">
      <w:lvlJc w:val="left"/>
      <w:lvlText w:val="(%1)"/>
      <w:numFmt w:val="lowerRoman"/>
      <w:start w:val="1"/>
    </w:lvl>
  </w:abstractNum>
  <w:abstractNum w:abstractNumId="49">
    <w:nsid w:val="10233C99"/>
    <w:multiLevelType w:val="hybridMultilevel"/>
    <w:lvl w:ilvl="0">
      <w:lvlJc w:val="left"/>
      <w:lvlText w:val="%1"/>
      <w:numFmt w:val="decimal"/>
      <w:start w:val="1"/>
    </w:lvl>
    <w:lvl w:ilvl="1">
      <w:lvlJc w:val="left"/>
      <w:lvlText w:val="(%2)"/>
      <w:numFmt w:val="lowerLetter"/>
      <w:start w:val="7"/>
    </w:lvl>
  </w:abstractNum>
  <w:abstractNum w:abstractNumId="50">
    <w:nsid w:val="3F6AB60F"/>
    <w:multiLevelType w:val="hybridMultilevel"/>
    <w:lvl w:ilvl="0">
      <w:lvlJc w:val="left"/>
      <w:lvlText w:val="%1."/>
      <w:numFmt w:val="decimal"/>
      <w:start w:val="2"/>
    </w:lvl>
    <w:lvl w:ilvl="1">
      <w:lvlJc w:val="left"/>
      <w:lvlText w:val="%2"/>
      <w:numFmt w:val="lowerLetter"/>
      <w:start w:val="1"/>
    </w:lvl>
  </w:abstractNum>
  <w:abstractNum w:abstractNumId="51">
    <w:nsid w:val="61574095"/>
    <w:multiLevelType w:val="hybridMultilevel"/>
    <w:lvl w:ilvl="0">
      <w:lvlJc w:val="left"/>
      <w:lvlText w:val="%1."/>
      <w:numFmt w:val="decimal"/>
      <w:start w:val="3"/>
    </w:lvl>
  </w:abstractNum>
  <w:abstractNum w:abstractNumId="52">
    <w:nsid w:val="7E0C57B1"/>
    <w:multiLevelType w:val="hybridMultilevel"/>
    <w:lvl w:ilvl="0">
      <w:lvlJc w:val="left"/>
      <w:lvlText w:val="%1"/>
      <w:numFmt w:val="decimal"/>
      <w:start w:val="1"/>
    </w:lvl>
    <w:lvl w:ilvl="1">
      <w:lvlJc w:val="left"/>
      <w:lvlText w:val="(%2)"/>
      <w:numFmt w:val="lowerLetter"/>
      <w:start w:val="1"/>
    </w:lvl>
  </w:abstractNum>
  <w:abstractNum w:abstractNumId="53">
    <w:nsid w:val="77AE35EB"/>
    <w:multiLevelType w:val="hybridMultilevel"/>
    <w:lvl w:ilvl="0">
      <w:lvlJc w:val="left"/>
      <w:lvlText w:val="(%1)"/>
      <w:numFmt w:val="decimal"/>
      <w:start w:val="10"/>
    </w:lvl>
    <w:lvl w:ilvl="1">
      <w:lvlJc w:val="left"/>
      <w:lvlText w:val="(%2)"/>
      <w:numFmt w:val="lowerLetter"/>
      <w:start w:val="6"/>
    </w:lvl>
  </w:abstractNum>
  <w:abstractNum w:abstractNumId="54">
    <w:nsid w:val="579BE4F1"/>
    <w:multiLevelType w:val="hybridMultilevel"/>
    <w:lvl w:ilvl="0">
      <w:lvlJc w:val="left"/>
      <w:lvlText w:val="%1."/>
      <w:numFmt w:val="decimal"/>
      <w:start w:val="7"/>
    </w:lvl>
    <w:lvl w:ilvl="1">
      <w:lvlJc w:val="left"/>
      <w:lvlText w:val="(%2)"/>
      <w:numFmt w:val="lowerLetter"/>
      <w:start w:val="1"/>
    </w:lvl>
  </w:abstractNum>
  <w:abstractNum w:abstractNumId="55">
    <w:nsid w:val="310C50B3"/>
    <w:multiLevelType w:val="hybridMultilevel"/>
    <w:lvl w:ilvl="0">
      <w:lvlJc w:val="left"/>
      <w:lvlText w:val="%1"/>
      <w:numFmt w:val="upperLetter"/>
      <w:start w:val="1"/>
    </w:lvl>
    <w:lvl w:ilvl="1">
      <w:lvlJc w:val="left"/>
      <w:lvlText w:val="(%2)"/>
      <w:numFmt w:val="lowerLetter"/>
      <w:start w:val="5"/>
    </w:lvl>
  </w:abstractNum>
  <w:abstractNum w:abstractNumId="56">
    <w:nsid w:val="5FF87E05"/>
    <w:multiLevelType w:val="hybridMultilevel"/>
    <w:lvl w:ilvl="0">
      <w:lvlJc w:val="left"/>
      <w:lvlText w:val="(%1)"/>
      <w:numFmt w:val="upperLetter"/>
      <w:start w:val="1"/>
    </w:lvl>
    <w:lvl w:ilvl="1">
      <w:lvlJc w:val="left"/>
      <w:lvlText w:val="%2"/>
      <w:numFmt w:val="lowerLetter"/>
      <w:start w:val="1"/>
    </w:lvl>
  </w:abstractNum>
  <w:abstractNum w:abstractNumId="57">
    <w:nsid w:val="2F305DEF"/>
    <w:multiLevelType w:val="hybridMultilevel"/>
    <w:lvl w:ilvl="0">
      <w:lvlJc w:val="left"/>
      <w:lvlText w:val="%1."/>
      <w:numFmt w:val="decimal"/>
      <w:start w:val="8"/>
    </w:lvl>
    <w:lvl w:ilvl="1">
      <w:lvlJc w:val="left"/>
      <w:lvlText w:val="(%2)"/>
      <w:numFmt w:val="lowerLetter"/>
      <w:start w:val="1"/>
    </w:lvl>
  </w:abstractNum>
  <w:abstractNum w:abstractNumId="58">
    <w:nsid w:val="25A70BF7"/>
    <w:multiLevelType w:val="hybridMultilevel"/>
    <w:lvl w:ilvl="0">
      <w:lvlJc w:val="left"/>
      <w:lvlText w:val="%1"/>
      <w:numFmt w:val="decimal"/>
      <w:start w:val="1"/>
    </w:lvl>
    <w:lvl w:ilvl="1">
      <w:lvlJc w:val="left"/>
      <w:lvlText w:val="(%2)"/>
      <w:numFmt w:val="lowerLetter"/>
      <w:start w:val="2"/>
    </w:lvl>
  </w:abstractNum>
  <w:abstractNum w:abstractNumId="59">
    <w:nsid w:val="1DBABF00"/>
    <w:multiLevelType w:val="hybridMultilevel"/>
    <w:lvl w:ilvl="0">
      <w:lvlJc w:val="left"/>
      <w:lvlText w:val="%1."/>
      <w:numFmt w:val="decimal"/>
      <w:start w:val="9"/>
    </w:lvl>
    <w:lvl w:ilvl="1">
      <w:lvlJc w:val="left"/>
      <w:lvlText w:val="(%2)"/>
      <w:numFmt w:val="lowerLetter"/>
      <w:start w:val="1"/>
    </w:lvl>
  </w:abstractNum>
  <w:abstractNum w:abstractNumId="60">
    <w:nsid w:val="4AD084E9"/>
    <w:multiLevelType w:val="hybridMultilevel"/>
    <w:lvl w:ilvl="0">
      <w:lvlJc w:val="left"/>
      <w:lvlText w:val="(%1)"/>
      <w:numFmt w:val="lowerLetter"/>
      <w:start w:val="2"/>
    </w:lvl>
  </w:abstractNum>
  <w:abstractNum w:abstractNumId="61">
    <w:nsid w:val="1F48EAA1"/>
    <w:multiLevelType w:val="hybridMultilevel"/>
    <w:lvl w:ilvl="0">
      <w:lvlJc w:val="left"/>
      <w:lvlText w:val="%1."/>
      <w:numFmt w:val="decimal"/>
      <w:start w:val="10"/>
    </w:lvl>
    <w:lvl w:ilvl="1">
      <w:lvlJc w:val="left"/>
      <w:lvlText w:val="(%2)"/>
      <w:numFmt w:val="lowerLetter"/>
      <w:start w:val="1"/>
    </w:lvl>
  </w:abstractNum>
  <w:abstractNum w:abstractNumId="62">
    <w:nsid w:val="1381823A"/>
    <w:multiLevelType w:val="hybridMultilevel"/>
    <w:lvl w:ilvl="0">
      <w:lvlJc w:val="left"/>
      <w:lvlText w:val="%1."/>
      <w:numFmt w:val="decimal"/>
      <w:start w:val="12"/>
    </w:lvl>
  </w:abstractNum>
  <w:abstractNum w:abstractNumId="63">
    <w:nsid w:val="5DB70AE5"/>
    <w:multiLevelType w:val="hybridMultilevel"/>
    <w:lvl w:ilvl="0">
      <w:lvlJc w:val="left"/>
      <w:lvlText w:val="%1."/>
      <w:numFmt w:val="decimal"/>
      <w:start w:val="18"/>
    </w:lvl>
    <w:lvl w:ilvl="1">
      <w:lvlJc w:val="left"/>
      <w:lvlText w:val="(%2)"/>
      <w:numFmt w:val="lowerLetter"/>
      <w:start w:val="1"/>
    </w:lvl>
  </w:abstractNum>
  <w:abstractNum w:abstractNumId="64">
    <w:nsid w:val="100F8FCA"/>
    <w:multiLevelType w:val="hybridMultilevel"/>
    <w:lvl w:ilvl="0">
      <w:lvlJc w:val="left"/>
      <w:lvlText w:val="(%1)"/>
      <w:numFmt w:val="lowerLetter"/>
      <w:start w:val="2"/>
    </w:lvl>
  </w:abstractNum>
  <w:abstractNum w:abstractNumId="65">
    <w:nsid w:val="6590700B"/>
    <w:multiLevelType w:val="hybridMultilevel"/>
    <w:lvl w:ilvl="0">
      <w:lvlJc w:val="left"/>
      <w:lvlText w:val="%1"/>
      <w:numFmt w:val="upperLetter"/>
      <w:start w:val="1"/>
    </w:lvl>
    <w:lvl w:ilvl="1">
      <w:lvlJc w:val="left"/>
      <w:lvlText w:val="(%2)"/>
      <w:numFmt w:val="lowerLetter"/>
      <w:start w:val="4"/>
    </w:lvl>
  </w:abstractNum>
  <w:abstractNum w:abstractNumId="66">
    <w:nsid w:val="15014ACB"/>
    <w:multiLevelType w:val="hybridMultilevel"/>
    <w:lvl w:ilvl="0">
      <w:lvlJc w:val="left"/>
      <w:lvlText w:val="%1"/>
      <w:numFmt w:val="decimal"/>
      <w:start w:val="1"/>
    </w:lvl>
    <w:lvl w:ilvl="1">
      <w:lvlJc w:val="left"/>
      <w:lvlText w:val="(%2)"/>
      <w:numFmt w:val="lowerLetter"/>
      <w:start w:val="7"/>
    </w:lvl>
  </w:abstractNum>
  <w:abstractNum w:abstractNumId="67">
    <w:nsid w:val="5F5E7FD0"/>
    <w:multiLevelType w:val="hybridMultilevel"/>
    <w:lvl w:ilvl="0">
      <w:lvlJc w:val="left"/>
      <w:lvlText w:val="%1."/>
      <w:numFmt w:val="decimal"/>
      <w:start w:val="22"/>
    </w:lvl>
    <w:lvl w:ilvl="1">
      <w:lvlJc w:val="left"/>
      <w:lvlText w:val="%2"/>
      <w:numFmt w:val="lowerLetter"/>
      <w:start w:val="1"/>
    </w:lvl>
  </w:abstractNum>
  <w:abstractNum w:abstractNumId="68">
    <w:nsid w:val="98A3148"/>
    <w:multiLevelType w:val="hybridMultilevel"/>
    <w:lvl w:ilvl="0">
      <w:lvlJc w:val="left"/>
      <w:lvlText w:val="%1."/>
      <w:numFmt w:val="decimal"/>
      <w:start w:val="23"/>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2019-12-10T23:11:53Z</dcterms:created>
  <dcterms:modified xsi:type="dcterms:W3CDTF">2019-12-10T23:11:53Z</dcterms:modified>
</cp:coreProperties>
</file>