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40557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40557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w w:val="99"/>
              </w:rPr>
            </w:pPr>
            <w:hyperlink r:id="rId11">
              <w:r>
                <w:rPr>
                  <w:rFonts w:ascii="Arial" w:cs="Arial" w:eastAsia="Arial" w:hAnsi="Arial"/>
                  <w:sz w:val="22"/>
                  <w:szCs w:val="22"/>
                  <w:color w:val="0000EE"/>
                  <w:w w:val="99"/>
                </w:rPr>
                <w:t>Wynn Family Limited Partnership</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2960" w:type="dxa"/>
            <w:vAlign w:val="bottom"/>
            <w:tcBorders>
              <w:top w:val="single" w:sz="8" w:color="0000EE"/>
              <w:bottom w:val="single" w:sz="8" w:color="9A9A9A"/>
            </w:tcBorders>
          </w:tcPr>
          <w:p>
            <w:pPr>
              <w:spacing w:after="0"/>
              <w:rPr>
                <w:sz w:val="15"/>
                <w:szCs w:val="15"/>
                <w:color w:val="auto"/>
              </w:rPr>
            </w:pPr>
          </w:p>
        </w:tc>
        <w:tc>
          <w:tcPr>
            <w:tcW w:w="26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09/28/2012</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1"/>
          <w:szCs w:val="21"/>
          <w:color w:val="0000EE"/>
        </w:rPr>
      </w:pPr>
      <w:hyperlink r:id="rId12">
        <w:r>
          <w:rPr>
            <w:rFonts w:ascii="Arial" w:cs="Arial" w:eastAsia="Arial" w:hAnsi="Arial"/>
            <w:sz w:val="21"/>
            <w:szCs w:val="21"/>
            <w:u w:val="single" w:color="auto"/>
            <w:color w:val="0000EE"/>
          </w:rPr>
          <w:t>WYNN RESORTS LTD</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WYNN</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41" w:lineRule="exact"/>
        <w:rPr>
          <w:sz w:val="24"/>
          <w:szCs w:val="24"/>
          <w:color w:val="auto"/>
        </w:rPr>
      </w:pPr>
    </w:p>
    <w:p>
      <w:pPr>
        <w:sectPr>
          <w:pgSz w:w="11900" w:h="16838" w:orient="portrait"/>
          <w:cols w:equalWidth="0" w:num="2">
            <w:col w:w="4720" w:space="480"/>
            <w:col w:w="6220"/>
          </w:cols>
          <w:pgMar w:left="240" w:top="226" w:right="239" w:bottom="1440" w:gutter="0" w:footer="0" w:header="0"/>
          <w:type w:val="continuous"/>
        </w:sectPr>
      </w:pPr>
    </w:p>
    <w:p>
      <w:pPr>
        <w:spacing w:after="0" w:line="68"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C/O WYNN RESORTS, LIMITED,</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3131 LAS VEGAS BOULEVARD SOUTH</w:t>
      </w:r>
    </w:p>
    <w:p>
      <w:pPr>
        <w:spacing w:after="0" w:line="323"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800" w:type="dxa"/>
            <w:vAlign w:val="bottom"/>
          </w:tcPr>
          <w:p>
            <w:pPr>
              <w:spacing w:after="0"/>
              <w:rPr>
                <w:sz w:val="20"/>
                <w:szCs w:val="20"/>
                <w:color w:val="auto"/>
              </w:rPr>
            </w:pPr>
            <w:r>
              <w:rPr>
                <w:rFonts w:ascii="Arial" w:cs="Arial" w:eastAsia="Arial" w:hAnsi="Arial"/>
                <w:sz w:val="14"/>
                <w:szCs w:val="14"/>
                <w:color w:val="auto"/>
              </w:rPr>
              <w:t>(Street)</w:t>
            </w:r>
          </w:p>
        </w:tc>
        <w:tc>
          <w:tcPr>
            <w:tcW w:w="840" w:type="dxa"/>
            <w:vAlign w:val="bottom"/>
          </w:tcPr>
          <w:p>
            <w:pPr>
              <w:spacing w:after="0"/>
              <w:rPr>
                <w:sz w:val="14"/>
                <w:szCs w:val="14"/>
                <w:color w:val="auto"/>
              </w:rPr>
            </w:pPr>
          </w:p>
        </w:tc>
      </w:tr>
      <w:tr>
        <w:trPr>
          <w:trHeight w:val="242"/>
        </w:trPr>
        <w:tc>
          <w:tcPr>
            <w:tcW w:w="1800" w:type="dxa"/>
            <w:vAlign w:val="bottom"/>
          </w:tcPr>
          <w:p>
            <w:pPr>
              <w:ind w:left="40"/>
              <w:spacing w:after="0"/>
              <w:rPr>
                <w:sz w:val="20"/>
                <w:szCs w:val="20"/>
                <w:color w:val="auto"/>
              </w:rPr>
            </w:pPr>
            <w:r>
              <w:rPr>
                <w:rFonts w:ascii="Arial" w:cs="Arial" w:eastAsia="Arial" w:hAnsi="Arial"/>
                <w:sz w:val="18"/>
                <w:szCs w:val="18"/>
                <w:color w:val="0000FF"/>
              </w:rPr>
              <w:t>LAS VEGAS  NV</w:t>
            </w:r>
          </w:p>
        </w:tc>
        <w:tc>
          <w:tcPr>
            <w:tcW w:w="840" w:type="dxa"/>
            <w:vAlign w:val="bottom"/>
          </w:tcPr>
          <w:p>
            <w:pPr>
              <w:jc w:val="right"/>
              <w:spacing w:after="0"/>
              <w:rPr>
                <w:sz w:val="20"/>
                <w:szCs w:val="20"/>
                <w:color w:val="auto"/>
              </w:rPr>
            </w:pPr>
            <w:r>
              <w:rPr>
                <w:rFonts w:ascii="Arial" w:cs="Arial" w:eastAsia="Arial" w:hAnsi="Arial"/>
                <w:sz w:val="18"/>
                <w:szCs w:val="18"/>
                <w:color w:val="0000FF"/>
              </w:rPr>
              <w:t>89109</w:t>
            </w:r>
          </w:p>
        </w:tc>
      </w:tr>
    </w:tbl>
    <w:p>
      <w:pPr>
        <w:spacing w:after="0" w:line="20" w:lineRule="exact"/>
        <w:rPr>
          <w:sz w:val="24"/>
          <w:szCs w:val="24"/>
          <w:color w:val="auto"/>
        </w:rPr>
      </w:pPr>
      <w:r>
        <w:rPr>
          <w:sz w:val="24"/>
          <w:szCs w:val="24"/>
          <w:color w:val="auto"/>
        </w:rPr>
        <w:br w:type="column"/>
      </w:r>
    </w:p>
    <w:p>
      <w:pPr>
        <w:ind w:left="6" w:right="160" w:hanging="6"/>
        <w:spacing w:after="0" w:line="231" w:lineRule="auto"/>
        <w:tabs>
          <w:tab w:leader="none" w:pos="156"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0" w:lineRule="exact"/>
        <w:rPr>
          <w:sz w:val="24"/>
          <w:szCs w:val="24"/>
          <w:color w:val="auto"/>
        </w:rPr>
      </w:pPr>
    </w:p>
    <w:tbl>
      <w:tblPr>
        <w:tblLayout w:type="fixed"/>
        <w:tblInd w:w="206" w:type="dxa"/>
        <w:tblCellMar>
          <w:top w:w="0" w:type="dxa"/>
          <w:left w:w="0" w:type="dxa"/>
          <w:bottom w:w="0" w:type="dxa"/>
          <w:right w:w="0" w:type="dxa"/>
        </w:tblCellMar>
      </w:tblPr>
      <w:tr>
        <w:trPr>
          <w:trHeight w:val="222"/>
        </w:trPr>
        <w:tc>
          <w:tcPr>
            <w:tcW w:w="1460" w:type="dxa"/>
            <w:vAlign w:val="bottom"/>
          </w:tcPr>
          <w:p>
            <w:pPr>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Director</w:t>
            </w:r>
          </w:p>
        </w:tc>
        <w:tc>
          <w:tcPr>
            <w:tcW w:w="400" w:type="dxa"/>
            <w:vAlign w:val="bottom"/>
          </w:tcPr>
          <w:p>
            <w:pPr>
              <w:spacing w:after="0"/>
              <w:rPr>
                <w:sz w:val="19"/>
                <w:szCs w:val="19"/>
                <w:color w:val="auto"/>
              </w:rPr>
            </w:pPr>
          </w:p>
        </w:tc>
        <w:tc>
          <w:tcPr>
            <w:tcW w:w="940" w:type="dxa"/>
            <w:vAlign w:val="bottom"/>
          </w:tcPr>
          <w:p>
            <w:pPr>
              <w:ind w:left="10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204"/>
        </w:trPr>
        <w:tc>
          <w:tcPr>
            <w:tcW w:w="1460" w:type="dxa"/>
            <w:vAlign w:val="bottom"/>
          </w:tcPr>
          <w:p>
            <w:pPr>
              <w:ind w:left="340"/>
              <w:spacing w:after="0"/>
              <w:rPr>
                <w:sz w:val="20"/>
                <w:szCs w:val="20"/>
                <w:color w:val="auto"/>
              </w:rPr>
            </w:pPr>
            <w:r>
              <w:rPr>
                <w:rFonts w:ascii="Arial" w:cs="Arial" w:eastAsia="Arial" w:hAnsi="Arial"/>
                <w:sz w:val="14"/>
                <w:szCs w:val="14"/>
                <w:color w:val="auto"/>
              </w:rPr>
              <w:t>Officer (give title</w:t>
            </w:r>
          </w:p>
        </w:tc>
        <w:tc>
          <w:tcPr>
            <w:tcW w:w="400" w:type="dxa"/>
            <w:vAlign w:val="bottom"/>
            <w:vMerge w:val="restart"/>
          </w:tcPr>
          <w:p>
            <w:pPr>
              <w:ind w:left="160"/>
              <w:spacing w:after="0"/>
              <w:rPr>
                <w:sz w:val="20"/>
                <w:szCs w:val="20"/>
                <w:color w:val="auto"/>
              </w:rPr>
            </w:pPr>
            <w:r>
              <w:rPr>
                <w:rFonts w:ascii="Arial" w:cs="Arial" w:eastAsia="Arial" w:hAnsi="Arial"/>
                <w:sz w:val="18"/>
                <w:szCs w:val="18"/>
                <w:color w:val="0000FF"/>
              </w:rPr>
              <w:t>X</w:t>
            </w:r>
          </w:p>
        </w:tc>
        <w:tc>
          <w:tcPr>
            <w:tcW w:w="940" w:type="dxa"/>
            <w:vAlign w:val="bottom"/>
          </w:tcPr>
          <w:p>
            <w:pPr>
              <w:ind w:left="10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146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400" w:type="dxa"/>
            <w:vAlign w:val="bottom"/>
            <w:vMerge w:val="continue"/>
          </w:tcPr>
          <w:p>
            <w:pPr>
              <w:spacing w:after="0"/>
              <w:rPr>
                <w:sz w:val="9"/>
                <w:szCs w:val="9"/>
                <w:color w:val="auto"/>
              </w:rPr>
            </w:pPr>
          </w:p>
        </w:tc>
        <w:tc>
          <w:tcPr>
            <w:tcW w:w="94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1460" w:type="dxa"/>
            <w:vAlign w:val="bottom"/>
            <w:vMerge w:val="continue"/>
          </w:tcPr>
          <w:p>
            <w:pPr>
              <w:spacing w:after="0"/>
              <w:rPr>
                <w:sz w:val="4"/>
                <w:szCs w:val="4"/>
                <w:color w:val="auto"/>
              </w:rPr>
            </w:pPr>
          </w:p>
        </w:tc>
        <w:tc>
          <w:tcPr>
            <w:tcW w:w="400" w:type="dxa"/>
            <w:vAlign w:val="bottom"/>
          </w:tcPr>
          <w:p>
            <w:pPr>
              <w:spacing w:after="0"/>
              <w:rPr>
                <w:sz w:val="4"/>
                <w:szCs w:val="4"/>
                <w:color w:val="auto"/>
              </w:rPr>
            </w:pPr>
          </w:p>
        </w:tc>
        <w:tc>
          <w:tcPr>
            <w:tcW w:w="9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586"/>
        <w:spacing w:after="0"/>
        <w:rPr>
          <w:sz w:val="20"/>
          <w:szCs w:val="20"/>
          <w:color w:val="auto"/>
        </w:rPr>
      </w:pPr>
      <w:r>
        <w:rPr>
          <w:rFonts w:ascii="Arial" w:cs="Arial" w:eastAsia="Arial" w:hAnsi="Arial"/>
          <w:sz w:val="18"/>
          <w:szCs w:val="18"/>
          <w:color w:val="0000FF"/>
        </w:rPr>
        <w:t>Member of 10% owner group</w:t>
      </w:r>
    </w:p>
    <w:p>
      <w:pPr>
        <w:spacing w:after="0" w:line="20" w:lineRule="exact"/>
        <w:rPr>
          <w:sz w:val="24"/>
          <w:szCs w:val="24"/>
          <w:color w:val="auto"/>
        </w:rPr>
      </w:pPr>
      <w:r>
        <w:rPr>
          <w:sz w:val="24"/>
          <w:szCs w:val="24"/>
          <w:color w:val="auto"/>
        </w:rPr>
        <w:br w:type="column"/>
      </w:r>
    </w:p>
    <w:p>
      <w:pPr>
        <w:ind w:left="3" w:right="4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297" w:lineRule="exact"/>
        <w:rPr>
          <w:rFonts w:ascii="Arial" w:cs="Arial" w:eastAsia="Arial" w:hAnsi="Arial"/>
          <w:sz w:val="14"/>
          <w:szCs w:val="14"/>
          <w:color w:val="auto"/>
        </w:rPr>
      </w:pPr>
    </w:p>
    <w:p>
      <w:pPr>
        <w:ind w:left="3" w:right="3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33" w:lineRule="exact"/>
        <w:rPr>
          <w:sz w:val="24"/>
          <w:szCs w:val="24"/>
          <w:color w:val="auto"/>
        </w:rPr>
      </w:pPr>
    </w:p>
    <w:p>
      <w:pPr>
        <w:ind w:left="483" w:hanging="316"/>
        <w:spacing w:after="0"/>
        <w:tabs>
          <w:tab w:leader="none" w:pos="483" w:val="left"/>
        </w:tabs>
        <w:numPr>
          <w:ilvl w:val="0"/>
          <w:numId w:val="3"/>
        </w:numPr>
        <w:rPr>
          <w:rFonts w:ascii="Arial" w:cs="Arial" w:eastAsia="Arial" w:hAnsi="Arial"/>
          <w:sz w:val="16"/>
          <w:szCs w:val="16"/>
          <w:color w:val="0000FF"/>
        </w:rPr>
      </w:pPr>
      <w:r>
        <w:rPr>
          <w:rFonts w:ascii="Arial" w:cs="Arial" w:eastAsia="Arial" w:hAnsi="Arial"/>
          <w:sz w:val="13"/>
          <w:szCs w:val="13"/>
          <w:color w:val="auto"/>
        </w:rPr>
        <w:t>Form filed by One Reporting Person</w:t>
      </w:r>
    </w:p>
    <w:p>
      <w:pPr>
        <w:spacing w:after="0" w:line="80" w:lineRule="exact"/>
        <w:rPr>
          <w:rFonts w:ascii="Arial" w:cs="Arial" w:eastAsia="Arial" w:hAnsi="Arial"/>
          <w:sz w:val="16"/>
          <w:szCs w:val="16"/>
          <w:color w:val="0000FF"/>
        </w:rPr>
      </w:pPr>
    </w:p>
    <w:p>
      <w:pPr>
        <w:ind w:left="483" w:right="640"/>
        <w:spacing w:after="0" w:line="231" w:lineRule="auto"/>
        <w:rPr>
          <w:rFonts w:ascii="Arial" w:cs="Arial" w:eastAsia="Arial" w:hAnsi="Arial"/>
          <w:sz w:val="16"/>
          <w:szCs w:val="16"/>
          <w:color w:val="0000FF"/>
        </w:rPr>
      </w:pPr>
      <w:r>
        <w:rPr>
          <w:rFonts w:ascii="Arial" w:cs="Arial" w:eastAsia="Arial" w:hAnsi="Arial"/>
          <w:sz w:val="14"/>
          <w:szCs w:val="14"/>
          <w:color w:val="auto"/>
        </w:rPr>
        <w:t>Form filed by More than One Reporting Person</w:t>
      </w:r>
    </w:p>
    <w:p>
      <w:pPr>
        <w:spacing w:after="0" w:line="200" w:lineRule="exact"/>
        <w:rPr>
          <w:sz w:val="24"/>
          <w:szCs w:val="24"/>
          <w:color w:val="auto"/>
        </w:rPr>
      </w:pPr>
    </w:p>
    <w:p>
      <w:pPr>
        <w:sectPr>
          <w:pgSz w:w="11900" w:h="16838" w:orient="portrait"/>
          <w:cols w:equalWidth="0" w:num="3">
            <w:col w:w="4474" w:space="720"/>
            <w:col w:w="3006" w:space="397"/>
            <w:col w:w="2823"/>
          </w:cols>
          <w:pgMar w:left="240" w:top="226" w:right="239" w:bottom="1440" w:gutter="0" w:footer="0" w:header="0"/>
          <w:type w:val="continuous"/>
        </w:sectPr>
      </w:pPr>
    </w:p>
    <w:p>
      <w:pPr>
        <w:spacing w:after="0" w:line="71"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00" w:type="dxa"/>
            <w:vAlign w:val="bottom"/>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00" w:type="dxa"/>
            <w:vAlign w:val="bottom"/>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r>
      <w:tr>
        <w:trPr>
          <w:trHeight w:val="178"/>
        </w:trPr>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r>
      <w:tr>
        <w:trPr>
          <w:trHeight w:val="48"/>
        </w:trPr>
        <w:tc>
          <w:tcPr>
            <w:tcW w:w="3440" w:type="dxa"/>
            <w:vAlign w:val="bottom"/>
            <w:tcBorders>
              <w:bottom w:val="single" w:sz="8" w:color="2C2C2C"/>
            </w:tcBorders>
          </w:tcPr>
          <w:p>
            <w:pPr>
              <w:spacing w:after="0"/>
              <w:rPr>
                <w:sz w:val="4"/>
                <w:szCs w:val="4"/>
                <w:color w:val="auto"/>
              </w:rPr>
            </w:pPr>
          </w:p>
        </w:tc>
        <w:tc>
          <w:tcPr>
            <w:tcW w:w="362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tcPr>
          <w:p>
            <w:pPr>
              <w:spacing w:after="0"/>
              <w:rPr>
                <w:sz w:val="4"/>
                <w:szCs w:val="4"/>
                <w:color w:val="auto"/>
              </w:rPr>
            </w:pPr>
          </w:p>
        </w:tc>
        <w:tc>
          <w:tcPr>
            <w:tcW w:w="3000" w:type="dxa"/>
            <w:vAlign w:val="bottom"/>
            <w:tcBorders>
              <w:bottom w:val="single" w:sz="8" w:color="2C2C2C"/>
            </w:tcBorders>
          </w:tcPr>
          <w:p>
            <w:pPr>
              <w:spacing w:after="0"/>
              <w:rPr>
                <w:sz w:val="4"/>
                <w:szCs w:val="4"/>
                <w:color w:val="auto"/>
              </w:rPr>
            </w:pPr>
          </w:p>
        </w:tc>
      </w:tr>
    </w:tbl>
    <w:p>
      <w:pPr>
        <w:spacing w:after="0" w:line="46" w:lineRule="exact"/>
        <w:rPr>
          <w:sz w:val="24"/>
          <w:szCs w:val="24"/>
          <w:color w:val="auto"/>
        </w:rPr>
      </w:pP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3140" w:type="dxa"/>
            <w:vAlign w:val="bottom"/>
          </w:tcPr>
          <w:p>
            <w:pPr>
              <w:ind w:left="60"/>
              <w:spacing w:after="0"/>
              <w:rPr>
                <w:sz w:val="20"/>
                <w:szCs w:val="20"/>
                <w:color w:val="auto"/>
              </w:rPr>
            </w:pPr>
            <w:r>
              <w:rPr>
                <w:rFonts w:ascii="Arial" w:cs="Arial" w:eastAsia="Arial" w:hAnsi="Arial"/>
                <w:sz w:val="18"/>
                <w:szCs w:val="18"/>
                <w:color w:val="0000FF"/>
                <w:w w:val="90"/>
              </w:rPr>
              <w:t>Common Stock, par value $0.01 per share</w:t>
            </w:r>
          </w:p>
        </w:tc>
        <w:tc>
          <w:tcPr>
            <w:tcW w:w="4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680" w:type="dxa"/>
            <w:vAlign w:val="bottom"/>
          </w:tcPr>
          <w:p>
            <w:pPr>
              <w:jc w:val="right"/>
              <w:ind w:right="367"/>
              <w:spacing w:after="0"/>
              <w:rPr>
                <w:sz w:val="20"/>
                <w:szCs w:val="20"/>
                <w:color w:val="auto"/>
              </w:rPr>
            </w:pPr>
            <w:r>
              <w:rPr>
                <w:rFonts w:ascii="Arial" w:cs="Arial" w:eastAsia="Arial" w:hAnsi="Arial"/>
                <w:sz w:val="18"/>
                <w:szCs w:val="18"/>
                <w:color w:val="0000FF"/>
              </w:rPr>
              <w:t>10,026,708</w:t>
            </w:r>
          </w:p>
        </w:tc>
        <w:tc>
          <w:tcPr>
            <w:tcW w:w="1040" w:type="dxa"/>
            <w:vAlign w:val="bottom"/>
          </w:tcPr>
          <w:p>
            <w:pPr>
              <w:ind w:left="800"/>
              <w:spacing w:after="0"/>
              <w:rPr>
                <w:sz w:val="20"/>
                <w:szCs w:val="20"/>
                <w:color w:val="auto"/>
              </w:rPr>
            </w:pPr>
            <w:r>
              <w:rPr>
                <w:rFonts w:ascii="Arial" w:cs="Arial" w:eastAsia="Arial" w:hAnsi="Arial"/>
                <w:sz w:val="18"/>
                <w:szCs w:val="18"/>
                <w:color w:val="0000FF"/>
              </w:rPr>
              <w:t>D</w:t>
            </w:r>
          </w:p>
        </w:tc>
        <w:tc>
          <w:tcPr>
            <w:tcW w:w="8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3140" w:type="dxa"/>
            <w:vAlign w:val="bottom"/>
            <w:tcBorders>
              <w:bottom w:val="single" w:sz="8" w:color="2C2C2C"/>
            </w:tcBorders>
          </w:tcPr>
          <w:p>
            <w:pPr>
              <w:spacing w:after="0"/>
              <w:rPr>
                <w:sz w:val="8"/>
                <w:szCs w:val="8"/>
                <w:color w:val="auto"/>
              </w:rPr>
            </w:pPr>
          </w:p>
        </w:tc>
        <w:tc>
          <w:tcPr>
            <w:tcW w:w="440" w:type="dxa"/>
            <w:vAlign w:val="bottom"/>
            <w:tcBorders>
              <w:bottom w:val="single" w:sz="8" w:color="2C2C2C"/>
            </w:tcBorders>
          </w:tcPr>
          <w:p>
            <w:pPr>
              <w:spacing w:after="0"/>
              <w:rPr>
                <w:sz w:val="8"/>
                <w:szCs w:val="8"/>
                <w:color w:val="auto"/>
              </w:rPr>
            </w:pPr>
          </w:p>
        </w:tc>
        <w:tc>
          <w:tcPr>
            <w:tcW w:w="4400" w:type="dxa"/>
            <w:vAlign w:val="bottom"/>
            <w:tcBorders>
              <w:bottom w:val="single" w:sz="8" w:color="2C2C2C"/>
            </w:tcBorders>
            <w:gridSpan w:val="4"/>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16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3140" w:type="dxa"/>
            <w:vAlign w:val="bottom"/>
            <w:tcBorders>
              <w:top w:val="single" w:sz="8" w:color="2C2C2C"/>
            </w:tcBorders>
          </w:tcPr>
          <w:p>
            <w:pPr>
              <w:spacing w:after="0"/>
              <w:rPr>
                <w:sz w:val="19"/>
                <w:szCs w:val="19"/>
                <w:color w:val="auto"/>
              </w:rPr>
            </w:pPr>
          </w:p>
        </w:tc>
        <w:tc>
          <w:tcPr>
            <w:tcW w:w="440" w:type="dxa"/>
            <w:vAlign w:val="bottom"/>
            <w:tcBorders>
              <w:top w:val="single" w:sz="8" w:color="2C2C2C"/>
            </w:tcBorders>
          </w:tcPr>
          <w:p>
            <w:pPr>
              <w:spacing w:after="0"/>
              <w:rPr>
                <w:sz w:val="19"/>
                <w:szCs w:val="19"/>
                <w:color w:val="auto"/>
              </w:rPr>
            </w:pPr>
          </w:p>
        </w:tc>
        <w:tc>
          <w:tcPr>
            <w:tcW w:w="4400" w:type="dxa"/>
            <w:vAlign w:val="bottom"/>
            <w:tcBorders>
              <w:top w:val="single" w:sz="8" w:color="2C2C2C"/>
            </w:tcBorders>
            <w:gridSpan w:val="4"/>
          </w:tcPr>
          <w:p>
            <w:pPr>
              <w:ind w:left="40"/>
              <w:spacing w:after="0"/>
              <w:rPr>
                <w:sz w:val="20"/>
                <w:szCs w:val="20"/>
                <w:color w:val="auto"/>
              </w:rPr>
            </w:pPr>
            <w:r>
              <w:rPr>
                <w:rFonts w:ascii="Arial" w:cs="Arial" w:eastAsia="Arial" w:hAnsi="Arial"/>
                <w:sz w:val="18"/>
                <w:szCs w:val="18"/>
                <w:b w:val="1"/>
                <w:bCs w:val="1"/>
                <w:color w:val="auto"/>
              </w:rPr>
              <w:t>Table II - Derivative Securities Beneficially Owned</w:t>
            </w:r>
          </w:p>
        </w:tc>
        <w:tc>
          <w:tcPr>
            <w:tcW w:w="88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16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5720" w:type="dxa"/>
            <w:vAlign w:val="bottom"/>
            <w:gridSpan w:val="6"/>
          </w:tcPr>
          <w:p>
            <w:pPr>
              <w:ind w:left="14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88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31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272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3140" w:type="dxa"/>
            <w:vAlign w:val="bottom"/>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440" w:type="dxa"/>
            <w:vAlign w:val="bottom"/>
          </w:tcPr>
          <w:p>
            <w:pPr>
              <w:spacing w:after="0"/>
              <w:rPr>
                <w:sz w:val="16"/>
                <w:szCs w:val="16"/>
                <w:color w:val="auto"/>
              </w:rPr>
            </w:pP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720" w:type="dxa"/>
            <w:vAlign w:val="bottom"/>
            <w:gridSpan w:val="2"/>
          </w:tcPr>
          <w:p>
            <w:pPr>
              <w:ind w:left="80"/>
              <w:spacing w:after="0"/>
              <w:rPr>
                <w:sz w:val="20"/>
                <w:szCs w:val="20"/>
                <w:color w:val="auto"/>
              </w:rPr>
            </w:pPr>
            <w:r>
              <w:rPr>
                <w:rFonts w:ascii="Arial" w:cs="Arial" w:eastAsia="Arial" w:hAnsi="Arial"/>
                <w:sz w:val="14"/>
                <w:szCs w:val="14"/>
                <w:b w:val="1"/>
                <w:bCs w:val="1"/>
                <w:color w:val="auto"/>
              </w:rPr>
              <w:t>3. Title and Amount of Securities</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4.</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5.</w:t>
            </w:r>
          </w:p>
        </w:tc>
        <w:tc>
          <w:tcPr>
            <w:tcW w:w="1660" w:type="dxa"/>
            <w:vAlign w:val="bottom"/>
            <w:gridSpan w:val="2"/>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72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w w:val="99"/>
              </w:rPr>
              <w:t>Underlying Derivative Security (Instr. 4)</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Ownership</w:t>
            </w:r>
          </w:p>
        </w:tc>
        <w:tc>
          <w:tcPr>
            <w:tcW w:w="166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6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Form:</w:t>
            </w:r>
          </w:p>
        </w:tc>
        <w:tc>
          <w:tcPr>
            <w:tcW w:w="166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3140" w:type="dxa"/>
            <w:vAlign w:val="bottom"/>
          </w:tcPr>
          <w:p>
            <w:pPr>
              <w:spacing w:after="0"/>
              <w:rPr>
                <w:sz w:val="6"/>
                <w:szCs w:val="6"/>
                <w:color w:val="auto"/>
              </w:rPr>
            </w:pPr>
          </w:p>
        </w:tc>
        <w:tc>
          <w:tcPr>
            <w:tcW w:w="44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680" w:type="dxa"/>
            <w:vAlign w:val="bottom"/>
            <w:tcBorders>
              <w:bottom w:val="single" w:sz="8" w:color="2C2C2C"/>
            </w:tcBorders>
          </w:tcPr>
          <w:p>
            <w:pPr>
              <w:spacing w:after="0"/>
              <w:rPr>
                <w:sz w:val="6"/>
                <w:szCs w:val="6"/>
                <w:color w:val="auto"/>
              </w:rPr>
            </w:pPr>
          </w:p>
        </w:tc>
        <w:tc>
          <w:tcPr>
            <w:tcW w:w="1040" w:type="dxa"/>
            <w:vAlign w:val="bottom"/>
            <w:tcBorders>
              <w:bottom w:val="single" w:sz="8" w:color="2C2C2C"/>
            </w:tcBorders>
          </w:tcPr>
          <w:p>
            <w:pPr>
              <w:spacing w:after="0"/>
              <w:rPr>
                <w:sz w:val="6"/>
                <w:szCs w:val="6"/>
                <w:color w:val="auto"/>
              </w:rPr>
            </w:pP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Direct (D)</w:t>
            </w:r>
          </w:p>
        </w:tc>
        <w:tc>
          <w:tcPr>
            <w:tcW w:w="164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3140" w:type="dxa"/>
            <w:vAlign w:val="bottom"/>
          </w:tcPr>
          <w:p>
            <w:pPr>
              <w:spacing w:after="0"/>
              <w:rPr>
                <w:sz w:val="4"/>
                <w:szCs w:val="4"/>
                <w:color w:val="auto"/>
              </w:rPr>
            </w:pPr>
          </w:p>
        </w:tc>
        <w:tc>
          <w:tcPr>
            <w:tcW w:w="44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680" w:type="dxa"/>
            <w:vAlign w:val="bottom"/>
          </w:tcPr>
          <w:p>
            <w:pPr>
              <w:spacing w:after="0"/>
              <w:rPr>
                <w:sz w:val="4"/>
                <w:szCs w:val="4"/>
                <w:color w:val="auto"/>
              </w:rPr>
            </w:pPr>
          </w:p>
        </w:tc>
        <w:tc>
          <w:tcPr>
            <w:tcW w:w="1040" w:type="dxa"/>
            <w:vAlign w:val="bottom"/>
            <w:vMerge w:val="restart"/>
          </w:tcPr>
          <w:p>
            <w:pPr>
              <w:ind w:left="440"/>
              <w:spacing w:after="0"/>
              <w:rPr>
                <w:sz w:val="20"/>
                <w:szCs w:val="20"/>
                <w:color w:val="auto"/>
              </w:rPr>
            </w:pPr>
            <w:r>
              <w:rPr>
                <w:rFonts w:ascii="Arial" w:cs="Arial" w:eastAsia="Arial" w:hAnsi="Arial"/>
                <w:sz w:val="14"/>
                <w:szCs w:val="14"/>
                <w:b w:val="1"/>
                <w:bCs w:val="1"/>
                <w:color w:val="auto"/>
              </w:rPr>
              <w:t>Amount</w:t>
            </w:r>
          </w:p>
        </w:tc>
        <w:tc>
          <w:tcPr>
            <w:tcW w:w="88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6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or Indirect</w:t>
            </w: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040" w:type="dxa"/>
            <w:vAlign w:val="bottom"/>
          </w:tcPr>
          <w:p>
            <w:pPr>
              <w:ind w:left="440"/>
              <w:spacing w:after="0" w:line="149" w:lineRule="exact"/>
              <w:rPr>
                <w:sz w:val="20"/>
                <w:szCs w:val="20"/>
                <w:color w:val="auto"/>
              </w:rPr>
            </w:pPr>
            <w:r>
              <w:rPr>
                <w:rFonts w:ascii="Arial" w:cs="Arial" w:eastAsia="Arial" w:hAnsi="Arial"/>
                <w:sz w:val="14"/>
                <w:szCs w:val="14"/>
                <w:b w:val="1"/>
                <w:bCs w:val="1"/>
                <w:color w:val="auto"/>
              </w:rPr>
              <w:t>or</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(I) (Instr. 5)</w:t>
            </w: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040" w:type="dxa"/>
            <w:vAlign w:val="bottom"/>
          </w:tcPr>
          <w:p>
            <w:pPr>
              <w:ind w:left="440"/>
              <w:spacing w:after="0" w:line="145" w:lineRule="exact"/>
              <w:rPr>
                <w:sz w:val="20"/>
                <w:szCs w:val="20"/>
                <w:color w:val="auto"/>
              </w:rPr>
            </w:pPr>
            <w:r>
              <w:rPr>
                <w:rFonts w:ascii="Arial" w:cs="Arial" w:eastAsia="Arial" w:hAnsi="Arial"/>
                <w:sz w:val="14"/>
                <w:szCs w:val="14"/>
                <w:b w:val="1"/>
                <w:bCs w:val="1"/>
                <w:color w:val="auto"/>
              </w:rPr>
              <w:t>Number</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Expiration</w:t>
            </w:r>
          </w:p>
        </w:tc>
        <w:tc>
          <w:tcPr>
            <w:tcW w:w="1680" w:type="dxa"/>
            <w:vAlign w:val="bottom"/>
          </w:tcPr>
          <w:p>
            <w:pPr>
              <w:spacing w:after="0"/>
              <w:rPr>
                <w:sz w:val="12"/>
                <w:szCs w:val="12"/>
                <w:color w:val="auto"/>
              </w:rPr>
            </w:pPr>
          </w:p>
        </w:tc>
        <w:tc>
          <w:tcPr>
            <w:tcW w:w="1040" w:type="dxa"/>
            <w:vAlign w:val="bottom"/>
          </w:tcPr>
          <w:p>
            <w:pPr>
              <w:ind w:left="440"/>
              <w:spacing w:after="0" w:line="149" w:lineRule="exact"/>
              <w:rPr>
                <w:sz w:val="20"/>
                <w:szCs w:val="20"/>
                <w:color w:val="auto"/>
              </w:rPr>
            </w:pPr>
            <w:r>
              <w:rPr>
                <w:rFonts w:ascii="Arial" w:cs="Arial" w:eastAsia="Arial" w:hAnsi="Arial"/>
                <w:sz w:val="14"/>
                <w:szCs w:val="14"/>
                <w:b w:val="1"/>
                <w:bCs w:val="1"/>
                <w:color w:val="auto"/>
              </w:rPr>
              <w:t>of</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1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1680" w:type="dxa"/>
            <w:vAlign w:val="bottom"/>
          </w:tcPr>
          <w:p>
            <w:pPr>
              <w:ind w:left="80"/>
              <w:spacing w:after="0"/>
              <w:rPr>
                <w:sz w:val="20"/>
                <w:szCs w:val="20"/>
                <w:color w:val="auto"/>
              </w:rPr>
            </w:pPr>
            <w:r>
              <w:rPr>
                <w:rFonts w:ascii="Arial" w:cs="Arial" w:eastAsia="Arial" w:hAnsi="Arial"/>
                <w:sz w:val="14"/>
                <w:szCs w:val="14"/>
                <w:b w:val="1"/>
                <w:bCs w:val="1"/>
                <w:color w:val="auto"/>
              </w:rPr>
              <w:t>Title</w:t>
            </w:r>
          </w:p>
        </w:tc>
        <w:tc>
          <w:tcPr>
            <w:tcW w:w="1040" w:type="dxa"/>
            <w:vAlign w:val="bottom"/>
          </w:tcPr>
          <w:p>
            <w:pPr>
              <w:ind w:left="440"/>
              <w:spacing w:after="0"/>
              <w:rPr>
                <w:sz w:val="20"/>
                <w:szCs w:val="20"/>
                <w:color w:val="auto"/>
              </w:rPr>
            </w:pPr>
            <w:r>
              <w:rPr>
                <w:rFonts w:ascii="Arial" w:cs="Arial" w:eastAsia="Arial" w:hAnsi="Arial"/>
                <w:sz w:val="14"/>
                <w:szCs w:val="14"/>
                <w:b w:val="1"/>
                <w:bCs w:val="1"/>
                <w:color w:val="auto"/>
              </w:rPr>
              <w:t>Shares</w:t>
            </w: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39"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right="60"/>
        <w:spacing w:after="0" w:line="268" w:lineRule="auto"/>
        <w:rPr>
          <w:sz w:val="20"/>
          <w:szCs w:val="20"/>
          <w:color w:val="auto"/>
        </w:rPr>
      </w:pPr>
      <w:r>
        <w:rPr>
          <w:rFonts w:ascii="Arial" w:cs="Arial" w:eastAsia="Arial" w:hAnsi="Arial"/>
          <w:sz w:val="12"/>
          <w:szCs w:val="12"/>
          <w:color w:val="008000"/>
        </w:rPr>
        <w:t>All of the shares reported on this Form 3 have been reported, and will continue to be reported, as beneficially owned by Stephen A. Wynn ("Mr. Wynn") on all Forms 4 filed by Mr. Wynn. This Form 3 is being filed to reflect that Wynn Family Limited Partnership ("WFLP") may be deemed to share with Mr. Wynn beneficial ownership of such shares. WFLP serves as a holding company through which Mr. Wynn, in his capacity as the trustee of the Stephen A. Wynn Revocable Trust U/D/T dated June 24, 2010 ("Revocable Trust"), holds shares of the Company's common stock. Mr. Wynn, in his capacity as trustee of the Revocable Trust, is the sole manager of Wynn GP, LLC, which is the general partner of WFLP. On September 28, 2012, WFLP acquired 10,026,708 shares of common stock in connection with the merger of a predecessor entity with WFLP. Such transaction represented a change in the form of Mr. Wynn's beneficial ownership without changing Mr. Wynn's pecuniary interest in such shares, and was exempt from Section 16 pursuant to Rule 16a-13. WFLP is a party to the Amended and Restated Stockholders Agreement dated January 6, 2010 by and among Mr. Wynn, Elaine P. Wynn and Aruze USA, Inc., and therefore participates in the election of the Company's directors. Exhibit List Exhibit 24.1 - Power of Attorney - Wynn Family Limited Partnership.</w:t>
      </w:r>
    </w:p>
    <w:p>
      <w:pPr>
        <w:spacing w:after="0" w:line="45" w:lineRule="exact"/>
        <w:rPr>
          <w:sz w:val="24"/>
          <w:szCs w:val="24"/>
          <w:color w:val="auto"/>
        </w:rPr>
      </w:pPr>
    </w:p>
    <w:p>
      <w:pPr>
        <w:ind w:left="6860"/>
        <w:spacing w:after="0"/>
        <w:rPr>
          <w:sz w:val="20"/>
          <w:szCs w:val="20"/>
          <w:color w:val="auto"/>
        </w:rPr>
      </w:pPr>
      <w:r>
        <w:rPr>
          <w:rFonts w:ascii="Arial" w:cs="Arial" w:eastAsia="Arial" w:hAnsi="Arial"/>
          <w:sz w:val="18"/>
          <w:szCs w:val="18"/>
          <w:color w:val="0000FF"/>
        </w:rPr>
        <w:t>/s/ Kevin Tourek, Attorney-in-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136080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136080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Fact for Wynn Family Limited  11/03/2015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95326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95326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Partnership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5080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44"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ind w:left="3380"/>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1779" w:firstLine="948"/>
        <w:spacing w:after="0" w:line="238" w:lineRule="auto"/>
        <w:rPr>
          <w:sz w:val="20"/>
          <w:szCs w:val="20"/>
          <w:color w:val="auto"/>
        </w:rPr>
      </w:pPr>
      <w:r>
        <w:rPr>
          <w:rFonts w:ascii="Courier New" w:cs="Courier New" w:eastAsia="Courier New" w:hAnsi="Courier New"/>
          <w:sz w:val="18"/>
          <w:szCs w:val="18"/>
          <w:color w:val="auto"/>
        </w:rPr>
        <w:t>KNOW ALL MEN BY THESE PRESENTS, that the person whose signature appears below revokes all prior Powers of Attorney relating to Section 16 and Section 13 of the Securities Exchange Act of 1934, as amended, and appoints each of Kimmarie Sinatra, Kevin Tourek and John Strzemp as such person's true and lawful attorneys-in-fact and agents, each with full power of substitution and resubstitution and full power to act alone and without the other, for the undersigned and in the undersigned's name, place and stead, in any and all capacities, to execute, acknowledge, deliver and file any and all filings required by the Securities Exchange Act of 1934, as amended, including Section 13 and Section 16 of such act, and the rules and regulations thereunder, and requisite documents in connection with such filings, respecting securities of Wynn Resorts, Limited, a Nevada corporation, including but not limited to Forms 3, 4 and 5 and Schedules 13D and 13G, and any amendments thereto, under such act and any amendments thereto with the Securities and Exchange Commission thereby ratifying and confirming all that said attorney-in-fact may do or cause to be done by virtue hereof.</w:t>
      </w:r>
    </w:p>
    <w:p>
      <w:pPr>
        <w:spacing w:after="0" w:line="208" w:lineRule="exact"/>
        <w:rPr>
          <w:sz w:val="20"/>
          <w:szCs w:val="20"/>
          <w:color w:val="auto"/>
        </w:rPr>
      </w:pPr>
    </w:p>
    <w:p>
      <w:pPr>
        <w:ind w:right="2519" w:firstLine="948"/>
        <w:spacing w:after="0" w:line="235" w:lineRule="auto"/>
        <w:rPr>
          <w:sz w:val="20"/>
          <w:szCs w:val="20"/>
          <w:color w:val="auto"/>
        </w:rPr>
      </w:pPr>
      <w:r>
        <w:rPr>
          <w:rFonts w:ascii="Courier New" w:cs="Courier New" w:eastAsia="Courier New" w:hAnsi="Courier New"/>
          <w:sz w:val="18"/>
          <w:szCs w:val="18"/>
          <w:color w:val="auto"/>
        </w:rPr>
        <w:t>This power of attorney shall be valid from the date hereof until revoked by the undersigned.</w:t>
      </w:r>
    </w:p>
    <w:p>
      <w:pPr>
        <w:spacing w:after="0" w:line="208" w:lineRule="exact"/>
        <w:rPr>
          <w:sz w:val="20"/>
          <w:szCs w:val="20"/>
          <w:color w:val="auto"/>
        </w:rPr>
      </w:pPr>
    </w:p>
    <w:p>
      <w:pPr>
        <w:ind w:right="1779" w:firstLine="948"/>
        <w:spacing w:after="0" w:line="235" w:lineRule="auto"/>
        <w:rPr>
          <w:sz w:val="20"/>
          <w:szCs w:val="20"/>
          <w:color w:val="auto"/>
        </w:rPr>
      </w:pPr>
      <w:r>
        <w:rPr>
          <w:rFonts w:ascii="Courier New" w:cs="Courier New" w:eastAsia="Courier New" w:hAnsi="Courier New"/>
          <w:sz w:val="18"/>
          <w:szCs w:val="18"/>
          <w:color w:val="auto"/>
        </w:rPr>
        <w:t>IN WITNESS WHEREOF, the undersigned has executed this Power of Attorney on this 3rd day of November, 2015.</w:t>
      </w:r>
    </w:p>
    <w:p>
      <w:pPr>
        <w:spacing w:after="0" w:line="200" w:lineRule="exact"/>
        <w:rPr>
          <w:sz w:val="20"/>
          <w:szCs w:val="20"/>
          <w:color w:val="auto"/>
        </w:rPr>
      </w:pPr>
    </w:p>
    <w:p>
      <w:pPr>
        <w:spacing w:after="0" w:line="205"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Wynn Family Limited Partnership</w:t>
      </w:r>
    </w:p>
    <w:p>
      <w:pPr>
        <w:spacing w:after="0" w:line="201" w:lineRule="exact"/>
        <w:rPr>
          <w:sz w:val="20"/>
          <w:szCs w:val="20"/>
          <w:color w:val="auto"/>
        </w:rPr>
      </w:pPr>
    </w:p>
    <w:p>
      <w:pPr>
        <w:jc w:val="both"/>
        <w:ind w:left="4220"/>
        <w:spacing w:after="0"/>
        <w:tabs>
          <w:tab w:leader="none" w:pos="494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Wynn GP, LLC, its General Partner</w:t>
      </w:r>
    </w:p>
    <w:p>
      <w:pPr>
        <w:spacing w:after="0" w:line="201" w:lineRule="exact"/>
        <w:rPr>
          <w:sz w:val="20"/>
          <w:szCs w:val="20"/>
          <w:color w:val="auto"/>
        </w:rPr>
      </w:pPr>
    </w:p>
    <w:p>
      <w:pPr>
        <w:ind w:left="4220"/>
        <w:spacing w:after="0"/>
        <w:tabs>
          <w:tab w:leader="none" w:pos="494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Stephen A. Wynn Revocable Trust</w:t>
      </w:r>
    </w:p>
    <w:p>
      <w:pPr>
        <w:ind w:left="4960"/>
        <w:spacing w:after="0" w:line="238" w:lineRule="auto"/>
        <w:rPr>
          <w:sz w:val="20"/>
          <w:szCs w:val="20"/>
          <w:color w:val="auto"/>
        </w:rPr>
      </w:pPr>
      <w:r>
        <w:rPr>
          <w:rFonts w:ascii="Courier New" w:cs="Courier New" w:eastAsia="Courier New" w:hAnsi="Courier New"/>
          <w:sz w:val="18"/>
          <w:szCs w:val="18"/>
          <w:color w:val="auto"/>
        </w:rPr>
        <w:t>U/D/T Dated June 24, 2010, its</w:t>
      </w:r>
    </w:p>
    <w:p>
      <w:pPr>
        <w:ind w:left="4960"/>
        <w:spacing w:after="0"/>
        <w:rPr>
          <w:sz w:val="20"/>
          <w:szCs w:val="20"/>
          <w:color w:val="auto"/>
        </w:rPr>
      </w:pPr>
      <w:r>
        <w:rPr>
          <w:rFonts w:ascii="Courier New" w:cs="Courier New" w:eastAsia="Courier New" w:hAnsi="Courier New"/>
          <w:sz w:val="18"/>
          <w:szCs w:val="18"/>
          <w:color w:val="auto"/>
        </w:rPr>
        <w:t>Manager</w:t>
      </w:r>
    </w:p>
    <w:p>
      <w:pPr>
        <w:spacing w:after="0" w:line="200" w:lineRule="exact"/>
        <w:rPr>
          <w:sz w:val="20"/>
          <w:szCs w:val="20"/>
          <w:color w:val="auto"/>
        </w:rPr>
      </w:pPr>
    </w:p>
    <w:p>
      <w:pPr>
        <w:ind w:left="4220"/>
        <w:spacing w:after="0"/>
        <w:tabs>
          <w:tab w:leader="none" w:pos="494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 Stephen A. Wynn</w:t>
      </w:r>
    </w:p>
    <w:p>
      <w:pPr>
        <w:spacing w:after="0" w:line="4" w:lineRule="exact"/>
        <w:rPr>
          <w:sz w:val="20"/>
          <w:szCs w:val="20"/>
          <w:color w:val="auto"/>
        </w:rPr>
      </w:pPr>
    </w:p>
    <w:p>
      <w:pPr>
        <w:ind w:left="454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220"/>
        <w:spacing w:after="0"/>
        <w:tabs>
          <w:tab w:leader="none" w:pos="494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6"/>
          <w:szCs w:val="16"/>
          <w:color w:val="auto"/>
        </w:rPr>
        <w:t>Stephen A. Wynn</w:t>
      </w:r>
    </w:p>
    <w:p>
      <w:pPr>
        <w:ind w:left="4220"/>
        <w:spacing w:after="0" w:line="238" w:lineRule="auto"/>
        <w:rPr>
          <w:sz w:val="20"/>
          <w:szCs w:val="20"/>
          <w:color w:val="auto"/>
        </w:rPr>
      </w:pPr>
      <w:r>
        <w:rPr>
          <w:rFonts w:ascii="Courier New" w:cs="Courier New" w:eastAsia="Courier New" w:hAnsi="Courier New"/>
          <w:sz w:val="18"/>
          <w:szCs w:val="18"/>
          <w:color w:val="auto"/>
        </w:rPr>
        <w:t>Title: Trustee</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4"/>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X"/>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1" Type="http://schemas.openxmlformats.org/officeDocument/2006/relationships/hyperlink" Target="http://www.sec.gov/cgi-bin/browse-edgar?action=getcompany&amp;CIK=0001656460" TargetMode="External"/><Relationship Id="rId12" Type="http://schemas.openxmlformats.org/officeDocument/2006/relationships/hyperlink" Target="http://www.sec.gov/cgi-bin/browse-edgar?action=getcompany&amp;CIK=000117492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2019-12-08T01:33:05Z</dcterms:created>
  <dcterms:modified xsi:type="dcterms:W3CDTF">2019-12-08T01:33:05Z</dcterms:modified>
</cp:coreProperties>
</file>