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WYNN RESORTS LTD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983134107</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2004</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w w:val="94"/>
              </w:rPr>
              <w:t>4,843,014</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395,380</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2004</w:t>
            </w: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5,748,339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12,760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5,761,099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6.4%</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4,843,014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395,380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2004</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5,748,339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12,760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5,761,099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4,843,014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395,380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2004</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5,748,339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12,760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5,761,099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4,843,014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395,380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2004</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5,748,339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12,760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5,761,099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4,843,014</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395,380</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2004</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5,748,339</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12,760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5,761,099</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3145 Las Vegas Blvd. South</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Las Vegas,</w:t>
      </w:r>
      <w:r>
        <w:rPr>
          <w:sz w:val="20"/>
          <w:szCs w:val="20"/>
          <w:color w:val="auto"/>
        </w:rPr>
        <w:tab/>
      </w:r>
      <w:r>
        <w:rPr>
          <w:rFonts w:ascii="Courier New" w:cs="Courier New" w:eastAsia="Courier New" w:hAnsi="Courier New"/>
          <w:sz w:val="16"/>
          <w:szCs w:val="16"/>
          <w:color w:val="auto"/>
        </w:rPr>
        <w:t>NV 89109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983134107</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13G</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Page 9 of 12 Pages</w:t>
            </w:r>
          </w:p>
        </w:tc>
      </w:tr>
      <w:tr>
        <w:trPr>
          <w:trHeight w:val="608"/>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 as of</w:t>
            </w:r>
          </w:p>
        </w:tc>
        <w:tc>
          <w:tcPr>
            <w:tcW w:w="2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December 31, 2004</w:t>
            </w:r>
          </w:p>
        </w:tc>
        <w:tc>
          <w:tcPr>
            <w:tcW w:w="3160" w:type="dxa"/>
            <w:vAlign w:val="bottom"/>
          </w:tcPr>
          <w:p>
            <w:pPr>
              <w:spacing w:after="0"/>
              <w:rPr>
                <w:sz w:val="24"/>
                <w:szCs w:val="24"/>
                <w:color w:val="auto"/>
              </w:rPr>
            </w:pPr>
          </w:p>
        </w:tc>
      </w:tr>
      <w:tr>
        <w:trPr>
          <w:trHeight w:val="203"/>
        </w:trPr>
        <w:tc>
          <w:tcPr>
            <w:tcW w:w="1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w:t>
            </w:r>
          </w:p>
        </w:tc>
        <w:tc>
          <w:tcPr>
            <w:tcW w:w="368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6"/>
              </w:rPr>
              <w:t>Amount Beneficially Owned:</w:t>
            </w:r>
          </w:p>
        </w:tc>
        <w:tc>
          <w:tcPr>
            <w:tcW w:w="316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5,761,099</w:t>
            </w:r>
          </w:p>
        </w:tc>
        <w:tc>
          <w:tcPr>
            <w:tcW w:w="6840" w:type="dxa"/>
            <w:vAlign w:val="bottom"/>
            <w:gridSpan w:val="3"/>
          </w:tcPr>
          <w:p>
            <w:pPr>
              <w:jc w:val="right"/>
              <w:ind w:right="1292"/>
              <w:spacing w:after="0" w:line="203" w:lineRule="exact"/>
              <w:rPr>
                <w:sz w:val="20"/>
                <w:szCs w:val="20"/>
                <w:color w:val="auto"/>
              </w:rPr>
            </w:pPr>
            <w:r>
              <w:rPr>
                <w:rFonts w:ascii="Courier New" w:cs="Courier New" w:eastAsia="Courier New" w:hAnsi="Courier New"/>
                <w:sz w:val="18"/>
                <w:szCs w:val="18"/>
                <w:color w:val="auto"/>
                <w:w w:val="96"/>
              </w:rPr>
              <w:t>shares of common stock beneficially owned including:</w:t>
            </w:r>
          </w:p>
        </w:tc>
      </w:tr>
      <w:tr>
        <w:trPr>
          <w:trHeight w:val="608"/>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405"/>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Subtotals</w:t>
            </w:r>
          </w:p>
        </w:tc>
      </w:tr>
      <w:tr>
        <w:trPr>
          <w:trHeight w:val="405"/>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23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10"/>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AXA Financial, Inc.</w:t>
            </w: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Subsidiaries:</w:t>
            </w:r>
          </w:p>
        </w:tc>
        <w:tc>
          <w:tcPr>
            <w:tcW w:w="23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Advest, Inc.</w:t>
            </w:r>
          </w:p>
        </w:tc>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3160" w:type="dxa"/>
            <w:vAlign w:val="bottom"/>
          </w:tcPr>
          <w:p>
            <w:pPr>
              <w:spacing w:after="0"/>
              <w:rPr>
                <w:sz w:val="17"/>
                <w:szCs w:val="17"/>
                <w:color w:val="auto"/>
              </w:rPr>
            </w:pP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3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238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810"/>
        </w:trPr>
        <w:tc>
          <w:tcPr>
            <w:tcW w:w="2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80" w:type="dxa"/>
            <w:vAlign w:val="bottom"/>
          </w:tcPr>
          <w:p>
            <w:pPr>
              <w:spacing w:after="0"/>
              <w:rPr>
                <w:sz w:val="24"/>
                <w:szCs w:val="24"/>
                <w:color w:val="auto"/>
              </w:rPr>
            </w:pPr>
          </w:p>
        </w:tc>
        <w:tc>
          <w:tcPr>
            <w:tcW w:w="31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1,225</w:t>
            </w:r>
          </w:p>
        </w:tc>
      </w:tr>
      <w:tr>
        <w:trPr>
          <w:trHeight w:val="405"/>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1,225</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Alliance Capital Management L.P.</w:t>
            </w:r>
          </w:p>
        </w:tc>
        <w:tc>
          <w:tcPr>
            <w:tcW w:w="3160" w:type="dxa"/>
            <w:vAlign w:val="bottom"/>
          </w:tcPr>
          <w:p>
            <w:pPr>
              <w:spacing w:after="0"/>
              <w:rPr>
                <w:sz w:val="17"/>
                <w:szCs w:val="17"/>
                <w:color w:val="auto"/>
              </w:rPr>
            </w:pP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3160" w:type="dxa"/>
            <w:vAlign w:val="bottom"/>
          </w:tcPr>
          <w:p>
            <w:pPr>
              <w:spacing w:after="0"/>
              <w:rPr>
                <w:sz w:val="17"/>
                <w:szCs w:val="17"/>
                <w:color w:val="auto"/>
              </w:rPr>
            </w:pP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3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238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810"/>
        </w:trPr>
        <w:tc>
          <w:tcPr>
            <w:tcW w:w="2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80" w:type="dxa"/>
            <w:vAlign w:val="bottom"/>
          </w:tcPr>
          <w:p>
            <w:pPr>
              <w:spacing w:after="0"/>
              <w:rPr>
                <w:sz w:val="24"/>
                <w:szCs w:val="24"/>
                <w:color w:val="auto"/>
              </w:rPr>
            </w:pPr>
          </w:p>
        </w:tc>
        <w:tc>
          <w:tcPr>
            <w:tcW w:w="31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5,687,434</w:t>
            </w:r>
          </w:p>
        </w:tc>
      </w:tr>
      <w:tr>
        <w:trPr>
          <w:trHeight w:val="405"/>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5,687,434</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AXA Equitable Life Insurance Company</w:t>
            </w:r>
          </w:p>
        </w:tc>
        <w:tc>
          <w:tcPr>
            <w:tcW w:w="3160" w:type="dxa"/>
            <w:vAlign w:val="bottom"/>
          </w:tcPr>
          <w:p>
            <w:pPr>
              <w:spacing w:after="0"/>
              <w:rPr>
                <w:sz w:val="17"/>
                <w:szCs w:val="17"/>
                <w:color w:val="auto"/>
              </w:rPr>
            </w:pPr>
          </w:p>
        </w:tc>
      </w:tr>
      <w:tr>
        <w:trPr>
          <w:trHeight w:val="405"/>
        </w:trPr>
        <w:tc>
          <w:tcPr>
            <w:tcW w:w="4960" w:type="dxa"/>
            <w:vAlign w:val="bottom"/>
            <w:gridSpan w:val="3"/>
          </w:tcPr>
          <w:p>
            <w:pPr>
              <w:spacing w:after="0"/>
              <w:rPr>
                <w:sz w:val="20"/>
                <w:szCs w:val="20"/>
                <w:color w:val="auto"/>
              </w:rPr>
            </w:pPr>
            <w:r>
              <w:rPr>
                <w:rFonts w:ascii="Courier New" w:cs="Courier New" w:eastAsia="Courier New" w:hAnsi="Courier New"/>
                <w:sz w:val="18"/>
                <w:szCs w:val="18"/>
                <w:color w:val="auto"/>
              </w:rPr>
              <w:t>acquired solely for investment purposes:</w:t>
            </w:r>
          </w:p>
        </w:tc>
        <w:tc>
          <w:tcPr>
            <w:tcW w:w="3160" w:type="dxa"/>
            <w:vAlign w:val="bottom"/>
          </w:tcPr>
          <w:p>
            <w:pPr>
              <w:spacing w:after="0"/>
              <w:rPr>
                <w:sz w:val="24"/>
                <w:szCs w:val="24"/>
                <w:color w:val="auto"/>
              </w:rPr>
            </w:pPr>
          </w:p>
        </w:tc>
      </w:tr>
      <w:tr>
        <w:trPr>
          <w:trHeight w:val="608"/>
        </w:trPr>
        <w:tc>
          <w:tcPr>
            <w:tcW w:w="2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80" w:type="dxa"/>
            <w:vAlign w:val="bottom"/>
          </w:tcPr>
          <w:p>
            <w:pPr>
              <w:spacing w:after="0"/>
              <w:rPr>
                <w:sz w:val="24"/>
                <w:szCs w:val="24"/>
                <w:color w:val="auto"/>
              </w:rPr>
            </w:pPr>
          </w:p>
        </w:tc>
        <w:tc>
          <w:tcPr>
            <w:tcW w:w="31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72,440</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72,440</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5,761,099</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14" w:right="1440" w:bottom="1440" w:gutter="0" w:footer="0" w:header="0"/>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14"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r>
      <w:tr>
        <w:trPr>
          <w:trHeight w:val="810"/>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December 31, 2004</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r>
      <w:tr>
        <w:trPr>
          <w:trHeight w:val="405"/>
        </w:trPr>
        <w:tc>
          <w:tcPr>
            <w:tcW w:w="2160" w:type="dxa"/>
            <w:vAlign w:val="bottom"/>
          </w:tcPr>
          <w:p>
            <w:pPr>
              <w:spacing w:after="0"/>
              <w:rPr>
                <w:sz w:val="24"/>
                <w:szCs w:val="24"/>
                <w:color w:val="auto"/>
              </w:rPr>
            </w:pPr>
          </w:p>
        </w:tc>
        <w:tc>
          <w:tcPr>
            <w:tcW w:w="16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16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16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16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16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16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16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16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16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Advest, Inc.</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1,225</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w:t>
            </w:r>
          </w:p>
        </w:tc>
      </w:tr>
      <w:tr>
        <w:trPr>
          <w:trHeight w:val="405"/>
        </w:trPr>
        <w:tc>
          <w:tcPr>
            <w:tcW w:w="2160" w:type="dxa"/>
            <w:vAlign w:val="bottom"/>
          </w:tcPr>
          <w:p>
            <w:pPr>
              <w:ind w:left="120"/>
              <w:spacing w:after="0"/>
              <w:rPr>
                <w:sz w:val="20"/>
                <w:szCs w:val="20"/>
                <w:color w:val="auto"/>
              </w:rPr>
            </w:pPr>
            <w:r>
              <w:rPr>
                <w:rFonts w:ascii="Courier New" w:cs="Courier New" w:eastAsia="Courier New" w:hAnsi="Courier New"/>
                <w:sz w:val="18"/>
                <w:szCs w:val="18"/>
                <w:color w:val="auto"/>
              </w:rPr>
              <w:t>Alliance Capital</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4,770,574</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394,155</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5,675,899</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11,535</w:t>
            </w: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Management L.P.</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160" w:type="dxa"/>
            <w:vAlign w:val="bottom"/>
          </w:tcPr>
          <w:p>
            <w:pPr>
              <w:ind w:left="120"/>
              <w:spacing w:after="0"/>
              <w:rPr>
                <w:sz w:val="20"/>
                <w:szCs w:val="20"/>
                <w:color w:val="auto"/>
              </w:rPr>
            </w:pPr>
            <w:r>
              <w:rPr>
                <w:rFonts w:ascii="Courier New" w:cs="Courier New" w:eastAsia="Courier New" w:hAnsi="Courier New"/>
                <w:sz w:val="18"/>
                <w:szCs w:val="18"/>
                <w:color w:val="auto"/>
              </w:rPr>
              <w:t>AXA Equitable Life</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72,440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72,440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160" w:type="dxa"/>
            <w:vAlign w:val="bottom"/>
          </w:tcPr>
          <w:p>
            <w:pPr>
              <w:spacing w:after="0"/>
              <w:rPr>
                <w:sz w:val="24"/>
                <w:szCs w:val="24"/>
                <w:color w:val="auto"/>
              </w:rPr>
            </w:pP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4,843,014</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395,380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5,748,339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12,760</w:t>
            </w:r>
          </w:p>
        </w:tc>
      </w:tr>
      <w:tr>
        <w:trPr>
          <w:trHeight w:val="203"/>
        </w:trPr>
        <w:tc>
          <w:tcPr>
            <w:tcW w:w="216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5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5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372"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Advest, Inc.</w:t>
      </w:r>
    </w:p>
    <w:p>
      <w:pPr>
        <w:spacing w:after="0" w:line="4" w:lineRule="exact"/>
        <w:rPr>
          <w:rFonts w:ascii="Courier New" w:cs="Courier New" w:eastAsia="Courier New" w:hAnsi="Courier New"/>
          <w:sz w:val="18"/>
          <w:szCs w:val="18"/>
          <w:color w:val="auto"/>
        </w:rPr>
      </w:pPr>
    </w:p>
    <w:p>
      <w:pPr>
        <w:ind w:left="860" w:right="21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(06-0950348), a broker-dealer registered under Section 15 of the Securities Exchange Act of 1934 and an investment adviser registered</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pacing w:after="0" w:line="367" w:lineRule="exact"/>
        <w:rPr>
          <w:sz w:val="20"/>
          <w:szCs w:val="20"/>
          <w:color w:val="auto"/>
        </w:rPr>
      </w:pPr>
    </w:p>
    <w:p>
      <w:pPr>
        <w:ind w:left="860" w:hanging="536"/>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Advisors, Inc.</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(04-2805120), an investment adviser registered under Section 203 of the Investment Advisers Act of 1940.</w:t>
      </w:r>
    </w:p>
    <w:p>
      <w:pPr>
        <w:spacing w:after="0" w:line="203" w:lineRule="exact"/>
        <w:rPr>
          <w:sz w:val="20"/>
          <w:szCs w:val="20"/>
          <w:color w:val="auto"/>
        </w:rPr>
      </w:pPr>
    </w:p>
    <w:p>
      <w:pPr>
        <w:ind w:left="860" w:hanging="536"/>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Frontier Trust Company, FSB (Advest Trust)</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(45-0373941),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2005</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3" w:name="page14"/>
    <w:bookmarkEnd w:id="13"/>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2005</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2"/>
    </w:lvl>
    <w:lvl w:ilvl="1">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2"/>
    </w:lvl>
    <w:lvl w:ilvl="1">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2"/>
    </w:lvl>
    <w:lvl w:ilvl="1">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2"/>
    </w:lvl>
    <w:lvl w:ilvl="1">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12"/>
    </w:lvl>
    <w:lvl w:ilvl="1">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upperLetter"/>
      <w:start w:val="24"/>
    </w:lvl>
  </w:abstractNum>
  <w:abstractNum w:abstractNumId="15">
    <w:nsid w:val="431BD7B7"/>
    <w:multiLevelType w:val="hybridMultilevel"/>
    <w:lvl w:ilvl="0">
      <w:lvlJc w:val="left"/>
      <w:lvlText w:val="(%1)"/>
      <w:numFmt w:val="upperLetter"/>
      <w:start w:val="24"/>
    </w:lvl>
  </w:abstractNum>
  <w:abstractNum w:abstractNumId="16">
    <w:nsid w:val="3F2DBA31"/>
    <w:multiLevelType w:val="hybridMultilevel"/>
    <w:lvl w:ilvl="0">
      <w:lvlJc w:val="left"/>
      <w:lvlText w:val="(%1)"/>
      <w:numFmt w:val="upperLetter"/>
      <w:start w:val="24"/>
    </w:lvl>
  </w:abstractNum>
  <w:abstractNum w:abstractNumId="17">
    <w:nsid w:val="7C83E458"/>
    <w:multiLevelType w:val="hybridMultilevel"/>
    <w:lvl w:ilvl="0">
      <w:lvlJc w:val="left"/>
      <w:lvlText w:val="(%1)"/>
      <w:numFmt w:val="upperLetter"/>
      <w:start w:val="24"/>
    </w:lvl>
  </w:abstractNum>
  <w:abstractNum w:abstractNumId="18">
    <w:nsid w:val="257130A3"/>
    <w:multiLevelType w:val="hybridMultilevel"/>
    <w:lvl w:ilvl="0">
      <w:lvlJc w:val="left"/>
      <w:lvlText w:val="(%1)"/>
      <w:numFmt w:val="upperLetter"/>
      <w:start w:val="24"/>
    </w:lvl>
  </w:abstractNum>
  <w:abstractNum w:abstractNumId="19">
    <w:nsid w:val="62BBD95A"/>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2019-12-12T04:11:09Z</dcterms:created>
  <dcterms:modified xsi:type="dcterms:W3CDTF">2019-12-12T04:11:09Z</dcterms:modified>
</cp:coreProperties>
</file>