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108.03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40" w:type="dxa"/>
            <w:vAlign w:val="bottom"/>
            <w:gridSpan w:val="11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-3319145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Wynn Resorts, Limited granted pursuant to the Company's Amended and Restated 2014 Omnibus Incentive Plan. Vesting of 50% of the shares is based on achievement of pre-established financial performance goals in each of the years ended December 31, 2021, 2022 and 2023, and if met, 1/3 of the shares will vest on each of the dates of February 28, 2022, 2023 and 2024; and vesting of the remaining 50% of the shares is conditioned on continued service through January 11, 2024,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59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2021-01-13T20:05:06Z</dcterms:created>
  <dcterms:modified xsi:type="dcterms:W3CDTF">2021-01-13T20:05:06Z</dcterms:modified>
</cp:coreProperties>
</file>