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980" w:type="dxa"/>
            <w:vAlign w:val="bottom"/>
          </w:tcPr>
          <w:p>
            <w:pPr>
              <w:jc w:val="center"/>
              <w:ind w:right="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000-50028</w:t>
            </w:r>
          </w:p>
        </w:tc>
        <w:tc>
          <w:tcPr>
            <w:tcW w:w="94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(State or other jurisdiction of</w:t>
            </w:r>
          </w:p>
        </w:tc>
        <w:tc>
          <w:tcPr>
            <w:tcW w:w="740" w:type="dxa"/>
            <w:vAlign w:val="bottom"/>
          </w:tcPr>
          <w:p>
            <w:pPr>
              <w:spacing w:after="0"/>
              <w:rPr>
                <w:sz w:val="15"/>
                <w:szCs w:val="15"/>
                <w:color w:val="auto"/>
              </w:rPr>
            </w:pPr>
          </w:p>
        </w:tc>
        <w:tc>
          <w:tcPr>
            <w:tcW w:w="42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3"/>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74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1980" w:type="dxa"/>
            <w:vAlign w:val="bottom"/>
          </w:tcPr>
          <w:p>
            <w:pPr>
              <w:spacing w:after="0"/>
              <w:rPr>
                <w:sz w:val="24"/>
                <w:szCs w:val="24"/>
                <w:color w:val="auto"/>
              </w:rPr>
            </w:pPr>
          </w:p>
        </w:tc>
        <w:tc>
          <w:tcPr>
            <w:tcW w:w="50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3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August 21, 2014, Wynn Macau, Limited (“WML”), an indirect subsidiary of Wynn Resorts, Limited (the “Registrant”) with ordinary shares of its common stock listed on The Stock Exchange of Hong Kong Limited, filed its preliminary results in respect of the six months ended June 30, 2014 (the “Semi-Annual Results Announcement”) with The Stock Exchange of Hong Kong Limited. The Registrant owns approximately 72.2%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40" w:top="958" w:right="25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63" w:lineRule="exact"/>
        <w:rPr>
          <w:sz w:val="20"/>
          <w:szCs w:val="20"/>
          <w:color w:val="auto"/>
        </w:rPr>
      </w:pPr>
    </w:p>
    <w:p>
      <w:pPr>
        <w:sectPr>
          <w:pgSz w:w="11900" w:h="16838" w:orient="portrait"/>
          <w:cols w:equalWidth="0" w:num="2">
            <w:col w:w="800" w:space="600"/>
            <w:col w:w="10000"/>
          </w:cols>
          <w:pgMar w:left="240" w:top="958" w:right="25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958" w:right="25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11" w:lineRule="exact"/>
        <w:rPr>
          <w:sz w:val="20"/>
          <w:szCs w:val="20"/>
          <w:color w:val="auto"/>
        </w:rPr>
      </w:pPr>
    </w:p>
    <w:p>
      <w:pPr>
        <w:sectPr>
          <w:pgSz w:w="11900" w:h="16838" w:orient="portrait"/>
          <w:cols w:equalWidth="0" w:num="2">
            <w:col w:w="2020" w:space="720"/>
            <w:col w:w="8660"/>
          </w:cols>
          <w:pgMar w:left="240" w:top="958" w:right="259" w:bottom="1440" w:gutter="0" w:footer="0" w:header="0"/>
          <w:type w:val="continuous"/>
        </w:sectPr>
      </w:pP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Semi-Annual Results Announcement of Wynn Macau, Limited for the six months ended June 30, 2014.</w:t>
      </w:r>
    </w:p>
    <w:p>
      <w:pPr>
        <w:sectPr>
          <w:pgSz w:w="11900" w:h="16838" w:orient="portrait"/>
          <w:cols w:equalWidth="0" w:num="2">
            <w:col w:w="2020" w:space="720"/>
            <w:col w:w="8660"/>
          </w:cols>
          <w:pgMar w:left="240" w:top="958" w:right="25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2"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00" w:val="left"/>
          <w:tab w:leader="none" w:pos="7360" w:val="left"/>
        </w:tabs>
        <w:rPr>
          <w:sz w:val="20"/>
          <w:szCs w:val="20"/>
          <w:color w:val="auto"/>
        </w:rPr>
      </w:pPr>
      <w:r>
        <w:rPr>
          <w:rFonts w:ascii="Arial" w:cs="Arial" w:eastAsia="Arial" w:hAnsi="Arial"/>
          <w:sz w:val="18"/>
          <w:szCs w:val="18"/>
          <w:color w:val="auto"/>
        </w:rPr>
        <w:t>Dated: August 21,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90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01"/>
        </w:trPr>
        <w:tc>
          <w:tcPr>
            <w:tcW w:w="1440" w:type="dxa"/>
            <w:vAlign w:val="bottom"/>
          </w:tcPr>
          <w:p>
            <w:pPr>
              <w:jc w:val="center"/>
              <w:ind w:right="922"/>
              <w:spacing w:after="0"/>
              <w:rPr>
                <w:sz w:val="20"/>
                <w:szCs w:val="20"/>
                <w:color w:val="auto"/>
              </w:rPr>
            </w:pPr>
            <w:r>
              <w:rPr>
                <w:rFonts w:ascii="Arial" w:cs="Arial" w:eastAsia="Arial" w:hAnsi="Arial"/>
                <w:sz w:val="14"/>
                <w:szCs w:val="14"/>
                <w:b w:val="1"/>
                <w:bCs w:val="1"/>
                <w:color w:val="auto"/>
                <w:w w:val="94"/>
              </w:rPr>
              <w:t>Exhibit</w:t>
            </w:r>
          </w:p>
        </w:tc>
        <w:tc>
          <w:tcPr>
            <w:tcW w:w="790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40" w:type="dxa"/>
            <w:vAlign w:val="bottom"/>
          </w:tcPr>
          <w:p>
            <w:pPr>
              <w:jc w:val="center"/>
              <w:ind w:right="922"/>
              <w:spacing w:after="0"/>
              <w:rPr>
                <w:sz w:val="20"/>
                <w:szCs w:val="20"/>
                <w:color w:val="auto"/>
              </w:rPr>
            </w:pPr>
            <w:r>
              <w:rPr>
                <w:rFonts w:ascii="Arial" w:cs="Arial" w:eastAsia="Arial" w:hAnsi="Arial"/>
                <w:sz w:val="14"/>
                <w:szCs w:val="14"/>
                <w:b w:val="1"/>
                <w:bCs w:val="1"/>
                <w:color w:val="auto"/>
                <w:w w:val="88"/>
              </w:rPr>
              <w:t>No.</w:t>
            </w:r>
          </w:p>
        </w:tc>
        <w:tc>
          <w:tcPr>
            <w:tcW w:w="7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440" w:type="dxa"/>
            <w:vAlign w:val="bottom"/>
          </w:tcPr>
          <w:p>
            <w:pPr>
              <w:jc w:val="right"/>
              <w:ind w:right="322"/>
              <w:spacing w:after="0"/>
              <w:rPr>
                <w:sz w:val="20"/>
                <w:szCs w:val="20"/>
                <w:color w:val="auto"/>
              </w:rPr>
            </w:pPr>
            <w:r>
              <w:rPr>
                <w:rFonts w:ascii="Arial" w:cs="Arial" w:eastAsia="Arial" w:hAnsi="Arial"/>
                <w:sz w:val="18"/>
                <w:szCs w:val="18"/>
                <w:color w:val="auto"/>
              </w:rPr>
              <w:t>99.1</w:t>
            </w:r>
          </w:p>
        </w:tc>
        <w:tc>
          <w:tcPr>
            <w:tcW w:w="7900" w:type="dxa"/>
            <w:vAlign w:val="bottom"/>
          </w:tcPr>
          <w:p>
            <w:pPr>
              <w:ind w:left="400"/>
              <w:spacing w:after="0"/>
              <w:rPr>
                <w:sz w:val="20"/>
                <w:szCs w:val="20"/>
                <w:color w:val="auto"/>
              </w:rPr>
            </w:pPr>
            <w:r>
              <w:rPr>
                <w:rFonts w:ascii="Arial" w:cs="Arial" w:eastAsia="Arial" w:hAnsi="Arial"/>
                <w:sz w:val="18"/>
                <w:szCs w:val="18"/>
                <w:color w:val="auto"/>
                <w:w w:val="90"/>
              </w:rPr>
              <w:t>Semi-Annual Results Announcement of Wynn Macau, Limited, for the six months ended June 30, 2014.</w:t>
            </w:r>
          </w:p>
        </w:tc>
        <w:tc>
          <w:tcPr>
            <w:tcW w:w="0" w:type="dxa"/>
            <w:vAlign w:val="bottom"/>
          </w:tcPr>
          <w:p>
            <w:pPr>
              <w:spacing w:after="0"/>
              <w:rPr>
                <w:sz w:val="1"/>
                <w:szCs w:val="1"/>
                <w:color w:val="auto"/>
              </w:rPr>
            </w:pPr>
          </w:p>
        </w:tc>
      </w:tr>
    </w:tbl>
    <w:p>
      <w:pPr>
        <w:sectPr>
          <w:pgSz w:w="11900" w:h="16838" w:orient="portrait"/>
          <w:cols w:equalWidth="0" w:num="1">
            <w:col w:w="9499"/>
          </w:cols>
          <w:pgMar w:left="960" w:top="101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10094595</wp:posOffset>
            </wp:positionV>
            <wp:extent cx="666750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10094595</wp:posOffset>
            </wp:positionV>
            <wp:extent cx="666750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2019-12-07T03:33:57Z</dcterms:created>
  <dcterms:modified xsi:type="dcterms:W3CDTF">2019-12-07T03:33:57Z</dcterms:modified>
</cp:coreProperties>
</file>