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7" w:lineRule="exact"/>
        <w:rPr>
          <w:sz w:val="24"/>
          <w:szCs w:val="24"/>
          <w:color w:val="auto"/>
        </w:rPr>
      </w:pPr>
    </w:p>
    <w:p>
      <w:pPr>
        <w:ind w:left="680" w:right="80" w:hanging="654"/>
        <w:spacing w:after="0" w:line="234"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680" w:right="60" w:hanging="654"/>
        <w:spacing w:after="0" w:line="235"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4" w:lineRule="exact"/>
        <w:rPr>
          <w:sz w:val="24"/>
          <w:szCs w:val="24"/>
          <w:color w:val="auto"/>
        </w:rPr>
      </w:pPr>
    </w:p>
    <w:p>
      <w:pPr>
        <w:ind w:left="356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3762375</wp:posOffset>
            </wp:positionH>
            <wp:positionV relativeFrom="paragraph">
              <wp:posOffset>-7620</wp:posOffset>
            </wp:positionV>
            <wp:extent cx="1123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68580</wp:posOffset>
            </wp:positionV>
            <wp:extent cx="2631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80"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Nevada</w:t>
            </w:r>
          </w:p>
        </w:tc>
        <w:tc>
          <w:tcPr>
            <w:tcW w:w="1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46-0484987</w:t>
            </w:r>
          </w:p>
        </w:tc>
      </w:tr>
      <w:tr>
        <w:trPr>
          <w:trHeight w:val="144"/>
        </w:trPr>
        <w:tc>
          <w:tcPr>
            <w:tcW w:w="860" w:type="dxa"/>
            <w:vAlign w:val="bottom"/>
          </w:tcPr>
          <w:p>
            <w:pPr>
              <w:spacing w:after="0"/>
              <w:rPr>
                <w:sz w:val="12"/>
                <w:szCs w:val="12"/>
                <w:color w:val="auto"/>
              </w:rPr>
            </w:pPr>
          </w:p>
        </w:tc>
        <w:tc>
          <w:tcPr>
            <w:tcW w:w="2980" w:type="dxa"/>
            <w:vAlign w:val="bottom"/>
            <w:gridSpan w:val="3"/>
          </w:tcPr>
          <w:p>
            <w:pPr>
              <w:jc w:val="center"/>
              <w:ind w:left="782"/>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40" w:type="dxa"/>
            <w:vAlign w:val="bottom"/>
          </w:tcPr>
          <w:p>
            <w:pPr>
              <w:jc w:val="center"/>
              <w:ind w:right="1048"/>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860" w:type="dxa"/>
            <w:vAlign w:val="bottom"/>
          </w:tcPr>
          <w:p>
            <w:pPr>
              <w:spacing w:after="0"/>
              <w:rPr>
                <w:sz w:val="16"/>
                <w:szCs w:val="16"/>
                <w:color w:val="auto"/>
              </w:rPr>
            </w:pPr>
          </w:p>
        </w:tc>
        <w:tc>
          <w:tcPr>
            <w:tcW w:w="2980" w:type="dxa"/>
            <w:vAlign w:val="bottom"/>
            <w:gridSpan w:val="3"/>
          </w:tcPr>
          <w:p>
            <w:pPr>
              <w:jc w:val="center"/>
              <w:ind w:left="782"/>
              <w:spacing w:after="0"/>
              <w:rPr>
                <w:sz w:val="20"/>
                <w:szCs w:val="20"/>
                <w:color w:val="auto"/>
              </w:rPr>
            </w:pPr>
            <w:r>
              <w:rPr>
                <w:rFonts w:ascii="Arial" w:cs="Arial" w:eastAsia="Arial" w:hAnsi="Arial"/>
                <w:sz w:val="14"/>
                <w:szCs w:val="14"/>
                <w:b w:val="1"/>
                <w:bCs w:val="1"/>
                <w:color w:val="auto"/>
                <w:w w:val="94"/>
              </w:rPr>
              <w:t>incorporation or organization)</w:t>
            </w:r>
          </w:p>
        </w:tc>
        <w:tc>
          <w:tcPr>
            <w:tcW w:w="1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40" w:type="dxa"/>
            <w:vAlign w:val="bottom"/>
          </w:tcPr>
          <w:p>
            <w:pPr>
              <w:jc w:val="center"/>
              <w:ind w:right="1048"/>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140" w:type="dxa"/>
            <w:vAlign w:val="bottom"/>
            <w:gridSpan w:val="7"/>
          </w:tcPr>
          <w:p>
            <w:pPr>
              <w:jc w:val="center"/>
              <w:ind w:right="1228"/>
              <w:spacing w:after="0"/>
              <w:rPr>
                <w:sz w:val="20"/>
                <w:szCs w:val="20"/>
                <w:color w:val="auto"/>
              </w:rPr>
            </w:pPr>
            <w:r>
              <w:rPr>
                <w:rFonts w:ascii="Arial" w:cs="Arial" w:eastAsia="Arial" w:hAnsi="Arial"/>
                <w:sz w:val="18"/>
                <w:szCs w:val="18"/>
                <w:b w:val="1"/>
                <w:bCs w:val="1"/>
                <w:color w:val="auto"/>
                <w:w w:val="88"/>
              </w:rPr>
              <w:t>3131 Las Vegas Boulevard South - Las Vegas, Nevada 89109</w:t>
            </w:r>
          </w:p>
        </w:tc>
      </w:tr>
      <w:tr>
        <w:trPr>
          <w:trHeight w:val="186"/>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500" w:type="dxa"/>
            <w:vAlign w:val="bottom"/>
            <w:gridSpan w:val="5"/>
          </w:tcPr>
          <w:p>
            <w:pPr>
              <w:jc w:val="center"/>
              <w:ind w:right="2868"/>
              <w:spacing w:after="0"/>
              <w:rPr>
                <w:sz w:val="20"/>
                <w:szCs w:val="20"/>
                <w:color w:val="auto"/>
              </w:rPr>
            </w:pPr>
            <w:r>
              <w:rPr>
                <w:rFonts w:ascii="Arial" w:cs="Arial" w:eastAsia="Arial" w:hAnsi="Arial"/>
                <w:sz w:val="14"/>
                <w:szCs w:val="14"/>
                <w:b w:val="1"/>
                <w:bCs w:val="1"/>
                <w:color w:val="auto"/>
                <w:w w:val="92"/>
              </w:rPr>
              <w:t>(Address of principal executive offices) (Zip Code)</w:t>
            </w:r>
          </w:p>
        </w:tc>
      </w:tr>
      <w:tr>
        <w:trPr>
          <w:trHeight w:val="246"/>
        </w:trPr>
        <w:tc>
          <w:tcPr>
            <w:tcW w:w="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40" w:type="dxa"/>
            <w:vAlign w:val="bottom"/>
            <w:gridSpan w:val="2"/>
          </w:tcPr>
          <w:p>
            <w:pPr>
              <w:jc w:val="center"/>
              <w:ind w:left="737"/>
              <w:spacing w:after="0"/>
              <w:rPr>
                <w:sz w:val="20"/>
                <w:szCs w:val="20"/>
                <w:color w:val="auto"/>
              </w:rPr>
            </w:pPr>
            <w:r>
              <w:rPr>
                <w:rFonts w:ascii="Arial" w:cs="Arial" w:eastAsia="Arial" w:hAnsi="Arial"/>
                <w:sz w:val="18"/>
                <w:szCs w:val="18"/>
                <w:b w:val="1"/>
                <w:bCs w:val="1"/>
                <w:color w:val="auto"/>
                <w:w w:val="90"/>
              </w:rPr>
              <w:t>(702) 770-7555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40" w:type="dxa"/>
            <w:vAlign w:val="bottom"/>
          </w:tcPr>
          <w:p>
            <w:pPr>
              <w:spacing w:after="0"/>
              <w:rPr>
                <w:sz w:val="21"/>
                <w:szCs w:val="21"/>
                <w:color w:val="auto"/>
              </w:rPr>
            </w:pPr>
          </w:p>
        </w:tc>
      </w:tr>
      <w:tr>
        <w:trPr>
          <w:trHeight w:val="186"/>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500" w:type="dxa"/>
            <w:vAlign w:val="bottom"/>
            <w:gridSpan w:val="5"/>
          </w:tcPr>
          <w:p>
            <w:pPr>
              <w:jc w:val="center"/>
              <w:ind w:right="286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80"/>
        </w:trPr>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640" w:type="dxa"/>
            <w:vAlign w:val="bottom"/>
          </w:tcPr>
          <w:p>
            <w:pPr>
              <w:spacing w:after="0"/>
              <w:rPr>
                <w:sz w:val="6"/>
                <w:szCs w:val="6"/>
                <w:color w:val="auto"/>
              </w:rPr>
            </w:pPr>
          </w:p>
        </w:tc>
      </w:tr>
      <w:tr>
        <w:trPr>
          <w:trHeight w:val="295"/>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jc w:val="center"/>
              <w:ind w:right="530"/>
              <w:spacing w:after="0"/>
              <w:rPr>
                <w:sz w:val="20"/>
                <w:szCs w:val="20"/>
                <w:color w:val="auto"/>
              </w:rPr>
            </w:pPr>
            <w:r>
              <w:rPr>
                <w:rFonts w:ascii="Arial" w:cs="Arial" w:eastAsia="Arial" w:hAnsi="Arial"/>
                <w:sz w:val="18"/>
                <w:szCs w:val="18"/>
                <w:b w:val="1"/>
                <w:bCs w:val="1"/>
                <w:color w:val="auto"/>
              </w:rPr>
              <w:t>N/A</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186"/>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140" w:type="dxa"/>
            <w:vAlign w:val="bottom"/>
            <w:gridSpan w:val="7"/>
          </w:tcPr>
          <w:p>
            <w:pPr>
              <w:jc w:val="center"/>
              <w:ind w:right="1208"/>
              <w:spacing w:after="0"/>
              <w:rPr>
                <w:sz w:val="20"/>
                <w:szCs w:val="20"/>
                <w:color w:val="auto"/>
              </w:rPr>
            </w:pPr>
            <w:r>
              <w:rPr>
                <w:rFonts w:ascii="Arial" w:cs="Arial" w:eastAsia="Arial" w:hAnsi="Arial"/>
                <w:sz w:val="14"/>
                <w:szCs w:val="14"/>
                <w:b w:val="1"/>
                <w:bCs w:val="1"/>
                <w:color w:val="auto"/>
                <w:w w:val="92"/>
              </w:rPr>
              <w:t>(Former name, former address and former fiscal year, if changed since last report)</w:t>
            </w:r>
          </w:p>
        </w:tc>
      </w:tr>
      <w:tr>
        <w:trPr>
          <w:trHeight w:val="458"/>
        </w:trPr>
        <w:tc>
          <w:tcPr>
            <w:tcW w:w="658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2980" w:type="dxa"/>
            <w:vAlign w:val="bottom"/>
            <w:gridSpan w:val="3"/>
          </w:tcPr>
          <w:p>
            <w:pPr>
              <w:jc w:val="center"/>
              <w:ind w:right="1640"/>
              <w:spacing w:after="0"/>
              <w:rPr>
                <w:sz w:val="20"/>
                <w:szCs w:val="20"/>
                <w:color w:val="auto"/>
              </w:rPr>
            </w:pPr>
            <w:r>
              <w:rPr>
                <w:rFonts w:ascii="Arial" w:cs="Arial" w:eastAsia="Arial" w:hAnsi="Arial"/>
                <w:sz w:val="18"/>
                <w:szCs w:val="18"/>
                <w:b w:val="1"/>
                <w:bCs w:val="1"/>
                <w:color w:val="auto"/>
                <w:w w:val="86"/>
              </w:rPr>
              <w:t>Title of each class</w:t>
            </w:r>
          </w:p>
        </w:tc>
        <w:tc>
          <w:tcPr>
            <w:tcW w:w="2740" w:type="dxa"/>
            <w:vAlign w:val="bottom"/>
            <w:gridSpan w:val="2"/>
          </w:tcPr>
          <w:p>
            <w:pPr>
              <w:jc w:val="center"/>
              <w:ind w:right="1210"/>
              <w:spacing w:after="0"/>
              <w:rPr>
                <w:sz w:val="20"/>
                <w:szCs w:val="20"/>
                <w:color w:val="auto"/>
              </w:rPr>
            </w:pPr>
            <w:r>
              <w:rPr>
                <w:rFonts w:ascii="Arial" w:cs="Arial" w:eastAsia="Arial" w:hAnsi="Arial"/>
                <w:sz w:val="18"/>
                <w:szCs w:val="18"/>
                <w:b w:val="1"/>
                <w:bCs w:val="1"/>
                <w:color w:val="auto"/>
                <w:w w:val="91"/>
              </w:rPr>
              <w:t>Trading Symbol(s)</w:t>
            </w:r>
          </w:p>
        </w:tc>
        <w:tc>
          <w:tcPr>
            <w:tcW w:w="376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40" w:type="dxa"/>
            <w:vAlign w:val="bottom"/>
            <w:gridSpan w:val="2"/>
            <w:shd w:val="clear" w:color="auto" w:fill="000000"/>
          </w:tcPr>
          <w:p>
            <w:pPr>
              <w:spacing w:after="0" w:line="20" w:lineRule="exact"/>
              <w:rPr>
                <w:sz w:val="1"/>
                <w:szCs w:val="1"/>
                <w:color w:val="auto"/>
              </w:rPr>
            </w:pPr>
          </w:p>
        </w:tc>
      </w:tr>
      <w:tr>
        <w:trPr>
          <w:trHeight w:val="250"/>
        </w:trPr>
        <w:tc>
          <w:tcPr>
            <w:tcW w:w="3840" w:type="dxa"/>
            <w:vAlign w:val="bottom"/>
            <w:gridSpan w:val="4"/>
          </w:tcPr>
          <w:p>
            <w:pPr>
              <w:jc w:val="center"/>
              <w:ind w:right="780"/>
              <w:spacing w:after="0"/>
              <w:rPr>
                <w:sz w:val="20"/>
                <w:szCs w:val="20"/>
                <w:color w:val="auto"/>
              </w:rPr>
            </w:pPr>
            <w:r>
              <w:rPr>
                <w:rFonts w:ascii="Arial" w:cs="Arial" w:eastAsia="Arial" w:hAnsi="Arial"/>
                <w:sz w:val="18"/>
                <w:szCs w:val="18"/>
                <w:color w:val="auto"/>
                <w:w w:val="90"/>
              </w:rPr>
              <w:t>Common stock, par value $0.01</w:t>
            </w:r>
          </w:p>
        </w:tc>
        <w:tc>
          <w:tcPr>
            <w:tcW w:w="2740" w:type="dxa"/>
            <w:vAlign w:val="bottom"/>
            <w:gridSpan w:val="2"/>
          </w:tcPr>
          <w:p>
            <w:pPr>
              <w:jc w:val="center"/>
              <w:ind w:right="1210"/>
              <w:spacing w:after="0"/>
              <w:rPr>
                <w:sz w:val="20"/>
                <w:szCs w:val="20"/>
                <w:color w:val="auto"/>
              </w:rPr>
            </w:pPr>
            <w:r>
              <w:rPr>
                <w:rFonts w:ascii="Arial" w:cs="Arial" w:eastAsia="Arial" w:hAnsi="Arial"/>
                <w:sz w:val="18"/>
                <w:szCs w:val="18"/>
                <w:color w:val="auto"/>
              </w:rPr>
              <w:t>WYNN</w:t>
            </w:r>
          </w:p>
        </w:tc>
        <w:tc>
          <w:tcPr>
            <w:tcW w:w="420" w:type="dxa"/>
            <w:vAlign w:val="bottom"/>
          </w:tcPr>
          <w:p>
            <w:pPr>
              <w:spacing w:after="0"/>
              <w:rPr>
                <w:sz w:val="21"/>
                <w:szCs w:val="21"/>
                <w:color w:val="auto"/>
              </w:rPr>
            </w:pPr>
          </w:p>
        </w:tc>
        <w:tc>
          <w:tcPr>
            <w:tcW w:w="3340" w:type="dxa"/>
            <w:vAlign w:val="bottom"/>
            <w:gridSpan w:val="2"/>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337"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jc w:val="both"/>
        <w:spacing w:after="0" w:line="217"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445"/>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445"/>
        <w:spacing w:after="0" w:line="28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720" w:type="dxa"/>
            <w:vAlign w:val="bottom"/>
            <w:gridSpan w:val="2"/>
          </w:tcPr>
          <w:p>
            <w:pPr>
              <w:spacing w:after="0"/>
              <w:rPr>
                <w:sz w:val="20"/>
                <w:szCs w:val="20"/>
                <w:color w:val="auto"/>
              </w:rPr>
            </w:pPr>
            <w:r>
              <w:rPr>
                <w:rFonts w:ascii="Arial" w:cs="Arial" w:eastAsia="Arial" w:hAnsi="Arial"/>
                <w:sz w:val="18"/>
                <w:szCs w:val="18"/>
                <w:color w:val="auto"/>
              </w:rPr>
              <w:t>company" in Rule 12b-2 of the Exchange Act.</w:t>
            </w:r>
          </w:p>
        </w:tc>
        <w:tc>
          <w:tcPr>
            <w:tcW w:w="47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0"/>
        </w:trPr>
        <w:tc>
          <w:tcPr>
            <w:tcW w:w="196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37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720" w:type="dxa"/>
            <w:vAlign w:val="bottom"/>
          </w:tcPr>
          <w:p>
            <w:pPr>
              <w:ind w:left="236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96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37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720" w:type="dxa"/>
            <w:vAlign w:val="bottom"/>
          </w:tcPr>
          <w:p>
            <w:pPr>
              <w:ind w:left="236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720" w:type="dxa"/>
            <w:vAlign w:val="bottom"/>
          </w:tcPr>
          <w:p>
            <w:pPr>
              <w:ind w:left="236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firstLine="44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460" w:right="1360"/>
        <w:spacing w:after="0" w:line="23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c>
          <w:tcPr>
            <w:tcW w:w="668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Outstanding at October 26, 2020</w:t>
            </w:r>
          </w:p>
        </w:tc>
        <w:tc>
          <w:tcPr>
            <w:tcW w:w="860" w:type="dxa"/>
            <w:vAlign w:val="bottom"/>
          </w:tcPr>
          <w:p>
            <w:pPr>
              <w:spacing w:after="0"/>
              <w:rPr>
                <w:sz w:val="14"/>
                <w:szCs w:val="14"/>
                <w:color w:val="auto"/>
              </w:rPr>
            </w:pPr>
          </w:p>
        </w:tc>
      </w:tr>
      <w:tr>
        <w:trPr>
          <w:trHeight w:val="250"/>
        </w:trPr>
        <w:tc>
          <w:tcPr>
            <w:tcW w:w="8360" w:type="dxa"/>
            <w:vAlign w:val="bottom"/>
            <w:gridSpan w:val="3"/>
          </w:tcPr>
          <w:p>
            <w:pPr>
              <w:jc w:val="center"/>
              <w:ind w:right="5340"/>
              <w:spacing w:after="0"/>
              <w:rPr>
                <w:sz w:val="20"/>
                <w:szCs w:val="20"/>
                <w:color w:val="auto"/>
              </w:rPr>
            </w:pPr>
            <w:r>
              <w:rPr>
                <w:rFonts w:ascii="Arial" w:cs="Arial" w:eastAsia="Arial" w:hAnsi="Arial"/>
                <w:sz w:val="18"/>
                <w:szCs w:val="18"/>
                <w:color w:val="auto"/>
                <w:w w:val="90"/>
              </w:rPr>
              <w:t>Common stock, par value $0.01</w:t>
            </w:r>
          </w:p>
        </w:tc>
        <w:tc>
          <w:tcPr>
            <w:tcW w:w="2020" w:type="dxa"/>
            <w:vAlign w:val="bottom"/>
          </w:tcPr>
          <w:p>
            <w:pPr>
              <w:jc w:val="right"/>
              <w:ind w:right="479"/>
              <w:spacing w:after="0"/>
              <w:rPr>
                <w:sz w:val="20"/>
                <w:szCs w:val="20"/>
                <w:color w:val="auto"/>
              </w:rPr>
            </w:pPr>
            <w:r>
              <w:rPr>
                <w:rFonts w:ascii="Arial" w:cs="Arial" w:eastAsia="Arial" w:hAnsi="Arial"/>
                <w:sz w:val="18"/>
                <w:szCs w:val="18"/>
                <w:color w:val="auto"/>
              </w:rPr>
              <w:t>107,870,602</w:t>
            </w:r>
          </w:p>
        </w:tc>
        <w:tc>
          <w:tcPr>
            <w:tcW w:w="860" w:type="dxa"/>
            <w:vAlign w:val="bottom"/>
          </w:tcPr>
          <w:p>
            <w:pPr>
              <w:spacing w:after="0"/>
              <w:rPr>
                <w:sz w:val="21"/>
                <w:szCs w:val="21"/>
                <w:color w:val="auto"/>
              </w:rPr>
            </w:pPr>
          </w:p>
        </w:tc>
      </w:tr>
      <w:tr>
        <w:trPr>
          <w:trHeight w:val="790"/>
        </w:trPr>
        <w:tc>
          <w:tcPr>
            <w:tcW w:w="1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6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440" w:type="dxa"/>
            <w:vAlign w:val="bottom"/>
            <w:gridSpan w:val="13"/>
          </w:tcPr>
          <w:p>
            <w:pPr>
              <w:ind w:left="380"/>
              <w:spacing w:after="0"/>
              <w:rPr>
                <w:sz w:val="20"/>
                <w:szCs w:val="20"/>
                <w:color w:val="auto"/>
              </w:rPr>
            </w:pPr>
            <w:r>
              <w:rPr>
                <w:rFonts w:ascii="Arial" w:cs="Arial" w:eastAsia="Arial" w:hAnsi="Arial"/>
                <w:sz w:val="18"/>
                <w:szCs w:val="18"/>
                <w:b w:val="1"/>
                <w:bCs w:val="1"/>
                <w:color w:val="auto"/>
              </w:rPr>
              <w:t>Financial Information</w:t>
            </w:r>
          </w:p>
        </w:tc>
        <w:tc>
          <w:tcPr>
            <w:tcW w:w="520" w:type="dxa"/>
            <w:vAlign w:val="bottom"/>
          </w:tcPr>
          <w:p>
            <w:pPr>
              <w:spacing w:after="0"/>
              <w:rPr>
                <w:sz w:val="20"/>
                <w:szCs w:val="20"/>
                <w:color w:val="auto"/>
              </w:rPr>
            </w:pPr>
          </w:p>
        </w:tc>
      </w:tr>
      <w:tr>
        <w:trPr>
          <w:trHeight w:val="229"/>
        </w:trPr>
        <w:tc>
          <w:tcPr>
            <w:tcW w:w="1240" w:type="dxa"/>
            <w:vAlign w:val="bottom"/>
          </w:tcPr>
          <w:p>
            <w:pPr>
              <w:ind w:left="3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w:t>
              </w:r>
            </w:hyperlink>
          </w:p>
        </w:tc>
        <w:tc>
          <w:tcPr>
            <w:tcW w:w="9440" w:type="dxa"/>
            <w:vAlign w:val="bottom"/>
            <w:gridSpan w:val="13"/>
          </w:tcPr>
          <w:p>
            <w:pPr>
              <w:ind w:left="40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w:t>
              </w:r>
            </w:hyperlink>
          </w:p>
        </w:tc>
        <w:tc>
          <w:tcPr>
            <w:tcW w:w="520" w:type="dxa"/>
            <w:vAlign w:val="bottom"/>
          </w:tcPr>
          <w:p>
            <w:pPr>
              <w:spacing w:after="0"/>
              <w:rPr>
                <w:sz w:val="19"/>
                <w:szCs w:val="19"/>
                <w:color w:val="auto"/>
              </w:rPr>
            </w:pPr>
          </w:p>
        </w:tc>
      </w:tr>
      <w:tr>
        <w:trPr>
          <w:trHeight w:val="229"/>
        </w:trPr>
        <w:tc>
          <w:tcPr>
            <w:tcW w:w="1240" w:type="dxa"/>
            <w:vAlign w:val="bottom"/>
          </w:tcPr>
          <w:p>
            <w:pPr>
              <w:spacing w:after="0"/>
              <w:rPr>
                <w:sz w:val="19"/>
                <w:szCs w:val="19"/>
                <w:color w:val="auto"/>
              </w:rPr>
            </w:pPr>
          </w:p>
        </w:tc>
        <w:tc>
          <w:tcPr>
            <w:tcW w:w="9440" w:type="dxa"/>
            <w:vAlign w:val="bottom"/>
            <w:gridSpan w:val="13"/>
          </w:tcPr>
          <w:p>
            <w:pPr>
              <w:ind w:left="7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Balance Sheets - September 30, 2020 (unaudited) and December 31, 2019</w:t>
              </w:r>
            </w:hyperlink>
          </w:p>
        </w:tc>
        <w:tc>
          <w:tcPr>
            <w:tcW w:w="52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r>
      <w:tr>
        <w:trPr>
          <w:trHeight w:val="190"/>
        </w:trPr>
        <w:tc>
          <w:tcPr>
            <w:tcW w:w="1240" w:type="dxa"/>
            <w:vAlign w:val="bottom"/>
          </w:tcPr>
          <w:p>
            <w:pPr>
              <w:spacing w:after="0"/>
              <w:rPr>
                <w:sz w:val="16"/>
                <w:szCs w:val="16"/>
                <w:color w:val="auto"/>
              </w:rPr>
            </w:pPr>
          </w:p>
        </w:tc>
        <w:tc>
          <w:tcPr>
            <w:tcW w:w="9440" w:type="dxa"/>
            <w:vAlign w:val="bottom"/>
            <w:gridSpan w:val="13"/>
          </w:tcPr>
          <w:p>
            <w:pPr>
              <w:ind w:left="720"/>
              <w:spacing w:after="0" w:line="190" w:lineRule="exact"/>
              <w:rPr>
                <w:rFonts w:ascii="Arial" w:cs="Arial" w:eastAsia="Arial" w:hAnsi="Arial"/>
                <w:sz w:val="18"/>
                <w:szCs w:val="18"/>
                <w:color w:val="0000FF"/>
                <w:w w:val="92"/>
              </w:rPr>
            </w:pPr>
            <w:hyperlink w:anchor="page3">
              <w:r>
                <w:rPr>
                  <w:rFonts w:ascii="Arial" w:cs="Arial" w:eastAsia="Arial" w:hAnsi="Arial"/>
                  <w:sz w:val="18"/>
                  <w:szCs w:val="18"/>
                  <w:u w:val="single" w:color="auto"/>
                  <w:color w:val="0000FF"/>
                  <w:w w:val="92"/>
                </w:rPr>
                <w:t>Condensed Consolidated Statements of Operations (unaudited) - Three and</w:t>
              </w:r>
              <w:r>
                <w:rPr>
                  <w:rFonts w:ascii="Arial" w:cs="Arial" w:eastAsia="Arial" w:hAnsi="Arial"/>
                  <w:sz w:val="18"/>
                  <w:szCs w:val="18"/>
                  <w:color w:val="0000FF"/>
                  <w:w w:val="92"/>
                </w:rPr>
                <w:t xml:space="preserve"> Nine Months Ended </w:t>
              </w:r>
              <w:r>
                <w:rPr>
                  <w:rFonts w:ascii="Arial" w:cs="Arial" w:eastAsia="Arial" w:hAnsi="Arial"/>
                  <w:sz w:val="18"/>
                  <w:szCs w:val="18"/>
                  <w:u w:val="single" w:color="auto"/>
                  <w:color w:val="0000FF"/>
                  <w:w w:val="92"/>
                </w:rPr>
                <w:t>September</w:t>
              </w:r>
              <w:r>
                <w:rPr>
                  <w:rFonts w:ascii="Arial" w:cs="Arial" w:eastAsia="Arial" w:hAnsi="Arial"/>
                  <w:sz w:val="18"/>
                  <w:szCs w:val="18"/>
                  <w:color w:val="0000FF"/>
                  <w:w w:val="92"/>
                </w:rPr>
                <w:t xml:space="preserve"> 30, 2020</w:t>
              </w:r>
            </w:hyperlink>
          </w:p>
        </w:tc>
        <w:tc>
          <w:tcPr>
            <w:tcW w:w="520" w:type="dxa"/>
            <w:vAlign w:val="bottom"/>
          </w:tcPr>
          <w:p>
            <w:pPr>
              <w:spacing w:after="0"/>
              <w:rPr>
                <w:sz w:val="16"/>
                <w:szCs w:val="16"/>
                <w:color w:val="auto"/>
              </w:rPr>
            </w:pPr>
          </w:p>
        </w:tc>
      </w:tr>
      <w:tr>
        <w:trPr>
          <w:trHeight w:val="156"/>
        </w:trPr>
        <w:tc>
          <w:tcPr>
            <w:tcW w:w="1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60" w:type="dxa"/>
            <w:vAlign w:val="bottom"/>
            <w:gridSpan w:val="3"/>
          </w:tcPr>
          <w:p>
            <w:pPr>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and 2019</w:t>
              </w:r>
            </w:hyperlink>
          </w:p>
        </w:tc>
        <w:tc>
          <w:tcPr>
            <w:tcW w:w="78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jc w:val="right"/>
              <w:spacing w:after="0" w:line="156" w:lineRule="exact"/>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4</w:t>
              </w:r>
            </w:hyperlink>
          </w:p>
        </w:tc>
      </w:tr>
      <w:tr>
        <w:trPr>
          <w:trHeight w:val="20"/>
        </w:trPr>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720" w:type="dxa"/>
            <w:vAlign w:val="bottom"/>
            <w:gridSpan w:val="12"/>
          </w:tcPr>
          <w:p>
            <w:pPr>
              <w:spacing w:after="0"/>
              <w:rPr>
                <w:rFonts w:ascii="Arial" w:cs="Arial" w:eastAsia="Arial" w:hAnsi="Arial"/>
                <w:sz w:val="18"/>
                <w:szCs w:val="18"/>
                <w:color w:val="0000FF"/>
                <w:w w:val="94"/>
              </w:rPr>
            </w:pPr>
            <w:hyperlink w:anchor="page4">
              <w:r>
                <w:rPr>
                  <w:rFonts w:ascii="Arial" w:cs="Arial" w:eastAsia="Arial" w:hAnsi="Arial"/>
                  <w:sz w:val="18"/>
                  <w:szCs w:val="18"/>
                  <w:u w:val="single" w:color="auto"/>
                  <w:color w:val="0000FF"/>
                  <w:w w:val="94"/>
                </w:rPr>
                <w:t>Condensed Consolidated Statements of Comprehensive Income (Loss) (unaudited) - Three and</w:t>
              </w:r>
              <w:r>
                <w:rPr>
                  <w:rFonts w:ascii="Arial" w:cs="Arial" w:eastAsia="Arial" w:hAnsi="Arial"/>
                  <w:sz w:val="18"/>
                  <w:szCs w:val="18"/>
                  <w:color w:val="0000FF"/>
                  <w:w w:val="94"/>
                </w:rPr>
                <w:t xml:space="preserve"> Nine Months Ended</w:t>
              </w:r>
            </w:hyperlink>
          </w:p>
        </w:tc>
        <w:tc>
          <w:tcPr>
            <w:tcW w:w="520" w:type="dxa"/>
            <w:vAlign w:val="bottom"/>
          </w:tcPr>
          <w:p>
            <w:pPr>
              <w:spacing w:after="0"/>
              <w:rPr>
                <w:sz w:val="18"/>
                <w:szCs w:val="18"/>
                <w:color w:val="auto"/>
              </w:rPr>
            </w:pPr>
          </w:p>
        </w:tc>
      </w:tr>
      <w:tr>
        <w:trPr>
          <w:trHeight w:val="195"/>
        </w:trPr>
        <w:tc>
          <w:tcPr>
            <w:tcW w:w="1240" w:type="dxa"/>
            <w:vAlign w:val="bottom"/>
          </w:tcPr>
          <w:p>
            <w:pPr>
              <w:spacing w:after="0"/>
              <w:rPr>
                <w:sz w:val="16"/>
                <w:szCs w:val="16"/>
                <w:color w:val="auto"/>
              </w:rPr>
            </w:pPr>
          </w:p>
        </w:tc>
        <w:tc>
          <w:tcPr>
            <w:tcW w:w="7600" w:type="dxa"/>
            <w:vAlign w:val="bottom"/>
            <w:gridSpan w:val="7"/>
          </w:tcPr>
          <w:p>
            <w:pPr>
              <w:ind w:left="720"/>
              <w:spacing w:after="0" w:line="195" w:lineRule="exact"/>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September 30, 2020 and 2019</w:t>
              </w:r>
            </w:hyperlink>
          </w:p>
        </w:tc>
        <w:tc>
          <w:tcPr>
            <w:tcW w:w="1420" w:type="dxa"/>
            <w:vAlign w:val="bottom"/>
            <w:tcBorders>
              <w:top w:val="single" w:sz="8" w:color="0000FF"/>
            </w:tcBorders>
            <w:gridSpan w:val="3"/>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380" w:type="dxa"/>
            <w:vAlign w:val="bottom"/>
            <w:gridSpan w:val="2"/>
          </w:tcPr>
          <w:p>
            <w:pPr>
              <w:spacing w:after="0"/>
              <w:rPr>
                <w:sz w:val="16"/>
                <w:szCs w:val="16"/>
                <w:color w:val="auto"/>
              </w:rPr>
            </w:pPr>
          </w:p>
        </w:tc>
        <w:tc>
          <w:tcPr>
            <w:tcW w:w="520" w:type="dxa"/>
            <w:vAlign w:val="bottom"/>
          </w:tcPr>
          <w:p>
            <w:pPr>
              <w:jc w:val="right"/>
              <w:spacing w:after="0" w:line="195" w:lineRule="exact"/>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r>
      <w:tr>
        <w:trPr>
          <w:trHeight w:val="190"/>
        </w:trPr>
        <w:tc>
          <w:tcPr>
            <w:tcW w:w="1240" w:type="dxa"/>
            <w:vAlign w:val="bottom"/>
          </w:tcPr>
          <w:p>
            <w:pPr>
              <w:spacing w:after="0"/>
              <w:rPr>
                <w:sz w:val="16"/>
                <w:szCs w:val="16"/>
                <w:color w:val="auto"/>
              </w:rPr>
            </w:pPr>
          </w:p>
        </w:tc>
        <w:tc>
          <w:tcPr>
            <w:tcW w:w="9440" w:type="dxa"/>
            <w:vAlign w:val="bottom"/>
            <w:gridSpan w:val="13"/>
          </w:tcPr>
          <w:p>
            <w:pPr>
              <w:ind w:left="720"/>
              <w:spacing w:after="0" w:line="190" w:lineRule="exact"/>
              <w:rPr>
                <w:rFonts w:ascii="Arial" w:cs="Arial" w:eastAsia="Arial" w:hAnsi="Arial"/>
                <w:sz w:val="18"/>
                <w:szCs w:val="18"/>
                <w:color w:val="0000FF"/>
                <w:w w:val="95"/>
              </w:rPr>
            </w:pPr>
            <w:hyperlink w:anchor="page5">
              <w:r>
                <w:rPr>
                  <w:rFonts w:ascii="Arial" w:cs="Arial" w:eastAsia="Arial" w:hAnsi="Arial"/>
                  <w:sz w:val="18"/>
                  <w:szCs w:val="18"/>
                  <w:u w:val="single" w:color="auto"/>
                  <w:color w:val="0000FF"/>
                  <w:w w:val="95"/>
                </w:rPr>
                <w:t>Condensed Consolidated Statements of Stockholders’ Equity (Deficit) (unaudited) - Three and</w:t>
              </w:r>
              <w:r>
                <w:rPr>
                  <w:rFonts w:ascii="Arial" w:cs="Arial" w:eastAsia="Arial" w:hAnsi="Arial"/>
                  <w:sz w:val="18"/>
                  <w:szCs w:val="18"/>
                  <w:color w:val="0000FF"/>
                  <w:w w:val="95"/>
                </w:rPr>
                <w:t xml:space="preserve"> Nine Months Ended</w:t>
              </w:r>
            </w:hyperlink>
          </w:p>
        </w:tc>
        <w:tc>
          <w:tcPr>
            <w:tcW w:w="520" w:type="dxa"/>
            <w:vAlign w:val="bottom"/>
          </w:tcPr>
          <w:p>
            <w:pPr>
              <w:spacing w:after="0"/>
              <w:rPr>
                <w:sz w:val="16"/>
                <w:szCs w:val="16"/>
                <w:color w:val="auto"/>
              </w:rPr>
            </w:pPr>
          </w:p>
        </w:tc>
      </w:tr>
      <w:tr>
        <w:trPr>
          <w:trHeight w:val="195"/>
        </w:trPr>
        <w:tc>
          <w:tcPr>
            <w:tcW w:w="1240" w:type="dxa"/>
            <w:vAlign w:val="bottom"/>
          </w:tcPr>
          <w:p>
            <w:pPr>
              <w:spacing w:after="0"/>
              <w:rPr>
                <w:sz w:val="16"/>
                <w:szCs w:val="16"/>
                <w:color w:val="auto"/>
              </w:rPr>
            </w:pPr>
          </w:p>
        </w:tc>
        <w:tc>
          <w:tcPr>
            <w:tcW w:w="7580" w:type="dxa"/>
            <w:vAlign w:val="bottom"/>
            <w:gridSpan w:val="6"/>
          </w:tcPr>
          <w:p>
            <w:pPr>
              <w:ind w:left="720"/>
              <w:spacing w:after="0" w:line="195" w:lineRule="exact"/>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September 30, 2020 and 2019</w:t>
              </w:r>
            </w:hyperlink>
          </w:p>
        </w:tc>
        <w:tc>
          <w:tcPr>
            <w:tcW w:w="1440" w:type="dxa"/>
            <w:vAlign w:val="bottom"/>
            <w:tcBorders>
              <w:top w:val="single" w:sz="8" w:color="0000FF"/>
            </w:tcBorders>
            <w:gridSpan w:val="4"/>
          </w:tcPr>
          <w:p>
            <w:pPr>
              <w:spacing w:after="0"/>
              <w:rPr>
                <w:sz w:val="16"/>
                <w:szCs w:val="16"/>
                <w:color w:val="auto"/>
              </w:rPr>
            </w:pPr>
          </w:p>
        </w:tc>
        <w:tc>
          <w:tcPr>
            <w:tcW w:w="420" w:type="dxa"/>
            <w:vAlign w:val="bottom"/>
            <w:gridSpan w:val="3"/>
          </w:tcPr>
          <w:p>
            <w:pPr>
              <w:spacing w:after="0"/>
              <w:rPr>
                <w:sz w:val="16"/>
                <w:szCs w:val="16"/>
                <w:color w:val="auto"/>
              </w:rPr>
            </w:pPr>
          </w:p>
        </w:tc>
        <w:tc>
          <w:tcPr>
            <w:tcW w:w="520" w:type="dxa"/>
            <w:vAlign w:val="bottom"/>
          </w:tcPr>
          <w:p>
            <w:pPr>
              <w:jc w:val="right"/>
              <w:spacing w:after="0" w:line="195" w:lineRule="exact"/>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tc>
      </w:tr>
      <w:tr>
        <w:trPr>
          <w:trHeight w:val="190"/>
        </w:trPr>
        <w:tc>
          <w:tcPr>
            <w:tcW w:w="1240" w:type="dxa"/>
            <w:vAlign w:val="bottom"/>
          </w:tcPr>
          <w:p>
            <w:pPr>
              <w:spacing w:after="0"/>
              <w:rPr>
                <w:sz w:val="16"/>
                <w:szCs w:val="16"/>
                <w:color w:val="auto"/>
              </w:rPr>
            </w:pPr>
          </w:p>
        </w:tc>
        <w:tc>
          <w:tcPr>
            <w:tcW w:w="9440" w:type="dxa"/>
            <w:vAlign w:val="bottom"/>
            <w:gridSpan w:val="13"/>
          </w:tcPr>
          <w:p>
            <w:pPr>
              <w:ind w:left="720"/>
              <w:spacing w:after="0" w:line="190" w:lineRule="exact"/>
              <w:rPr>
                <w:rFonts w:ascii="Arial" w:cs="Arial" w:eastAsia="Arial" w:hAnsi="Arial"/>
                <w:sz w:val="18"/>
                <w:szCs w:val="18"/>
                <w:color w:val="0000FF"/>
                <w:w w:val="92"/>
              </w:rPr>
            </w:pPr>
            <w:hyperlink w:anchor="page7">
              <w:r>
                <w:rPr>
                  <w:rFonts w:ascii="Arial" w:cs="Arial" w:eastAsia="Arial" w:hAnsi="Arial"/>
                  <w:sz w:val="18"/>
                  <w:szCs w:val="18"/>
                  <w:u w:val="single" w:color="auto"/>
                  <w:color w:val="0000FF"/>
                  <w:w w:val="92"/>
                </w:rPr>
                <w:t>Condensed Consolidated Statements of Cash Flows (unaudited) -</w:t>
              </w:r>
              <w:r>
                <w:rPr>
                  <w:rFonts w:ascii="Arial" w:cs="Arial" w:eastAsia="Arial" w:hAnsi="Arial"/>
                  <w:sz w:val="18"/>
                  <w:szCs w:val="18"/>
                  <w:color w:val="0000FF"/>
                  <w:w w:val="92"/>
                </w:rPr>
                <w:t xml:space="preserve"> Nine Months Ended </w:t>
              </w:r>
              <w:r>
                <w:rPr>
                  <w:rFonts w:ascii="Arial" w:cs="Arial" w:eastAsia="Arial" w:hAnsi="Arial"/>
                  <w:sz w:val="18"/>
                  <w:szCs w:val="18"/>
                  <w:u w:val="single" w:color="auto"/>
                  <w:color w:val="0000FF"/>
                  <w:w w:val="92"/>
                </w:rPr>
                <w:t>September 30, 2020 and 2019</w:t>
              </w:r>
            </w:hyperlink>
          </w:p>
        </w:tc>
        <w:tc>
          <w:tcPr>
            <w:tcW w:w="520" w:type="dxa"/>
            <w:vAlign w:val="bottom"/>
          </w:tcPr>
          <w:p>
            <w:pPr>
              <w:jc w:val="right"/>
              <w:spacing w:after="0" w:line="190" w:lineRule="exact"/>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8</w:t>
              </w:r>
            </w:hyperlink>
          </w:p>
        </w:tc>
      </w:tr>
      <w:tr>
        <w:trPr>
          <w:trHeight w:val="20"/>
        </w:trPr>
        <w:tc>
          <w:tcPr>
            <w:tcW w:w="1240" w:type="dxa"/>
            <w:vAlign w:val="bottom"/>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48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49"/>
        </w:trPr>
        <w:tc>
          <w:tcPr>
            <w:tcW w:w="1240" w:type="dxa"/>
            <w:vAlign w:val="bottom"/>
          </w:tcPr>
          <w:p>
            <w:pPr>
              <w:spacing w:after="0"/>
              <w:rPr>
                <w:sz w:val="21"/>
                <w:szCs w:val="21"/>
                <w:color w:val="auto"/>
              </w:rPr>
            </w:pPr>
          </w:p>
        </w:tc>
        <w:tc>
          <w:tcPr>
            <w:tcW w:w="9440" w:type="dxa"/>
            <w:vAlign w:val="bottom"/>
            <w:gridSpan w:val="13"/>
          </w:tcPr>
          <w:p>
            <w:pPr>
              <w:ind w:left="72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Condensed Consolidated Financial Statements (unaudited)</w:t>
              </w:r>
            </w:hyperlink>
          </w:p>
        </w:tc>
        <w:tc>
          <w:tcPr>
            <w:tcW w:w="52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9</w:t>
              </w:r>
            </w:hyperlink>
          </w:p>
        </w:tc>
      </w:tr>
      <w:tr>
        <w:trPr>
          <w:trHeight w:val="229"/>
        </w:trPr>
        <w:tc>
          <w:tcPr>
            <w:tcW w:w="1240" w:type="dxa"/>
            <w:vAlign w:val="bottom"/>
          </w:tcPr>
          <w:p>
            <w:pPr>
              <w:ind w:left="34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Item 2.</w:t>
              </w:r>
            </w:hyperlink>
          </w:p>
        </w:tc>
        <w:tc>
          <w:tcPr>
            <w:tcW w:w="9440" w:type="dxa"/>
            <w:vAlign w:val="bottom"/>
            <w:gridSpan w:val="13"/>
          </w:tcPr>
          <w:p>
            <w:pPr>
              <w:ind w:left="40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Management's Discussion and Analysis of Financial Condition and Results of Operations</w:t>
              </w:r>
            </w:hyperlink>
          </w:p>
        </w:tc>
        <w:tc>
          <w:tcPr>
            <w:tcW w:w="520" w:type="dxa"/>
            <w:vAlign w:val="bottom"/>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28</w:t>
              </w:r>
            </w:hyperlink>
          </w:p>
        </w:tc>
      </w:tr>
      <w:tr>
        <w:trPr>
          <w:trHeight w:val="230"/>
        </w:trPr>
        <w:tc>
          <w:tcPr>
            <w:tcW w:w="1240" w:type="dxa"/>
            <w:vAlign w:val="bottom"/>
          </w:tcPr>
          <w:p>
            <w:pPr>
              <w:ind w:left="34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Item 3.</w:t>
              </w:r>
            </w:hyperlink>
          </w:p>
        </w:tc>
        <w:tc>
          <w:tcPr>
            <w:tcW w:w="9440" w:type="dxa"/>
            <w:vAlign w:val="bottom"/>
            <w:gridSpan w:val="13"/>
          </w:tcPr>
          <w:p>
            <w:pPr>
              <w:ind w:left="40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Quantitative and Qualitative Disclosures About Market Risk</w:t>
              </w:r>
            </w:hyperlink>
          </w:p>
        </w:tc>
        <w:tc>
          <w:tcPr>
            <w:tcW w:w="52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51</w:t>
              </w:r>
            </w:hyperlink>
          </w:p>
        </w:tc>
      </w:tr>
      <w:tr>
        <w:trPr>
          <w:trHeight w:val="230"/>
        </w:trPr>
        <w:tc>
          <w:tcPr>
            <w:tcW w:w="1240" w:type="dxa"/>
            <w:vAlign w:val="bottom"/>
          </w:tcPr>
          <w:p>
            <w:pPr>
              <w:ind w:left="34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Item 4.</w:t>
              </w:r>
            </w:hyperlink>
          </w:p>
        </w:tc>
        <w:tc>
          <w:tcPr>
            <w:tcW w:w="9440" w:type="dxa"/>
            <w:vAlign w:val="bottom"/>
            <w:gridSpan w:val="13"/>
          </w:tcPr>
          <w:p>
            <w:pPr>
              <w:ind w:left="40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Controls and Procedures</w:t>
              </w:r>
            </w:hyperlink>
          </w:p>
        </w:tc>
        <w:tc>
          <w:tcPr>
            <w:tcW w:w="52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52</w:t>
              </w:r>
            </w:hyperlink>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7180" w:type="dxa"/>
            <w:vAlign w:val="bottom"/>
          </w:tcPr>
          <w:p>
            <w:pPr>
              <w:ind w:left="300"/>
              <w:spacing w:after="0"/>
              <w:rPr>
                <w:sz w:val="20"/>
                <w:szCs w:val="20"/>
                <w:color w:val="auto"/>
              </w:rPr>
            </w:pPr>
            <w:r>
              <w:rPr>
                <w:rFonts w:ascii="Arial" w:cs="Arial" w:eastAsia="Arial" w:hAnsi="Arial"/>
                <w:sz w:val="18"/>
                <w:szCs w:val="18"/>
                <w:b w:val="1"/>
                <w:bCs w:val="1"/>
                <w:color w:val="auto"/>
              </w:rPr>
              <w:t>Other Information</w:t>
            </w:r>
          </w:p>
        </w:tc>
        <w:tc>
          <w:tcPr>
            <w:tcW w:w="2720" w:type="dxa"/>
            <w:vAlign w:val="bottom"/>
          </w:tcPr>
          <w:p>
            <w:pPr>
              <w:spacing w:after="0"/>
              <w:rPr>
                <w:sz w:val="20"/>
                <w:szCs w:val="20"/>
                <w:color w:val="auto"/>
              </w:rPr>
            </w:pPr>
          </w:p>
        </w:tc>
      </w:tr>
      <w:tr>
        <w:trPr>
          <w:trHeight w:val="230"/>
        </w:trPr>
        <w:tc>
          <w:tcPr>
            <w:tcW w:w="1340" w:type="dxa"/>
            <w:vAlign w:val="bottom"/>
          </w:tcPr>
          <w:p>
            <w:pPr>
              <w:ind w:left="36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Item 1.</w:t>
              </w:r>
            </w:hyperlink>
          </w:p>
        </w:tc>
        <w:tc>
          <w:tcPr>
            <w:tcW w:w="7180" w:type="dxa"/>
            <w:vAlign w:val="bottom"/>
          </w:tcPr>
          <w:p>
            <w:pPr>
              <w:ind w:left="3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Legal Proceedings</w:t>
              </w:r>
            </w:hyperlink>
          </w:p>
        </w:tc>
        <w:tc>
          <w:tcPr>
            <w:tcW w:w="2720" w:type="dxa"/>
            <w:vAlign w:val="bottom"/>
          </w:tcPr>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53</w:t>
              </w:r>
            </w:hyperlink>
          </w:p>
        </w:tc>
      </w:tr>
      <w:tr>
        <w:trPr>
          <w:trHeight w:val="229"/>
        </w:trPr>
        <w:tc>
          <w:tcPr>
            <w:tcW w:w="1340" w:type="dxa"/>
            <w:vAlign w:val="bottom"/>
          </w:tcPr>
          <w:p>
            <w:pPr>
              <w:ind w:left="36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Item 1A.</w:t>
              </w:r>
            </w:hyperlink>
          </w:p>
        </w:tc>
        <w:tc>
          <w:tcPr>
            <w:tcW w:w="7180" w:type="dxa"/>
            <w:vAlign w:val="bottom"/>
          </w:tcPr>
          <w:p>
            <w:pPr>
              <w:ind w:left="3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Risk Factors</w:t>
              </w:r>
            </w:hyperlink>
          </w:p>
        </w:tc>
        <w:tc>
          <w:tcPr>
            <w:tcW w:w="2720" w:type="dxa"/>
            <w:vAlign w:val="bottom"/>
          </w:tcPr>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53</w:t>
              </w:r>
            </w:hyperlink>
          </w:p>
        </w:tc>
      </w:tr>
      <w:tr>
        <w:trPr>
          <w:trHeight w:val="229"/>
        </w:trPr>
        <w:tc>
          <w:tcPr>
            <w:tcW w:w="1340" w:type="dxa"/>
            <w:vAlign w:val="bottom"/>
          </w:tcPr>
          <w:p>
            <w:pPr>
              <w:ind w:left="36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2.</w:t>
              </w:r>
            </w:hyperlink>
          </w:p>
        </w:tc>
        <w:tc>
          <w:tcPr>
            <w:tcW w:w="7180" w:type="dxa"/>
            <w:vAlign w:val="bottom"/>
          </w:tcPr>
          <w:p>
            <w:pPr>
              <w:ind w:left="32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Unregistered Sales of Equity Securities and Use of Proceeds</w:t>
              </w:r>
            </w:hyperlink>
          </w:p>
        </w:tc>
        <w:tc>
          <w:tcPr>
            <w:tcW w:w="2720" w:type="dxa"/>
            <w:vAlign w:val="bottom"/>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55</w:t>
              </w:r>
            </w:hyperlink>
          </w:p>
        </w:tc>
      </w:tr>
      <w:tr>
        <w:trPr>
          <w:trHeight w:val="230"/>
        </w:trPr>
        <w:tc>
          <w:tcPr>
            <w:tcW w:w="1340" w:type="dxa"/>
            <w:vAlign w:val="bottom"/>
          </w:tcPr>
          <w:p>
            <w:pPr>
              <w:ind w:left="36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5.</w:t>
              </w:r>
            </w:hyperlink>
          </w:p>
        </w:tc>
        <w:tc>
          <w:tcPr>
            <w:tcW w:w="7180" w:type="dxa"/>
            <w:vAlign w:val="bottom"/>
          </w:tcPr>
          <w:p>
            <w:pPr>
              <w:ind w:left="32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Other Information</w:t>
              </w:r>
            </w:hyperlink>
          </w:p>
        </w:tc>
        <w:tc>
          <w:tcPr>
            <w:tcW w:w="2720" w:type="dxa"/>
            <w:vAlign w:val="bottom"/>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55</w:t>
              </w:r>
            </w:hyperlink>
          </w:p>
        </w:tc>
      </w:tr>
      <w:tr>
        <w:trPr>
          <w:trHeight w:val="229"/>
        </w:trPr>
        <w:tc>
          <w:tcPr>
            <w:tcW w:w="1340" w:type="dxa"/>
            <w:vAlign w:val="bottom"/>
          </w:tcPr>
          <w:p>
            <w:pPr>
              <w:ind w:left="36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6.</w:t>
              </w:r>
            </w:hyperlink>
          </w:p>
        </w:tc>
        <w:tc>
          <w:tcPr>
            <w:tcW w:w="7180" w:type="dxa"/>
            <w:vAlign w:val="bottom"/>
          </w:tcPr>
          <w:p>
            <w:pPr>
              <w:ind w:left="32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Exhibits</w:t>
              </w:r>
            </w:hyperlink>
          </w:p>
        </w:tc>
        <w:tc>
          <w:tcPr>
            <w:tcW w:w="2720" w:type="dxa"/>
            <w:vAlign w:val="bottom"/>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56</w:t>
              </w:r>
            </w:hyperlink>
          </w:p>
        </w:tc>
      </w:tr>
      <w:tr>
        <w:trPr>
          <w:trHeight w:val="230"/>
        </w:trPr>
        <w:tc>
          <w:tcPr>
            <w:tcW w:w="1340" w:type="dxa"/>
            <w:vAlign w:val="bottom"/>
          </w:tcPr>
          <w:p>
            <w:pPr>
              <w:ind w:left="36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Signature</w:t>
              </w:r>
            </w:hyperlink>
          </w:p>
        </w:tc>
        <w:tc>
          <w:tcPr>
            <w:tcW w:w="7180" w:type="dxa"/>
            <w:vAlign w:val="bottom"/>
          </w:tcPr>
          <w:p>
            <w:pPr>
              <w:spacing w:after="0"/>
              <w:rPr>
                <w:sz w:val="20"/>
                <w:szCs w:val="20"/>
                <w:color w:val="auto"/>
              </w:rPr>
            </w:pPr>
          </w:p>
        </w:tc>
        <w:tc>
          <w:tcPr>
            <w:tcW w:w="2720" w:type="dxa"/>
            <w:vAlign w:val="bottom"/>
          </w:tcPr>
          <w:p>
            <w:pPr>
              <w:jc w:val="right"/>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57</w:t>
              </w:r>
            </w:hyperlink>
          </w:p>
        </w:tc>
      </w:tr>
      <w:tr>
        <w:trPr>
          <w:trHeight w:val="1161"/>
        </w:trPr>
        <w:tc>
          <w:tcPr>
            <w:tcW w:w="1340" w:type="dxa"/>
            <w:vAlign w:val="bottom"/>
          </w:tcPr>
          <w:p>
            <w:pPr>
              <w:spacing w:after="0"/>
              <w:rPr>
                <w:sz w:val="24"/>
                <w:szCs w:val="24"/>
                <w:color w:val="auto"/>
              </w:rPr>
            </w:pPr>
          </w:p>
        </w:tc>
        <w:tc>
          <w:tcPr>
            <w:tcW w:w="7180" w:type="dxa"/>
            <w:vAlign w:val="bottom"/>
          </w:tcPr>
          <w:p>
            <w:pPr>
              <w:ind w:left="4240"/>
              <w:spacing w:after="0"/>
              <w:rPr>
                <w:sz w:val="20"/>
                <w:szCs w:val="20"/>
                <w:color w:val="auto"/>
              </w:rPr>
            </w:pPr>
            <w:r>
              <w:rPr>
                <w:rFonts w:ascii="Arial" w:cs="Arial" w:eastAsia="Arial" w:hAnsi="Arial"/>
                <w:sz w:val="18"/>
                <w:szCs w:val="18"/>
                <w:color w:val="auto"/>
              </w:rPr>
              <w:t>2</w:t>
            </w:r>
          </w:p>
        </w:tc>
        <w:tc>
          <w:tcPr>
            <w:tcW w:w="2720" w:type="dxa"/>
            <w:vAlign w:val="bottom"/>
          </w:tcPr>
          <w:p>
            <w:pPr>
              <w:spacing w:after="0"/>
              <w:rPr>
                <w:sz w:val="24"/>
                <w:szCs w:val="24"/>
                <w:color w:val="auto"/>
              </w:rPr>
            </w:pPr>
          </w:p>
        </w:tc>
      </w:tr>
      <w:tr>
        <w:trPr>
          <w:trHeight w:val="115"/>
        </w:trPr>
        <w:tc>
          <w:tcPr>
            <w:tcW w:w="1340" w:type="dxa"/>
            <w:vAlign w:val="bottom"/>
            <w:tcBorders>
              <w:bottom w:val="single" w:sz="8" w:color="9A9A9A"/>
            </w:tcBorders>
          </w:tcPr>
          <w:p>
            <w:pPr>
              <w:spacing w:after="0"/>
              <w:rPr>
                <w:sz w:val="10"/>
                <w:szCs w:val="10"/>
                <w:color w:val="auto"/>
              </w:rPr>
            </w:pPr>
          </w:p>
        </w:tc>
        <w:tc>
          <w:tcPr>
            <w:tcW w:w="718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240" w:type="dxa"/>
            <w:vAlign w:val="bottom"/>
          </w:tcPr>
          <w:p>
            <w:pPr>
              <w:jc w:val="right"/>
              <w:ind w:right="22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4"/>
        </w:trPr>
        <w:tc>
          <w:tcPr>
            <w:tcW w:w="8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center"/>
              <w:ind w:right="122"/>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260" w:type="dxa"/>
            <w:vAlign w:val="bottom"/>
          </w:tcPr>
          <w:p>
            <w:pPr>
              <w:ind w:left="34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3,554,895</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2,351,904</w:t>
            </w:r>
          </w:p>
        </w:tc>
        <w:tc>
          <w:tcPr>
            <w:tcW w:w="0" w:type="dxa"/>
            <w:vAlign w:val="bottom"/>
          </w:tcPr>
          <w:p>
            <w:pPr>
              <w:spacing w:after="0"/>
              <w:rPr>
                <w:sz w:val="1"/>
                <w:szCs w:val="1"/>
                <w:color w:val="auto"/>
              </w:rPr>
            </w:pPr>
          </w:p>
        </w:tc>
      </w:tr>
      <w:tr>
        <w:trPr>
          <w:trHeight w:val="204"/>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 of allowance for credit losses of $98,989 and $39,317</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178,826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346,429</w:t>
            </w:r>
          </w:p>
        </w:tc>
        <w:tc>
          <w:tcPr>
            <w:tcW w:w="0" w:type="dxa"/>
            <w:vAlign w:val="bottom"/>
          </w:tcPr>
          <w:p>
            <w:pPr>
              <w:spacing w:after="0"/>
              <w:rPr>
                <w:sz w:val="1"/>
                <w:szCs w:val="1"/>
                <w:color w:val="auto"/>
              </w:rPr>
            </w:pPr>
          </w:p>
        </w:tc>
      </w:tr>
      <w:tr>
        <w:trPr>
          <w:trHeight w:val="201"/>
        </w:trPr>
        <w:tc>
          <w:tcPr>
            <w:tcW w:w="8260" w:type="dxa"/>
            <w:vAlign w:val="bottom"/>
          </w:tcPr>
          <w:p>
            <w:pPr>
              <w:ind w:left="34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73,627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88,519</w:t>
            </w:r>
          </w:p>
        </w:tc>
        <w:tc>
          <w:tcPr>
            <w:tcW w:w="0" w:type="dxa"/>
            <w:vAlign w:val="bottom"/>
          </w:tcPr>
          <w:p>
            <w:pPr>
              <w:spacing w:after="0"/>
              <w:rPr>
                <w:sz w:val="1"/>
                <w:szCs w:val="1"/>
                <w:color w:val="auto"/>
              </w:rPr>
            </w:pPr>
          </w:p>
        </w:tc>
      </w:tr>
      <w:tr>
        <w:trPr>
          <w:trHeight w:val="204"/>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62,129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69,485</w:t>
            </w:r>
          </w:p>
        </w:tc>
        <w:tc>
          <w:tcPr>
            <w:tcW w:w="0" w:type="dxa"/>
            <w:vAlign w:val="bottom"/>
          </w:tcPr>
          <w:p>
            <w:pPr>
              <w:spacing w:after="0"/>
              <w:rPr>
                <w:sz w:val="1"/>
                <w:szCs w:val="1"/>
                <w:color w:val="auto"/>
              </w:rPr>
            </w:pPr>
          </w:p>
        </w:tc>
      </w:tr>
      <w:tr>
        <w:trPr>
          <w:trHeight w:val="196"/>
        </w:trPr>
        <w:tc>
          <w:tcPr>
            <w:tcW w:w="8260" w:type="dxa"/>
            <w:vAlign w:val="bottom"/>
          </w:tcPr>
          <w:p>
            <w:pPr>
              <w:ind w:left="660"/>
              <w:spacing w:after="0"/>
              <w:rPr>
                <w:sz w:val="20"/>
                <w:szCs w:val="20"/>
                <w:color w:val="auto"/>
              </w:rPr>
            </w:pPr>
            <w:r>
              <w:rPr>
                <w:rFonts w:ascii="Arial" w:cs="Arial" w:eastAsia="Arial" w:hAnsi="Arial"/>
                <w:sz w:val="16"/>
                <w:szCs w:val="16"/>
                <w:b w:val="1"/>
                <w:bCs w:val="1"/>
                <w:color w:val="auto"/>
              </w:rPr>
              <w:t>Total current assets</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3,869,477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2,856,337</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9,313,066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9,623,832</w:t>
            </w:r>
          </w:p>
        </w:tc>
        <w:tc>
          <w:tcPr>
            <w:tcW w:w="0" w:type="dxa"/>
            <w:vAlign w:val="bottom"/>
          </w:tcPr>
          <w:p>
            <w:pPr>
              <w:spacing w:after="0"/>
              <w:rPr>
                <w:sz w:val="1"/>
                <w:szCs w:val="1"/>
                <w:color w:val="auto"/>
              </w:rPr>
            </w:pPr>
          </w:p>
        </w:tc>
      </w:tr>
      <w:tr>
        <w:trPr>
          <w:trHeight w:val="201"/>
        </w:trPr>
        <w:tc>
          <w:tcPr>
            <w:tcW w:w="826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4,849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6,388</w:t>
            </w:r>
          </w:p>
        </w:tc>
        <w:tc>
          <w:tcPr>
            <w:tcW w:w="0" w:type="dxa"/>
            <w:vAlign w:val="bottom"/>
          </w:tcPr>
          <w:p>
            <w:pPr>
              <w:spacing w:after="0"/>
              <w:rPr>
                <w:sz w:val="1"/>
                <w:szCs w:val="1"/>
                <w:color w:val="auto"/>
              </w:rPr>
            </w:pPr>
          </w:p>
        </w:tc>
      </w:tr>
      <w:tr>
        <w:trPr>
          <w:trHeight w:val="20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138,742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146,414</w:t>
            </w:r>
          </w:p>
        </w:tc>
        <w:tc>
          <w:tcPr>
            <w:tcW w:w="0" w:type="dxa"/>
            <w:vAlign w:val="bottom"/>
          </w:tcPr>
          <w:p>
            <w:pPr>
              <w:spacing w:after="0"/>
              <w:rPr>
                <w:sz w:val="1"/>
                <w:szCs w:val="1"/>
                <w:color w:val="auto"/>
              </w:rPr>
            </w:pPr>
          </w:p>
        </w:tc>
      </w:tr>
      <w:tr>
        <w:trPr>
          <w:trHeight w:val="201"/>
        </w:trPr>
        <w:tc>
          <w:tcPr>
            <w:tcW w:w="826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406,402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452,919</w:t>
            </w:r>
          </w:p>
        </w:tc>
        <w:tc>
          <w:tcPr>
            <w:tcW w:w="0" w:type="dxa"/>
            <w:vAlign w:val="bottom"/>
          </w:tcPr>
          <w:p>
            <w:pPr>
              <w:spacing w:after="0"/>
              <w:rPr>
                <w:sz w:val="1"/>
                <w:szCs w:val="1"/>
                <w:color w:val="auto"/>
              </w:rPr>
            </w:pPr>
          </w:p>
        </w:tc>
      </w:tr>
      <w:tr>
        <w:trPr>
          <w:trHeight w:val="20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 net</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562,262</w:t>
            </w:r>
          </w:p>
        </w:tc>
        <w:tc>
          <w:tcPr>
            <w:tcW w:w="0" w:type="dxa"/>
            <w:vAlign w:val="bottom"/>
          </w:tcPr>
          <w:p>
            <w:pPr>
              <w:spacing w:after="0"/>
              <w:rPr>
                <w:sz w:val="1"/>
                <w:szCs w:val="1"/>
                <w:color w:val="auto"/>
              </w:rPr>
            </w:pPr>
          </w:p>
        </w:tc>
      </w:tr>
      <w:tr>
        <w:trPr>
          <w:trHeight w:val="201"/>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234,580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223,129</w:t>
            </w:r>
          </w:p>
        </w:tc>
        <w:tc>
          <w:tcPr>
            <w:tcW w:w="0" w:type="dxa"/>
            <w:vAlign w:val="bottom"/>
          </w:tcPr>
          <w:p>
            <w:pPr>
              <w:spacing w:after="0"/>
              <w:rPr>
                <w:sz w:val="1"/>
                <w:szCs w:val="1"/>
                <w:color w:val="auto"/>
              </w:rPr>
            </w:pPr>
          </w:p>
        </w:tc>
      </w:tr>
      <w:tr>
        <w:trPr>
          <w:trHeight w:val="222"/>
        </w:trPr>
        <w:tc>
          <w:tcPr>
            <w:tcW w:w="8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13,967,116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13,871,281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 (DEFICIT)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2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260" w:type="dxa"/>
            <w:vAlign w:val="bottom"/>
          </w:tcPr>
          <w:p>
            <w:pPr>
              <w:ind w:left="340"/>
              <w:spacing w:after="0"/>
              <w:rPr>
                <w:sz w:val="20"/>
                <w:szCs w:val="20"/>
                <w:color w:val="auto"/>
              </w:rPr>
            </w:pPr>
            <w:r>
              <w:rPr>
                <w:rFonts w:ascii="Arial" w:cs="Arial" w:eastAsia="Arial" w:hAnsi="Arial"/>
                <w:sz w:val="16"/>
                <w:szCs w:val="16"/>
                <w:color w:val="auto"/>
              </w:rPr>
              <w:t>Accounts and construction payables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146,427</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262,437</w:t>
            </w:r>
          </w:p>
        </w:tc>
        <w:tc>
          <w:tcPr>
            <w:tcW w:w="0" w:type="dxa"/>
            <w:vAlign w:val="bottom"/>
          </w:tcPr>
          <w:p>
            <w:pPr>
              <w:spacing w:after="0"/>
              <w:rPr>
                <w:sz w:val="1"/>
                <w:szCs w:val="1"/>
                <w:color w:val="auto"/>
              </w:rPr>
            </w:pPr>
          </w:p>
        </w:tc>
      </w:tr>
      <w:tr>
        <w:trPr>
          <w:trHeight w:val="204"/>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Customer deposits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886,073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824,269</w:t>
            </w:r>
          </w:p>
        </w:tc>
        <w:tc>
          <w:tcPr>
            <w:tcW w:w="0" w:type="dxa"/>
            <w:vAlign w:val="bottom"/>
          </w:tcPr>
          <w:p>
            <w:pPr>
              <w:spacing w:after="0"/>
              <w:rPr>
                <w:sz w:val="1"/>
                <w:szCs w:val="1"/>
                <w:color w:val="auto"/>
              </w:rPr>
            </w:pPr>
          </w:p>
        </w:tc>
      </w:tr>
      <w:tr>
        <w:trPr>
          <w:trHeight w:val="201"/>
        </w:trPr>
        <w:tc>
          <w:tcPr>
            <w:tcW w:w="8260" w:type="dxa"/>
            <w:vAlign w:val="bottom"/>
          </w:tcPr>
          <w:p>
            <w:pPr>
              <w:ind w:left="340"/>
              <w:spacing w:after="0"/>
              <w:rPr>
                <w:sz w:val="20"/>
                <w:szCs w:val="20"/>
                <w:color w:val="auto"/>
              </w:rPr>
            </w:pPr>
            <w:r>
              <w:rPr>
                <w:rFonts w:ascii="Arial" w:cs="Arial" w:eastAsia="Arial" w:hAnsi="Arial"/>
                <w:sz w:val="16"/>
                <w:szCs w:val="16"/>
                <w:color w:val="auto"/>
              </w:rPr>
              <w:t>Gaming taxes payable</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21,842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168,043</w:t>
            </w:r>
          </w:p>
        </w:tc>
        <w:tc>
          <w:tcPr>
            <w:tcW w:w="0" w:type="dxa"/>
            <w:vAlign w:val="bottom"/>
          </w:tcPr>
          <w:p>
            <w:pPr>
              <w:spacing w:after="0"/>
              <w:rPr>
                <w:sz w:val="1"/>
                <w:szCs w:val="1"/>
                <w:color w:val="auto"/>
              </w:rPr>
            </w:pPr>
          </w:p>
        </w:tc>
      </w:tr>
      <w:tr>
        <w:trPr>
          <w:trHeight w:val="204"/>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compensation and benefits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180,140</w:t>
            </w:r>
          </w:p>
        </w:tc>
        <w:tc>
          <w:tcPr>
            <w:tcW w:w="0" w:type="dxa"/>
            <w:vAlign w:val="bottom"/>
          </w:tcPr>
          <w:p>
            <w:pPr>
              <w:spacing w:after="0"/>
              <w:rPr>
                <w:sz w:val="1"/>
                <w:szCs w:val="1"/>
                <w:color w:val="auto"/>
              </w:rPr>
            </w:pPr>
          </w:p>
        </w:tc>
      </w:tr>
      <w:tr>
        <w:trPr>
          <w:trHeight w:val="201"/>
        </w:trPr>
        <w:tc>
          <w:tcPr>
            <w:tcW w:w="8260" w:type="dxa"/>
            <w:vAlign w:val="bottom"/>
          </w:tcPr>
          <w:p>
            <w:pPr>
              <w:ind w:left="340"/>
              <w:spacing w:after="0"/>
              <w:rPr>
                <w:sz w:val="20"/>
                <w:szCs w:val="20"/>
                <w:color w:val="auto"/>
              </w:rPr>
            </w:pPr>
            <w:r>
              <w:rPr>
                <w:rFonts w:ascii="Arial" w:cs="Arial" w:eastAsia="Arial" w:hAnsi="Arial"/>
                <w:sz w:val="16"/>
                <w:szCs w:val="16"/>
                <w:color w:val="auto"/>
              </w:rPr>
              <w:t>Accrued interest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144,025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73,136</w:t>
            </w:r>
          </w:p>
        </w:tc>
        <w:tc>
          <w:tcPr>
            <w:tcW w:w="0" w:type="dxa"/>
            <w:vAlign w:val="bottom"/>
          </w:tcPr>
          <w:p>
            <w:pPr>
              <w:spacing w:after="0"/>
              <w:rPr>
                <w:sz w:val="1"/>
                <w:szCs w:val="1"/>
                <w:color w:val="auto"/>
              </w:rPr>
            </w:pPr>
          </w:p>
        </w:tc>
      </w:tr>
      <w:tr>
        <w:trPr>
          <w:trHeight w:val="204"/>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long-term debt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226,618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323,876</w:t>
            </w:r>
          </w:p>
        </w:tc>
        <w:tc>
          <w:tcPr>
            <w:tcW w:w="0" w:type="dxa"/>
            <w:vAlign w:val="bottom"/>
          </w:tcPr>
          <w:p>
            <w:pPr>
              <w:spacing w:after="0"/>
              <w:rPr>
                <w:sz w:val="1"/>
                <w:szCs w:val="1"/>
                <w:color w:val="auto"/>
              </w:rPr>
            </w:pPr>
          </w:p>
        </w:tc>
      </w:tr>
      <w:tr>
        <w:trPr>
          <w:trHeight w:val="201"/>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accrued liabilities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151,476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150,983</w:t>
            </w:r>
          </w:p>
        </w:tc>
        <w:tc>
          <w:tcPr>
            <w:tcW w:w="0" w:type="dxa"/>
            <w:vAlign w:val="bottom"/>
          </w:tcPr>
          <w:p>
            <w:pPr>
              <w:spacing w:after="0"/>
              <w:rPr>
                <w:sz w:val="1"/>
                <w:szCs w:val="1"/>
                <w:color w:val="auto"/>
              </w:rPr>
            </w:pPr>
          </w:p>
        </w:tc>
      </w:tr>
      <w:tr>
        <w:trPr>
          <w:trHeight w:val="197"/>
        </w:trPr>
        <w:tc>
          <w:tcPr>
            <w:tcW w:w="8260" w:type="dxa"/>
            <w:vAlign w:val="bottom"/>
            <w:shd w:val="clear" w:color="auto" w:fill="CCEEFF"/>
          </w:tcPr>
          <w:p>
            <w:pPr>
              <w:ind w:left="660"/>
              <w:spacing w:after="0"/>
              <w:rPr>
                <w:sz w:val="20"/>
                <w:szCs w:val="20"/>
                <w:color w:val="auto"/>
              </w:rPr>
            </w:pPr>
            <w:r>
              <w:rPr>
                <w:rFonts w:ascii="Arial" w:cs="Arial" w:eastAsia="Arial" w:hAnsi="Arial"/>
                <w:sz w:val="16"/>
                <w:szCs w:val="16"/>
                <w:b w:val="1"/>
                <w:bCs w:val="1"/>
                <w:color w:val="auto"/>
              </w:rPr>
              <w:t>Total current liabilities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1,688,700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1,982,884</w:t>
            </w:r>
          </w:p>
        </w:tc>
        <w:tc>
          <w:tcPr>
            <w:tcW w:w="0" w:type="dxa"/>
            <w:vAlign w:val="bottom"/>
          </w:tcPr>
          <w:p>
            <w:pPr>
              <w:spacing w:after="0"/>
              <w:rPr>
                <w:sz w:val="1"/>
                <w:szCs w:val="1"/>
                <w:color w:val="auto"/>
              </w:rPr>
            </w:pPr>
          </w:p>
        </w:tc>
      </w:tr>
      <w:tr>
        <w:trPr>
          <w:trHeight w:val="201"/>
        </w:trPr>
        <w:tc>
          <w:tcPr>
            <w:tcW w:w="82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12,562,972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10,079,983</w:t>
            </w:r>
          </w:p>
        </w:tc>
        <w:tc>
          <w:tcPr>
            <w:tcW w:w="0" w:type="dxa"/>
            <w:vAlign w:val="bottom"/>
          </w:tcPr>
          <w:p>
            <w:pPr>
              <w:spacing w:after="0"/>
              <w:rPr>
                <w:sz w:val="1"/>
                <w:szCs w:val="1"/>
                <w:color w:val="auto"/>
              </w:rPr>
            </w:pPr>
          </w:p>
        </w:tc>
      </w:tr>
      <w:tr>
        <w:trPr>
          <w:trHeight w:val="20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125,846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159,182</w:t>
            </w:r>
          </w:p>
        </w:tc>
        <w:tc>
          <w:tcPr>
            <w:tcW w:w="0" w:type="dxa"/>
            <w:vAlign w:val="bottom"/>
          </w:tcPr>
          <w:p>
            <w:pPr>
              <w:spacing w:after="0"/>
              <w:rPr>
                <w:sz w:val="1"/>
                <w:szCs w:val="1"/>
                <w:color w:val="auto"/>
              </w:rPr>
            </w:pPr>
          </w:p>
        </w:tc>
      </w:tr>
      <w:tr>
        <w:trPr>
          <w:trHeight w:val="201"/>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136,229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107,760</w:t>
            </w:r>
          </w:p>
        </w:tc>
        <w:tc>
          <w:tcPr>
            <w:tcW w:w="0" w:type="dxa"/>
            <w:vAlign w:val="bottom"/>
          </w:tcPr>
          <w:p>
            <w:pPr>
              <w:spacing w:after="0"/>
              <w:rPr>
                <w:sz w:val="1"/>
                <w:szCs w:val="1"/>
                <w:color w:val="auto"/>
              </w:rPr>
            </w:pPr>
          </w:p>
        </w:tc>
      </w:tr>
      <w:tr>
        <w:trPr>
          <w:trHeight w:val="197"/>
        </w:trPr>
        <w:tc>
          <w:tcPr>
            <w:tcW w:w="8260" w:type="dxa"/>
            <w:vAlign w:val="bottom"/>
            <w:shd w:val="clear" w:color="auto" w:fill="CCEEFF"/>
          </w:tcPr>
          <w:p>
            <w:pPr>
              <w:ind w:left="66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14,513,747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12,329,809</w:t>
            </w:r>
          </w:p>
        </w:tc>
        <w:tc>
          <w:tcPr>
            <w:tcW w:w="0" w:type="dxa"/>
            <w:vAlign w:val="bottom"/>
          </w:tcPr>
          <w:p>
            <w:pPr>
              <w:spacing w:after="0"/>
              <w:rPr>
                <w:sz w:val="1"/>
                <w:szCs w:val="1"/>
                <w:color w:val="auto"/>
              </w:rPr>
            </w:pPr>
          </w:p>
        </w:tc>
      </w:tr>
      <w:tr>
        <w:trPr>
          <w:trHeight w:val="183"/>
        </w:trPr>
        <w:tc>
          <w:tcPr>
            <w:tcW w:w="82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Commitments and contingencies (Note 14)</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 (deficit):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260" w:type="dxa"/>
            <w:vAlign w:val="bottom"/>
          </w:tcPr>
          <w:p>
            <w:pPr>
              <w:ind w:left="360"/>
              <w:spacing w:after="0"/>
              <w:rPr>
                <w:sz w:val="20"/>
                <w:szCs w:val="20"/>
                <w:color w:val="auto"/>
              </w:rPr>
            </w:pPr>
            <w:r>
              <w:rPr>
                <w:rFonts w:ascii="Arial" w:cs="Arial" w:eastAsia="Arial" w:hAnsi="Arial"/>
                <w:sz w:val="16"/>
                <w:szCs w:val="16"/>
                <w:color w:val="auto"/>
              </w:rPr>
              <w:t>Preferred stock, par value $0.01; 40,000,000 shares authorized; zero shares issued and outstanding</w:t>
            </w:r>
          </w:p>
        </w:tc>
        <w:tc>
          <w:tcPr>
            <w:tcW w:w="20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0"/>
        </w:trPr>
        <w:tc>
          <w:tcPr>
            <w:tcW w:w="8260" w:type="dxa"/>
            <w:vAlign w:val="bottom"/>
            <w:shd w:val="clear" w:color="auto" w:fill="CCEEFF"/>
          </w:tcPr>
          <w:p>
            <w:pPr>
              <w:ind w:left="360"/>
              <w:spacing w:after="0" w:line="150" w:lineRule="exact"/>
              <w:rPr>
                <w:sz w:val="20"/>
                <w:szCs w:val="20"/>
                <w:color w:val="auto"/>
              </w:rPr>
            </w:pPr>
            <w:r>
              <w:rPr>
                <w:rFonts w:ascii="Arial" w:cs="Arial" w:eastAsia="Arial" w:hAnsi="Arial"/>
                <w:sz w:val="16"/>
                <w:szCs w:val="16"/>
                <w:color w:val="auto"/>
                <w:w w:val="89"/>
              </w:rPr>
              <w:t>Common stock, par value $0.01; 400,000,000 shares authorized; 123,443,352 and 122,837,930 shares issued; 107,872,298</w:t>
            </w:r>
          </w:p>
        </w:tc>
        <w:tc>
          <w:tcPr>
            <w:tcW w:w="2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1,234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and 107,363,943 shares outstanding, respectively</w:t>
            </w:r>
          </w:p>
        </w:tc>
        <w:tc>
          <w:tcPr>
            <w:tcW w:w="20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260" w:type="dxa"/>
            <w:vAlign w:val="bottom"/>
          </w:tcPr>
          <w:p>
            <w:pPr>
              <w:ind w:left="360"/>
              <w:spacing w:after="0"/>
              <w:rPr>
                <w:sz w:val="20"/>
                <w:szCs w:val="20"/>
                <w:color w:val="auto"/>
              </w:rPr>
            </w:pPr>
            <w:r>
              <w:rPr>
                <w:rFonts w:ascii="Arial" w:cs="Arial" w:eastAsia="Arial" w:hAnsi="Arial"/>
                <w:sz w:val="16"/>
                <w:szCs w:val="16"/>
                <w:color w:val="auto"/>
              </w:rPr>
              <w:t>Treasury stock, at cost; 15,571,054 and 15,473,987 shares, respectively</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(1,420,535)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(1,410,998)</w:t>
            </w:r>
          </w:p>
        </w:tc>
        <w:tc>
          <w:tcPr>
            <w:tcW w:w="0" w:type="dxa"/>
            <w:vAlign w:val="bottom"/>
          </w:tcPr>
          <w:p>
            <w:pPr>
              <w:spacing w:after="0"/>
              <w:rPr>
                <w:sz w:val="1"/>
                <w:szCs w:val="1"/>
                <w:color w:val="auto"/>
              </w:rPr>
            </w:pPr>
          </w:p>
        </w:tc>
      </w:tr>
      <w:tr>
        <w:trPr>
          <w:trHeight w:val="204"/>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2,554,443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2,512,676</w:t>
            </w:r>
          </w:p>
        </w:tc>
        <w:tc>
          <w:tcPr>
            <w:tcW w:w="0" w:type="dxa"/>
            <w:vAlign w:val="bottom"/>
          </w:tcPr>
          <w:p>
            <w:pPr>
              <w:spacing w:after="0"/>
              <w:rPr>
                <w:sz w:val="1"/>
                <w:szCs w:val="1"/>
                <w:color w:val="auto"/>
              </w:rPr>
            </w:pPr>
          </w:p>
        </w:tc>
      </w:tr>
      <w:tr>
        <w:trPr>
          <w:trHeight w:val="201"/>
        </w:trPr>
        <w:tc>
          <w:tcPr>
            <w:tcW w:w="8260" w:type="dxa"/>
            <w:vAlign w:val="bottom"/>
          </w:tcPr>
          <w:p>
            <w:pPr>
              <w:ind w:left="34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(898)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(1,679)</w:t>
            </w:r>
          </w:p>
        </w:tc>
        <w:tc>
          <w:tcPr>
            <w:tcW w:w="0" w:type="dxa"/>
            <w:vAlign w:val="bottom"/>
          </w:tcPr>
          <w:p>
            <w:pPr>
              <w:spacing w:after="0"/>
              <w:rPr>
                <w:sz w:val="1"/>
                <w:szCs w:val="1"/>
                <w:color w:val="auto"/>
              </w:rPr>
            </w:pPr>
          </w:p>
        </w:tc>
      </w:tr>
      <w:tr>
        <w:trPr>
          <w:trHeight w:val="204"/>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Retained earnings (accumulated deficit)</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(1,262,947)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641,818</w:t>
            </w:r>
          </w:p>
        </w:tc>
        <w:tc>
          <w:tcPr>
            <w:tcW w:w="0" w:type="dxa"/>
            <w:vAlign w:val="bottom"/>
          </w:tcPr>
          <w:p>
            <w:pPr>
              <w:spacing w:after="0"/>
              <w:rPr>
                <w:sz w:val="1"/>
                <w:szCs w:val="1"/>
                <w:color w:val="auto"/>
              </w:rPr>
            </w:pPr>
          </w:p>
        </w:tc>
      </w:tr>
      <w:tr>
        <w:trPr>
          <w:trHeight w:val="196"/>
        </w:trPr>
        <w:tc>
          <w:tcPr>
            <w:tcW w:w="8260" w:type="dxa"/>
            <w:vAlign w:val="bottom"/>
          </w:tcPr>
          <w:p>
            <w:pPr>
              <w:ind w:left="660"/>
              <w:spacing w:after="0"/>
              <w:rPr>
                <w:sz w:val="20"/>
                <w:szCs w:val="20"/>
                <w:color w:val="auto"/>
              </w:rPr>
            </w:pPr>
            <w:r>
              <w:rPr>
                <w:rFonts w:ascii="Arial" w:cs="Arial" w:eastAsia="Arial" w:hAnsi="Arial"/>
                <w:sz w:val="16"/>
                <w:szCs w:val="16"/>
                <w:b w:val="1"/>
                <w:bCs w:val="1"/>
                <w:color w:val="auto"/>
              </w:rPr>
              <w:t>Total Wynn Resorts, Limited stockholders' equity (deficit)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(128,703)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1,743,045</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Noncontrolling interests</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(417,928)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(201,573)</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ind w:left="660"/>
              <w:spacing w:after="0"/>
              <w:rPr>
                <w:sz w:val="20"/>
                <w:szCs w:val="20"/>
                <w:color w:val="auto"/>
              </w:rPr>
            </w:pPr>
            <w:r>
              <w:rPr>
                <w:rFonts w:ascii="Arial" w:cs="Arial" w:eastAsia="Arial" w:hAnsi="Arial"/>
                <w:sz w:val="16"/>
                <w:szCs w:val="16"/>
                <w:b w:val="1"/>
                <w:bCs w:val="1"/>
                <w:color w:val="auto"/>
              </w:rPr>
              <w:t>Total stockholders' equity (deficit)</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(546,631)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1,541,472</w:t>
            </w:r>
          </w:p>
        </w:tc>
        <w:tc>
          <w:tcPr>
            <w:tcW w:w="0" w:type="dxa"/>
            <w:vAlign w:val="bottom"/>
          </w:tcPr>
          <w:p>
            <w:pPr>
              <w:spacing w:after="0"/>
              <w:rPr>
                <w:sz w:val="1"/>
                <w:szCs w:val="1"/>
                <w:color w:val="auto"/>
              </w:rPr>
            </w:pPr>
          </w:p>
        </w:tc>
      </w:tr>
      <w:tr>
        <w:trPr>
          <w:trHeight w:val="221"/>
        </w:trPr>
        <w:tc>
          <w:tcPr>
            <w:tcW w:w="8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Total liabilities and stockholders' equity (deficit)</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13,967,116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13,871,281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540" w:type="dxa"/>
            <w:vAlign w:val="bottom"/>
            <w:gridSpan w:val="4"/>
          </w:tcPr>
          <w:p>
            <w:pPr>
              <w:jc w:val="right"/>
              <w:ind w:right="211"/>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87"/>
        </w:trPr>
        <w:tc>
          <w:tcPr>
            <w:tcW w:w="566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r>
      <w:tr>
        <w:trPr>
          <w:trHeight w:val="211"/>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5660" w:type="dxa"/>
            <w:vAlign w:val="bottom"/>
          </w:tcPr>
          <w:p>
            <w:pPr>
              <w:ind w:left="340"/>
              <w:spacing w:after="0"/>
              <w:rPr>
                <w:sz w:val="20"/>
                <w:szCs w:val="20"/>
                <w:color w:val="auto"/>
              </w:rPr>
            </w:pPr>
            <w:r>
              <w:rPr>
                <w:rFonts w:ascii="Arial" w:cs="Arial" w:eastAsia="Arial" w:hAnsi="Arial"/>
                <w:sz w:val="18"/>
                <w:szCs w:val="18"/>
                <w:color w:val="auto"/>
              </w:rPr>
              <w:t>Casino</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201,872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1,108,364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782,074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3,435,968</w:t>
            </w:r>
          </w:p>
        </w:tc>
      </w:tr>
      <w:tr>
        <w:trPr>
          <w:trHeight w:val="229"/>
        </w:trPr>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595,953</w:t>
            </w:r>
          </w:p>
        </w:tc>
      </w:tr>
      <w:tr>
        <w:trPr>
          <w:trHeight w:val="229"/>
        </w:trPr>
        <w:tc>
          <w:tcPr>
            <w:tcW w:w="566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76,586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228,508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250,007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619,749</w:t>
            </w:r>
          </w:p>
        </w:tc>
      </w:tr>
      <w:tr>
        <w:trPr>
          <w:trHeight w:val="230"/>
        </w:trPr>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 retail and other</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305,970</w:t>
            </w:r>
          </w:p>
        </w:tc>
      </w:tr>
      <w:tr>
        <w:trPr>
          <w:trHeight w:val="223"/>
        </w:trPr>
        <w:tc>
          <w:tcPr>
            <w:tcW w:w="5660" w:type="dxa"/>
            <w:vAlign w:val="bottom"/>
            <w:tcBorders>
              <w:bottom w:val="single" w:sz="8" w:color="CCEEFF"/>
            </w:tcBorders>
          </w:tcPr>
          <w:p>
            <w:pPr>
              <w:ind w:left="660"/>
              <w:spacing w:after="0"/>
              <w:rPr>
                <w:sz w:val="20"/>
                <w:szCs w:val="20"/>
                <w:color w:val="auto"/>
              </w:rPr>
            </w:pPr>
            <w:r>
              <w:rPr>
                <w:rFonts w:ascii="Arial" w:cs="Arial" w:eastAsia="Arial" w:hAnsi="Arial"/>
                <w:sz w:val="18"/>
                <w:szCs w:val="18"/>
                <w:b w:val="1"/>
                <w:bCs w:val="1"/>
                <w:color w:val="auto"/>
              </w:rPr>
              <w:t>Total operating revenues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370,452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1,647,762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1,409,866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4,957,640</w:t>
            </w:r>
          </w:p>
        </w:tc>
      </w:tr>
      <w:tr>
        <w:trPr>
          <w:trHeight w:val="21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5660" w:type="dxa"/>
            <w:vAlign w:val="bottom"/>
          </w:tcPr>
          <w:p>
            <w:pPr>
              <w:ind w:left="340"/>
              <w:spacing w:after="0"/>
              <w:rPr>
                <w:sz w:val="20"/>
                <w:szCs w:val="20"/>
                <w:color w:val="auto"/>
              </w:rPr>
            </w:pPr>
            <w:r>
              <w:rPr>
                <w:rFonts w:ascii="Arial" w:cs="Arial" w:eastAsia="Arial" w:hAnsi="Arial"/>
                <w:sz w:val="18"/>
                <w:szCs w:val="18"/>
                <w:color w:val="auto"/>
              </w:rPr>
              <w:t>Casino</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160,861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722,692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734,689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2,197,750</w:t>
            </w:r>
          </w:p>
        </w:tc>
      </w:tr>
      <w:tr>
        <w:trPr>
          <w:trHeight w:val="229"/>
        </w:trPr>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205,042</w:t>
            </w:r>
          </w:p>
        </w:tc>
      </w:tr>
      <w:tr>
        <w:trPr>
          <w:trHeight w:val="230"/>
        </w:trPr>
        <w:tc>
          <w:tcPr>
            <w:tcW w:w="566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76,536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196,661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314,335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527,502</w:t>
            </w:r>
          </w:p>
        </w:tc>
      </w:tr>
      <w:tr>
        <w:trPr>
          <w:trHeight w:val="229"/>
        </w:trPr>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 retail and other</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129,636</w:t>
            </w:r>
          </w:p>
        </w:tc>
      </w:tr>
      <w:tr>
        <w:trPr>
          <w:trHeight w:val="230"/>
        </w:trPr>
        <w:tc>
          <w:tcPr>
            <w:tcW w:w="56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160,896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246,442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547,305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665,988</w:t>
            </w:r>
          </w:p>
        </w:tc>
      </w:tr>
      <w:tr>
        <w:trPr>
          <w:trHeight w:val="229"/>
        </w:trPr>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credit losses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13,039</w:t>
            </w:r>
          </w:p>
        </w:tc>
      </w:tr>
      <w:tr>
        <w:trPr>
          <w:trHeight w:val="229"/>
        </w:trPr>
        <w:tc>
          <w:tcPr>
            <w:tcW w:w="5660" w:type="dxa"/>
            <w:vAlign w:val="bottom"/>
          </w:tcPr>
          <w:p>
            <w:pPr>
              <w:ind w:left="340"/>
              <w:spacing w:after="0"/>
              <w:rPr>
                <w:sz w:val="20"/>
                <w:szCs w:val="20"/>
                <w:color w:val="auto"/>
              </w:rPr>
            </w:pPr>
            <w:r>
              <w:rPr>
                <w:rFonts w:ascii="Arial" w:cs="Arial" w:eastAsia="Arial" w:hAnsi="Arial"/>
                <w:sz w:val="18"/>
                <w:szCs w:val="18"/>
                <w:color w:val="auto"/>
              </w:rPr>
              <w:t>Pre-opening</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99,212</w:t>
            </w:r>
          </w:p>
        </w:tc>
      </w:tr>
      <w:tr>
        <w:trPr>
          <w:trHeight w:val="230"/>
        </w:trPr>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449,824</w:t>
            </w:r>
          </w:p>
        </w:tc>
      </w:tr>
      <w:tr>
        <w:trPr>
          <w:trHeight w:val="229"/>
        </w:trPr>
        <w:tc>
          <w:tcPr>
            <w:tcW w:w="5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Property charges and other</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43,701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17,920</w:t>
            </w:r>
          </w:p>
        </w:tc>
      </w:tr>
      <w:tr>
        <w:trPr>
          <w:trHeight w:val="223"/>
        </w:trPr>
        <w:tc>
          <w:tcPr>
            <w:tcW w:w="566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653,459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1,469,927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2,463,300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4,305,913</w:t>
            </w:r>
          </w:p>
        </w:tc>
      </w:tr>
      <w:tr>
        <w:trPr>
          <w:trHeight w:val="22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(283,007)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177,835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(1,053,434)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651,727</w:t>
            </w:r>
          </w:p>
        </w:tc>
      </w:tr>
      <w:tr>
        <w:trPr>
          <w:trHeight w:val="21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56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19,979</w:t>
            </w:r>
          </w:p>
        </w:tc>
      </w:tr>
      <w:tr>
        <w:trPr>
          <w:trHeight w:val="230"/>
        </w:trPr>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 of amounts capitalized</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(300,981)</w:t>
            </w:r>
          </w:p>
        </w:tc>
      </w:tr>
      <w:tr>
        <w:trPr>
          <w:trHeight w:val="229"/>
        </w:trPr>
        <w:tc>
          <w:tcPr>
            <w:tcW w:w="5660" w:type="dxa"/>
            <w:vAlign w:val="bottom"/>
          </w:tcPr>
          <w:p>
            <w:pPr>
              <w:ind w:left="340"/>
              <w:spacing w:after="0"/>
              <w:rPr>
                <w:sz w:val="20"/>
                <w:szCs w:val="20"/>
                <w:color w:val="auto"/>
              </w:rPr>
            </w:pPr>
            <w:r>
              <w:rPr>
                <w:rFonts w:ascii="Arial" w:cs="Arial" w:eastAsia="Arial" w:hAnsi="Arial"/>
                <w:sz w:val="18"/>
                <w:szCs w:val="18"/>
                <w:color w:val="auto"/>
              </w:rPr>
              <w:t>Change in derivatives fair value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(6,914)</w:t>
            </w:r>
          </w:p>
        </w:tc>
      </w:tr>
      <w:tr>
        <w:trPr>
          <w:trHeight w:val="230"/>
        </w:trPr>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(12,196)</w:t>
            </w:r>
          </w:p>
        </w:tc>
      </w:tr>
      <w:tr>
        <w:trPr>
          <w:trHeight w:val="230"/>
        </w:trPr>
        <w:tc>
          <w:tcPr>
            <w:tcW w:w="5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w:t>
            </w:r>
          </w:p>
        </w:tc>
      </w:tr>
      <w:tr>
        <w:trPr>
          <w:trHeight w:val="223"/>
        </w:trPr>
        <w:tc>
          <w:tcPr>
            <w:tcW w:w="566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Other income (expense), net</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(141,161)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(131,225)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(399,118)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(303,458)</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(424,168)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46,610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(1,452,552)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348,269</w:t>
            </w:r>
          </w:p>
        </w:tc>
      </w:tr>
      <w:tr>
        <w:trPr>
          <w:trHeight w:val="230"/>
        </w:trPr>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(407,365)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(564,103)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(19,421)</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(831,533)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26,883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(2,016,655)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328,848</w:t>
            </w:r>
          </w:p>
        </w:tc>
      </w:tr>
      <w:tr>
        <w:trPr>
          <w:trHeight w:val="230"/>
        </w:trPr>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net (income) loss attributable to 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73,391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(132,921)</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(758,142)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(3,496)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(1,797,743)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195,927</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5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Basic and diluted net income (loss) per common share:</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9"/>
        </w:trPr>
        <w:tc>
          <w:tcPr>
            <w:tcW w:w="5660" w:type="dxa"/>
            <w:vAlign w:val="bottom"/>
          </w:tcPr>
          <w:p>
            <w:pPr>
              <w:ind w:left="340"/>
              <w:spacing w:after="0"/>
              <w:rPr>
                <w:sz w:val="20"/>
                <w:szCs w:val="20"/>
                <w:color w:val="auto"/>
              </w:rPr>
            </w:pPr>
            <w:r>
              <w:rPr>
                <w:rFonts w:ascii="Arial" w:cs="Arial" w:eastAsia="Arial" w:hAnsi="Arial"/>
                <w:sz w:val="18"/>
                <w:szCs w:val="18"/>
                <w:color w:val="auto"/>
              </w:rPr>
              <w:t>Net income (loss) attributable to Wynn Resorts, Limited:</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5660" w:type="dxa"/>
            <w:vAlign w:val="bottom"/>
          </w:tcPr>
          <w:p>
            <w:pPr>
              <w:ind w:left="66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660" w:type="dxa"/>
            <w:vAlign w:val="bottom"/>
          </w:tcPr>
          <w:p>
            <w:pPr>
              <w:ind w:left="66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106,783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106,707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106,720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106,791</w:t>
            </w:r>
          </w:p>
        </w:tc>
      </w:tr>
      <w:tr>
        <w:trPr>
          <w:trHeight w:val="230"/>
        </w:trPr>
        <w:tc>
          <w:tcPr>
            <w:tcW w:w="5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107,024</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Dividends declared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2.75</w:t>
            </w:r>
          </w:p>
        </w:tc>
      </w:tr>
    </w:tbl>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87"/>
        </w:trPr>
        <w:tc>
          <w:tcPr>
            <w:tcW w:w="52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(831,533)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(2,016,655)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328,848</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Foreign currency translation adjustments, before and after tax</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(831,519)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25,894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(2,015,573)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327,809</w:t>
            </w: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5"/>
              </w:rPr>
              <w:t>Less: comprehensive (income) loss attributable to noncontrolling</w:t>
            </w:r>
          </w:p>
        </w:tc>
        <w:tc>
          <w:tcPr>
            <w:tcW w:w="2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73,387</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(30,104)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218,611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(132,632)</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24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Comprehensive income (loss) attributable to Wynn Resorts,</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(758,132)</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(4,210)</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(1,796,962)</w:t>
            </w:r>
          </w:p>
        </w:tc>
        <w:tc>
          <w:tcPr>
            <w:tcW w:w="100" w:type="dxa"/>
            <w:vAlign w:val="bottom"/>
          </w:tcPr>
          <w:p>
            <w:pPr>
              <w:spacing w:after="0"/>
              <w:rPr>
                <w:sz w:val="13"/>
                <w:szCs w:val="13"/>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195,177</w:t>
            </w:r>
          </w:p>
        </w:tc>
        <w:tc>
          <w:tcPr>
            <w:tcW w:w="0" w:type="dxa"/>
            <w:vAlign w:val="bottom"/>
          </w:tcPr>
          <w:p>
            <w:pPr>
              <w:spacing w:after="0"/>
              <w:rPr>
                <w:sz w:val="1"/>
                <w:szCs w:val="1"/>
                <w:color w:val="auto"/>
              </w:rPr>
            </w:pPr>
          </w:p>
        </w:tc>
      </w:tr>
      <w:tr>
        <w:trPr>
          <w:trHeight w:val="208"/>
        </w:trPr>
        <w:tc>
          <w:tcPr>
            <w:tcW w:w="52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Limited</w:t>
            </w:r>
          </w:p>
        </w:tc>
        <w:tc>
          <w:tcPr>
            <w:tcW w:w="24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10"/>
          </w:tcPr>
          <w:p>
            <w:pPr>
              <w:jc w:val="center"/>
              <w:ind w:left="357"/>
              <w:spacing w:after="0"/>
              <w:rPr>
                <w:sz w:val="20"/>
                <w:szCs w:val="20"/>
                <w:color w:val="auto"/>
              </w:rPr>
            </w:pPr>
            <w:r>
              <w:rPr>
                <w:rFonts w:ascii="Arial" w:cs="Arial" w:eastAsia="Arial" w:hAnsi="Arial"/>
                <w:sz w:val="13"/>
                <w:szCs w:val="13"/>
                <w:b w:val="1"/>
                <w:bCs w:val="1"/>
                <w:color w:val="auto"/>
                <w:w w:val="88"/>
              </w:rPr>
              <w:t>For the Three Months Ended September 30, 2020</w:t>
            </w: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140" w:type="dxa"/>
            <w:vAlign w:val="bottom"/>
          </w:tcPr>
          <w:p>
            <w:pPr>
              <w:spacing w:after="0"/>
              <w:rPr>
                <w:sz w:val="14"/>
                <w:szCs w:val="14"/>
                <w:color w:val="auto"/>
              </w:rPr>
            </w:pPr>
          </w:p>
        </w:tc>
        <w:tc>
          <w:tcPr>
            <w:tcW w:w="1700" w:type="dxa"/>
            <w:vAlign w:val="bottom"/>
            <w:gridSpan w:val="5"/>
          </w:tcPr>
          <w:p>
            <w:pPr>
              <w:ind w:left="40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14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w w:val="95"/>
              </w:rPr>
              <w:t>Accumulated</w:t>
            </w:r>
          </w:p>
        </w:tc>
        <w:tc>
          <w:tcPr>
            <w:tcW w:w="100" w:type="dxa"/>
            <w:vAlign w:val="bottom"/>
          </w:tcPr>
          <w:p>
            <w:pPr>
              <w:spacing w:after="0"/>
              <w:rPr>
                <w:sz w:val="9"/>
                <w:szCs w:val="9"/>
                <w:color w:val="auto"/>
              </w:rPr>
            </w:pPr>
          </w:p>
        </w:tc>
        <w:tc>
          <w:tcPr>
            <w:tcW w:w="940" w:type="dxa"/>
            <w:vAlign w:val="bottom"/>
            <w:gridSpan w:val="3"/>
            <w:vMerge w:val="restart"/>
          </w:tcPr>
          <w:p>
            <w:pPr>
              <w:jc w:val="center"/>
              <w:ind w:right="220"/>
              <w:spacing w:after="0"/>
              <w:rPr>
                <w:sz w:val="20"/>
                <w:szCs w:val="20"/>
                <w:color w:val="auto"/>
              </w:rPr>
            </w:pPr>
            <w:r>
              <w:rPr>
                <w:rFonts w:ascii="Arial" w:cs="Arial" w:eastAsia="Arial" w:hAnsi="Arial"/>
                <w:sz w:val="12"/>
                <w:szCs w:val="12"/>
                <w:b w:val="1"/>
                <w:bCs w:val="1"/>
                <w:color w:val="auto"/>
                <w:w w:val="86"/>
              </w:rPr>
              <w:t>Retained</w:t>
            </w:r>
          </w:p>
        </w:tc>
        <w:tc>
          <w:tcPr>
            <w:tcW w:w="100" w:type="dxa"/>
            <w:vAlign w:val="bottom"/>
          </w:tcPr>
          <w:p>
            <w:pPr>
              <w:spacing w:after="0"/>
              <w:rPr>
                <w:sz w:val="9"/>
                <w:szCs w:val="9"/>
                <w:color w:val="auto"/>
              </w:rPr>
            </w:pPr>
          </w:p>
        </w:tc>
        <w:tc>
          <w:tcPr>
            <w:tcW w:w="1080" w:type="dxa"/>
            <w:vAlign w:val="bottom"/>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w w:val="95"/>
              </w:rPr>
              <w:t>Total Wynn</w:t>
            </w: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4"/>
                <w:szCs w:val="4"/>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6"/>
              </w:rPr>
              <w:t>other</w:t>
            </w:r>
          </w:p>
        </w:tc>
        <w:tc>
          <w:tcPr>
            <w:tcW w:w="100" w:type="dxa"/>
            <w:vAlign w:val="bottom"/>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8"/>
              </w:rPr>
              <w:t>Resorts, Ltd.</w:t>
            </w: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08"/>
        </w:trPr>
        <w:tc>
          <w:tcPr>
            <w:tcW w:w="2140" w:type="dxa"/>
            <w:vAlign w:val="bottom"/>
          </w:tcPr>
          <w:p>
            <w:pPr>
              <w:spacing w:after="0"/>
              <w:rPr>
                <w:sz w:val="9"/>
                <w:szCs w:val="9"/>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9"/>
                <w:szCs w:val="9"/>
                <w:color w:val="auto"/>
              </w:rPr>
            </w:pPr>
          </w:p>
        </w:tc>
        <w:tc>
          <w:tcPr>
            <w:tcW w:w="6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5"/>
              </w:rPr>
              <w:t>Par</w:t>
            </w:r>
          </w:p>
        </w:tc>
        <w:tc>
          <w:tcPr>
            <w:tcW w:w="140" w:type="dxa"/>
            <w:vAlign w:val="bottom"/>
          </w:tcPr>
          <w:p>
            <w:pPr>
              <w:spacing w:after="0"/>
              <w:rPr>
                <w:sz w:val="9"/>
                <w:szCs w:val="9"/>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7"/>
              </w:rPr>
              <w:t>Treasury</w:t>
            </w: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3"/>
          </w:tcPr>
          <w:p>
            <w:pPr>
              <w:jc w:val="center"/>
              <w:ind w:right="200"/>
              <w:spacing w:after="0" w:line="108" w:lineRule="exact"/>
              <w:rPr>
                <w:sz w:val="20"/>
                <w:szCs w:val="20"/>
                <w:color w:val="auto"/>
              </w:rPr>
            </w:pPr>
            <w:r>
              <w:rPr>
                <w:rFonts w:ascii="Arial" w:cs="Arial" w:eastAsia="Arial" w:hAnsi="Arial"/>
                <w:sz w:val="12"/>
                <w:szCs w:val="12"/>
                <w:b w:val="1"/>
                <w:bCs w:val="1"/>
                <w:color w:val="auto"/>
                <w:w w:val="83"/>
              </w:rPr>
              <w:t>earnings</w:t>
            </w:r>
          </w:p>
        </w:tc>
        <w:tc>
          <w:tcPr>
            <w:tcW w:w="1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8"/>
              </w:rPr>
              <w:t>Noncontrolling</w:t>
            </w:r>
          </w:p>
        </w:tc>
        <w:tc>
          <w:tcPr>
            <w:tcW w:w="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9"/>
                <w:szCs w:val="9"/>
                <w:color w:val="auto"/>
              </w:rPr>
            </w:pPr>
          </w:p>
        </w:tc>
        <w:tc>
          <w:tcPr>
            <w:tcW w:w="1060" w:type="dxa"/>
            <w:vAlign w:val="bottom"/>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w w:val="90"/>
              </w:rPr>
              <w:t>comprehensive</w:t>
            </w:r>
          </w:p>
        </w:tc>
        <w:tc>
          <w:tcPr>
            <w:tcW w:w="100" w:type="dxa"/>
            <w:vAlign w:val="bottom"/>
          </w:tcPr>
          <w:p>
            <w:pPr>
              <w:spacing w:after="0"/>
              <w:rPr>
                <w:sz w:val="9"/>
                <w:szCs w:val="9"/>
                <w:color w:val="auto"/>
              </w:rPr>
            </w:pPr>
          </w:p>
        </w:tc>
        <w:tc>
          <w:tcPr>
            <w:tcW w:w="940" w:type="dxa"/>
            <w:vAlign w:val="bottom"/>
            <w:gridSpan w:val="3"/>
          </w:tcPr>
          <w:p>
            <w:pPr>
              <w:jc w:val="center"/>
              <w:ind w:right="220"/>
              <w:spacing w:after="0" w:line="108" w:lineRule="exact"/>
              <w:rPr>
                <w:sz w:val="20"/>
                <w:szCs w:val="20"/>
                <w:color w:val="auto"/>
              </w:rPr>
            </w:pPr>
            <w:r>
              <w:rPr>
                <w:rFonts w:ascii="Arial" w:cs="Arial" w:eastAsia="Arial" w:hAnsi="Arial"/>
                <w:sz w:val="12"/>
                <w:szCs w:val="12"/>
                <w:b w:val="1"/>
                <w:bCs w:val="1"/>
                <w:color w:val="auto"/>
                <w:w w:val="87"/>
              </w:rPr>
              <w:t>(accumulated</w:t>
            </w:r>
          </w:p>
        </w:tc>
        <w:tc>
          <w:tcPr>
            <w:tcW w:w="100" w:type="dxa"/>
            <w:vAlign w:val="bottom"/>
          </w:tcPr>
          <w:p>
            <w:pPr>
              <w:spacing w:after="0"/>
              <w:rPr>
                <w:sz w:val="9"/>
                <w:szCs w:val="9"/>
                <w:color w:val="auto"/>
              </w:rPr>
            </w:pPr>
          </w:p>
        </w:tc>
        <w:tc>
          <w:tcPr>
            <w:tcW w:w="1080" w:type="dxa"/>
            <w:vAlign w:val="bottom"/>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w w:val="90"/>
              </w:rPr>
              <w:t>stockholders'</w:t>
            </w:r>
          </w:p>
        </w:tc>
        <w:tc>
          <w:tcPr>
            <w:tcW w:w="1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jc w:val="center"/>
              <w:ind w:right="17"/>
              <w:spacing w:after="0" w:line="108" w:lineRule="exact"/>
              <w:rPr>
                <w:sz w:val="20"/>
                <w:szCs w:val="20"/>
                <w:color w:val="auto"/>
              </w:rPr>
            </w:pPr>
            <w:r>
              <w:rPr>
                <w:rFonts w:ascii="Arial" w:cs="Arial" w:eastAsia="Arial" w:hAnsi="Arial"/>
                <w:sz w:val="12"/>
                <w:szCs w:val="12"/>
                <w:b w:val="1"/>
                <w:bCs w:val="1"/>
                <w:color w:val="auto"/>
                <w:w w:val="90"/>
              </w:rPr>
              <w:t>stockholders'</w:t>
            </w: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outstanding</w:t>
            </w:r>
          </w:p>
        </w:tc>
        <w:tc>
          <w:tcPr>
            <w:tcW w:w="120" w:type="dxa"/>
            <w:vAlign w:val="bottom"/>
          </w:tcPr>
          <w:p>
            <w:pPr>
              <w:spacing w:after="0"/>
              <w:rPr>
                <w:sz w:val="12"/>
                <w:szCs w:val="12"/>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value</w:t>
            </w:r>
          </w:p>
        </w:tc>
        <w:tc>
          <w:tcPr>
            <w:tcW w:w="140" w:type="dxa"/>
            <w:vAlign w:val="bottom"/>
          </w:tcPr>
          <w:p>
            <w:pPr>
              <w:spacing w:after="0"/>
              <w:rPr>
                <w:sz w:val="12"/>
                <w:szCs w:val="12"/>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stock</w:t>
            </w:r>
          </w:p>
        </w:tc>
        <w:tc>
          <w:tcPr>
            <w:tcW w:w="10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capital</w:t>
            </w:r>
          </w:p>
        </w:tc>
        <w:tc>
          <w:tcPr>
            <w:tcW w:w="10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6"/>
              </w:rPr>
              <w:t>loss</w:t>
            </w:r>
          </w:p>
        </w:tc>
        <w:tc>
          <w:tcPr>
            <w:tcW w:w="100" w:type="dxa"/>
            <w:vAlign w:val="bottom"/>
          </w:tcPr>
          <w:p>
            <w:pPr>
              <w:spacing w:after="0"/>
              <w:rPr>
                <w:sz w:val="12"/>
                <w:szCs w:val="12"/>
                <w:color w:val="auto"/>
              </w:rPr>
            </w:pPr>
          </w:p>
        </w:tc>
        <w:tc>
          <w:tcPr>
            <w:tcW w:w="94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86"/>
              </w:rPr>
              <w:t>deficit)</w:t>
            </w:r>
          </w:p>
        </w:tc>
        <w:tc>
          <w:tcPr>
            <w:tcW w:w="10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equity (deficit)</w:t>
            </w:r>
          </w:p>
        </w:tc>
        <w:tc>
          <w:tcPr>
            <w:tcW w:w="10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interests</w:t>
            </w:r>
          </w:p>
        </w:tc>
        <w:tc>
          <w:tcPr>
            <w:tcW w:w="80" w:type="dxa"/>
            <w:vAlign w:val="bottom"/>
          </w:tcPr>
          <w:p>
            <w:pPr>
              <w:spacing w:after="0"/>
              <w:rPr>
                <w:sz w:val="12"/>
                <w:szCs w:val="12"/>
                <w:color w:val="auto"/>
              </w:rPr>
            </w:pPr>
          </w:p>
        </w:tc>
        <w:tc>
          <w:tcPr>
            <w:tcW w:w="860" w:type="dxa"/>
            <w:vAlign w:val="bottom"/>
          </w:tcPr>
          <w:p>
            <w:pPr>
              <w:jc w:val="center"/>
              <w:ind w:right="17"/>
              <w:spacing w:after="0"/>
              <w:rPr>
                <w:sz w:val="20"/>
                <w:szCs w:val="20"/>
                <w:color w:val="auto"/>
              </w:rPr>
            </w:pPr>
            <w:r>
              <w:rPr>
                <w:rFonts w:ascii="Arial" w:cs="Arial" w:eastAsia="Arial" w:hAnsi="Arial"/>
                <w:sz w:val="13"/>
                <w:szCs w:val="13"/>
                <w:b w:val="1"/>
                <w:bCs w:val="1"/>
                <w:color w:val="auto"/>
                <w:w w:val="87"/>
              </w:rPr>
              <w:t>equity (deficit)</w:t>
            </w:r>
          </w:p>
        </w:tc>
        <w:tc>
          <w:tcPr>
            <w:tcW w:w="0" w:type="dxa"/>
            <w:vAlign w:val="bottom"/>
          </w:tcPr>
          <w:p>
            <w:pPr>
              <w:spacing w:after="0"/>
              <w:rPr>
                <w:sz w:val="1"/>
                <w:szCs w:val="1"/>
                <w:color w:val="auto"/>
              </w:rPr>
            </w:pPr>
          </w:p>
        </w:tc>
      </w:tr>
      <w:tr>
        <w:trPr>
          <w:trHeight w:val="169"/>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July 1, 2020</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107,869,865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1,234</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(1,419,435)</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2,543,718</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(908)</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(505,090)</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619,519</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(345,321)</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274,198</w:t>
            </w:r>
          </w:p>
        </w:tc>
        <w:tc>
          <w:tcPr>
            <w:tcW w:w="0" w:type="dxa"/>
            <w:vAlign w:val="bottom"/>
          </w:tcPr>
          <w:p>
            <w:pPr>
              <w:spacing w:after="0"/>
              <w:rPr>
                <w:sz w:val="1"/>
                <w:szCs w:val="1"/>
                <w:color w:val="auto"/>
              </w:rPr>
            </w:pPr>
          </w:p>
        </w:tc>
      </w:tr>
      <w:tr>
        <w:trPr>
          <w:trHeight w:val="168"/>
        </w:trPr>
        <w:tc>
          <w:tcPr>
            <w:tcW w:w="2140" w:type="dxa"/>
            <w:vAlign w:val="bottom"/>
          </w:tcPr>
          <w:p>
            <w:pPr>
              <w:ind w:left="20"/>
              <w:spacing w:after="0"/>
              <w:rPr>
                <w:sz w:val="20"/>
                <w:szCs w:val="20"/>
                <w:color w:val="auto"/>
              </w:rPr>
            </w:pPr>
            <w:r>
              <w:rPr>
                <w:rFonts w:ascii="Arial" w:cs="Arial" w:eastAsia="Arial" w:hAnsi="Arial"/>
                <w:sz w:val="13"/>
                <w:szCs w:val="13"/>
                <w:color w:val="auto"/>
              </w:rPr>
              <w:t>Net loss</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center"/>
              <w:ind w:left="558"/>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(758,142)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(758,142)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(73,391)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(831,533)</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Currency translation adjustment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ind w:left="658"/>
              <w:spacing w:after="0"/>
              <w:rPr>
                <w:sz w:val="20"/>
                <w:szCs w:val="20"/>
                <w:color w:val="auto"/>
              </w:rPr>
            </w:pPr>
            <w:r>
              <w:rPr>
                <w:rFonts w:ascii="Arial" w:cs="Arial" w:eastAsia="Arial" w:hAnsi="Arial"/>
                <w:sz w:val="13"/>
                <w:szCs w:val="13"/>
                <w:color w:val="auto"/>
                <w:w w:val="82"/>
              </w:rPr>
              <w:t>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8"/>
        </w:trPr>
        <w:tc>
          <w:tcPr>
            <w:tcW w:w="2140" w:type="dxa"/>
            <w:vAlign w:val="bottom"/>
          </w:tcPr>
          <w:p>
            <w:pPr>
              <w:ind w:left="20"/>
              <w:spacing w:after="0"/>
              <w:rPr>
                <w:sz w:val="20"/>
                <w:szCs w:val="20"/>
                <w:color w:val="auto"/>
              </w:rPr>
            </w:pPr>
            <w:r>
              <w:rPr>
                <w:rFonts w:ascii="Arial" w:cs="Arial" w:eastAsia="Arial" w:hAnsi="Arial"/>
                <w:sz w:val="13"/>
                <w:szCs w:val="13"/>
                <w:color w:val="auto"/>
              </w:rPr>
              <w:t>Issuance of restricted stock</w:t>
            </w:r>
          </w:p>
        </w:tc>
        <w:tc>
          <w:tcPr>
            <w:tcW w:w="880" w:type="dxa"/>
            <w:vAlign w:val="bottom"/>
          </w:tcPr>
          <w:p>
            <w:pPr>
              <w:jc w:val="right"/>
              <w:spacing w:after="0"/>
              <w:rPr>
                <w:sz w:val="20"/>
                <w:szCs w:val="20"/>
                <w:color w:val="auto"/>
              </w:rPr>
            </w:pPr>
            <w:r>
              <w:rPr>
                <w:rFonts w:ascii="Arial" w:cs="Arial" w:eastAsia="Arial" w:hAnsi="Arial"/>
                <w:sz w:val="13"/>
                <w:szCs w:val="13"/>
                <w:color w:val="auto"/>
              </w:rPr>
              <w:t>182,087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left="558"/>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Cancellation of restricted stock</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(164,633)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center"/>
              <w:ind w:left="558"/>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2" w:lineRule="exact"/>
              <w:rPr>
                <w:sz w:val="20"/>
                <w:szCs w:val="20"/>
                <w:color w:val="auto"/>
              </w:rPr>
            </w:pPr>
            <w:r>
              <w:rPr>
                <w:rFonts w:ascii="Arial" w:cs="Arial" w:eastAsia="Arial" w:hAnsi="Arial"/>
                <w:sz w:val="13"/>
                <w:szCs w:val="13"/>
                <w:color w:val="auto"/>
                <w:w w:val="87"/>
              </w:rPr>
              <w:t>Shares repurchased by the Company and</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(15,021)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(1,100)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60" w:type="dxa"/>
            <w:vAlign w:val="bottom"/>
            <w:gridSpan w:val="2"/>
            <w:vMerge w:val="restart"/>
          </w:tcPr>
          <w:p>
            <w:pPr>
              <w:jc w:val="center"/>
              <w:ind w:left="558"/>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0"/>
                <w:szCs w:val="10"/>
                <w:color w:val="auto"/>
              </w:rPr>
            </w:pPr>
          </w:p>
        </w:tc>
        <w:tc>
          <w:tcPr>
            <w:tcW w:w="940" w:type="dxa"/>
            <w:vAlign w:val="bottom"/>
            <w:gridSpan w:val="3"/>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(1,100)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(1,100)</w:t>
            </w:r>
          </w:p>
        </w:tc>
        <w:tc>
          <w:tcPr>
            <w:tcW w:w="0" w:type="dxa"/>
            <w:vAlign w:val="bottom"/>
          </w:tcPr>
          <w:p>
            <w:pPr>
              <w:spacing w:after="0"/>
              <w:rPr>
                <w:sz w:val="1"/>
                <w:szCs w:val="1"/>
                <w:color w:val="auto"/>
              </w:rPr>
            </w:pPr>
          </w:p>
        </w:tc>
      </w:tr>
      <w:tr>
        <w:trPr>
          <w:trHeight w:val="168"/>
        </w:trPr>
        <w:tc>
          <w:tcPr>
            <w:tcW w:w="2140" w:type="dxa"/>
            <w:vAlign w:val="bottom"/>
          </w:tcPr>
          <w:p>
            <w:pPr>
              <w:ind w:left="20"/>
              <w:spacing w:after="0"/>
              <w:rPr>
                <w:sz w:val="20"/>
                <w:szCs w:val="20"/>
                <w:color w:val="auto"/>
              </w:rPr>
            </w:pPr>
            <w:r>
              <w:rPr>
                <w:rFonts w:ascii="Arial" w:cs="Arial" w:eastAsia="Arial" w:hAnsi="Arial"/>
                <w:sz w:val="13"/>
                <w:szCs w:val="13"/>
                <w:color w:val="auto"/>
              </w:rPr>
              <w:t>held as treasury shares</w:t>
            </w: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declared</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center"/>
              <w:ind w:left="558"/>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68"/>
        </w:trPr>
        <w:tc>
          <w:tcPr>
            <w:tcW w:w="2140" w:type="dxa"/>
            <w:vAlign w:val="bottom"/>
          </w:tcPr>
          <w:p>
            <w:pPr>
              <w:ind w:left="20"/>
              <w:spacing w:after="0"/>
              <w:rPr>
                <w:sz w:val="20"/>
                <w:szCs w:val="20"/>
                <w:color w:val="auto"/>
              </w:rPr>
            </w:pPr>
            <w:r>
              <w:rPr>
                <w:rFonts w:ascii="Arial" w:cs="Arial" w:eastAsia="Arial" w:hAnsi="Arial"/>
                <w:sz w:val="13"/>
                <w:szCs w:val="13"/>
                <w:color w:val="auto"/>
                <w:w w:val="99"/>
              </w:rPr>
              <w:t>Distribution to noncontrolling interest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left="558"/>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(998)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(998)</w:t>
            </w:r>
          </w:p>
        </w:tc>
        <w:tc>
          <w:tcPr>
            <w:tcW w:w="0" w:type="dxa"/>
            <w:vAlign w:val="bottom"/>
          </w:tcPr>
          <w:p>
            <w:pPr>
              <w:spacing w:after="0"/>
              <w:rPr>
                <w:sz w:val="1"/>
                <w:szCs w:val="1"/>
                <w:color w:val="auto"/>
              </w:rPr>
            </w:pPr>
          </w:p>
        </w:tc>
      </w:tr>
      <w:tr>
        <w:trPr>
          <w:trHeight w:val="177"/>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10,726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center"/>
              <w:ind w:left="558"/>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10,726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12,489</w:t>
            </w:r>
          </w:p>
        </w:tc>
        <w:tc>
          <w:tcPr>
            <w:tcW w:w="0" w:type="dxa"/>
            <w:vAlign w:val="bottom"/>
          </w:tcPr>
          <w:p>
            <w:pPr>
              <w:spacing w:after="0"/>
              <w:rPr>
                <w:sz w:val="1"/>
                <w:szCs w:val="1"/>
                <w:color w:val="auto"/>
              </w:rPr>
            </w:pPr>
          </w:p>
        </w:tc>
      </w:tr>
      <w:tr>
        <w:trPr>
          <w:trHeight w:val="175"/>
        </w:trPr>
        <w:tc>
          <w:tcPr>
            <w:tcW w:w="2140" w:type="dxa"/>
            <w:vAlign w:val="bottom"/>
          </w:tcPr>
          <w:p>
            <w:pPr>
              <w:ind w:left="20"/>
              <w:spacing w:after="0"/>
              <w:rPr>
                <w:sz w:val="20"/>
                <w:szCs w:val="20"/>
                <w:color w:val="auto"/>
              </w:rPr>
            </w:pPr>
            <w:r>
              <w:rPr>
                <w:rFonts w:ascii="Arial" w:cs="Arial" w:eastAsia="Arial" w:hAnsi="Arial"/>
                <w:sz w:val="13"/>
                <w:szCs w:val="13"/>
                <w:b w:val="1"/>
                <w:bCs w:val="1"/>
                <w:color w:val="auto"/>
              </w:rPr>
              <w:t>Balances, September 30, 2020</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107,872,298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1,234</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(1,420,535)</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2,554,443</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(898)</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(1,262,947)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(128,703)</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(417,928)</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(546,631)</w:t>
            </w:r>
          </w:p>
        </w:tc>
        <w:tc>
          <w:tcPr>
            <w:tcW w:w="0" w:type="dxa"/>
            <w:vAlign w:val="bottom"/>
          </w:tcPr>
          <w:p>
            <w:pPr>
              <w:spacing w:after="0"/>
              <w:rPr>
                <w:sz w:val="1"/>
                <w:szCs w:val="1"/>
                <w:color w:val="auto"/>
              </w:rPr>
            </w:pPr>
          </w:p>
        </w:tc>
      </w:tr>
      <w:tr>
        <w:trPr>
          <w:trHeight w:val="21"/>
        </w:trPr>
        <w:tc>
          <w:tcPr>
            <w:tcW w:w="2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3"/>
        </w:trPr>
        <w:tc>
          <w:tcPr>
            <w:tcW w:w="21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10"/>
          </w:tcPr>
          <w:p>
            <w:pPr>
              <w:jc w:val="center"/>
              <w:ind w:left="357"/>
              <w:spacing w:after="0"/>
              <w:rPr>
                <w:sz w:val="20"/>
                <w:szCs w:val="20"/>
                <w:color w:val="auto"/>
              </w:rPr>
            </w:pPr>
            <w:r>
              <w:rPr>
                <w:rFonts w:ascii="Arial" w:cs="Arial" w:eastAsia="Arial" w:hAnsi="Arial"/>
                <w:sz w:val="13"/>
                <w:szCs w:val="13"/>
                <w:b w:val="1"/>
                <w:bCs w:val="1"/>
                <w:color w:val="auto"/>
                <w:w w:val="88"/>
              </w:rPr>
              <w:t>For the Three Months Ended September 30, 2019</w:t>
            </w: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140" w:type="dxa"/>
            <w:vAlign w:val="bottom"/>
          </w:tcPr>
          <w:p>
            <w:pPr>
              <w:spacing w:after="0"/>
              <w:rPr>
                <w:sz w:val="14"/>
                <w:szCs w:val="14"/>
                <w:color w:val="auto"/>
              </w:rPr>
            </w:pPr>
          </w:p>
        </w:tc>
        <w:tc>
          <w:tcPr>
            <w:tcW w:w="1700" w:type="dxa"/>
            <w:vAlign w:val="bottom"/>
            <w:gridSpan w:val="5"/>
          </w:tcPr>
          <w:p>
            <w:pPr>
              <w:ind w:left="40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14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9"/>
                <w:szCs w:val="9"/>
                <w:color w:val="auto"/>
              </w:rPr>
            </w:pPr>
          </w:p>
        </w:tc>
        <w:tc>
          <w:tcPr>
            <w:tcW w:w="1060" w:type="dxa"/>
            <w:vAlign w:val="bottom"/>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w w:val="95"/>
              </w:rPr>
              <w:t>Accumulated</w:t>
            </w: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w w:val="95"/>
              </w:rPr>
              <w:t>Total Wynn</w:t>
            </w: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1"/>
        </w:trPr>
        <w:tc>
          <w:tcPr>
            <w:tcW w:w="2140" w:type="dxa"/>
            <w:vAlign w:val="bottom"/>
          </w:tcPr>
          <w:p>
            <w:pPr>
              <w:spacing w:after="0"/>
              <w:rPr>
                <w:sz w:val="10"/>
                <w:szCs w:val="10"/>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0"/>
                <w:szCs w:val="10"/>
                <w:color w:val="auto"/>
              </w:rPr>
            </w:pPr>
          </w:p>
        </w:tc>
        <w:tc>
          <w:tcPr>
            <w:tcW w:w="6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5"/>
              </w:rPr>
              <w:t>Par</w:t>
            </w:r>
          </w:p>
        </w:tc>
        <w:tc>
          <w:tcPr>
            <w:tcW w:w="140" w:type="dxa"/>
            <w:vAlign w:val="bottom"/>
          </w:tcPr>
          <w:p>
            <w:pPr>
              <w:spacing w:after="0"/>
              <w:rPr>
                <w:sz w:val="10"/>
                <w:szCs w:val="10"/>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7"/>
              </w:rPr>
              <w:t>Treasury</w:t>
            </w: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6"/>
              </w:rPr>
              <w:t>other</w:t>
            </w:r>
          </w:p>
        </w:tc>
        <w:tc>
          <w:tcPr>
            <w:tcW w:w="100" w:type="dxa"/>
            <w:vAlign w:val="bottom"/>
          </w:tcPr>
          <w:p>
            <w:pPr>
              <w:spacing w:after="0"/>
              <w:rPr>
                <w:sz w:val="10"/>
                <w:szCs w:val="10"/>
                <w:color w:val="auto"/>
              </w:rPr>
            </w:pPr>
          </w:p>
        </w:tc>
        <w:tc>
          <w:tcPr>
            <w:tcW w:w="94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87"/>
              </w:rPr>
              <w:t>Retained</w:t>
            </w:r>
          </w:p>
        </w:tc>
        <w:tc>
          <w:tcPr>
            <w:tcW w:w="100" w:type="dxa"/>
            <w:vAlign w:val="bottom"/>
          </w:tcPr>
          <w:p>
            <w:pPr>
              <w:spacing w:after="0"/>
              <w:rPr>
                <w:sz w:val="10"/>
                <w:szCs w:val="10"/>
                <w:color w:val="auto"/>
              </w:rPr>
            </w:pPr>
          </w:p>
        </w:tc>
        <w:tc>
          <w:tcPr>
            <w:tcW w:w="10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8"/>
              </w:rPr>
              <w:t>Resorts, Ltd.</w:t>
            </w:r>
          </w:p>
        </w:tc>
        <w:tc>
          <w:tcPr>
            <w:tcW w:w="100" w:type="dxa"/>
            <w:vAlign w:val="bottom"/>
          </w:tcPr>
          <w:p>
            <w:pPr>
              <w:spacing w:after="0"/>
              <w:rPr>
                <w:sz w:val="10"/>
                <w:szCs w:val="10"/>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8"/>
              </w:rPr>
              <w:t>Noncontrolling</w:t>
            </w: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3"/>
              </w:rPr>
              <w:t>paid-in</w:t>
            </w: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3"/>
              </w:rPr>
              <w:t>comprehensive</w:t>
            </w:r>
          </w:p>
        </w:tc>
        <w:tc>
          <w:tcPr>
            <w:tcW w:w="10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5"/>
              </w:rPr>
              <w:t>stockholders'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83"/>
              </w:rPr>
              <w:t>stockholders'</w:t>
            </w:r>
          </w:p>
        </w:tc>
        <w:tc>
          <w:tcPr>
            <w:tcW w:w="0" w:type="dxa"/>
            <w:vAlign w:val="bottom"/>
          </w:tcPr>
          <w:p>
            <w:pPr>
              <w:spacing w:after="0"/>
              <w:rPr>
                <w:sz w:val="1"/>
                <w:szCs w:val="1"/>
                <w:color w:val="auto"/>
              </w:rPr>
            </w:pPr>
          </w:p>
        </w:tc>
      </w:tr>
      <w:tr>
        <w:trPr>
          <w:trHeight w:val="170"/>
        </w:trPr>
        <w:tc>
          <w:tcPr>
            <w:tcW w:w="214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outstanding</w:t>
            </w:r>
          </w:p>
        </w:tc>
        <w:tc>
          <w:tcPr>
            <w:tcW w:w="120" w:type="dxa"/>
            <w:vAlign w:val="bottom"/>
          </w:tcPr>
          <w:p>
            <w:pPr>
              <w:spacing w:after="0"/>
              <w:rPr>
                <w:sz w:val="14"/>
                <w:szCs w:val="14"/>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value</w:t>
            </w:r>
          </w:p>
        </w:tc>
        <w:tc>
          <w:tcPr>
            <w:tcW w:w="14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stock</w:t>
            </w: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capital</w:t>
            </w: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6"/>
              </w:rPr>
              <w:t>loss</w:t>
            </w:r>
          </w:p>
        </w:tc>
        <w:tc>
          <w:tcPr>
            <w:tcW w:w="100" w:type="dxa"/>
            <w:vAlign w:val="bottom"/>
          </w:tcPr>
          <w:p>
            <w:pPr>
              <w:spacing w:after="0"/>
              <w:rPr>
                <w:sz w:val="14"/>
                <w:szCs w:val="14"/>
                <w:color w:val="auto"/>
              </w:rPr>
            </w:pPr>
          </w:p>
        </w:tc>
        <w:tc>
          <w:tcPr>
            <w:tcW w:w="9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4"/>
              </w:rPr>
              <w:t>earnings</w:t>
            </w: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equity</w:t>
            </w: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interests</w:t>
            </w:r>
          </w:p>
        </w:tc>
        <w:tc>
          <w:tcPr>
            <w:tcW w:w="80" w:type="dxa"/>
            <w:vAlign w:val="bottom"/>
          </w:tcPr>
          <w:p>
            <w:pPr>
              <w:spacing w:after="0"/>
              <w:rPr>
                <w:sz w:val="14"/>
                <w:szCs w:val="14"/>
                <w:color w:val="auto"/>
              </w:rPr>
            </w:pPr>
          </w:p>
        </w:tc>
        <w:tc>
          <w:tcPr>
            <w:tcW w:w="860" w:type="dxa"/>
            <w:vAlign w:val="bottom"/>
          </w:tcPr>
          <w:p>
            <w:pPr>
              <w:jc w:val="center"/>
              <w:ind w:right="17"/>
              <w:spacing w:after="0"/>
              <w:rPr>
                <w:sz w:val="20"/>
                <w:szCs w:val="20"/>
                <w:color w:val="auto"/>
              </w:rPr>
            </w:pPr>
            <w:r>
              <w:rPr>
                <w:rFonts w:ascii="Arial" w:cs="Arial" w:eastAsia="Arial" w:hAnsi="Arial"/>
                <w:sz w:val="13"/>
                <w:szCs w:val="13"/>
                <w:b w:val="1"/>
                <w:bCs w:val="1"/>
                <w:color w:val="auto"/>
                <w:w w:val="88"/>
              </w:rPr>
              <w:t>equity</w:t>
            </w:r>
          </w:p>
        </w:tc>
        <w:tc>
          <w:tcPr>
            <w:tcW w:w="0" w:type="dxa"/>
            <w:vAlign w:val="bottom"/>
          </w:tcPr>
          <w:p>
            <w:pPr>
              <w:spacing w:after="0"/>
              <w:rPr>
                <w:sz w:val="1"/>
                <w:szCs w:val="1"/>
                <w:color w:val="auto"/>
              </w:rPr>
            </w:pPr>
          </w:p>
        </w:tc>
      </w:tr>
      <w:tr>
        <w:trPr>
          <w:trHeight w:val="175"/>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July 1, 2019</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107,610,356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(1,379,644)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2,498,316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932,907</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2,050,821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(199,882)</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1,850,939</w:t>
            </w:r>
          </w:p>
        </w:tc>
        <w:tc>
          <w:tcPr>
            <w:tcW w:w="0" w:type="dxa"/>
            <w:vAlign w:val="bottom"/>
          </w:tcPr>
          <w:p>
            <w:pPr>
              <w:spacing w:after="0"/>
              <w:rPr>
                <w:sz w:val="1"/>
                <w:szCs w:val="1"/>
                <w:color w:val="auto"/>
              </w:rPr>
            </w:pPr>
          </w:p>
        </w:tc>
      </w:tr>
      <w:tr>
        <w:trPr>
          <w:trHeight w:val="168"/>
        </w:trPr>
        <w:tc>
          <w:tcPr>
            <w:tcW w:w="214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center"/>
              <w:ind w:left="558"/>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(3,496)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(3,496)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30,379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26,883</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Currency translation adjustment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(989)</w:t>
            </w:r>
          </w:p>
        </w:tc>
        <w:tc>
          <w:tcPr>
            <w:tcW w:w="0" w:type="dxa"/>
            <w:vAlign w:val="bottom"/>
          </w:tcPr>
          <w:p>
            <w:pPr>
              <w:spacing w:after="0"/>
              <w:rPr>
                <w:sz w:val="1"/>
                <w:szCs w:val="1"/>
                <w:color w:val="auto"/>
              </w:rPr>
            </w:pPr>
          </w:p>
        </w:tc>
      </w:tr>
      <w:tr>
        <w:trPr>
          <w:trHeight w:val="168"/>
        </w:trPr>
        <w:tc>
          <w:tcPr>
            <w:tcW w:w="214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880" w:type="dxa"/>
            <w:vAlign w:val="bottom"/>
          </w:tcPr>
          <w:p>
            <w:pPr>
              <w:jc w:val="right"/>
              <w:spacing w:after="0"/>
              <w:rPr>
                <w:sz w:val="20"/>
                <w:szCs w:val="20"/>
                <w:color w:val="auto"/>
              </w:rPr>
            </w:pPr>
            <w:r>
              <w:rPr>
                <w:rFonts w:ascii="Arial" w:cs="Arial" w:eastAsia="Arial" w:hAnsi="Arial"/>
                <w:sz w:val="13"/>
                <w:szCs w:val="13"/>
                <w:color w:val="auto"/>
              </w:rPr>
              <w:t>36,000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2,151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left="558"/>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2,151</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restricted stock</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27,276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center"/>
              <w:ind w:left="558"/>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140" w:type="dxa"/>
            <w:vAlign w:val="bottom"/>
          </w:tcPr>
          <w:p>
            <w:pPr>
              <w:ind w:left="20"/>
              <w:spacing w:after="0"/>
              <w:rPr>
                <w:sz w:val="20"/>
                <w:szCs w:val="20"/>
                <w:color w:val="auto"/>
              </w:rPr>
            </w:pPr>
            <w:r>
              <w:rPr>
                <w:rFonts w:ascii="Arial" w:cs="Arial" w:eastAsia="Arial" w:hAnsi="Arial"/>
                <w:sz w:val="13"/>
                <w:szCs w:val="13"/>
                <w:color w:val="auto"/>
              </w:rPr>
              <w:t>Cancellation of restricted stock</w:t>
            </w:r>
          </w:p>
        </w:tc>
        <w:tc>
          <w:tcPr>
            <w:tcW w:w="880" w:type="dxa"/>
            <w:vAlign w:val="bottom"/>
          </w:tcPr>
          <w:p>
            <w:pPr>
              <w:jc w:val="right"/>
              <w:spacing w:after="0"/>
              <w:rPr>
                <w:sz w:val="20"/>
                <w:szCs w:val="20"/>
                <w:color w:val="auto"/>
              </w:rPr>
            </w:pPr>
            <w:r>
              <w:rPr>
                <w:rFonts w:ascii="Arial" w:cs="Arial" w:eastAsia="Arial" w:hAnsi="Arial"/>
                <w:sz w:val="13"/>
                <w:szCs w:val="13"/>
                <w:color w:val="auto"/>
              </w:rPr>
              <w:t>(27,809)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center"/>
              <w:ind w:left="558"/>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1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87"/>
              </w:rPr>
              <w:t>Shares repurchased by the Company and</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(283,321)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(30,073)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center"/>
              <w:ind w:left="558"/>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1"/>
                <w:szCs w:val="11"/>
                <w:color w:val="auto"/>
              </w:rPr>
            </w:pPr>
          </w:p>
        </w:tc>
        <w:tc>
          <w:tcPr>
            <w:tcW w:w="94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(30,073)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(30,073)</w:t>
            </w: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held as treasury shares</w:t>
            </w: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140" w:type="dxa"/>
            <w:vAlign w:val="bottom"/>
          </w:tcPr>
          <w:p>
            <w:pPr>
              <w:ind w:left="20"/>
              <w:spacing w:after="0"/>
              <w:rPr>
                <w:sz w:val="20"/>
                <w:szCs w:val="20"/>
                <w:color w:val="auto"/>
              </w:rPr>
            </w:pPr>
            <w:r>
              <w:rPr>
                <w:rFonts w:ascii="Arial" w:cs="Arial" w:eastAsia="Arial" w:hAnsi="Arial"/>
                <w:sz w:val="13"/>
                <w:szCs w:val="13"/>
                <w:color w:val="auto"/>
              </w:rPr>
              <w:t>Cash dividends declared</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center"/>
              <w:ind w:left="558"/>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(107,341)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(107,341)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(82,949)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(190,290)</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Distribution to noncontrolling interest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center"/>
              <w:ind w:left="558"/>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7,403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left="558"/>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7,403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853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8,256</w:t>
            </w:r>
          </w:p>
        </w:tc>
        <w:tc>
          <w:tcPr>
            <w:tcW w:w="0" w:type="dxa"/>
            <w:vAlign w:val="bottom"/>
          </w:tcPr>
          <w:p>
            <w:pPr>
              <w:spacing w:after="0"/>
              <w:rPr>
                <w:sz w:val="1"/>
                <w:szCs w:val="1"/>
                <w:color w:val="auto"/>
              </w:rPr>
            </w:pPr>
          </w:p>
        </w:tc>
      </w:tr>
      <w:tr>
        <w:trPr>
          <w:trHeight w:val="201"/>
        </w:trPr>
        <w:tc>
          <w:tcPr>
            <w:tcW w:w="2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September 30, 2019</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107,362,502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1,228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(1,409,717)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2,507,870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(2,700)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822,070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1,918,751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(252,872)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1,665,879</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10"/>
          </w:tcPr>
          <w:p>
            <w:pPr>
              <w:jc w:val="right"/>
              <w:ind w:right="2"/>
              <w:spacing w:after="0"/>
              <w:rPr>
                <w:sz w:val="20"/>
                <w:szCs w:val="20"/>
                <w:color w:val="auto"/>
              </w:rPr>
            </w:pPr>
            <w:r>
              <w:rPr>
                <w:rFonts w:ascii="Arial" w:cs="Arial" w:eastAsia="Arial" w:hAnsi="Arial"/>
                <w:sz w:val="13"/>
                <w:szCs w:val="13"/>
                <w:b w:val="1"/>
                <w:bCs w:val="1"/>
                <w:color w:val="auto"/>
              </w:rPr>
              <w:t>For the Nine Months Ended September 30, 2020</w:t>
            </w: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140" w:type="dxa"/>
            <w:vAlign w:val="bottom"/>
          </w:tcPr>
          <w:p>
            <w:pPr>
              <w:spacing w:after="0"/>
              <w:rPr>
                <w:sz w:val="14"/>
                <w:szCs w:val="14"/>
                <w:color w:val="auto"/>
              </w:rPr>
            </w:pPr>
          </w:p>
        </w:tc>
        <w:tc>
          <w:tcPr>
            <w:tcW w:w="1700" w:type="dxa"/>
            <w:vAlign w:val="bottom"/>
            <w:gridSpan w:val="5"/>
          </w:tcPr>
          <w:p>
            <w:pPr>
              <w:ind w:left="40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14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w w:val="95"/>
              </w:rPr>
              <w:t>Accumulated</w:t>
            </w:r>
          </w:p>
        </w:tc>
        <w:tc>
          <w:tcPr>
            <w:tcW w:w="100" w:type="dxa"/>
            <w:vAlign w:val="bottom"/>
          </w:tcPr>
          <w:p>
            <w:pPr>
              <w:spacing w:after="0"/>
              <w:rPr>
                <w:sz w:val="9"/>
                <w:szCs w:val="9"/>
                <w:color w:val="auto"/>
              </w:rPr>
            </w:pPr>
          </w:p>
        </w:tc>
        <w:tc>
          <w:tcPr>
            <w:tcW w:w="940" w:type="dxa"/>
            <w:vAlign w:val="bottom"/>
            <w:gridSpan w:val="3"/>
            <w:vMerge w:val="restart"/>
          </w:tcPr>
          <w:p>
            <w:pPr>
              <w:jc w:val="center"/>
              <w:ind w:right="220"/>
              <w:spacing w:after="0"/>
              <w:rPr>
                <w:sz w:val="20"/>
                <w:szCs w:val="20"/>
                <w:color w:val="auto"/>
              </w:rPr>
            </w:pPr>
            <w:r>
              <w:rPr>
                <w:rFonts w:ascii="Arial" w:cs="Arial" w:eastAsia="Arial" w:hAnsi="Arial"/>
                <w:sz w:val="12"/>
                <w:szCs w:val="12"/>
                <w:b w:val="1"/>
                <w:bCs w:val="1"/>
                <w:color w:val="auto"/>
                <w:w w:val="86"/>
              </w:rPr>
              <w:t>Retained</w:t>
            </w:r>
          </w:p>
        </w:tc>
        <w:tc>
          <w:tcPr>
            <w:tcW w:w="100" w:type="dxa"/>
            <w:vAlign w:val="bottom"/>
          </w:tcPr>
          <w:p>
            <w:pPr>
              <w:spacing w:after="0"/>
              <w:rPr>
                <w:sz w:val="9"/>
                <w:szCs w:val="9"/>
                <w:color w:val="auto"/>
              </w:rPr>
            </w:pPr>
          </w:p>
        </w:tc>
        <w:tc>
          <w:tcPr>
            <w:tcW w:w="1080" w:type="dxa"/>
            <w:vAlign w:val="bottom"/>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w w:val="95"/>
              </w:rPr>
              <w:t>Total Wynn</w:t>
            </w: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4"/>
                <w:szCs w:val="4"/>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6"/>
              </w:rPr>
              <w:t>other</w:t>
            </w:r>
          </w:p>
        </w:tc>
        <w:tc>
          <w:tcPr>
            <w:tcW w:w="100" w:type="dxa"/>
            <w:vAlign w:val="bottom"/>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8"/>
              </w:rPr>
              <w:t>Resorts, Ltd.</w:t>
            </w: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08"/>
        </w:trPr>
        <w:tc>
          <w:tcPr>
            <w:tcW w:w="2140" w:type="dxa"/>
            <w:vAlign w:val="bottom"/>
          </w:tcPr>
          <w:p>
            <w:pPr>
              <w:spacing w:after="0"/>
              <w:rPr>
                <w:sz w:val="9"/>
                <w:szCs w:val="9"/>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9"/>
                <w:szCs w:val="9"/>
                <w:color w:val="auto"/>
              </w:rPr>
            </w:pPr>
          </w:p>
        </w:tc>
        <w:tc>
          <w:tcPr>
            <w:tcW w:w="6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5"/>
              </w:rPr>
              <w:t>Par</w:t>
            </w:r>
          </w:p>
        </w:tc>
        <w:tc>
          <w:tcPr>
            <w:tcW w:w="140" w:type="dxa"/>
            <w:vAlign w:val="bottom"/>
          </w:tcPr>
          <w:p>
            <w:pPr>
              <w:spacing w:after="0"/>
              <w:rPr>
                <w:sz w:val="9"/>
                <w:szCs w:val="9"/>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7"/>
              </w:rPr>
              <w:t>Treasury</w:t>
            </w: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3"/>
          </w:tcPr>
          <w:p>
            <w:pPr>
              <w:jc w:val="center"/>
              <w:ind w:right="200"/>
              <w:spacing w:after="0" w:line="108" w:lineRule="exact"/>
              <w:rPr>
                <w:sz w:val="20"/>
                <w:szCs w:val="20"/>
                <w:color w:val="auto"/>
              </w:rPr>
            </w:pPr>
            <w:r>
              <w:rPr>
                <w:rFonts w:ascii="Arial" w:cs="Arial" w:eastAsia="Arial" w:hAnsi="Arial"/>
                <w:sz w:val="12"/>
                <w:szCs w:val="12"/>
                <w:b w:val="1"/>
                <w:bCs w:val="1"/>
                <w:color w:val="auto"/>
                <w:w w:val="83"/>
              </w:rPr>
              <w:t>earnings</w:t>
            </w:r>
          </w:p>
        </w:tc>
        <w:tc>
          <w:tcPr>
            <w:tcW w:w="1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8"/>
              </w:rPr>
              <w:t>Noncontrolling</w:t>
            </w:r>
          </w:p>
        </w:tc>
        <w:tc>
          <w:tcPr>
            <w:tcW w:w="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9"/>
                <w:szCs w:val="9"/>
                <w:color w:val="auto"/>
              </w:rPr>
            </w:pPr>
          </w:p>
        </w:tc>
        <w:tc>
          <w:tcPr>
            <w:tcW w:w="1060" w:type="dxa"/>
            <w:vAlign w:val="bottom"/>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w w:val="90"/>
              </w:rPr>
              <w:t>comprehensive</w:t>
            </w:r>
          </w:p>
        </w:tc>
        <w:tc>
          <w:tcPr>
            <w:tcW w:w="100" w:type="dxa"/>
            <w:vAlign w:val="bottom"/>
          </w:tcPr>
          <w:p>
            <w:pPr>
              <w:spacing w:after="0"/>
              <w:rPr>
                <w:sz w:val="9"/>
                <w:szCs w:val="9"/>
                <w:color w:val="auto"/>
              </w:rPr>
            </w:pPr>
          </w:p>
        </w:tc>
        <w:tc>
          <w:tcPr>
            <w:tcW w:w="940" w:type="dxa"/>
            <w:vAlign w:val="bottom"/>
            <w:gridSpan w:val="3"/>
          </w:tcPr>
          <w:p>
            <w:pPr>
              <w:jc w:val="center"/>
              <w:ind w:right="220"/>
              <w:spacing w:after="0" w:line="108" w:lineRule="exact"/>
              <w:rPr>
                <w:sz w:val="20"/>
                <w:szCs w:val="20"/>
                <w:color w:val="auto"/>
              </w:rPr>
            </w:pPr>
            <w:r>
              <w:rPr>
                <w:rFonts w:ascii="Arial" w:cs="Arial" w:eastAsia="Arial" w:hAnsi="Arial"/>
                <w:sz w:val="12"/>
                <w:szCs w:val="12"/>
                <w:b w:val="1"/>
                <w:bCs w:val="1"/>
                <w:color w:val="auto"/>
                <w:w w:val="87"/>
              </w:rPr>
              <w:t>(accumulated</w:t>
            </w:r>
          </w:p>
        </w:tc>
        <w:tc>
          <w:tcPr>
            <w:tcW w:w="100" w:type="dxa"/>
            <w:vAlign w:val="bottom"/>
          </w:tcPr>
          <w:p>
            <w:pPr>
              <w:spacing w:after="0"/>
              <w:rPr>
                <w:sz w:val="9"/>
                <w:szCs w:val="9"/>
                <w:color w:val="auto"/>
              </w:rPr>
            </w:pPr>
          </w:p>
        </w:tc>
        <w:tc>
          <w:tcPr>
            <w:tcW w:w="1080" w:type="dxa"/>
            <w:vAlign w:val="bottom"/>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w w:val="90"/>
              </w:rPr>
              <w:t>stockholders'</w:t>
            </w:r>
          </w:p>
        </w:tc>
        <w:tc>
          <w:tcPr>
            <w:tcW w:w="1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jc w:val="center"/>
              <w:ind w:right="17"/>
              <w:spacing w:after="0" w:line="108" w:lineRule="exact"/>
              <w:rPr>
                <w:sz w:val="20"/>
                <w:szCs w:val="20"/>
                <w:color w:val="auto"/>
              </w:rPr>
            </w:pPr>
            <w:r>
              <w:rPr>
                <w:rFonts w:ascii="Arial" w:cs="Arial" w:eastAsia="Arial" w:hAnsi="Arial"/>
                <w:sz w:val="12"/>
                <w:szCs w:val="12"/>
                <w:b w:val="1"/>
                <w:bCs w:val="1"/>
                <w:color w:val="auto"/>
                <w:w w:val="90"/>
              </w:rPr>
              <w:t>stockholders'</w:t>
            </w: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outstanding</w:t>
            </w:r>
          </w:p>
        </w:tc>
        <w:tc>
          <w:tcPr>
            <w:tcW w:w="120" w:type="dxa"/>
            <w:vAlign w:val="bottom"/>
          </w:tcPr>
          <w:p>
            <w:pPr>
              <w:spacing w:after="0"/>
              <w:rPr>
                <w:sz w:val="12"/>
                <w:szCs w:val="12"/>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value</w:t>
            </w:r>
          </w:p>
        </w:tc>
        <w:tc>
          <w:tcPr>
            <w:tcW w:w="140" w:type="dxa"/>
            <w:vAlign w:val="bottom"/>
          </w:tcPr>
          <w:p>
            <w:pPr>
              <w:spacing w:after="0"/>
              <w:rPr>
                <w:sz w:val="12"/>
                <w:szCs w:val="12"/>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stock</w:t>
            </w:r>
          </w:p>
        </w:tc>
        <w:tc>
          <w:tcPr>
            <w:tcW w:w="10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capital</w:t>
            </w:r>
          </w:p>
        </w:tc>
        <w:tc>
          <w:tcPr>
            <w:tcW w:w="10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6"/>
              </w:rPr>
              <w:t>loss</w:t>
            </w:r>
          </w:p>
        </w:tc>
        <w:tc>
          <w:tcPr>
            <w:tcW w:w="100" w:type="dxa"/>
            <w:vAlign w:val="bottom"/>
          </w:tcPr>
          <w:p>
            <w:pPr>
              <w:spacing w:after="0"/>
              <w:rPr>
                <w:sz w:val="12"/>
                <w:szCs w:val="12"/>
                <w:color w:val="auto"/>
              </w:rPr>
            </w:pPr>
          </w:p>
        </w:tc>
        <w:tc>
          <w:tcPr>
            <w:tcW w:w="94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86"/>
              </w:rPr>
              <w:t>deficit)</w:t>
            </w:r>
          </w:p>
        </w:tc>
        <w:tc>
          <w:tcPr>
            <w:tcW w:w="10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equity (deficit)</w:t>
            </w:r>
          </w:p>
        </w:tc>
        <w:tc>
          <w:tcPr>
            <w:tcW w:w="10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interests</w:t>
            </w:r>
          </w:p>
        </w:tc>
        <w:tc>
          <w:tcPr>
            <w:tcW w:w="80" w:type="dxa"/>
            <w:vAlign w:val="bottom"/>
          </w:tcPr>
          <w:p>
            <w:pPr>
              <w:spacing w:after="0"/>
              <w:rPr>
                <w:sz w:val="12"/>
                <w:szCs w:val="12"/>
                <w:color w:val="auto"/>
              </w:rPr>
            </w:pPr>
          </w:p>
        </w:tc>
        <w:tc>
          <w:tcPr>
            <w:tcW w:w="860" w:type="dxa"/>
            <w:vAlign w:val="bottom"/>
          </w:tcPr>
          <w:p>
            <w:pPr>
              <w:jc w:val="center"/>
              <w:ind w:right="17"/>
              <w:spacing w:after="0"/>
              <w:rPr>
                <w:sz w:val="20"/>
                <w:szCs w:val="20"/>
                <w:color w:val="auto"/>
              </w:rPr>
            </w:pPr>
            <w:r>
              <w:rPr>
                <w:rFonts w:ascii="Arial" w:cs="Arial" w:eastAsia="Arial" w:hAnsi="Arial"/>
                <w:sz w:val="13"/>
                <w:szCs w:val="13"/>
                <w:b w:val="1"/>
                <w:bCs w:val="1"/>
                <w:color w:val="auto"/>
                <w:w w:val="87"/>
              </w:rPr>
              <w:t>equity (deficit)</w:t>
            </w:r>
          </w:p>
        </w:tc>
        <w:tc>
          <w:tcPr>
            <w:tcW w:w="0" w:type="dxa"/>
            <w:vAlign w:val="bottom"/>
          </w:tcPr>
          <w:p>
            <w:pPr>
              <w:spacing w:after="0"/>
              <w:rPr>
                <w:sz w:val="1"/>
                <w:szCs w:val="1"/>
                <w:color w:val="auto"/>
              </w:rPr>
            </w:pPr>
          </w:p>
        </w:tc>
      </w:tr>
      <w:tr>
        <w:trPr>
          <w:trHeight w:val="169"/>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January 1, 2020</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107,363,943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(1,410,998)</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2,512,676</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(1,679)</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641,818</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1,743,045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(201,573)</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1,541,472</w:t>
            </w:r>
          </w:p>
        </w:tc>
        <w:tc>
          <w:tcPr>
            <w:tcW w:w="0" w:type="dxa"/>
            <w:vAlign w:val="bottom"/>
          </w:tcPr>
          <w:p>
            <w:pPr>
              <w:spacing w:after="0"/>
              <w:rPr>
                <w:sz w:val="1"/>
                <w:szCs w:val="1"/>
                <w:color w:val="auto"/>
              </w:rPr>
            </w:pPr>
          </w:p>
        </w:tc>
      </w:tr>
      <w:tr>
        <w:trPr>
          <w:trHeight w:val="168"/>
        </w:trPr>
        <w:tc>
          <w:tcPr>
            <w:tcW w:w="2140" w:type="dxa"/>
            <w:vAlign w:val="bottom"/>
          </w:tcPr>
          <w:p>
            <w:pPr>
              <w:ind w:left="20"/>
              <w:spacing w:after="0"/>
              <w:rPr>
                <w:sz w:val="20"/>
                <w:szCs w:val="20"/>
                <w:color w:val="auto"/>
              </w:rPr>
            </w:pPr>
            <w:r>
              <w:rPr>
                <w:rFonts w:ascii="Arial" w:cs="Arial" w:eastAsia="Arial" w:hAnsi="Arial"/>
                <w:sz w:val="13"/>
                <w:szCs w:val="13"/>
                <w:color w:val="auto"/>
              </w:rPr>
              <w:t>Net loss</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(1,797,743)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(1,797,743)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(218,912)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(2,016,655)</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Currency translation adjustment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1,082</w:t>
            </w:r>
          </w:p>
        </w:tc>
        <w:tc>
          <w:tcPr>
            <w:tcW w:w="0" w:type="dxa"/>
            <w:vAlign w:val="bottom"/>
          </w:tcPr>
          <w:p>
            <w:pPr>
              <w:spacing w:after="0"/>
              <w:rPr>
                <w:sz w:val="1"/>
                <w:szCs w:val="1"/>
                <w:color w:val="auto"/>
              </w:rPr>
            </w:pPr>
          </w:p>
        </w:tc>
      </w:tr>
      <w:tr>
        <w:trPr>
          <w:trHeight w:val="168"/>
        </w:trPr>
        <w:tc>
          <w:tcPr>
            <w:tcW w:w="2140" w:type="dxa"/>
            <w:vAlign w:val="bottom"/>
          </w:tcPr>
          <w:p>
            <w:pPr>
              <w:ind w:left="20"/>
              <w:spacing w:after="0"/>
              <w:rPr>
                <w:sz w:val="20"/>
                <w:szCs w:val="20"/>
                <w:color w:val="auto"/>
              </w:rPr>
            </w:pPr>
            <w:r>
              <w:rPr>
                <w:rFonts w:ascii="Arial" w:cs="Arial" w:eastAsia="Arial" w:hAnsi="Arial"/>
                <w:sz w:val="13"/>
                <w:szCs w:val="13"/>
                <w:color w:val="auto"/>
              </w:rPr>
              <w:t>Issuance of restricted stock</w:t>
            </w:r>
          </w:p>
        </w:tc>
        <w:tc>
          <w:tcPr>
            <w:tcW w:w="880" w:type="dxa"/>
            <w:vAlign w:val="bottom"/>
          </w:tcPr>
          <w:p>
            <w:pPr>
              <w:jc w:val="right"/>
              <w:spacing w:after="0"/>
              <w:rPr>
                <w:sz w:val="20"/>
                <w:szCs w:val="20"/>
                <w:color w:val="auto"/>
              </w:rPr>
            </w:pPr>
            <w:r>
              <w:rPr>
                <w:rFonts w:ascii="Arial" w:cs="Arial" w:eastAsia="Arial" w:hAnsi="Arial"/>
                <w:sz w:val="13"/>
                <w:szCs w:val="13"/>
                <w:color w:val="auto"/>
              </w:rPr>
              <w:t>843,102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6,700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6,708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818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7,526</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Cancellation of restricted stock</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(237,680)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2" w:lineRule="exact"/>
              <w:rPr>
                <w:sz w:val="20"/>
                <w:szCs w:val="20"/>
                <w:color w:val="auto"/>
              </w:rPr>
            </w:pPr>
            <w:r>
              <w:rPr>
                <w:rFonts w:ascii="Arial" w:cs="Arial" w:eastAsia="Arial" w:hAnsi="Arial"/>
                <w:sz w:val="13"/>
                <w:szCs w:val="13"/>
                <w:color w:val="auto"/>
                <w:w w:val="87"/>
              </w:rPr>
              <w:t>Shares repurchased by the Company and</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(97,067)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(9,537)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40" w:type="dxa"/>
            <w:vAlign w:val="bottom"/>
            <w:gridSpan w:val="3"/>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(9,537)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141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(9,396)</w:t>
            </w:r>
          </w:p>
        </w:tc>
        <w:tc>
          <w:tcPr>
            <w:tcW w:w="0" w:type="dxa"/>
            <w:vAlign w:val="bottom"/>
          </w:tcPr>
          <w:p>
            <w:pPr>
              <w:spacing w:after="0"/>
              <w:rPr>
                <w:sz w:val="1"/>
                <w:szCs w:val="1"/>
                <w:color w:val="auto"/>
              </w:rPr>
            </w:pPr>
          </w:p>
        </w:tc>
      </w:tr>
      <w:tr>
        <w:trPr>
          <w:trHeight w:val="168"/>
        </w:trPr>
        <w:tc>
          <w:tcPr>
            <w:tcW w:w="2140" w:type="dxa"/>
            <w:vAlign w:val="bottom"/>
          </w:tcPr>
          <w:p>
            <w:pPr>
              <w:ind w:left="20"/>
              <w:spacing w:after="0"/>
              <w:rPr>
                <w:sz w:val="20"/>
                <w:szCs w:val="20"/>
                <w:color w:val="auto"/>
              </w:rPr>
            </w:pPr>
            <w:r>
              <w:rPr>
                <w:rFonts w:ascii="Arial" w:cs="Arial" w:eastAsia="Arial" w:hAnsi="Arial"/>
                <w:sz w:val="13"/>
                <w:szCs w:val="13"/>
                <w:color w:val="auto"/>
              </w:rPr>
              <w:t>held as treasury shares</w:t>
            </w: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declared</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(107,022)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(107,022)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(106,977)</w:t>
            </w:r>
          </w:p>
        </w:tc>
        <w:tc>
          <w:tcPr>
            <w:tcW w:w="0" w:type="dxa"/>
            <w:vAlign w:val="bottom"/>
          </w:tcPr>
          <w:p>
            <w:pPr>
              <w:spacing w:after="0"/>
              <w:rPr>
                <w:sz w:val="1"/>
                <w:szCs w:val="1"/>
                <w:color w:val="auto"/>
              </w:rPr>
            </w:pPr>
          </w:p>
        </w:tc>
      </w:tr>
      <w:tr>
        <w:trPr>
          <w:trHeight w:val="168"/>
        </w:trPr>
        <w:tc>
          <w:tcPr>
            <w:tcW w:w="2140" w:type="dxa"/>
            <w:vAlign w:val="bottom"/>
          </w:tcPr>
          <w:p>
            <w:pPr>
              <w:ind w:left="20"/>
              <w:spacing w:after="0"/>
              <w:rPr>
                <w:sz w:val="20"/>
                <w:szCs w:val="20"/>
                <w:color w:val="auto"/>
              </w:rPr>
            </w:pPr>
            <w:r>
              <w:rPr>
                <w:rFonts w:ascii="Arial" w:cs="Arial" w:eastAsia="Arial" w:hAnsi="Arial"/>
                <w:sz w:val="13"/>
                <w:szCs w:val="13"/>
                <w:color w:val="auto"/>
                <w:w w:val="99"/>
              </w:rPr>
              <w:t>Distribution to noncontrolling interest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(1,996)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(1,996)</w:t>
            </w:r>
          </w:p>
        </w:tc>
        <w:tc>
          <w:tcPr>
            <w:tcW w:w="0" w:type="dxa"/>
            <w:vAlign w:val="bottom"/>
          </w:tcPr>
          <w:p>
            <w:pPr>
              <w:spacing w:after="0"/>
              <w:rPr>
                <w:sz w:val="1"/>
                <w:szCs w:val="1"/>
                <w:color w:val="auto"/>
              </w:rPr>
            </w:pPr>
          </w:p>
        </w:tc>
      </w:tr>
      <w:tr>
        <w:trPr>
          <w:trHeight w:val="177"/>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35,065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35,065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38,313</w:t>
            </w:r>
          </w:p>
        </w:tc>
        <w:tc>
          <w:tcPr>
            <w:tcW w:w="0" w:type="dxa"/>
            <w:vAlign w:val="bottom"/>
          </w:tcPr>
          <w:p>
            <w:pPr>
              <w:spacing w:after="0"/>
              <w:rPr>
                <w:sz w:val="1"/>
                <w:szCs w:val="1"/>
                <w:color w:val="auto"/>
              </w:rPr>
            </w:pPr>
          </w:p>
        </w:tc>
      </w:tr>
      <w:tr>
        <w:trPr>
          <w:trHeight w:val="175"/>
        </w:trPr>
        <w:tc>
          <w:tcPr>
            <w:tcW w:w="2140" w:type="dxa"/>
            <w:vAlign w:val="bottom"/>
          </w:tcPr>
          <w:p>
            <w:pPr>
              <w:ind w:left="20"/>
              <w:spacing w:after="0"/>
              <w:rPr>
                <w:sz w:val="20"/>
                <w:szCs w:val="20"/>
                <w:color w:val="auto"/>
              </w:rPr>
            </w:pPr>
            <w:r>
              <w:rPr>
                <w:rFonts w:ascii="Arial" w:cs="Arial" w:eastAsia="Arial" w:hAnsi="Arial"/>
                <w:sz w:val="13"/>
                <w:szCs w:val="13"/>
                <w:b w:val="1"/>
                <w:bCs w:val="1"/>
                <w:color w:val="auto"/>
              </w:rPr>
              <w:t>Balances, September 30, 2020</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107,872,298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1,234</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(1,420,535)</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2,554,443</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(898)</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(1,262,947)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(128,703)</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(417,928)</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(546,631)</w:t>
            </w:r>
          </w:p>
        </w:tc>
        <w:tc>
          <w:tcPr>
            <w:tcW w:w="0" w:type="dxa"/>
            <w:vAlign w:val="bottom"/>
          </w:tcPr>
          <w:p>
            <w:pPr>
              <w:spacing w:after="0"/>
              <w:rPr>
                <w:sz w:val="1"/>
                <w:szCs w:val="1"/>
                <w:color w:val="auto"/>
              </w:rPr>
            </w:pPr>
          </w:p>
        </w:tc>
      </w:tr>
      <w:tr>
        <w:trPr>
          <w:trHeight w:val="21"/>
        </w:trPr>
        <w:tc>
          <w:tcPr>
            <w:tcW w:w="2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3"/>
        </w:trPr>
        <w:tc>
          <w:tcPr>
            <w:tcW w:w="21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10"/>
          </w:tcPr>
          <w:p>
            <w:pPr>
              <w:jc w:val="right"/>
              <w:ind w:right="2"/>
              <w:spacing w:after="0"/>
              <w:rPr>
                <w:sz w:val="20"/>
                <w:szCs w:val="20"/>
                <w:color w:val="auto"/>
              </w:rPr>
            </w:pPr>
            <w:r>
              <w:rPr>
                <w:rFonts w:ascii="Arial" w:cs="Arial" w:eastAsia="Arial" w:hAnsi="Arial"/>
                <w:sz w:val="13"/>
                <w:szCs w:val="13"/>
                <w:b w:val="1"/>
                <w:bCs w:val="1"/>
                <w:color w:val="auto"/>
              </w:rPr>
              <w:t>For the Nine Months Ended September 30, 2019</w:t>
            </w: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140" w:type="dxa"/>
            <w:vAlign w:val="bottom"/>
          </w:tcPr>
          <w:p>
            <w:pPr>
              <w:spacing w:after="0"/>
              <w:rPr>
                <w:sz w:val="14"/>
                <w:szCs w:val="14"/>
                <w:color w:val="auto"/>
              </w:rPr>
            </w:pPr>
          </w:p>
        </w:tc>
        <w:tc>
          <w:tcPr>
            <w:tcW w:w="1700" w:type="dxa"/>
            <w:vAlign w:val="bottom"/>
            <w:gridSpan w:val="5"/>
          </w:tcPr>
          <w:p>
            <w:pPr>
              <w:ind w:left="40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14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9"/>
                <w:szCs w:val="9"/>
                <w:color w:val="auto"/>
              </w:rPr>
            </w:pPr>
          </w:p>
        </w:tc>
        <w:tc>
          <w:tcPr>
            <w:tcW w:w="1060" w:type="dxa"/>
            <w:vAlign w:val="bottom"/>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w w:val="95"/>
              </w:rPr>
              <w:t>Accumulated</w:t>
            </w: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w w:val="95"/>
              </w:rPr>
              <w:t>Total Wynn</w:t>
            </w: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1"/>
        </w:trPr>
        <w:tc>
          <w:tcPr>
            <w:tcW w:w="2140" w:type="dxa"/>
            <w:vAlign w:val="bottom"/>
          </w:tcPr>
          <w:p>
            <w:pPr>
              <w:spacing w:after="0"/>
              <w:rPr>
                <w:sz w:val="10"/>
                <w:szCs w:val="10"/>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0"/>
                <w:szCs w:val="10"/>
                <w:color w:val="auto"/>
              </w:rPr>
            </w:pPr>
          </w:p>
        </w:tc>
        <w:tc>
          <w:tcPr>
            <w:tcW w:w="6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5"/>
              </w:rPr>
              <w:t>Par</w:t>
            </w:r>
          </w:p>
        </w:tc>
        <w:tc>
          <w:tcPr>
            <w:tcW w:w="140" w:type="dxa"/>
            <w:vAlign w:val="bottom"/>
          </w:tcPr>
          <w:p>
            <w:pPr>
              <w:spacing w:after="0"/>
              <w:rPr>
                <w:sz w:val="10"/>
                <w:szCs w:val="10"/>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7"/>
              </w:rPr>
              <w:t>Treasury</w:t>
            </w: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6"/>
              </w:rPr>
              <w:t>other</w:t>
            </w:r>
          </w:p>
        </w:tc>
        <w:tc>
          <w:tcPr>
            <w:tcW w:w="100" w:type="dxa"/>
            <w:vAlign w:val="bottom"/>
          </w:tcPr>
          <w:p>
            <w:pPr>
              <w:spacing w:after="0"/>
              <w:rPr>
                <w:sz w:val="10"/>
                <w:szCs w:val="10"/>
                <w:color w:val="auto"/>
              </w:rPr>
            </w:pPr>
          </w:p>
        </w:tc>
        <w:tc>
          <w:tcPr>
            <w:tcW w:w="94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87"/>
              </w:rPr>
              <w:t>Retained</w:t>
            </w:r>
          </w:p>
        </w:tc>
        <w:tc>
          <w:tcPr>
            <w:tcW w:w="100" w:type="dxa"/>
            <w:vAlign w:val="bottom"/>
          </w:tcPr>
          <w:p>
            <w:pPr>
              <w:spacing w:after="0"/>
              <w:rPr>
                <w:sz w:val="10"/>
                <w:szCs w:val="10"/>
                <w:color w:val="auto"/>
              </w:rPr>
            </w:pPr>
          </w:p>
        </w:tc>
        <w:tc>
          <w:tcPr>
            <w:tcW w:w="10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8"/>
              </w:rPr>
              <w:t>Resorts, Ltd.</w:t>
            </w:r>
          </w:p>
        </w:tc>
        <w:tc>
          <w:tcPr>
            <w:tcW w:w="100" w:type="dxa"/>
            <w:vAlign w:val="bottom"/>
          </w:tcPr>
          <w:p>
            <w:pPr>
              <w:spacing w:after="0"/>
              <w:rPr>
                <w:sz w:val="10"/>
                <w:szCs w:val="10"/>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8"/>
              </w:rPr>
              <w:t>Noncontrolling</w:t>
            </w: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3"/>
              </w:rPr>
              <w:t>paid-in</w:t>
            </w: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3"/>
              </w:rPr>
              <w:t>comprehensive</w:t>
            </w:r>
          </w:p>
        </w:tc>
        <w:tc>
          <w:tcPr>
            <w:tcW w:w="10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5"/>
              </w:rPr>
              <w:t>stockholders'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83"/>
              </w:rPr>
              <w:t>stockholders'</w:t>
            </w:r>
          </w:p>
        </w:tc>
        <w:tc>
          <w:tcPr>
            <w:tcW w:w="0" w:type="dxa"/>
            <w:vAlign w:val="bottom"/>
          </w:tcPr>
          <w:p>
            <w:pPr>
              <w:spacing w:after="0"/>
              <w:rPr>
                <w:sz w:val="1"/>
                <w:szCs w:val="1"/>
                <w:color w:val="auto"/>
              </w:rPr>
            </w:pPr>
          </w:p>
        </w:tc>
      </w:tr>
      <w:tr>
        <w:trPr>
          <w:trHeight w:val="170"/>
        </w:trPr>
        <w:tc>
          <w:tcPr>
            <w:tcW w:w="214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outstanding</w:t>
            </w:r>
          </w:p>
        </w:tc>
        <w:tc>
          <w:tcPr>
            <w:tcW w:w="120" w:type="dxa"/>
            <w:vAlign w:val="bottom"/>
          </w:tcPr>
          <w:p>
            <w:pPr>
              <w:spacing w:after="0"/>
              <w:rPr>
                <w:sz w:val="14"/>
                <w:szCs w:val="14"/>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value</w:t>
            </w:r>
          </w:p>
        </w:tc>
        <w:tc>
          <w:tcPr>
            <w:tcW w:w="14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stock</w:t>
            </w: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capital</w:t>
            </w: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6"/>
              </w:rPr>
              <w:t>loss</w:t>
            </w:r>
          </w:p>
        </w:tc>
        <w:tc>
          <w:tcPr>
            <w:tcW w:w="100" w:type="dxa"/>
            <w:vAlign w:val="bottom"/>
          </w:tcPr>
          <w:p>
            <w:pPr>
              <w:spacing w:after="0"/>
              <w:rPr>
                <w:sz w:val="14"/>
                <w:szCs w:val="14"/>
                <w:color w:val="auto"/>
              </w:rPr>
            </w:pPr>
          </w:p>
        </w:tc>
        <w:tc>
          <w:tcPr>
            <w:tcW w:w="9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4"/>
              </w:rPr>
              <w:t>earnings</w:t>
            </w: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equity</w:t>
            </w: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interests</w:t>
            </w:r>
          </w:p>
        </w:tc>
        <w:tc>
          <w:tcPr>
            <w:tcW w:w="80" w:type="dxa"/>
            <w:vAlign w:val="bottom"/>
          </w:tcPr>
          <w:p>
            <w:pPr>
              <w:spacing w:after="0"/>
              <w:rPr>
                <w:sz w:val="14"/>
                <w:szCs w:val="14"/>
                <w:color w:val="auto"/>
              </w:rPr>
            </w:pPr>
          </w:p>
        </w:tc>
        <w:tc>
          <w:tcPr>
            <w:tcW w:w="860" w:type="dxa"/>
            <w:vAlign w:val="bottom"/>
          </w:tcPr>
          <w:p>
            <w:pPr>
              <w:jc w:val="center"/>
              <w:ind w:right="17"/>
              <w:spacing w:after="0"/>
              <w:rPr>
                <w:sz w:val="20"/>
                <w:szCs w:val="20"/>
                <w:color w:val="auto"/>
              </w:rPr>
            </w:pPr>
            <w:r>
              <w:rPr>
                <w:rFonts w:ascii="Arial" w:cs="Arial" w:eastAsia="Arial" w:hAnsi="Arial"/>
                <w:sz w:val="13"/>
                <w:szCs w:val="13"/>
                <w:b w:val="1"/>
                <w:bCs w:val="1"/>
                <w:color w:val="auto"/>
                <w:w w:val="88"/>
              </w:rPr>
              <w:t>equity</w:t>
            </w:r>
          </w:p>
        </w:tc>
        <w:tc>
          <w:tcPr>
            <w:tcW w:w="0" w:type="dxa"/>
            <w:vAlign w:val="bottom"/>
          </w:tcPr>
          <w:p>
            <w:pPr>
              <w:spacing w:after="0"/>
              <w:rPr>
                <w:sz w:val="1"/>
                <w:szCs w:val="1"/>
                <w:color w:val="auto"/>
              </w:rPr>
            </w:pPr>
          </w:p>
        </w:tc>
      </w:tr>
      <w:tr>
        <w:trPr>
          <w:trHeight w:val="175"/>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January 1, 2019</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107,232,026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(1,344,012)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2,457,079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921,785</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2,034,123</w:t>
            </w: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(219,334)</w:t>
            </w: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1,814,789</w:t>
            </w:r>
          </w:p>
        </w:tc>
        <w:tc>
          <w:tcPr>
            <w:tcW w:w="0" w:type="dxa"/>
            <w:vAlign w:val="bottom"/>
          </w:tcPr>
          <w:p>
            <w:pPr>
              <w:spacing w:after="0"/>
              <w:rPr>
                <w:sz w:val="1"/>
                <w:szCs w:val="1"/>
                <w:color w:val="auto"/>
              </w:rPr>
            </w:pPr>
          </w:p>
        </w:tc>
      </w:tr>
      <w:tr>
        <w:trPr>
          <w:trHeight w:val="168"/>
        </w:trPr>
        <w:tc>
          <w:tcPr>
            <w:tcW w:w="214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195,927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195,927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132,921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328,848</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Currency translation adjustment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(1,039)</w:t>
            </w:r>
          </w:p>
        </w:tc>
        <w:tc>
          <w:tcPr>
            <w:tcW w:w="0" w:type="dxa"/>
            <w:vAlign w:val="bottom"/>
          </w:tcPr>
          <w:p>
            <w:pPr>
              <w:spacing w:after="0"/>
              <w:rPr>
                <w:sz w:val="1"/>
                <w:szCs w:val="1"/>
                <w:color w:val="auto"/>
              </w:rPr>
            </w:pPr>
          </w:p>
        </w:tc>
      </w:tr>
      <w:tr>
        <w:trPr>
          <w:trHeight w:val="168"/>
        </w:trPr>
        <w:tc>
          <w:tcPr>
            <w:tcW w:w="214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880" w:type="dxa"/>
            <w:vAlign w:val="bottom"/>
          </w:tcPr>
          <w:p>
            <w:pPr>
              <w:jc w:val="right"/>
              <w:spacing w:after="0"/>
              <w:rPr>
                <w:sz w:val="20"/>
                <w:szCs w:val="20"/>
                <w:color w:val="auto"/>
              </w:rPr>
            </w:pPr>
            <w:r>
              <w:rPr>
                <w:rFonts w:ascii="Arial" w:cs="Arial" w:eastAsia="Arial" w:hAnsi="Arial"/>
                <w:sz w:val="13"/>
                <w:szCs w:val="13"/>
                <w:color w:val="auto"/>
              </w:rPr>
              <w:t>293,690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14,693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14,696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14,696</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restricted stock</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456,505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14,344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14,348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15,133</w:t>
            </w:r>
          </w:p>
        </w:tc>
        <w:tc>
          <w:tcPr>
            <w:tcW w:w="0" w:type="dxa"/>
            <w:vAlign w:val="bottom"/>
          </w:tcPr>
          <w:p>
            <w:pPr>
              <w:spacing w:after="0"/>
              <w:rPr>
                <w:sz w:val="1"/>
                <w:szCs w:val="1"/>
                <w:color w:val="auto"/>
              </w:rPr>
            </w:pPr>
          </w:p>
        </w:tc>
      </w:tr>
      <w:tr>
        <w:trPr>
          <w:trHeight w:val="168"/>
        </w:trPr>
        <w:tc>
          <w:tcPr>
            <w:tcW w:w="2140" w:type="dxa"/>
            <w:vAlign w:val="bottom"/>
          </w:tcPr>
          <w:p>
            <w:pPr>
              <w:ind w:left="20"/>
              <w:spacing w:after="0"/>
              <w:rPr>
                <w:sz w:val="20"/>
                <w:szCs w:val="20"/>
                <w:color w:val="auto"/>
              </w:rPr>
            </w:pPr>
            <w:r>
              <w:rPr>
                <w:rFonts w:ascii="Arial" w:cs="Arial" w:eastAsia="Arial" w:hAnsi="Arial"/>
                <w:sz w:val="13"/>
                <w:szCs w:val="13"/>
                <w:color w:val="auto"/>
              </w:rPr>
              <w:t>Cancellation of restricted stock</w:t>
            </w:r>
          </w:p>
        </w:tc>
        <w:tc>
          <w:tcPr>
            <w:tcW w:w="880" w:type="dxa"/>
            <w:vAlign w:val="bottom"/>
          </w:tcPr>
          <w:p>
            <w:pPr>
              <w:jc w:val="right"/>
              <w:spacing w:after="0"/>
              <w:rPr>
                <w:sz w:val="20"/>
                <w:szCs w:val="20"/>
                <w:color w:val="auto"/>
              </w:rPr>
            </w:pPr>
            <w:r>
              <w:rPr>
                <w:rFonts w:ascii="Arial" w:cs="Arial" w:eastAsia="Arial" w:hAnsi="Arial"/>
                <w:sz w:val="13"/>
                <w:szCs w:val="13"/>
                <w:color w:val="auto"/>
              </w:rPr>
              <w:t>(39,649)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1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87"/>
              </w:rPr>
              <w:t>Shares repurchased by the Company and</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(580,070)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(65,705)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(65,705)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(65,705)</w:t>
            </w:r>
          </w:p>
        </w:tc>
        <w:tc>
          <w:tcPr>
            <w:tcW w:w="0" w:type="dxa"/>
            <w:vAlign w:val="bottom"/>
          </w:tcPr>
          <w:p>
            <w:pPr>
              <w:spacing w:after="0"/>
              <w:rPr>
                <w:sz w:val="1"/>
                <w:szCs w:val="1"/>
                <w:color w:val="auto"/>
              </w:rPr>
            </w:pPr>
          </w:p>
        </w:tc>
      </w:tr>
      <w:tr>
        <w:trPr>
          <w:trHeight w:val="176"/>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held as treasury shares</w:t>
            </w: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140" w:type="dxa"/>
            <w:vAlign w:val="bottom"/>
          </w:tcPr>
          <w:p>
            <w:pPr>
              <w:ind w:left="20"/>
              <w:spacing w:after="0"/>
              <w:rPr>
                <w:sz w:val="20"/>
                <w:szCs w:val="20"/>
                <w:color w:val="auto"/>
              </w:rPr>
            </w:pPr>
            <w:r>
              <w:rPr>
                <w:rFonts w:ascii="Arial" w:cs="Arial" w:eastAsia="Arial" w:hAnsi="Arial"/>
                <w:sz w:val="13"/>
                <w:szCs w:val="13"/>
                <w:color w:val="auto"/>
              </w:rPr>
              <w:t>Cash dividends declared</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(295,642)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(295,642)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(165,849)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(461,491)</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Distribution to noncontrolling interest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(3,725)</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21,754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21,754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24,373</w:t>
            </w:r>
          </w:p>
        </w:tc>
        <w:tc>
          <w:tcPr>
            <w:tcW w:w="0" w:type="dxa"/>
            <w:vAlign w:val="bottom"/>
          </w:tcPr>
          <w:p>
            <w:pPr>
              <w:spacing w:after="0"/>
              <w:rPr>
                <w:sz w:val="1"/>
                <w:szCs w:val="1"/>
                <w:color w:val="auto"/>
              </w:rPr>
            </w:pPr>
          </w:p>
        </w:tc>
      </w:tr>
      <w:tr>
        <w:trPr>
          <w:trHeight w:val="201"/>
        </w:trPr>
        <w:tc>
          <w:tcPr>
            <w:tcW w:w="2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September 30, 2019</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107,362,502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1,228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(1,409,717)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2,507,870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(2,700)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822,070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1,918,751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(252,872)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1,665,879</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96"/>
        </w:trPr>
        <w:tc>
          <w:tcPr>
            <w:tcW w:w="8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202"/>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340"/>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(2,016,655)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328,848</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(used in) provided by operating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541,498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449,824</w:t>
            </w:r>
          </w:p>
        </w:tc>
      </w:tr>
      <w:tr>
        <w:trPr>
          <w:trHeight w:val="219"/>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562,262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16,838</w:t>
            </w:r>
          </w:p>
        </w:tc>
      </w:tr>
      <w:tr>
        <w:trPr>
          <w:trHeight w:val="213"/>
        </w:trPr>
        <w:tc>
          <w:tcPr>
            <w:tcW w:w="8260" w:type="dxa"/>
            <w:vAlign w:val="bottom"/>
          </w:tcPr>
          <w:p>
            <w:pPr>
              <w:ind w:left="34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40,501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30,444</w:t>
            </w:r>
          </w:p>
        </w:tc>
      </w:tr>
      <w:tr>
        <w:trPr>
          <w:trHeight w:val="219"/>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debt issuance costs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22,171</w:t>
            </w:r>
          </w:p>
        </w:tc>
      </w:tr>
      <w:tr>
        <w:trPr>
          <w:trHeight w:val="213"/>
        </w:trPr>
        <w:tc>
          <w:tcPr>
            <w:tcW w:w="8260" w:type="dxa"/>
            <w:vAlign w:val="bottom"/>
          </w:tcPr>
          <w:p>
            <w:pPr>
              <w:ind w:left="340"/>
              <w:spacing w:after="0"/>
              <w:rPr>
                <w:sz w:val="20"/>
                <w:szCs w:val="20"/>
                <w:color w:val="auto"/>
              </w:rPr>
            </w:pPr>
            <w:r>
              <w:rPr>
                <w:rFonts w:ascii="Arial" w:cs="Arial" w:eastAsia="Arial" w:hAnsi="Arial"/>
                <w:sz w:val="16"/>
                <w:szCs w:val="16"/>
                <w:color w:val="auto"/>
              </w:rPr>
              <w:t>Loss on extinguishment of debt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12,196</w:t>
            </w:r>
          </w:p>
        </w:tc>
      </w:tr>
      <w:tr>
        <w:trPr>
          <w:trHeight w:val="219"/>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Provision for credit losses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13,039</w:t>
            </w:r>
          </w:p>
        </w:tc>
      </w:tr>
      <w:tr>
        <w:trPr>
          <w:trHeight w:val="213"/>
        </w:trPr>
        <w:tc>
          <w:tcPr>
            <w:tcW w:w="8260" w:type="dxa"/>
            <w:vAlign w:val="bottom"/>
          </w:tcPr>
          <w:p>
            <w:pPr>
              <w:ind w:left="340"/>
              <w:spacing w:after="0"/>
              <w:rPr>
                <w:sz w:val="20"/>
                <w:szCs w:val="20"/>
                <w:color w:val="auto"/>
              </w:rPr>
            </w:pPr>
            <w:r>
              <w:rPr>
                <w:rFonts w:ascii="Arial" w:cs="Arial" w:eastAsia="Arial" w:hAnsi="Arial"/>
                <w:sz w:val="16"/>
                <w:szCs w:val="16"/>
                <w:color w:val="auto"/>
              </w:rPr>
              <w:t>Change in derivatives fair value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14,279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6,914</w:t>
            </w:r>
          </w:p>
        </w:tc>
      </w:tr>
      <w:tr>
        <w:trPr>
          <w:trHeight w:val="219"/>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Property charges and other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21,238</w:t>
            </w:r>
          </w:p>
        </w:tc>
      </w:tr>
      <w:tr>
        <w:trPr>
          <w:trHeight w:val="213"/>
        </w:trPr>
        <w:tc>
          <w:tcPr>
            <w:tcW w:w="8260" w:type="dxa"/>
            <w:vAlign w:val="bottom"/>
          </w:tcPr>
          <w:p>
            <w:pPr>
              <w:ind w:left="340"/>
              <w:spacing w:after="0"/>
              <w:rPr>
                <w:sz w:val="20"/>
                <w:szCs w:val="20"/>
                <w:color w:val="auto"/>
              </w:rPr>
            </w:pPr>
            <w:r>
              <w:rPr>
                <w:rFonts w:ascii="Arial" w:cs="Arial" w:eastAsia="Arial" w:hAnsi="Arial"/>
                <w:sz w:val="16"/>
                <w:szCs w:val="16"/>
                <w:color w:val="auto"/>
              </w:rPr>
              <w:t>Increase (decrease) in cash from changes in:</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Receivables,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(23,046)</w:t>
            </w:r>
          </w:p>
        </w:tc>
      </w:tr>
      <w:tr>
        <w:trPr>
          <w:trHeight w:val="213"/>
        </w:trPr>
        <w:tc>
          <w:tcPr>
            <w:tcW w:w="8260" w:type="dxa"/>
            <w:vAlign w:val="bottom"/>
          </w:tcPr>
          <w:p>
            <w:pPr>
              <w:ind w:left="660"/>
              <w:spacing w:after="0"/>
              <w:rPr>
                <w:sz w:val="20"/>
                <w:szCs w:val="20"/>
                <w:color w:val="auto"/>
              </w:rPr>
            </w:pPr>
            <w:r>
              <w:rPr>
                <w:rFonts w:ascii="Arial" w:cs="Arial" w:eastAsia="Arial" w:hAnsi="Arial"/>
                <w:sz w:val="16"/>
                <w:szCs w:val="16"/>
                <w:color w:val="auto"/>
              </w:rPr>
              <w:t>Inventories, prepaid expenses and other</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15,923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(17,380)</w:t>
            </w:r>
          </w:p>
        </w:tc>
      </w:tr>
      <w:tr>
        <w:trPr>
          <w:trHeight w:val="219"/>
        </w:trPr>
        <w:tc>
          <w:tcPr>
            <w:tcW w:w="82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Customer deposits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2,355</w:t>
            </w:r>
          </w:p>
        </w:tc>
      </w:tr>
      <w:tr>
        <w:trPr>
          <w:trHeight w:val="213"/>
        </w:trPr>
        <w:tc>
          <w:tcPr>
            <w:tcW w:w="826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Accounts payable and accrued expenses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(208,258)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(83,556)</w:t>
            </w:r>
          </w:p>
        </w:tc>
      </w:tr>
      <w:tr>
        <w:trPr>
          <w:trHeight w:val="213"/>
        </w:trPr>
        <w:tc>
          <w:tcPr>
            <w:tcW w:w="8260" w:type="dxa"/>
            <w:vAlign w:val="bottom"/>
            <w:shd w:val="clear" w:color="auto" w:fill="CCEEFF"/>
          </w:tcPr>
          <w:p>
            <w:pPr>
              <w:ind w:left="1100"/>
              <w:spacing w:after="0"/>
              <w:rPr>
                <w:sz w:val="20"/>
                <w:szCs w:val="20"/>
                <w:color w:val="auto"/>
              </w:rPr>
            </w:pPr>
            <w:r>
              <w:rPr>
                <w:rFonts w:ascii="Arial" w:cs="Arial" w:eastAsia="Arial" w:hAnsi="Arial"/>
                <w:sz w:val="16"/>
                <w:szCs w:val="16"/>
                <w:b w:val="1"/>
                <w:bCs w:val="1"/>
                <w:color w:val="auto"/>
              </w:rPr>
              <w:t>Net cash (used in) provided by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(781,079)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779,885</w:t>
            </w:r>
          </w:p>
        </w:tc>
      </w:tr>
      <w:tr>
        <w:trPr>
          <w:trHeight w:val="193"/>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9"/>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Capital expenditures, net of construction payables and retention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(261,093)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(878,335)</w:t>
            </w:r>
          </w:p>
        </w:tc>
      </w:tr>
      <w:tr>
        <w:trPr>
          <w:trHeight w:val="213"/>
        </w:trPr>
        <w:tc>
          <w:tcPr>
            <w:tcW w:w="8260" w:type="dxa"/>
            <w:vAlign w:val="bottom"/>
          </w:tcPr>
          <w:p>
            <w:pPr>
              <w:ind w:left="340"/>
              <w:spacing w:after="0"/>
              <w:rPr>
                <w:sz w:val="20"/>
                <w:szCs w:val="20"/>
                <w:color w:val="auto"/>
              </w:rPr>
            </w:pPr>
            <w:r>
              <w:rPr>
                <w:rFonts w:ascii="Arial" w:cs="Arial" w:eastAsia="Arial" w:hAnsi="Arial"/>
                <w:sz w:val="16"/>
                <w:szCs w:val="16"/>
                <w:color w:val="auto"/>
              </w:rPr>
              <w:t>Purchase of intangible and other assets</w:t>
            </w: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(6,000)</w:t>
            </w:r>
          </w:p>
        </w:tc>
      </w:tr>
      <w:tr>
        <w:trPr>
          <w:trHeight w:val="219"/>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sale of assets and other</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w:t>
            </w:r>
          </w:p>
        </w:tc>
      </w:tr>
      <w:tr>
        <w:trPr>
          <w:trHeight w:val="207"/>
        </w:trPr>
        <w:tc>
          <w:tcPr>
            <w:tcW w:w="8260" w:type="dxa"/>
            <w:vAlign w:val="bottom"/>
            <w:tcBorders>
              <w:bottom w:val="single" w:sz="8" w:color="CCEEFF"/>
            </w:tcBorders>
          </w:tcPr>
          <w:p>
            <w:pPr>
              <w:ind w:left="1100"/>
              <w:spacing w:after="0"/>
              <w:rPr>
                <w:sz w:val="20"/>
                <w:szCs w:val="20"/>
                <w:color w:val="auto"/>
              </w:rPr>
            </w:pPr>
            <w:r>
              <w:rPr>
                <w:rFonts w:ascii="Arial" w:cs="Arial" w:eastAsia="Arial" w:hAnsi="Arial"/>
                <w:sz w:val="16"/>
                <w:szCs w:val="16"/>
                <w:b w:val="1"/>
                <w:bCs w:val="1"/>
                <w:color w:val="auto"/>
              </w:rPr>
              <w:t>Net cash used in investing activities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(257,360)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(883,743)</w:t>
            </w:r>
          </w:p>
        </w:tc>
      </w:tr>
      <w:tr>
        <w:trPr>
          <w:trHeight w:val="19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340"/>
              <w:spacing w:after="0"/>
              <w:rPr>
                <w:sz w:val="20"/>
                <w:szCs w:val="20"/>
                <w:color w:val="auto"/>
              </w:rPr>
            </w:pPr>
            <w:r>
              <w:rPr>
                <w:rFonts w:ascii="Arial" w:cs="Arial" w:eastAsia="Arial" w:hAnsi="Arial"/>
                <w:sz w:val="16"/>
                <w:szCs w:val="16"/>
                <w:color w:val="auto"/>
              </w:rPr>
              <w:t>Proceeds from issuance of long-term debt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3,919,377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2,549,072</w:t>
            </w:r>
          </w:p>
        </w:tc>
      </w:tr>
      <w:tr>
        <w:trPr>
          <w:trHeight w:val="219"/>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Repayments of long-term debt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(1,540,609)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(2,443,367)</w:t>
            </w:r>
          </w:p>
        </w:tc>
      </w:tr>
      <w:tr>
        <w:trPr>
          <w:trHeight w:val="213"/>
        </w:trPr>
        <w:tc>
          <w:tcPr>
            <w:tcW w:w="8260" w:type="dxa"/>
            <w:vAlign w:val="bottom"/>
          </w:tcPr>
          <w:p>
            <w:pPr>
              <w:ind w:left="340"/>
              <w:spacing w:after="0"/>
              <w:rPr>
                <w:sz w:val="20"/>
                <w:szCs w:val="20"/>
                <w:color w:val="auto"/>
              </w:rPr>
            </w:pPr>
            <w:r>
              <w:rPr>
                <w:rFonts w:ascii="Arial" w:cs="Arial" w:eastAsia="Arial" w:hAnsi="Arial"/>
                <w:sz w:val="16"/>
                <w:szCs w:val="16"/>
                <w:color w:val="auto"/>
              </w:rPr>
              <w:t>Repurchase of common stock</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(9,537)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(65,705)</w:t>
            </w:r>
          </w:p>
        </w:tc>
      </w:tr>
      <w:tr>
        <w:trPr>
          <w:trHeight w:val="219"/>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Finance lease payment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3"/>
        </w:trPr>
        <w:tc>
          <w:tcPr>
            <w:tcW w:w="8260" w:type="dxa"/>
            <w:vAlign w:val="bottom"/>
          </w:tcPr>
          <w:p>
            <w:pPr>
              <w:ind w:left="34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14,696</w:t>
            </w:r>
          </w:p>
        </w:tc>
      </w:tr>
      <w:tr>
        <w:trPr>
          <w:trHeight w:val="219"/>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Dividends paid</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(460,139)</w:t>
            </w:r>
          </w:p>
        </w:tc>
      </w:tr>
      <w:tr>
        <w:trPr>
          <w:trHeight w:val="213"/>
        </w:trPr>
        <w:tc>
          <w:tcPr>
            <w:tcW w:w="8260" w:type="dxa"/>
            <w:vAlign w:val="bottom"/>
          </w:tcPr>
          <w:p>
            <w:pPr>
              <w:ind w:left="340"/>
              <w:spacing w:after="0"/>
              <w:rPr>
                <w:sz w:val="20"/>
                <w:szCs w:val="20"/>
                <w:color w:val="auto"/>
              </w:rPr>
            </w:pPr>
            <w:r>
              <w:rPr>
                <w:rFonts w:ascii="Arial" w:cs="Arial" w:eastAsia="Arial" w:hAnsi="Arial"/>
                <w:sz w:val="16"/>
                <w:szCs w:val="16"/>
                <w:color w:val="auto"/>
              </w:rPr>
              <w:t>Distribution to noncontrolling interest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(3,725)</w:t>
            </w:r>
          </w:p>
        </w:tc>
      </w:tr>
      <w:tr>
        <w:trPr>
          <w:trHeight w:val="219"/>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for financing costs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(22,359)</w:t>
            </w:r>
          </w:p>
        </w:tc>
      </w:tr>
      <w:tr>
        <w:trPr>
          <w:trHeight w:val="207"/>
        </w:trPr>
        <w:tc>
          <w:tcPr>
            <w:tcW w:w="8260" w:type="dxa"/>
            <w:vAlign w:val="bottom"/>
            <w:tcBorders>
              <w:bottom w:val="single" w:sz="8" w:color="CCEEFF"/>
            </w:tcBorders>
          </w:tcPr>
          <w:p>
            <w:pPr>
              <w:ind w:left="110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2,236,479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(431,563)</w:t>
            </w:r>
          </w:p>
        </w:tc>
      </w:tr>
      <w:tr>
        <w:trPr>
          <w:trHeight w:val="212"/>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Effect of exchange rate on cash, cash equivalents and restricted cash</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3,412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(1,610)</w:t>
            </w:r>
          </w:p>
        </w:tc>
      </w:tr>
      <w:tr>
        <w:trPr>
          <w:trHeight w:val="193"/>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9"/>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rPr>
              <w:t>Increase (decrease) in cash, cash equivalents and restricted cash</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1,201,452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(537,031)</w:t>
            </w:r>
          </w:p>
        </w:tc>
      </w:tr>
      <w:tr>
        <w:trPr>
          <w:trHeight w:val="213"/>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6"/>
                <w:szCs w:val="16"/>
                <w:b w:val="1"/>
                <w:bCs w:val="1"/>
                <w:color w:val="auto"/>
              </w:rPr>
              <w:t>Balance, beginning of period</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2,358,292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2,219,323</w:t>
            </w:r>
          </w:p>
        </w:tc>
      </w:tr>
      <w:tr>
        <w:trPr>
          <w:trHeight w:val="235"/>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b w:val="1"/>
                <w:bCs w:val="1"/>
                <w:color w:val="auto"/>
              </w:rPr>
              <w:t>Balance,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3,559,744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1,682,292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8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disclosures: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tcPr>
          <w:p>
            <w:pPr>
              <w:ind w:left="340"/>
              <w:spacing w:after="0"/>
              <w:rPr>
                <w:sz w:val="20"/>
                <w:szCs w:val="20"/>
                <w:color w:val="auto"/>
              </w:rPr>
            </w:pPr>
            <w:r>
              <w:rPr>
                <w:rFonts w:ascii="Arial" w:cs="Arial" w:eastAsia="Arial" w:hAnsi="Arial"/>
                <w:sz w:val="16"/>
                <w:szCs w:val="16"/>
                <w:color w:val="auto"/>
              </w:rPr>
              <w:t>Cash paid for interest, net of amounts capitalized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313,696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265,873</w:t>
            </w:r>
          </w:p>
        </w:tc>
      </w:tr>
      <w:tr>
        <w:trPr>
          <w:trHeight w:val="219"/>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Liability settled with shares of common stock</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15,134</w:t>
            </w:r>
          </w:p>
        </w:tc>
      </w:tr>
      <w:tr>
        <w:trPr>
          <w:trHeight w:val="213"/>
        </w:trPr>
        <w:tc>
          <w:tcPr>
            <w:tcW w:w="8260" w:type="dxa"/>
            <w:vAlign w:val="bottom"/>
          </w:tcPr>
          <w:p>
            <w:pPr>
              <w:ind w:left="340"/>
              <w:spacing w:after="0"/>
              <w:rPr>
                <w:sz w:val="20"/>
                <w:szCs w:val="20"/>
                <w:color w:val="auto"/>
              </w:rPr>
            </w:pPr>
            <w:r>
              <w:rPr>
                <w:rFonts w:ascii="Arial" w:cs="Arial" w:eastAsia="Arial" w:hAnsi="Arial"/>
                <w:sz w:val="16"/>
                <w:szCs w:val="16"/>
                <w:color w:val="auto"/>
              </w:rPr>
              <w:t>Accounts and construction payables related to property and equipment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85,585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202,375</w:t>
            </w:r>
          </w:p>
        </w:tc>
      </w:tr>
      <w:tr>
        <w:trPr>
          <w:trHeight w:val="219"/>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liabilities related to intangible assets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13,463</w:t>
            </w:r>
          </w:p>
        </w:tc>
      </w:tr>
      <w:tr>
        <w:trPr>
          <w:trHeight w:val="210"/>
        </w:trPr>
        <w:tc>
          <w:tcPr>
            <w:tcW w:w="8260" w:type="dxa"/>
            <w:vAlign w:val="bottom"/>
          </w:tcPr>
          <w:p>
            <w:pPr>
              <w:ind w:left="340"/>
              <w:spacing w:after="0"/>
              <w:rPr>
                <w:sz w:val="20"/>
                <w:szCs w:val="20"/>
                <w:color w:val="auto"/>
              </w:rPr>
            </w:pPr>
            <w:r>
              <w:rPr>
                <w:rFonts w:ascii="Arial" w:cs="Arial" w:eastAsia="Arial" w:hAnsi="Arial"/>
                <w:sz w:val="16"/>
                <w:szCs w:val="16"/>
                <w:color w:val="auto"/>
              </w:rPr>
              <w:t>Finance lease liabilities arising from obtaining finance lease assets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42,432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1,413</w:t>
            </w:r>
          </w:p>
        </w:tc>
      </w:tr>
    </w:tbl>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is a designer, developer, and operator of integrated resorts featuring luxury hotel rooms, high-end retail space, an array of dining and entertainment options, meeting and convention facilities, and gaming.</w:t>
      </w:r>
    </w:p>
    <w:p>
      <w:pPr>
        <w:spacing w:after="0" w:line="21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the Macau Special Administrative Region of the People's Republic of China ("Macau"), the Company owns approximately 72% of Wynn Macau, Limited ("WML"), which includes the operations of the Wynn Palace and Wynn Macau resorts. The Company refers to Wynn Palace and Wynn Macau as its Macau Operations. In Las Vegas, Nevada, the Company operates and, with the exception of certain retail space, owns 100% of Wynn Las Vegas. Additionally, the Company is a 50.1% owner and managing member of a joint venture that owns and leases certain retail space at Wynn Las Vegas (the "Retail Joint Venture"). The Company refers to Wynn Las Vegas and the Retail Joint Venture as its Las Vegas Operations. On June 23, 2019, the Company opened Encore Boston Harbor, an integrated resort in Everett, Massachusetts, that is owned 100% by the Company.</w:t>
      </w:r>
    </w:p>
    <w:p>
      <w:pPr>
        <w:spacing w:after="0" w:line="20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October 2020, Wynn Interactive, Ltd. ("Wynn Interactive") was formed through the merger of Wynn Resorts' digital gaming businesses and Wynn's strategic partner, BetBull Limited ("BetBull"). The merger was effected through a series of transactions which resulted in the Company contributing to BetBull its interests in WSI US, LLC and Wynn Social Gaming, LLC, which operate Wynn's existing U.S. online sports betting and gaming business and social casino business, respectively. Following the merger, Wynn Resorts holds an approximately 71% interest in Wynn Interactive, which Wynn Resorts will consolidate.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 Related to COVID-19</w:t>
      </w:r>
    </w:p>
    <w:p>
      <w:pPr>
        <w:spacing w:after="0" w:line="252"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As previously disclosed, in January 2020, an outbreak of a new strain of coronavirus, COVID-19 ("COVID-19"), was identified. Since then, COVID-19 has spread around the world, and steps have been taken by various countries, including those in which the Company operates, to advise citizens to avoid non-essential travel, to restrict inbound international travel, to implement closures of non-essential operations, and to implement quarantines and lockdowns to contain the spread of the virus. Currently, no fully effective treatments or vaccines have been developed, and there can be no assurance as to if or when an effective treatment or vaccine will be discovered.</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Macau Operations</w:t>
      </w:r>
    </w:p>
    <w:p>
      <w:pPr>
        <w:spacing w:after="0" w:line="23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6"/>
          <w:szCs w:val="16"/>
          <w:color w:val="auto"/>
        </w:rPr>
        <w:t>In response to the COVID-19 pandemic, the Macau government announced on February 4, 2020 the closure of all casino operations in Macau, including those at Wynn Palace and Wynn Macau, for a period of 15 days. On February 20, 2020, casino operations at Wynn Palace and Wynn Macau reopened on a reduced basis and have since been fully restored; however, certain COVID-19 specific protective measures, such as traveler quarantines and requirements for negative COVID-19 tests before entering Macau, limiting the number of seats per table game, slot machine spacing, temperature checks, mask protection, COVID-19 negative test results requirements for entry to gaming areas, and health declarations remain in effect at the present time.</w:t>
      </w:r>
    </w:p>
    <w:p>
      <w:pPr>
        <w:spacing w:after="0" w:line="18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6"/>
          <w:szCs w:val="16"/>
          <w:color w:val="auto"/>
        </w:rPr>
        <w:t>Visitation to Macau has fallen significantly since the outbreak of COVID-19, driven by the pandemic's strong deterrent effect on travel and social activities, the suspension in late January 2020 of the Chinese government's visa and group tour schemes that allow mainland Chinese residents to travel to Macau, quarantine and testing measures in Macau and elsewhere, travel and entry requirements, restrictions, and bans in Macau, Hong Kong, Taiwan, and certain cities and regions in mainland China, and the suspension of ferry services to Macau from Hong Kong and mainland China and other modes of transportation within Macau. Regionally, bans on entry or enhanced quarantine requirements, depending on the person’s residency and their recent travel history, for any Macau residents, PRC citizens, Hong Kong residents and Taiwan residents attempting to enter Macau are drastically impacting visitation. Persons who are not residents of the Greater China area are barred from entry to Macau at this time, and quarantine requirements for those traveling between Hong Kong and Macau have been announced to remain effective until at least December 31, 2020, at which time they may be lifted.</w:t>
      </w:r>
    </w:p>
    <w:p>
      <w:pPr>
        <w:spacing w:after="0" w:line="195"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While most of the foregoing travel restrictions and quarantine requirements continue to weigh on visitation to Macau, beginning in June 2020 certain of these restrictions have eased as certain regions gradually recover from the COVID-19 pandemic. In July 2020, Guangdong Province, a Chinese province adjacent to Macau, eased certain quarantine requirements for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those traveling between Guangdong Province and Macau, subject to certain testing requirements and health declarations. On September 23, 2020, mainland China authorities fully resumed the Individual Visit Scheme exit visa program, which, prior to its suspension by the PRC government due to COVID-19 travel restrictions, permitted individual PRC citizens from nearly 50 PRC cities to travel to Macau for tourism purposes. Stringent health declarations, testing and other procedures remain in place, and all visitors seeking entry to Macau need to test negative for COVID-19 before entering Macau.</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Las Vegas Operations and Encore Boston Harbor</w:t>
      </w:r>
    </w:p>
    <w:p>
      <w:pPr>
        <w:spacing w:after="0" w:line="2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Wynn Las Vegas closed on March 17, 2020, and reopened on June 4, 2020 with certain COVID-19 specific protective measures in place, such as limiting the number of seats per table game, slot machine spacing, temperature checks, mask protection, and suspension of certain entertainment and nightlife offerings. Beginning October 19, 2020, Encore at Wynn Las Vegas adjusted its operating schedule to five days/four nights each week due to currently reduced customer demand levels.</w:t>
      </w:r>
    </w:p>
    <w:p>
      <w:pPr>
        <w:spacing w:after="0" w:line="21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Encore Boston Harbor closed on March 15, 2020, and reopened on July 10, 2020 with certain COVID-19 specific protective measures in place, such as limiting the number of seats per table game, slot machine spacing, temperature checks, and mask protection. In addition, certain food and beverage outlets remain closed and hotel reservations were limited to Thursday through Sunday through the third quarter of 2020. On November 2, 2020, the Governor of Massachusetts issued a directive limiting the operating hours of certain businesses, including restaurants and casinos, effective November 6, 2020. Encore Boston Harbor has modified its hours of operation as a result of this directive. The Company is currently unable to determine when these measures will be lifted.</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Summary</w:t>
      </w:r>
    </w:p>
    <w:p>
      <w:pPr>
        <w:spacing w:after="0" w:line="239"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COVID-19 pandemic has had and will continue to have an adverse effect on the Company's results of operations. The Company is currently unable to determine when protective measures in effect at our Macau Operations, Las Vegas Operations, and Encore Boston Harbor will be lifted. Given the uncertainty around the extent and timing of the potential future spread or mitigation of COVID-19 and around the imposition or relaxation of protective measures, management cannot reasonably estimate the impact to the Company's future results of operations, cash flows, or financial condition.</w:t>
      </w:r>
    </w:p>
    <w:p>
      <w:pPr>
        <w:spacing w:after="0" w:line="18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September 30, 2020, the Company had total cash and cash equivalents, excluding restricted cash, of $3.55 billion, and had access to $15.9 million of available borrowing capacity from the WRF Revolving Facility. In addition, the Company has suspended its dividend program and has postponed major project capital expenditures. Given the Company's liquidity position at September 30, 2020 and the steps the Company has taken as further described in Note 6, "Long-Term Debt," the Company believes it is able to support continuing operations and respond to the current COVID-19 pandemic challenges.</w:t>
      </w:r>
    </w:p>
    <w:p>
      <w:pPr>
        <w:spacing w:after="0" w:line="21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2 -</w:t>
      </w:r>
      <w:r>
        <w:rPr>
          <w:sz w:val="20"/>
          <w:szCs w:val="20"/>
          <w:color w:val="auto"/>
        </w:rPr>
        <w:tab/>
      </w:r>
      <w:r>
        <w:rPr>
          <w:rFonts w:ascii="Arial" w:cs="Arial" w:eastAsia="Arial" w:hAnsi="Arial"/>
          <w:sz w:val="15"/>
          <w:szCs w:val="15"/>
          <w:b w:val="1"/>
          <w:bCs w:val="1"/>
          <w:color w:val="auto"/>
        </w:rPr>
        <w:t>Basis of Presentation and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52"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U.S. generally accepted accounting principles ("GAAP") have been condensed or omitted pursuant to such rules and regulations, although the Company believes that the disclosures herein are adequate to make the information presented not misleading. In the opinion of management, the accompanying condensed consolidated financial statements reflect all adjustments, which are of a normal recurring nature, necessary to a fair presentation of the results for the interim periods presented. The results for the three and nine months ended September 30, 2020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52"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accompanying condensed consolidated financial statements include the accounts of the Company, its majority-owned subsidiaries and entities the Company identifies as variable interest entities ("VIEs") of which the Company is determined to be the primary beneficiary. For information on the Company's VIEs, see Note 15, "Retail Joint Venture." All significant intercompany accounts and transactions have been eliminated.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5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Accounts receivable, including casino and hotel receivables, are typically non-interest bearing and are recorded at amortized cost. Casino receivables primarily consist of credit issued to patrons in the form of markers and advances paid to gaming promoters. The Company issues credit based on factors such as level of play and financial resources, following background and credit checks. The casino credit extended by the Company is generally unsecured and due on demand. Gaming promoter advances are settled shortly after each month end.</w:t>
      </w:r>
    </w:p>
    <w:p>
      <w:pPr>
        <w:spacing w:after="0" w:line="19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An estimated allowance for credit losses is maintained to reduce the Company's receivables to their carrying amount, which reflects the net amount the Company expects to collect. The allowance estimate reflects specific review of customer accounts and outstanding gaming promoter accounts with a balance over a specified dollar amount, based upon the age of the account, the customer's financial condition as well as management's experience with historical and current collection trends, current economic and business conditions, and management's expectations of future economic and business conditions and forecasts. Accounts are written off when management deems them to be uncollectible. Recoveries of accounts previously written off are recorded when received.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Taxes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is subject to taxes based on gross gaming revenues in the jurisdictions in which it operates, subject to applicable jurisdictional adjustments. These gaming taxes are recorded as casino expenses in the accompanying Condensed Consolidated Statements of Operations. These taxes totaled $66.1 million and $543.9 million for the three months ended September 30, 2020 and 2019, respectively, and $332.5 million and $1.69 billion for the nine months ended September 30, 2020 and 2019,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Instruments - Credit Losses</w:t>
      </w:r>
    </w:p>
    <w:p>
      <w:pPr>
        <w:spacing w:after="0" w:line="2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FASB issued ASU No. 2016-13, Financial Instruments - Credit Losses (Topic 326) in 2016. The new guidance replaces the incurred loss impairment methodology in current U.S. GAAP with a methodology that reflects expected credit losses and requires consideration of a broader range of reasonable and supportable information to inform credit loss estimates. For trade and other receivables, loans and other financial instruments, the Company is required to use a forward-looking expected loss model rather than the incurred loss model for recognizing credit losses which reflects losses that are probable. The Company adopted the guidance effective January 1, 2020, and this adoption did not have a material effect on its Condensed Consolidated Financial Statements.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Cloud Computing Arrangement Implementation Costs</w:t>
      </w:r>
    </w:p>
    <w:p>
      <w:pPr>
        <w:spacing w:after="0" w:line="2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August 2018, the FASB issued ASU No. 2018-15, Customer's Accounting for Implementation Costs Incurred in a Cloud Computing Arrangement That Is a Service Contract. The ASU is intended to eliminate potential diversity in practice in accounting for costs incurred to implement cloud computing arrangements that are service contracts by requiring customers in such arrangements to follow internal-use software guidance with respect to such costs, with any resulting deferred implementation costs recognized over the term of the contract in the same income statement line item as the fees associated with the hosting element of the arrangement. The Company adopted the guidance effective January 1, 2020, and this adoption did not have a material effect on its Condensed Consolidated Financial Statements.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Changes to the Disclosure Requirements for Fair Value Measurement</w:t>
      </w:r>
    </w:p>
    <w:p>
      <w:pPr>
        <w:spacing w:after="0" w:line="252"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August 2018, the FASB issued ASU No. 2018-13, Fair Value Measurement (Topic 820): Disclosure Framework—Changes to the Disclosure Requirements for Fair Value Measurement. The new guidance amends the disclosure requirements for recurring and nonrecurring fair value measurements by removing, modifying, and adding certain disclosures on fair value measurements in ASC 820.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Company adopted the guidance effective January 1, 2020, and this adoption did not have a material effect on its Condensed Consolidated Financial Statements.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3 -</w:t>
      </w:r>
      <w:r>
        <w:rPr>
          <w:sz w:val="20"/>
          <w:szCs w:val="20"/>
          <w:color w:val="auto"/>
        </w:rPr>
        <w:tab/>
      </w:r>
      <w:r>
        <w:rPr>
          <w:rFonts w:ascii="Arial" w:cs="Arial" w:eastAsia="Arial" w:hAnsi="Arial"/>
          <w:sz w:val="16"/>
          <w:szCs w:val="16"/>
          <w:b w:val="1"/>
          <w:bCs w:val="1"/>
          <w:color w:val="auto"/>
        </w:rPr>
        <w:t>Cash, Cash Equivalents and Restricted Cash</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Cash, cash equivalents and restricted cash consisted of the following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December 31,</w:t>
            </w:r>
          </w:p>
        </w:tc>
      </w:tr>
      <w:tr>
        <w:trPr>
          <w:trHeight w:val="188"/>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8260" w:type="dxa"/>
            <w:vAlign w:val="bottom"/>
          </w:tcPr>
          <w:p>
            <w:pPr>
              <w:ind w:left="160"/>
              <w:spacing w:after="0"/>
              <w:rPr>
                <w:sz w:val="20"/>
                <w:szCs w:val="20"/>
                <w:color w:val="auto"/>
              </w:rPr>
            </w:pPr>
            <w:r>
              <w:rPr>
                <w:rFonts w:ascii="Arial" w:cs="Arial" w:eastAsia="Arial" w:hAnsi="Arial"/>
                <w:sz w:val="18"/>
                <w:szCs w:val="18"/>
                <w:color w:val="auto"/>
              </w:rPr>
              <w:t xml:space="preserve">Cash </w:t>
            </w:r>
            <w:r>
              <w:rPr>
                <w:rFonts w:ascii="Arial" w:cs="Arial" w:eastAsia="Arial" w:hAnsi="Arial"/>
                <w:sz w:val="14"/>
                <w:szCs w:val="14"/>
                <w:color w:val="auto"/>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2,518,812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1,265,502</w:t>
            </w:r>
          </w:p>
        </w:tc>
      </w:tr>
      <w:tr>
        <w:trPr>
          <w:trHeight w:val="229"/>
        </w:trPr>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4"/>
                <w:szCs w:val="14"/>
                <w:color w:val="auto"/>
              </w:rPr>
              <w:t>(2)</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1,036,083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1,086,402</w:t>
            </w:r>
          </w:p>
        </w:tc>
      </w:tr>
      <w:tr>
        <w:trPr>
          <w:trHeight w:val="223"/>
        </w:trPr>
        <w:tc>
          <w:tcPr>
            <w:tcW w:w="8260" w:type="dxa"/>
            <w:vAlign w:val="bottom"/>
          </w:tcPr>
          <w:p>
            <w:pPr>
              <w:ind w:left="240"/>
              <w:spacing w:after="0"/>
              <w:rPr>
                <w:sz w:val="20"/>
                <w:szCs w:val="20"/>
                <w:color w:val="auto"/>
              </w:rPr>
            </w:pPr>
            <w:r>
              <w:rPr>
                <w:rFonts w:ascii="Arial" w:cs="Arial" w:eastAsia="Arial" w:hAnsi="Arial"/>
                <w:sz w:val="18"/>
                <w:szCs w:val="18"/>
                <w:b w:val="1"/>
                <w:bCs w:val="1"/>
                <w:color w:val="auto"/>
              </w:rPr>
              <w:t>Total cash and cash equivalents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3,554,895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2,351,904</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4"/>
                <w:szCs w:val="14"/>
                <w:color w:val="auto"/>
              </w:rPr>
              <w:t>(3)</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6,388</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3,559,744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2,358,292</w:t>
            </w: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Cash consists of cash on hand and bank deposits.</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Cash equivalents consist of bank time deposits and money market funds.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Restricted cash consists of cash collateral associated with obligations and cash held in a trust in accordance with WML's share award plan.</w:t>
      </w:r>
    </w:p>
    <w:p>
      <w:pPr>
        <w:spacing w:after="0" w:line="23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4 -</w:t>
      </w:r>
      <w:r>
        <w:rPr>
          <w:sz w:val="20"/>
          <w:szCs w:val="20"/>
          <w:color w:val="auto"/>
        </w:rPr>
        <w:tab/>
      </w:r>
      <w:r>
        <w:rPr>
          <w:rFonts w:ascii="Arial" w:cs="Arial" w:eastAsia="Arial" w:hAnsi="Arial"/>
          <w:sz w:val="15"/>
          <w:szCs w:val="15"/>
          <w:b w:val="1"/>
          <w:bCs w:val="1"/>
          <w:color w:val="auto"/>
        </w:rPr>
        <w:t>Receivables,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Credit Risk</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Receivables, net consisted of the following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December 31,</w:t>
            </w:r>
          </w:p>
        </w:tc>
      </w:tr>
      <w:tr>
        <w:trPr>
          <w:trHeight w:val="188"/>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Casino</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304,137</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Hotel</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22,114</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59,495</w:t>
            </w:r>
          </w:p>
        </w:tc>
      </w:tr>
      <w:tr>
        <w:trPr>
          <w:trHeight w:val="223"/>
        </w:trPr>
        <w:tc>
          <w:tcPr>
            <w:tcW w:w="8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277,815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385,746</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allowance for credit losses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(39,317)</w:t>
            </w:r>
          </w:p>
        </w:tc>
      </w:tr>
      <w:tr>
        <w:trPr>
          <w:trHeight w:val="223"/>
        </w:trPr>
        <w:tc>
          <w:tcPr>
            <w:tcW w:w="82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178,826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346,429</w:t>
            </w: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casino receivables. As of September 30, 2020 and December 31, 2019, approximately 79.3% and 79.0%, respectively, of the Company's markers were due from customers residing outside the United States, primarily in Asia. Business or economic conditions or other significant events in the countries in which our customers reside could affect the collectability of such receivables. The Company believes the concentration of its credit risk in casino receivables is mitigated substantially by its credit investigation process, credit policies and collection procedures.</w:t>
      </w:r>
    </w:p>
    <w:p>
      <w:pPr>
        <w:spacing w:after="0" w:line="21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allowance for casino credit losses was 45.8% and 12.4% of gross casino receivables as of September 30, 2020 and December 31, 2019, respectively. The increase in allowance for casino credit losses is primarily due to the impact of historical collection patterns and expectations of current and future collection trends in light of the COVID-19 pandemic, as well as the specific review of customer accounts. Although the Company believes that its allowance is adequate, it is possible the estimated amounts of cash collections with respect to receivables could change. The Company’s allowance for credit losses from its hotel and other receivables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following table shows the movement in the Company's allowance for credit losses recognized for receivables that occurred during the period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240" w:type="dxa"/>
            <w:vAlign w:val="bottom"/>
          </w:tcPr>
          <w:p>
            <w:pPr>
              <w:jc w:val="center"/>
              <w:ind w:right="114"/>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88"/>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year</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39,317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32,694</w:t>
            </w:r>
          </w:p>
        </w:tc>
        <w:tc>
          <w:tcPr>
            <w:tcW w:w="0" w:type="dxa"/>
            <w:vAlign w:val="bottom"/>
          </w:tcPr>
          <w:p>
            <w:pPr>
              <w:spacing w:after="0"/>
              <w:rPr>
                <w:sz w:val="1"/>
                <w:szCs w:val="1"/>
                <w:color w:val="auto"/>
              </w:rPr>
            </w:pPr>
          </w:p>
        </w:tc>
      </w:tr>
      <w:tr>
        <w:trPr>
          <w:trHeight w:val="229"/>
        </w:trPr>
        <w:tc>
          <w:tcPr>
            <w:tcW w:w="8260" w:type="dxa"/>
            <w:vAlign w:val="bottom"/>
          </w:tcPr>
          <w:p>
            <w:pPr>
              <w:ind w:left="160"/>
              <w:spacing w:after="0"/>
              <w:rPr>
                <w:sz w:val="20"/>
                <w:szCs w:val="20"/>
                <w:color w:val="auto"/>
              </w:rPr>
            </w:pPr>
            <w:r>
              <w:rPr>
                <w:rFonts w:ascii="Arial" w:cs="Arial" w:eastAsia="Arial" w:hAnsi="Arial"/>
                <w:sz w:val="18"/>
                <w:szCs w:val="18"/>
                <w:color w:val="auto"/>
              </w:rPr>
              <w:t>Provision for credit losses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60,548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13,039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Write-offs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(12,833)</w:t>
            </w:r>
          </w:p>
        </w:tc>
        <w:tc>
          <w:tcPr>
            <w:tcW w:w="0" w:type="dxa"/>
            <w:vAlign w:val="bottom"/>
          </w:tcPr>
          <w:p>
            <w:pPr>
              <w:spacing w:after="0"/>
              <w:rPr>
                <w:sz w:val="1"/>
                <w:szCs w:val="1"/>
                <w:color w:val="auto"/>
              </w:rPr>
            </w:pPr>
          </w:p>
        </w:tc>
      </w:tr>
      <w:tr>
        <w:trPr>
          <w:trHeight w:val="229"/>
        </w:trPr>
        <w:tc>
          <w:tcPr>
            <w:tcW w:w="8260" w:type="dxa"/>
            <w:vAlign w:val="bottom"/>
          </w:tcPr>
          <w:p>
            <w:pPr>
              <w:ind w:left="160"/>
              <w:spacing w:after="0"/>
              <w:rPr>
                <w:sz w:val="20"/>
                <w:szCs w:val="20"/>
                <w:color w:val="auto"/>
              </w:rPr>
            </w:pPr>
            <w:r>
              <w:rPr>
                <w:rFonts w:ascii="Arial" w:cs="Arial" w:eastAsia="Arial" w:hAnsi="Arial"/>
                <w:sz w:val="18"/>
                <w:szCs w:val="18"/>
                <w:color w:val="auto"/>
              </w:rPr>
              <w:t>Recoveries of receivables previously written-off</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exchange rate</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98,989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32,881</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8"/>
                <w:szCs w:val="18"/>
                <w:b w:val="1"/>
                <w:bCs w:val="1"/>
                <w:color w:val="auto"/>
              </w:rPr>
              <w:t>Note 5 -  Property and Equipment, net</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82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60" w:type="dxa"/>
            <w:vAlign w:val="bottom"/>
          </w:tcPr>
          <w:p>
            <w:pPr>
              <w:ind w:left="42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240" w:type="dxa"/>
            <w:vAlign w:val="bottom"/>
          </w:tcPr>
          <w:p>
            <w:pPr>
              <w:jc w:val="center"/>
              <w:ind w:right="11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9,756,777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9,367,241</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Land and improvements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1,264,126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1,246,679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3,061,950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2,932,483</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Airplanes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110,623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110,623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477,333</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14,320,616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14,134,359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(5,007,550)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(4,510,527)</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9,313,066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9,623,832</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Depreciation expense for the three months ended September 30, 2020 and 2019 was $177.3 million and $166.5 million, and depreciation expense for the nine months ended September 30, 2020 and 2019 was $522.4 million and $434.4 million, respectively.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5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6 -</w:t>
      </w:r>
      <w:r>
        <w:rPr>
          <w:sz w:val="20"/>
          <w:szCs w:val="20"/>
          <w:color w:val="auto"/>
        </w:rPr>
        <w:tab/>
      </w:r>
      <w:r>
        <w:rPr>
          <w:rFonts w:ascii="Arial" w:cs="Arial" w:eastAsia="Arial" w:hAnsi="Arial"/>
          <w:sz w:val="16"/>
          <w:szCs w:val="16"/>
          <w:b w:val="1"/>
          <w:bCs w:val="1"/>
          <w:color w:val="auto"/>
        </w:rPr>
        <w:t>Long-Term Debt</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consisted of the following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12"/>
              <w:spacing w:after="0"/>
              <w:rPr>
                <w:sz w:val="20"/>
                <w:szCs w:val="20"/>
                <w:color w:val="auto"/>
              </w:rPr>
            </w:pPr>
            <w:r>
              <w:rPr>
                <w:rFonts w:ascii="Arial" w:cs="Arial" w:eastAsia="Arial" w:hAnsi="Arial"/>
                <w:sz w:val="14"/>
                <w:szCs w:val="14"/>
                <w:b w:val="1"/>
                <w:bCs w:val="1"/>
                <w:color w:val="auto"/>
                <w:w w:val="98"/>
              </w:rPr>
              <w:t>December 31,</w:t>
            </w:r>
          </w:p>
        </w:tc>
      </w:tr>
      <w:tr>
        <w:trPr>
          <w:trHeight w:val="188"/>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Macau Related:</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 xml:space="preserve">Wynn Macau Credit Facilities </w:t>
            </w:r>
            <w:r>
              <w:rPr>
                <w:rFonts w:ascii="Arial" w:cs="Arial" w:eastAsia="Arial" w:hAnsi="Arial"/>
                <w:sz w:val="14"/>
                <w:szCs w:val="14"/>
                <w:color w:val="auto"/>
              </w:rPr>
              <w:t>(1)</w:t>
            </w: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Wynn Macau Term Loan, due 2022 </w:t>
            </w:r>
            <w:r>
              <w:rPr>
                <w:rFonts w:ascii="Arial" w:cs="Arial" w:eastAsia="Arial" w:hAnsi="Arial"/>
                <w:sz w:val="14"/>
                <w:szCs w:val="14"/>
                <w:color w:val="auto"/>
              </w:rPr>
              <w:t>(2)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1,306,974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2,302,540</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 xml:space="preserve">Wynn Macau Revolver, due 2022 </w:t>
            </w:r>
            <w:r>
              <w:rPr>
                <w:rFonts w:ascii="Arial" w:cs="Arial" w:eastAsia="Arial" w:hAnsi="Arial"/>
                <w:sz w:val="14"/>
                <w:szCs w:val="14"/>
                <w:color w:val="auto"/>
              </w:rPr>
              <w:t>(3)</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751,073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350,232</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WML 4 7/8% Senior Notes, due 2024</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WML 5 1/2% Senior Notes, due 2026</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WML 5 1/2% Senior Notes, due 2027</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WML 5 1/8% Senior Notes, due 2029</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WML 5 5/8% Senior Notes, due 2028</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8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U.S. and Corporate Related:</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 xml:space="preserve">WRF Credit Facilities </w:t>
            </w:r>
            <w:r>
              <w:rPr>
                <w:rFonts w:ascii="Arial" w:cs="Arial" w:eastAsia="Arial" w:hAnsi="Arial"/>
                <w:sz w:val="14"/>
                <w:szCs w:val="14"/>
                <w:color w:val="auto"/>
              </w:rPr>
              <w:t>(4)</w:t>
            </w: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WRF Term Loan, due 2024</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987,500</w:t>
            </w:r>
          </w:p>
        </w:tc>
      </w:tr>
      <w:tr>
        <w:trPr>
          <w:trHeight w:val="229"/>
        </w:trPr>
        <w:tc>
          <w:tcPr>
            <w:tcW w:w="8260" w:type="dxa"/>
            <w:vAlign w:val="bottom"/>
          </w:tcPr>
          <w:p>
            <w:pPr>
              <w:ind w:left="120"/>
              <w:spacing w:after="0"/>
              <w:rPr>
                <w:sz w:val="20"/>
                <w:szCs w:val="20"/>
                <w:color w:val="auto"/>
              </w:rPr>
            </w:pPr>
            <w:r>
              <w:rPr>
                <w:rFonts w:ascii="Arial" w:cs="Arial" w:eastAsia="Arial" w:hAnsi="Arial"/>
                <w:sz w:val="18"/>
                <w:szCs w:val="18"/>
                <w:color w:val="auto"/>
              </w:rPr>
              <w:t>WRF Revolver, due 2024</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816,000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WLV 4 1/4% Senior Notes, due 2023</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WLV 5 1/2% Senior Notes, due 2025</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1,780,000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1,780,000</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WLV 5 1/4% Senior Notes, due 2027</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880,000</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WRF 5 1/8% Senior Notes, due 2029</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750,000</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WRF 7 3/4% Senior Notes, due 2025</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Retail Term Loan, due 2025 </w:t>
            </w:r>
            <w:r>
              <w:rPr>
                <w:rFonts w:ascii="Arial" w:cs="Arial" w:eastAsia="Arial" w:hAnsi="Arial"/>
                <w:sz w:val="14"/>
                <w:szCs w:val="14"/>
                <w:color w:val="auto"/>
              </w:rPr>
              <w:t>(5)</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615,000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615,000</w:t>
            </w:r>
          </w:p>
        </w:tc>
      </w:tr>
      <w:tr>
        <w:trPr>
          <w:trHeight w:val="223"/>
        </w:trPr>
        <w:tc>
          <w:tcPr>
            <w:tcW w:w="8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12,899,047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10,515,272</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Unamortized debt issuance costs and original issue discounts and premium, net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(111,413)</w:t>
            </w:r>
          </w:p>
        </w:tc>
      </w:tr>
      <w:tr>
        <w:trPr>
          <w:trHeight w:val="223"/>
        </w:trPr>
        <w:tc>
          <w:tcPr>
            <w:tcW w:w="8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12,789,590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10,403,859</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(323,876)</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long-term debt, net of current portion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12,562,972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10,079,983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borrowings under the Wynn Macau Credit Facilities bear interest at LIBOR or HIBOR plus a margin of 1.50% to 2.25% per annum based on Wynn Resorts Macau S.A.’s leverage ratio.</w:t>
      </w:r>
    </w:p>
    <w:p>
      <w:pPr>
        <w:spacing w:after="0" w:line="24" w:lineRule="exact"/>
        <w:rPr>
          <w:rFonts w:ascii="Arial" w:cs="Arial" w:eastAsia="Arial" w:hAnsi="Arial"/>
          <w:sz w:val="13"/>
          <w:szCs w:val="13"/>
          <w:color w:val="auto"/>
        </w:rPr>
      </w:pPr>
    </w:p>
    <w:p>
      <w:pPr>
        <w:ind w:left="260" w:right="20" w:hanging="252"/>
        <w:spacing w:after="0" w:line="241" w:lineRule="auto"/>
        <w:tabs>
          <w:tab w:leader="none" w:pos="225" w:val="left"/>
        </w:tabs>
        <w:numPr>
          <w:ilvl w:val="0"/>
          <w:numId w:val="4"/>
        </w:numPr>
        <w:rPr>
          <w:rFonts w:ascii="Arial" w:cs="Arial" w:eastAsia="Arial" w:hAnsi="Arial"/>
          <w:sz w:val="14"/>
          <w:szCs w:val="14"/>
          <w:color w:val="auto"/>
        </w:rPr>
      </w:pPr>
      <w:r>
        <w:rPr>
          <w:rFonts w:ascii="Arial" w:cs="Arial" w:eastAsia="Arial" w:hAnsi="Arial"/>
          <w:sz w:val="14"/>
          <w:szCs w:val="14"/>
          <w:color w:val="auto"/>
        </w:rPr>
        <w:t>As of September 30, 2020, approximately $739.2 million and $567.8 million of the Wynn Macau Term Loan bore interest at a rate of LIBOR plus 2.125% per year and HIBOR plus 2.125% per year, respectively. As of September 30, 2020, the weighted average interest rate was approximately 2.42%.</w:t>
      </w:r>
    </w:p>
    <w:p>
      <w:pPr>
        <w:jc w:val="both"/>
        <w:ind w:left="260" w:hanging="252"/>
        <w:spacing w:after="0" w:line="241" w:lineRule="auto"/>
        <w:tabs>
          <w:tab w:leader="none" w:pos="222" w:val="left"/>
        </w:tabs>
        <w:numPr>
          <w:ilvl w:val="0"/>
          <w:numId w:val="4"/>
        </w:numPr>
        <w:rPr>
          <w:rFonts w:ascii="Arial" w:cs="Arial" w:eastAsia="Arial" w:hAnsi="Arial"/>
          <w:sz w:val="14"/>
          <w:szCs w:val="14"/>
          <w:color w:val="auto"/>
        </w:rPr>
      </w:pPr>
      <w:r>
        <w:rPr>
          <w:rFonts w:ascii="Arial" w:cs="Arial" w:eastAsia="Arial" w:hAnsi="Arial"/>
          <w:sz w:val="14"/>
          <w:szCs w:val="14"/>
          <w:color w:val="auto"/>
        </w:rPr>
        <w:t>As of September 30, 2020, approximately $427.0 million and $324.1 million of the Wynn Macau Revolver bore interest at a rate of LIBOR plus 2.125% per year and HIBOR plus 2.125% per year, respectively. As of September 30, 2020, the weighted average interest rate was approximately 2.39%. As of September 30, 2020, the Company had no available borrowing capacity under the Wynn Macau Revolver.</w:t>
      </w:r>
    </w:p>
    <w:p>
      <w:pPr>
        <w:spacing w:after="0" w:line="1" w:lineRule="exact"/>
        <w:rPr>
          <w:rFonts w:ascii="Arial" w:cs="Arial" w:eastAsia="Arial" w:hAnsi="Arial"/>
          <w:sz w:val="14"/>
          <w:szCs w:val="14"/>
          <w:color w:val="auto"/>
        </w:rPr>
      </w:pPr>
    </w:p>
    <w:p>
      <w:pPr>
        <w:ind w:left="260" w:hanging="252"/>
        <w:spacing w:after="0" w:line="241" w:lineRule="auto"/>
        <w:tabs>
          <w:tab w:leader="none" w:pos="227"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WRF Credit Facilities bear interest at a rate of LIBOR plus 1.75% per year. As of September 30, 2020, the weighted average interest rate was approximately 1.90%. Additionally, as of September 30, 2020, the available borrowing capacity under the WRF Revolver was $15.9 million, net of $18.1 million in outstanding letters of credit.</w:t>
      </w: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Retail Term Loan bears interest at a rate of LIBOR plus 1.70% per year. As of September 30, 2020, the effective interest rate was 2.70%.</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WML Senior Notes Offering</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On June 19, 2020, WML issued $750.0 million aggregate principal amount of 5 1/2% Senior Notes due 2026 (the "Existing 2026 WML Notes") pursuant to an indenture (the "2026 Indenture").</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August 26, 2020, WML issued additional $250.0 million aggregate principal amount of 5 1/2% Senior Notes due 2026 (the "Additional 2026 Notes," together with the Existing 2026 WML Notes, "2026 WML Notes") pursuant to the 2026 Indenture, and $600.0 million aggregate principal amount of 5 5/8% Senior Notes due 2028 (the "2028 WML Notes," together with the 2026 WML Notes, the “2026 and 2028 WML Notes”) pursuant to an indenture (the "2028 Indenture,” together with</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2026 Indenture, the “2026 and 2028 Indentures”). The Additional 2026 Notes have identical terms, other than the issue date and the issue price, to, rank equally with and form a part of a single class of securities with the Existing 2026 WML Notes.</w:t>
      </w:r>
    </w:p>
    <w:p>
      <w:pPr>
        <w:spacing w:after="0" w:line="17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2026 WML Notes will mature on January 15, 2026 and bear interest at the rate of 5 1/2% per annum payable in arrears semi-annually on January 15 and July 15 of each year, beginning on January 15, 2021. At any time prior to June 15, 2022, WML may use the net cash proceeds from certain equity offerings to redeem up to 35% of the aggregate principal amount of the 2026 WML Notes at a redemption price equal to 105.500% of the aggregate principal amount of the 2026 WML Notes, plus accrued and unpaid interest, if any. At any time prior to June 15, 2022, WML may redeem the 2026 WML Notes in whole or in part at a redemption price equal to the greater of (a) 100% of the aggregate principal amount of the 2026 WML Notes to be redeemed, or (b) a make-whole amount as determined by an independent investment banker in accordance with the terms of the 2026 Indenture, in either case, plus accrued and unpaid interest.</w:t>
      </w:r>
    </w:p>
    <w:p>
      <w:pPr>
        <w:spacing w:after="0" w:line="19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In addition, on or after June 15, 2022, WML may redeem the 2026 WML Notes in whole or in part at a premium decreasing annually from 104.125% of the applicable principal amount to 100.000%, plus accrued and unpaid interest. If WML undergoes a Change of Control (as defined in the 2026 Indenture), it must offer to repurchase the 2026 WML Notes at a price equal to 101% of the aggregate principal amount thereof, plus accrued and unpaid interest. In addition, WML may redeem the 2026 WML Notes, in whole but not in part, at a redemption price equal to 100% of the principal amount, plus accrued and unpaid interest, in response to any change in or amendment to certain tax laws or tax positions. Further, if a holder or beneficial owner of the 2026 WML Notes fails to meet certain requirements imposed by any Gaming Authority (as defined in the 2026 Indenture), WML may require the holder or beneficial owner to dispose of or redeem its 2026 WML Notes.</w:t>
      </w:r>
    </w:p>
    <w:p>
      <w:pPr>
        <w:spacing w:after="0" w:line="17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2028 WML Notes will mature on August 26, 2028 and bear interest at the rate of 5 5/8% per annum payable in arrears semi-annually on February 26 and August 26 of each year, beginning on February 26, 2021. At any time prior to August 26, 2023, WML may use the net cash proceeds from certain equity offerings to redeem up to 35% of the aggregate principal amount of the 2028 WML Notes at a redemption price equal to 105.625% of the aggregate principal amount of the 2028 WML Notes, plus accrued and unpaid interest, if any. At any time prior to August 26, 2023, WML may redeem the 2028 WML Notes in whole or in part at a redemption price equal to the greater of (a) 100% of the aggregate principal amount of the 2028 WML Notes to be redeemed, or (b) a make-whole amount as determined by an independent investment banker in accordance with the terms of the 2028 Indenture, in either case, plus accrued and unpaid interest.</w:t>
      </w:r>
    </w:p>
    <w:p>
      <w:pPr>
        <w:spacing w:after="0" w:line="24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addition, on or after August 26, 2023, WML may redeem the 2028 WML Notes in whole or in part at a premium decreasing annually from 102.813% of the applicable principal amount to 100.000%, plus accrued and unpaid interest. If WML undergoes a Change of Control (as defined in the 2028 Indenture), it must offer to repurchase the 2028 WML Notes at a price equal to 101% of the aggregate principal amount thereof, plus accrued and unpaid interest. In addition, WML may redeem the 2028 WML Notes, in whole but not in part, at a redemption price equal to 100% of the principal amount, plus accrued and unpaid interest, in response to any change in or amendment to certain tax laws or tax positions. Further, if a holder or beneficial owner of the 2028 WML Notes fails to meet certain requirements imposed by any Gaming Authority (as defined in the 2028 Indenture), WML may require the holder or beneficial owner to dispose of or redeem its 2028 WML Notes.</w:t>
      </w:r>
    </w:p>
    <w:p>
      <w:pPr>
        <w:spacing w:after="0" w:line="17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Upon the occurrence of (a) any event after which none of WML or any subsidiary of WML has the applicable gaming concessions or authorizations in Macau in substantially the same manner and scope as WML and its subsidiaries are entitled to at the date on which the 2026 and 2028 WML Notes are issued, for a period of 10 consecutive days or more, and such event has a material adverse effect on WML and its subsidiaries, taken as a whole; or (b) the termination or modification of any such concessions or authorizations which has a material adverse effect on WML and its subsidiaries, taken as a whole, each holder of the 2026 and 2028 WML Notes will have the right to require WML to repurchase all or any part of such holder’s 2026 and 2028 WML Notes at a purchase price in cash equal to 100% of the principal amount thereof, plus accrued and unpaid interest.</w:t>
      </w:r>
    </w:p>
    <w:p>
      <w:pPr>
        <w:spacing w:after="0" w:line="164"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 2026 and 2028 WML Notes are WML’s general unsecured obligations and rank pari passu in right of payment with all of WML’s existing and future senior unsecured indebtedness; will rank senior to all of WML’s future subordinated indebtedness, if any; will be effectively subordinated to all of WML’s future secured indebtedness to the extent of the value of the assets securing such debt; and will be structurally subordinated to all existing and future obligations of WML’s subsidiaries, including WML’s existing credit facilities. The 2026 and 2028 WML Notes are not registered under the Securities Act of 1933, as amended (the “Securities Act”), and the 2026 and 2028 WML Notes are subject to restrictions on transferability and resale.</w:t>
      </w:r>
    </w:p>
    <w:p>
      <w:pPr>
        <w:spacing w:after="0" w:line="16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2026 and 2028 Indentures contain covenants limiting WML’s (and certain of its subsidiaries’) ability to, among other things: merge or consolidate with another company; transfer or sell all or substantially all of its properties or assets; and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lease all or substantially all of its properties or assets. The terms of the 2026 and 2028 Indentures contain customary events of default, including, but not limited to: default for 30 days in the payment when due of interest on the 2026 and 2028 WML Notes; default in the payment when due of the principal of, or premium, if any, on the 2026 and 2028 WML Notes; failure to comply with any payment obligations relating to the repurchase by WML of the 2026 and 2028 WML Notes upon a change of control; failure to comply with certain covenants in the 2026 and 2028 Indentures; certain defaults on certain other indebtedness; failure to pay judgments against WML or certain subsidiaries that, in the aggregate, exceed $50 million; and certain events of bankruptcy or insolvency. In the case of an event of default arising from certain events of bankruptcy or insolvency, all 2026 and 2028 WML Notes then outstanding will become due and payable immediately without further action or notice.</w:t>
      </w:r>
    </w:p>
    <w:p>
      <w:pPr>
        <w:spacing w:after="0" w:line="17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WML intends to use the net proceeds from the Existing 2026 WML Notes for general corporate purposes until WML's business recovers from the effects of the COVID-19 pandemic, and then to facilitate the repayment of a portion of the amounts outstanding under the Wynn Macau Credit Facilities. WML used the net proceeds from the Additional 2026 and 2028 WML Notes to facilitate the prepayment of term loans outstanding under the Wynn Macau Credit Facilities in September 2020. WML used a portion of the proceeds from the 2026 and 2028 WML Notes to pay related fees and expenses totaling $14.2 million, which was recorded as debt issuance costs within the Condensed Consolidated Balance Sheet.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WRF 7 3/4% Senior Notes, due 2025</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April 14, 2020, WRF and its subsidiary Wynn Resorts Capital Corp. (collectively with WRF, the "WRF Issuers"), each an indirect wholly owned subsidiary of the Company, issued $600.0 million aggregate principal amount of 7 3/4% Senior Notes due 2025 (the "2025 WRF Notes") pursuant to an indenture (the "2025 Indenture") among the WRF Issuers, the guarantors party thereto, and U.S. Bank National Association, as trustee (the "Trustee"), in a private offering. The 2025 WRF Notes were issued at par.</w:t>
      </w:r>
    </w:p>
    <w:p>
      <w:pPr>
        <w:spacing w:after="0" w:line="214"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The 2025 WRF Notes will mature on April 15, 2025 and bear interest at the rate of 7 3/4% per annum payable in arrears semi-annually on April 15 and October 15 of each year, beginning on October 15, 2020. The WRF Issuers may redeem some or all of the 2025 WRF Notes at any time prior to April 15, 2022 at a redemption price equal to 100% of the aggregate principal amount of the 2025 WRF Notes to be redeemed plus a "make-whole" premium and accrued and unpaid interest. In addition, at any time prior to April 15, 2022, the WRF Issuers may, on any one or more occasions, redeem up to 35% of the original aggregate principal amount of the 2025 WRF Notes with the proceeds of one or more equity offerings at a redemption price equal to 107.75% of the aggregate principal amount thereof, plus accrued and unpaid interest, if any, to, but not including, the applicable redemption date. On or after April 15, 2022, the WRF Issuers may redeem some or all of the 2025 WRF Notes at the redemption prices set forth in the 2025 Indenture plus accrued and unpaid interest. In the event of a change of control triggering event, the WRF Issuers must offer to repurchase the 2025 WRF Notes at a repurchase price equal to 101% of the aggregate principal amount thereof plus any accrued and unpaid interest, to, but not including, the repurchase date. The 2025 WRF Notes are subject to disposition and redemption requirements imposed by gaming laws and regulations of applicable gaming regulatory authorities.</w:t>
      </w:r>
    </w:p>
    <w:p>
      <w:pPr>
        <w:spacing w:after="0" w:line="19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2025 WRF Notes are jointly and severally guaranteed by each of WRF’s existing domestic restricted subsidiaries that guarantee indebtedness under the WRF's senior secured credit facilities and the WRF Issuers' existing 5 1/8% senior notes due 2029, including Wynn Las Vegas, LLC and each of its subsidiaries that guarantees its existing senior notes due 2023, 2025 and 2027.</w:t>
      </w:r>
    </w:p>
    <w:p>
      <w:pPr>
        <w:spacing w:after="0" w:line="2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2025 Indenture contains covenants that limit the ability of the WRF Issuers and the guarantors to, among other things, enter into sale-leaseback transactions, create or incur liens to secure debt, and merge, consolidate or sell all or substantially all of the WRF Issuers' assets. These covenants are subject to exceptions and qualifications set forth in the 2025 Indenture.</w:t>
      </w:r>
    </w:p>
    <w:p>
      <w:pPr>
        <w:spacing w:after="0" w:line="21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2025 Indenture also contains customary events of default, including, but not limited to, failure to make required payments, failure to comply with certain covenants, failure to pay certain other indebtedness, certain events of bankruptcy and insolvency, and failure to pay certain judgments. An event of default under the 2025 Indenture allows either the Trustee or the holders of at least 25% in aggregate principal amount of the 2025 WRF Notes, as applicable, issued under such 2025 Indenture to accelerate the amounts due under the 2025 WRF Notes, or in the case of a bankruptcy or insolvency, will automatically cause the acceleration of the amounts due under the 2025 WRF Notes.</w:t>
      </w:r>
    </w:p>
    <w:p>
      <w:pPr>
        <w:spacing w:after="0" w:line="20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2025 WRF Notes were offered pursuant to an exemption under the Securities Act of 1933, as amended (the "Securities Act"). The 2025 WRF Notes were offered only to qualified institutional buyers in reliance on Rule 144A under the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Securities Act or outside the United States to certain persons in reliance on Regulation S under the Securities Act. The 2025 WRF Notes have not been and will not be registered under the Securities Act or under any state securities laws. Therefore, the WRF 2025 Notes may not be offered or sold within the United States to, or for the account or benefit of, any United States person unless the offer or sale would qualify for a registration exemption from the Securities Act and applicable state securities laws.</w:t>
      </w:r>
    </w:p>
    <w:p>
      <w:pPr>
        <w:spacing w:after="0" w:line="21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WRF used the net proceeds from the 2025 WRF Notes offering for general corporate purposes and to pay related fees and expenses totaling $5.6 million, of which $5.2 million was recorded as debt issuance costs within the Condensed Consolidated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WRF Credit Agreement Amendment</w:t>
      </w:r>
    </w:p>
    <w:p>
      <w:pPr>
        <w:spacing w:after="0" w:line="23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April 10, 2020, WRF and certain of its subsidiaries entered into an amendment (the "WRF Credit Agreement Amendment") to its existing credit agreement (the "WRF Credit Agreement") among Deutsche Bank AG New York Branch, as administrative agent and collateral agent, and the other lenders party thereto.</w:t>
      </w:r>
    </w:p>
    <w:p>
      <w:pPr>
        <w:spacing w:after="0" w:line="21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WRF Credit Agreement Amendment amends the WRF Credit Agreement to, among other things, implement a financial covenant relief period (the "Financial Covenant Relief Period") through April 1, 2021 (unless earlier terminated by WRF), implement a financial covenant increase period (the "Financial Covenant Increase Period") commencing on the first day after the expiration of the Financial Covenant Relief Period and ending on the first day of the fourth fiscal quarter after the expiration of the Financial Covenant Relief Period (unless earlier terminated by WRF), amend the definition of "Consolidated EBITDA" in the WRF Credit Agreement during the Financial Covenant Increase Period, amend WRF's financial reporting obligations (including extensions to certain deadlines), add certain restrictions on restricted payments (including restrictions on a portion of dividends received from WRF's subsidiaries) during the Financial Covenant Relief Period and the Financial Covenant Increase Period, and amend the definition of "Material Adverse Effect" in the WRF Credit Agreement to take into consideration COVID-19.</w:t>
      </w:r>
    </w:p>
    <w:p>
      <w:pPr>
        <w:spacing w:after="0" w:line="20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During the Financial Covenant Relief Period, the existing consolidated first lien net leverage ratio financial covenant will be replaced with a minimum liquidity financial covenant that requires WRF and its restricted subsidiaries to maintain liquidity of at least $300.0 million at all times (with liquidity being the sum of unrestricted operating cash, as defined in the WRF Credit Agreement, and the available borrowing capacity under the WRF Revolver). Following the Financial Covenant Relief Period and for as long as the Financial Covenant Increase Period is in effect, WRF may not permit the consolidated first lien net leverage ratio as of the last day of any fiscal quarter to exceed for the first fiscal quarter of the Financial Covenant Increase Period, 4.50 to 1.00, for the second fiscal quarter of the Financial Covenant Increase Period, 4.25 to 1.00, for the third fiscal quarter of the Financial Covenant Increase Period, 4.00 to 1.00, and for each subsequent fiscal quarter thereafter (including from and including the first fiscal quarter during which the Financial Covenant Increase Period has been terminated by WRF), 3.75 to 1.00.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Term Loan Agreement Amendment</w:t>
      </w:r>
    </w:p>
    <w:p>
      <w:pPr>
        <w:spacing w:after="0" w:line="23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May 5, 2020, Wynn/CA Plaza Property Owner, LLC and Wynn/CA Property Owner, LLC (collectively, the "Retail Borrowers"), subsidiaries of the Retail Joint Venture, entered into an amendment (the "Retail Term Loan Agreement Amendment") to its existing retail term loan agreement (the "Retail Term Loan Agreement"). The Retail Term Loan Agreement Amendment amends the Retail Term Loan Agreement to, among other things, temporarily suspend the requirement to maintain certain financial ratios to avoid triggering excess cash sweep provisions from the first quarter of 2020 through the fourth quarter of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 Compliance</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2020, management believes the Company was in compliance with all debt covenants.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Long-Term Debt</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estimated fair value of the Company's long-term debt as of September 30, 2020 and December 31, 2019, was approximately $12.34 billion and $10.80 billion, respectively, compared to its carrying value, excluding debt issuance costs and original issue discount and premium, of $12.90 billion and $10.52 billion, respectively. The estimated fair value of the Company's long-term debt is based on recent trades, if available, and indicative pricing from market information (Level 2 inputs).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 (Deficit)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first quarter of 2020, the Company paid a cash dividend of $1.00 per share, and recorded $107.5 million as a reduction of retained earnings from cash dividends declared.</w:t>
      </w:r>
    </w:p>
    <w:p>
      <w:pPr>
        <w:spacing w:after="0" w:line="1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May 6, 2020, the Company announced that it had suspended its quarterly dividend program due to the financial impact of the COVID-19 pandemic.</w:t>
      </w:r>
    </w:p>
    <w:p>
      <w:pPr>
        <w:spacing w:after="0" w:line="19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During the first, second, and third quarter of 2019, the Company paid cash dividends of $0.75, $1.00, and $1.00 per share, respectively, and recorded $80.7 million, $107.6 million, and $107.3 million, respectively, as a reduction of retained earnings from cash dividends declared.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board of directors of WML concluded not to recommend the payment of a dividend with respect to the year ended December 31, 2019 due to the financial impact of the COVID-19 pandemic.</w:t>
      </w:r>
    </w:p>
    <w:p>
      <w:pPr>
        <w:spacing w:after="0" w:line="197"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On September 16, 2019, WML paid a cash dividend of HK$0.45 per share for a total of $298.0 million. The Company's share of this dividend was $215.1 million with a reduction of $82.9 million to noncontrolling interest in the accompanying Condensed Consolidated Balance Sheet.</w:t>
      </w:r>
    </w:p>
    <w:p>
      <w:pPr>
        <w:spacing w:after="0" w:line="17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June 19, 2019, WML paid a cash dividend of HK$0.45 per share for a total of $298.0 million. The Company's share of this dividend was $215.0 million with a reduction of $83.0 million to noncontrolling interest in the accompanying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5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8 -</w:t>
      </w:r>
      <w:r>
        <w:rPr>
          <w:sz w:val="20"/>
          <w:szCs w:val="20"/>
          <w:color w:val="auto"/>
        </w:rPr>
        <w:tab/>
      </w:r>
      <w:r>
        <w:rPr>
          <w:rFonts w:ascii="Arial" w:cs="Arial" w:eastAsia="Arial" w:hAnsi="Arial"/>
          <w:sz w:val="16"/>
          <w:szCs w:val="16"/>
          <w:b w:val="1"/>
          <w:bCs w:val="1"/>
          <w:color w:val="auto"/>
        </w:rPr>
        <w:t>Fair Value Measurements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assets and liabilities carried at fair value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center"/>
              <w:ind w:left="863"/>
              <w:spacing w:after="0"/>
              <w:rPr>
                <w:sz w:val="20"/>
                <w:szCs w:val="20"/>
                <w:color w:val="auto"/>
              </w:rPr>
            </w:pPr>
            <w:r>
              <w:rPr>
                <w:rFonts w:ascii="Arial" w:cs="Arial" w:eastAsia="Arial" w:hAnsi="Arial"/>
                <w:sz w:val="14"/>
                <w:szCs w:val="14"/>
                <w:b w:val="1"/>
                <w:bCs w:val="1"/>
                <w:color w:val="auto"/>
                <w:w w:val="93"/>
              </w:rPr>
              <w:t>Fair Value Measurements Using:</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3"/>
              </w:rPr>
              <w:t>Quoted</w:t>
            </w: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Market</w:t>
            </w:r>
          </w:p>
        </w:tc>
        <w:tc>
          <w:tcPr>
            <w:tcW w:w="240" w:type="dxa"/>
            <w:vAlign w:val="bottom"/>
          </w:tcPr>
          <w:p>
            <w:pPr>
              <w:spacing w:after="0"/>
              <w:rPr>
                <w:sz w:val="11"/>
                <w:szCs w:val="11"/>
                <w:color w:val="auto"/>
              </w:rPr>
            </w:pPr>
          </w:p>
        </w:tc>
        <w:tc>
          <w:tcPr>
            <w:tcW w:w="154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6"/>
              </w:rPr>
              <w:t>Other</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2"/>
              </w:rPr>
              <w:t>Prices in</w:t>
            </w:r>
          </w:p>
        </w:tc>
        <w:tc>
          <w:tcPr>
            <w:tcW w:w="24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120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Active</w:t>
            </w:r>
          </w:p>
        </w:tc>
        <w:tc>
          <w:tcPr>
            <w:tcW w:w="240" w:type="dxa"/>
            <w:vAlign w:val="bottom"/>
          </w:tcPr>
          <w:p>
            <w:pPr>
              <w:spacing w:after="0"/>
              <w:rPr>
                <w:sz w:val="11"/>
                <w:szCs w:val="11"/>
                <w:color w:val="auto"/>
              </w:rPr>
            </w:pPr>
          </w:p>
        </w:tc>
        <w:tc>
          <w:tcPr>
            <w:tcW w:w="1540" w:type="dxa"/>
            <w:vAlign w:val="bottom"/>
            <w:gridSpan w:val="3"/>
          </w:tcPr>
          <w:p>
            <w:pPr>
              <w:jc w:val="center"/>
              <w:ind w:right="56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8"/>
              </w:rPr>
              <w:t>Markets</w:t>
            </w:r>
          </w:p>
        </w:tc>
        <w:tc>
          <w:tcPr>
            <w:tcW w:w="240" w:type="dxa"/>
            <w:vAlign w:val="bottom"/>
          </w:tcPr>
          <w:p>
            <w:pPr>
              <w:spacing w:after="0"/>
              <w:rPr>
                <w:sz w:val="11"/>
                <w:szCs w:val="11"/>
                <w:color w:val="auto"/>
              </w:rPr>
            </w:pPr>
          </w:p>
        </w:tc>
        <w:tc>
          <w:tcPr>
            <w:tcW w:w="1540" w:type="dxa"/>
            <w:vAlign w:val="bottom"/>
            <w:gridSpan w:val="3"/>
          </w:tcPr>
          <w:p>
            <w:pPr>
              <w:jc w:val="center"/>
              <w:ind w:right="580"/>
              <w:spacing w:after="0" w:line="135" w:lineRule="exact"/>
              <w:rPr>
                <w:sz w:val="20"/>
                <w:szCs w:val="20"/>
                <w:color w:val="auto"/>
              </w:rPr>
            </w:pPr>
            <w:r>
              <w:rPr>
                <w:rFonts w:ascii="Arial" w:cs="Arial" w:eastAsia="Arial" w:hAnsi="Arial"/>
                <w:sz w:val="14"/>
                <w:szCs w:val="14"/>
                <w:b w:val="1"/>
                <w:bCs w:val="1"/>
                <w:color w:val="auto"/>
                <w:w w:val="95"/>
              </w:rPr>
              <w:t>Inputs</w:t>
            </w:r>
          </w:p>
        </w:tc>
        <w:tc>
          <w:tcPr>
            <w:tcW w:w="1200" w:type="dxa"/>
            <w:vAlign w:val="bottom"/>
          </w:tcPr>
          <w:p>
            <w:pPr>
              <w:jc w:val="center"/>
              <w:ind w:right="159"/>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6"/>
                <w:szCs w:val="16"/>
                <w:color w:val="auto"/>
              </w:rPr>
            </w:pPr>
          </w:p>
        </w:tc>
        <w:tc>
          <w:tcPr>
            <w:tcW w:w="15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4"/>
              </w:rPr>
              <w:t>(Level 2)</w:t>
            </w:r>
          </w:p>
        </w:tc>
        <w:tc>
          <w:tcPr>
            <w:tcW w:w="120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1,036,083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504,964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531,119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20"/>
              <w:spacing w:after="0"/>
              <w:rPr>
                <w:sz w:val="20"/>
                <w:szCs w:val="20"/>
                <w:color w:val="auto"/>
              </w:rPr>
            </w:pPr>
            <w:r>
              <w:rPr>
                <w:rFonts w:ascii="Arial" w:cs="Arial" w:eastAsia="Arial" w:hAnsi="Arial"/>
                <w:sz w:val="18"/>
                <w:szCs w:val="18"/>
                <w:color w:val="auto"/>
              </w:rPr>
              <w:t>Interest rate collar</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18,127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18,127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3"/>
        </w:trPr>
        <w:tc>
          <w:tcPr>
            <w:tcW w:w="5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3040" w:type="dxa"/>
            <w:vAlign w:val="bottom"/>
            <w:tcBorders>
              <w:bottom w:val="single" w:sz="8" w:color="auto"/>
            </w:tcBorders>
            <w:gridSpan w:val="6"/>
          </w:tcPr>
          <w:p>
            <w:pPr>
              <w:jc w:val="center"/>
              <w:ind w:left="863"/>
              <w:spacing w:after="0"/>
              <w:rPr>
                <w:sz w:val="20"/>
                <w:szCs w:val="20"/>
                <w:color w:val="auto"/>
              </w:rPr>
            </w:pPr>
            <w:r>
              <w:rPr>
                <w:rFonts w:ascii="Arial" w:cs="Arial" w:eastAsia="Arial" w:hAnsi="Arial"/>
                <w:sz w:val="14"/>
                <w:szCs w:val="14"/>
                <w:b w:val="1"/>
                <w:bCs w:val="1"/>
                <w:color w:val="auto"/>
                <w:w w:val="93"/>
              </w:rPr>
              <w:t>Fair Value Measurements Using:</w:t>
            </w:r>
          </w:p>
        </w:tc>
        <w:tc>
          <w:tcPr>
            <w:tcW w:w="12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3"/>
              </w:rPr>
              <w:t>Quoted</w:t>
            </w: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Market</w:t>
            </w:r>
          </w:p>
        </w:tc>
        <w:tc>
          <w:tcPr>
            <w:tcW w:w="240" w:type="dxa"/>
            <w:vAlign w:val="bottom"/>
          </w:tcPr>
          <w:p>
            <w:pPr>
              <w:spacing w:after="0"/>
              <w:rPr>
                <w:sz w:val="11"/>
                <w:szCs w:val="11"/>
                <w:color w:val="auto"/>
              </w:rPr>
            </w:pPr>
          </w:p>
        </w:tc>
        <w:tc>
          <w:tcPr>
            <w:tcW w:w="154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6"/>
              </w:rPr>
              <w:t>Other</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2"/>
              </w:rPr>
              <w:t>Prices in</w:t>
            </w:r>
          </w:p>
        </w:tc>
        <w:tc>
          <w:tcPr>
            <w:tcW w:w="24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120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Active</w:t>
            </w:r>
          </w:p>
        </w:tc>
        <w:tc>
          <w:tcPr>
            <w:tcW w:w="240" w:type="dxa"/>
            <w:vAlign w:val="bottom"/>
          </w:tcPr>
          <w:p>
            <w:pPr>
              <w:spacing w:after="0"/>
              <w:rPr>
                <w:sz w:val="11"/>
                <w:szCs w:val="11"/>
                <w:color w:val="auto"/>
              </w:rPr>
            </w:pPr>
          </w:p>
        </w:tc>
        <w:tc>
          <w:tcPr>
            <w:tcW w:w="1540" w:type="dxa"/>
            <w:vAlign w:val="bottom"/>
            <w:gridSpan w:val="3"/>
          </w:tcPr>
          <w:p>
            <w:pPr>
              <w:jc w:val="center"/>
              <w:ind w:right="56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8"/>
              </w:rPr>
              <w:t>Markets</w:t>
            </w:r>
          </w:p>
        </w:tc>
        <w:tc>
          <w:tcPr>
            <w:tcW w:w="240" w:type="dxa"/>
            <w:vAlign w:val="bottom"/>
          </w:tcPr>
          <w:p>
            <w:pPr>
              <w:spacing w:after="0"/>
              <w:rPr>
                <w:sz w:val="11"/>
                <w:szCs w:val="11"/>
                <w:color w:val="auto"/>
              </w:rPr>
            </w:pPr>
          </w:p>
        </w:tc>
        <w:tc>
          <w:tcPr>
            <w:tcW w:w="1540" w:type="dxa"/>
            <w:vAlign w:val="bottom"/>
            <w:gridSpan w:val="3"/>
          </w:tcPr>
          <w:p>
            <w:pPr>
              <w:jc w:val="center"/>
              <w:ind w:right="580"/>
              <w:spacing w:after="0" w:line="135" w:lineRule="exact"/>
              <w:rPr>
                <w:sz w:val="20"/>
                <w:szCs w:val="20"/>
                <w:color w:val="auto"/>
              </w:rPr>
            </w:pPr>
            <w:r>
              <w:rPr>
                <w:rFonts w:ascii="Arial" w:cs="Arial" w:eastAsia="Arial" w:hAnsi="Arial"/>
                <w:sz w:val="14"/>
                <w:szCs w:val="14"/>
                <w:b w:val="1"/>
                <w:bCs w:val="1"/>
                <w:color w:val="auto"/>
                <w:w w:val="95"/>
              </w:rPr>
              <w:t>Inputs</w:t>
            </w:r>
          </w:p>
        </w:tc>
        <w:tc>
          <w:tcPr>
            <w:tcW w:w="1200" w:type="dxa"/>
            <w:vAlign w:val="bottom"/>
          </w:tcPr>
          <w:p>
            <w:pPr>
              <w:jc w:val="center"/>
              <w:ind w:right="159"/>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6"/>
                <w:szCs w:val="16"/>
                <w:color w:val="auto"/>
              </w:rPr>
            </w:pPr>
          </w:p>
        </w:tc>
        <w:tc>
          <w:tcPr>
            <w:tcW w:w="15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4"/>
              </w:rPr>
              <w:t>(Level 2)</w:t>
            </w:r>
          </w:p>
        </w:tc>
        <w:tc>
          <w:tcPr>
            <w:tcW w:w="120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1,086,402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1,086,402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20"/>
              <w:spacing w:after="0"/>
              <w:rPr>
                <w:sz w:val="20"/>
                <w:szCs w:val="20"/>
                <w:color w:val="auto"/>
              </w:rPr>
            </w:pPr>
            <w:r>
              <w:rPr>
                <w:rFonts w:ascii="Arial" w:cs="Arial" w:eastAsia="Arial" w:hAnsi="Arial"/>
                <w:sz w:val="18"/>
                <w:szCs w:val="18"/>
                <w:color w:val="auto"/>
              </w:rPr>
              <w:t>Interest rate collar</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3,847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Customer Contract Liabilities</w:t>
      </w:r>
    </w:p>
    <w:p>
      <w:pPr>
        <w:spacing w:after="0" w:line="25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 providing goods and services to its customers, there is often a timing difference between the Company receiving cash and the Company recording revenue for providing services or holding events.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primary liabilities associated with customer contracts are as follows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940" w:type="dxa"/>
            <w:vAlign w:val="bottom"/>
          </w:tcPr>
          <w:p>
            <w:pPr>
              <w:jc w:val="right"/>
              <w:ind w:right="215"/>
              <w:spacing w:after="0"/>
              <w:rPr>
                <w:sz w:val="20"/>
                <w:szCs w:val="20"/>
                <w:color w:val="auto"/>
              </w:rPr>
            </w:pPr>
            <w:r>
              <w:rPr>
                <w:rFonts w:ascii="Arial" w:cs="Arial" w:eastAsia="Arial" w:hAnsi="Arial"/>
                <w:sz w:val="14"/>
                <w:szCs w:val="14"/>
                <w:b w:val="1"/>
                <w:bCs w:val="1"/>
                <w:color w:val="auto"/>
              </w:rPr>
              <w:t>Increase</w:t>
            </w:r>
          </w:p>
        </w:tc>
      </w:tr>
      <w:tr>
        <w:trPr>
          <w:trHeight w:val="188"/>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(decrease)</w:t>
            </w:r>
          </w:p>
        </w:tc>
        <w:tc>
          <w:tcPr>
            <w:tcW w:w="100" w:type="dxa"/>
            <w:vAlign w:val="bottom"/>
          </w:tcPr>
          <w:p>
            <w:pPr>
              <w:spacing w:after="0"/>
              <w:rPr>
                <w:sz w:val="16"/>
                <w:szCs w:val="16"/>
                <w:color w:val="auto"/>
              </w:rPr>
            </w:pPr>
          </w:p>
        </w:tc>
        <w:tc>
          <w:tcPr>
            <w:tcW w:w="1020" w:type="dxa"/>
            <w:vAlign w:val="bottom"/>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5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155"/>
              <w:spacing w:after="0"/>
              <w:rPr>
                <w:sz w:val="20"/>
                <w:szCs w:val="20"/>
                <w:color w:val="auto"/>
              </w:rPr>
            </w:pPr>
            <w:r>
              <w:rPr>
                <w:rFonts w:ascii="Arial" w:cs="Arial" w:eastAsia="Arial" w:hAnsi="Arial"/>
                <w:sz w:val="14"/>
                <w:szCs w:val="14"/>
                <w:b w:val="1"/>
                <w:bCs w:val="1"/>
                <w:color w:val="auto"/>
                <w:w w:val="97"/>
              </w:rPr>
              <w:t>(decrease)</w:t>
            </w:r>
          </w:p>
        </w:tc>
      </w:tr>
      <w:tr>
        <w:trPr>
          <w:trHeight w:val="224"/>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 xml:space="preserve">Casino outstanding chips and front money deposits </w:t>
            </w:r>
            <w:r>
              <w:rPr>
                <w:rFonts w:ascii="Arial" w:cs="Arial" w:eastAsia="Arial" w:hAnsi="Arial"/>
                <w:sz w:val="14"/>
                <w:szCs w:val="14"/>
                <w:color w:val="auto"/>
                <w:w w:val="90"/>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836,370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769,053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67,317</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907,598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905,561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w:t>
            </w: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 xml:space="preserve">Advance room deposits and ticket sales </w:t>
            </w:r>
            <w:r>
              <w:rPr>
                <w:rFonts w:ascii="Arial" w:cs="Arial" w:eastAsia="Arial" w:hAnsi="Arial"/>
                <w:sz w:val="14"/>
                <w:szCs w:val="14"/>
                <w:color w:val="auto"/>
              </w:rPr>
              <w:t>(2)</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28,885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49,834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43,086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42,197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889</w:t>
            </w: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Other gaming-related liabilities </w:t>
            </w:r>
            <w:r>
              <w:rPr>
                <w:rFonts w:ascii="Arial" w:cs="Arial" w:eastAsia="Arial" w:hAnsi="Arial"/>
                <w:sz w:val="14"/>
                <w:szCs w:val="14"/>
                <w:color w:val="auto"/>
              </w:rPr>
              <w:t>(3)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r>
      <w:tr>
        <w:trPr>
          <w:trHeight w:val="229"/>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Loyalty program and related liabilities </w:t>
            </w:r>
            <w:r>
              <w:rPr>
                <w:rFonts w:ascii="Arial" w:cs="Arial" w:eastAsia="Arial" w:hAnsi="Arial"/>
                <w:sz w:val="14"/>
                <w:szCs w:val="14"/>
                <w:color w:val="auto"/>
              </w:rPr>
              <w:t>(4)</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4,770</w:t>
            </w:r>
          </w:p>
        </w:tc>
      </w:tr>
      <w:tr>
        <w:trPr>
          <w:trHeight w:val="248"/>
        </w:trPr>
        <w:tc>
          <w:tcPr>
            <w:tcW w:w="3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894,829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854,005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40,824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982,899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978,600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4,299</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both"/>
        <w:ind w:left="260" w:hanging="252"/>
        <w:spacing w:after="0" w:line="247" w:lineRule="auto"/>
        <w:tabs>
          <w:tab w:leader="none" w:pos="229" w:val="left"/>
        </w:tabs>
        <w:numPr>
          <w:ilvl w:val="0"/>
          <w:numId w:val="5"/>
        </w:numPr>
        <w:rPr>
          <w:rFonts w:ascii="Arial" w:cs="Arial" w:eastAsia="Arial" w:hAnsi="Arial"/>
          <w:sz w:val="14"/>
          <w:szCs w:val="14"/>
          <w:color w:val="auto"/>
        </w:rPr>
      </w:pPr>
      <w:r>
        <w:rPr>
          <w:rFonts w:ascii="Arial" w:cs="Arial" w:eastAsia="Arial" w:hAnsi="Arial"/>
          <w:sz w:val="14"/>
          <w:szCs w:val="14"/>
          <w:color w:val="auto"/>
        </w:rPr>
        <w:t>Casino outstanding chips generally represent amounts owed to gaming promoters and customers for chips in their possession, and casino front money deposits represent funds deposited by customers before gaming play occurs. These amounts are included in customer deposits on the Condensed Consolidated Balance Sheets and may be recognized as revenue or redeemed for cash in the future.</w:t>
      </w:r>
    </w:p>
    <w:p>
      <w:pPr>
        <w:jc w:val="both"/>
        <w:ind w:left="260" w:hanging="252"/>
        <w:spacing w:after="0" w:line="260" w:lineRule="auto"/>
        <w:tabs>
          <w:tab w:leader="none" w:pos="234" w:val="left"/>
        </w:tabs>
        <w:numPr>
          <w:ilvl w:val="0"/>
          <w:numId w:val="5"/>
        </w:numPr>
        <w:rPr>
          <w:rFonts w:ascii="Arial" w:cs="Arial" w:eastAsia="Arial" w:hAnsi="Arial"/>
          <w:sz w:val="13"/>
          <w:szCs w:val="13"/>
          <w:color w:val="auto"/>
        </w:rPr>
      </w:pPr>
      <w:r>
        <w:rPr>
          <w:rFonts w:ascii="Arial" w:cs="Arial" w:eastAsia="Arial" w:hAnsi="Arial"/>
          <w:sz w:val="13"/>
          <w:szCs w:val="13"/>
          <w:color w:val="auto"/>
        </w:rPr>
        <w:t>Advance room deposits and ticket sales represent cash received in advance for goods or services to be provided in the future. These amounts are included in customer deposits on the Condensed Consolidated Balance Sheets and will be recognized as revenue when the goods or services are provided or the events are held. Decreases in this balance generally represent the recognition of revenue and increases in the balance represent additional deposits made by customers. The deposits are expected to primarily be recognized as revenue within one year.</w:t>
      </w:r>
    </w:p>
    <w:p>
      <w:pPr>
        <w:ind w:left="260" w:hanging="252"/>
        <w:spacing w:after="0" w:line="241" w:lineRule="auto"/>
        <w:tabs>
          <w:tab w:leader="none" w:pos="221" w:val="left"/>
        </w:tabs>
        <w:numPr>
          <w:ilvl w:val="0"/>
          <w:numId w:val="5"/>
        </w:numPr>
        <w:rPr>
          <w:rFonts w:ascii="Arial" w:cs="Arial" w:eastAsia="Arial" w:hAnsi="Arial"/>
          <w:sz w:val="14"/>
          <w:szCs w:val="14"/>
          <w:color w:val="auto"/>
        </w:rPr>
      </w:pPr>
      <w:r>
        <w:rPr>
          <w:rFonts w:ascii="Arial" w:cs="Arial" w:eastAsia="Arial" w:hAnsi="Arial"/>
          <w:sz w:val="14"/>
          <w:szCs w:val="14"/>
          <w:color w:val="auto"/>
        </w:rPr>
        <w:t>Other gaming-related liabilities generally represent unpaid wagers primarily in the form of unredeemed slot, race and sportsbook tickets or wagers for future sporting events. The amounts are included in other accrued liabilities on the Condensed Consolidated Balance Sheets.</w:t>
      </w:r>
    </w:p>
    <w:p>
      <w:pPr>
        <w:ind w:left="260" w:right="20" w:hanging="252"/>
        <w:spacing w:after="0" w:line="255" w:lineRule="auto"/>
        <w:tabs>
          <w:tab w:leader="none" w:pos="221" w:val="left"/>
        </w:tabs>
        <w:numPr>
          <w:ilvl w:val="0"/>
          <w:numId w:val="5"/>
        </w:numPr>
        <w:rPr>
          <w:rFonts w:ascii="Arial" w:cs="Arial" w:eastAsia="Arial" w:hAnsi="Arial"/>
          <w:sz w:val="14"/>
          <w:szCs w:val="14"/>
          <w:color w:val="auto"/>
        </w:rPr>
      </w:pPr>
      <w:r>
        <w:rPr>
          <w:rFonts w:ascii="Arial" w:cs="Arial" w:eastAsia="Arial" w:hAnsi="Arial"/>
          <w:sz w:val="14"/>
          <w:szCs w:val="14"/>
          <w:color w:val="auto"/>
        </w:rPr>
        <w:t>Loyalty program and related liabilities represent the deferral of revenue until the loyalty points or other complimentaries are redeemed. The amounts are included in other accrued liabilities on the Condensed Consolidated Balance Sheets and are expected to be recognized as revenue within one year of being earned by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Stock-Based Compensation</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total compensation cost for stock-based compensation plans was recorded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7"/>
        </w:trPr>
        <w:tc>
          <w:tcPr>
            <w:tcW w:w="524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2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Casino </w:t>
            </w:r>
            <w:r>
              <w:rPr>
                <w:rFonts w:ascii="Arial" w:cs="Arial" w:eastAsia="Arial" w:hAnsi="Arial"/>
                <w:sz w:val="14"/>
                <w:szCs w:val="14"/>
                <w:color w:val="auto"/>
              </w:rPr>
              <w:t>(1)</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6,254</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Rooms</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737</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and beverage</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Entertainment, retail and other</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14"/>
                <w:szCs w:val="14"/>
                <w:color w:val="auto"/>
              </w:rPr>
              <w:t>(2)</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21,487</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Pre-opening</w:t>
            </w:r>
          </w:p>
        </w:tc>
        <w:tc>
          <w:tcPr>
            <w:tcW w:w="8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670</w:t>
            </w:r>
          </w:p>
        </w:tc>
      </w:tr>
      <w:tr>
        <w:trPr>
          <w:trHeight w:val="223"/>
        </w:trPr>
        <w:tc>
          <w:tcPr>
            <w:tcW w:w="52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stock-based compensation expense</w:t>
            </w:r>
          </w:p>
        </w:tc>
        <w:tc>
          <w:tcPr>
            <w:tcW w:w="84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10,053</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10,276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40,501</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30,444</w:t>
            </w:r>
          </w:p>
        </w:tc>
      </w:tr>
      <w:tr>
        <w:trPr>
          <w:trHeight w:val="229"/>
        </w:trPr>
        <w:tc>
          <w:tcPr>
            <w:tcW w:w="5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stock-based compensation capitalized</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stock-based compensation costs</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10,712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41,863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30,672</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60" w:hanging="252"/>
        <w:spacing w:after="0" w:line="250" w:lineRule="auto"/>
        <w:tabs>
          <w:tab w:leader="none" w:pos="221"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the nine months ended September 30, 2020, reflects the reversal of $3.3 million of compensation cost previously recognized for awards forfeited in connection with the departure of an employee.</w:t>
      </w: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the nine months ended September 30, 2020, reflects compensation cost of $4.4 million recognized in connection with the vesting of restricted stock performance awards.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25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recorded an income tax expense of $407.4 million and $19.7 million for the three months ended September 30, 2020 and 2019, respectively, and an income tax expense of $564.1 million and $19.4 million for the nine months ended September 30, 2020 and 2019. The 2020 income tax expense primarily related to the increase in the valuation allowances for U.S foreign tax credits, U.S. loss carryforwards and other U.S. deferred tax assets. The 2019 income tax expense primarily related to the increase in the valuation allowance for U.S. foreign tax credits.</w:t>
      </w:r>
    </w:p>
    <w:p>
      <w:pPr>
        <w:spacing w:after="0" w:line="19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Company records valuation allowances on certain of its U.S. and foreign deferred tax assets. During the third quarter of 2020, the Company concluded it could no longer rely on forecasted future taxable income in assessing a valuation allowance on its deferred tax assets. This conclusion was reached due to cumulative operating losses incurred by the Company and recent tax legislation that reduced future sources of taxable income. As of September 30, 2020, the Company now relies solely on the reversal of net taxable temporary differences in its establishment of a valuation allowance.</w:t>
      </w:r>
    </w:p>
    <w:p>
      <w:pPr>
        <w:spacing w:after="0" w:line="18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Wynn Macau SA received a five year exemption from Macau's 12% Complementary Tax on casino gaming profits through December 31, 2020. Accordingly, for the three months ended September 30, 2019, the Company was exempt from the payment of such taxes totaling $13.4 million. For the nine months ended September 30, 2019, the Company was exempt from the payment of such taxes totaling $56.0 million. For the three and nine months ended September 30, 2020, the Company did not have any casino gaming profits exempt from the Macau Complementary Tax. The Company's non-gaming profits remain subject to the Macau Complementary Tax and its casino winnings remain subject to the Macau special gaming tax and other levies in accordance with its concession agreement.</w:t>
      </w:r>
    </w:p>
    <w:p>
      <w:pPr>
        <w:spacing w:after="0" w:line="21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April 2020, Wynn Macau SA received an extension of the exemption from Macau’s 12% Complementary Tax on casino gaming profits earned from January 1, 2021 to June 26, 2022, the expiration date of the gaming concession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Per Share</w:t>
      </w:r>
    </w:p>
    <w:p>
      <w:pPr>
        <w:spacing w:after="0" w:line="256"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Basic earnings per share ("EPS") is computed by dividing net income (loss) attributable to Wynn Resorts by the weighted average number of common shares outstanding during the period. Diluted EPS is computed by dividing net income attributable to Wynn Resorts by the weighted average number of common shares outstanding during the period increased to include the number of additional shares of common stock that would have been outstanding if the potential dilutive securities had been issued. Potentially dilutive securities include outstanding stock options and unvested restricted stock.</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(in thousands, except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4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87"/>
        </w:trPr>
        <w:tc>
          <w:tcPr>
            <w:tcW w:w="54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(758,142)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(3,496)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(1,797,743)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195,927</w:t>
            </w:r>
          </w:p>
        </w:tc>
        <w:tc>
          <w:tcPr>
            <w:tcW w:w="0" w:type="dxa"/>
            <w:vAlign w:val="bottom"/>
          </w:tcPr>
          <w:p>
            <w:pPr>
              <w:spacing w:after="0"/>
              <w:rPr>
                <w:sz w:val="1"/>
                <w:szCs w:val="1"/>
                <w:color w:val="auto"/>
              </w:rPr>
            </w:pPr>
          </w:p>
        </w:tc>
      </w:tr>
      <w:tr>
        <w:trPr>
          <w:trHeight w:val="250"/>
        </w:trPr>
        <w:tc>
          <w:tcPr>
            <w:tcW w:w="5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106,791</w:t>
            </w:r>
          </w:p>
        </w:tc>
        <w:tc>
          <w:tcPr>
            <w:tcW w:w="0" w:type="dxa"/>
            <w:vAlign w:val="bottom"/>
          </w:tcPr>
          <w:p>
            <w:pPr>
              <w:spacing w:after="0"/>
              <w:rPr>
                <w:sz w:val="1"/>
                <w:szCs w:val="1"/>
                <w:color w:val="auto"/>
              </w:rPr>
            </w:pPr>
          </w:p>
        </w:tc>
      </w:tr>
      <w:tr>
        <w:trPr>
          <w:trHeight w:val="176"/>
        </w:trPr>
        <w:tc>
          <w:tcPr>
            <w:tcW w:w="5400" w:type="dxa"/>
            <w:vAlign w:val="bottom"/>
          </w:tcPr>
          <w:p>
            <w:pPr>
              <w:ind w:left="220"/>
              <w:spacing w:after="0" w:line="176" w:lineRule="exact"/>
              <w:rPr>
                <w:sz w:val="20"/>
                <w:szCs w:val="20"/>
                <w:color w:val="auto"/>
              </w:rPr>
            </w:pPr>
            <w:r>
              <w:rPr>
                <w:rFonts w:ascii="Arial" w:cs="Arial" w:eastAsia="Arial" w:hAnsi="Arial"/>
                <w:sz w:val="18"/>
                <w:szCs w:val="18"/>
                <w:color w:val="auto"/>
                <w:w w:val="93"/>
              </w:rPr>
              <w:t>Potential dilutive effect of stock options, nonvested, and performance</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9"/>
        </w:trPr>
        <w:tc>
          <w:tcPr>
            <w:tcW w:w="5400" w:type="dxa"/>
            <w:vAlign w:val="bottom"/>
          </w:tcPr>
          <w:p>
            <w:pPr>
              <w:ind w:left="220"/>
              <w:spacing w:after="0"/>
              <w:rPr>
                <w:sz w:val="20"/>
                <w:szCs w:val="20"/>
                <w:color w:val="auto"/>
              </w:rPr>
            </w:pPr>
            <w:r>
              <w:rPr>
                <w:rFonts w:ascii="Arial" w:cs="Arial" w:eastAsia="Arial" w:hAnsi="Arial"/>
                <w:sz w:val="18"/>
                <w:szCs w:val="18"/>
                <w:color w:val="auto"/>
              </w:rPr>
              <w:t>nonvested shares</w:t>
            </w:r>
          </w:p>
        </w:tc>
        <w:tc>
          <w:tcPr>
            <w:tcW w:w="22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5400" w:type="dxa"/>
            <w:vAlign w:val="bottom"/>
            <w:tcBorders>
              <w:top w:val="single" w:sz="8" w:color="CCEEFF"/>
            </w:tcBorders>
            <w:shd w:val="clear" w:color="auto" w:fill="CCEEFF"/>
          </w:tcPr>
          <w:p>
            <w:pPr>
              <w:ind w:left="220"/>
              <w:spacing w:after="0" w:line="156" w:lineRule="exact"/>
              <w:rPr>
                <w:sz w:val="20"/>
                <w:szCs w:val="20"/>
                <w:color w:val="auto"/>
              </w:rPr>
            </w:pPr>
            <w:r>
              <w:rPr>
                <w:rFonts w:ascii="Arial" w:cs="Arial" w:eastAsia="Arial" w:hAnsi="Arial"/>
                <w:sz w:val="18"/>
                <w:szCs w:val="18"/>
                <w:b w:val="1"/>
                <w:bCs w:val="1"/>
                <w:color w:val="auto"/>
              </w:rPr>
              <w:t>Weighted average common and common equivalent shares</w:t>
            </w:r>
          </w:p>
        </w:tc>
        <w:tc>
          <w:tcPr>
            <w:tcW w:w="22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106,783</w:t>
            </w:r>
          </w:p>
        </w:tc>
        <w:tc>
          <w:tcPr>
            <w:tcW w:w="1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106,707</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106,720</w:t>
            </w: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107,024</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shd w:val="clear" w:color="auto" w:fill="CCEEFF"/>
          </w:tcPr>
          <w:p>
            <w:pPr>
              <w:ind w:left="220"/>
              <w:spacing w:after="0" w:line="202" w:lineRule="exact"/>
              <w:rPr>
                <w:sz w:val="20"/>
                <w:szCs w:val="20"/>
                <w:color w:val="auto"/>
              </w:rPr>
            </w:pPr>
            <w:r>
              <w:rPr>
                <w:rFonts w:ascii="Arial" w:cs="Arial" w:eastAsia="Arial" w:hAnsi="Arial"/>
                <w:sz w:val="18"/>
                <w:szCs w:val="18"/>
                <w:b w:val="1"/>
                <w:bCs w:val="1"/>
                <w:color w:val="auto"/>
              </w:rPr>
              <w:t>outstanding</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4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4"/>
              </w:rPr>
              <w:t>Net income (loss) attributable to Wynn Resorts, Limited per common</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8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share, basic</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20"/>
              <w:spacing w:after="0" w:line="163" w:lineRule="exact"/>
              <w:rPr>
                <w:sz w:val="20"/>
                <w:szCs w:val="20"/>
                <w:color w:val="auto"/>
              </w:rPr>
            </w:pPr>
            <w:r>
              <w:rPr>
                <w:rFonts w:ascii="Arial" w:cs="Arial" w:eastAsia="Arial" w:hAnsi="Arial"/>
                <w:sz w:val="18"/>
                <w:szCs w:val="18"/>
                <w:color w:val="auto"/>
                <w:w w:val="94"/>
              </w:rPr>
              <w:t>Net income (loss) attributable to Wynn Resorts, Limited per common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400" w:type="dxa"/>
            <w:vAlign w:val="bottom"/>
            <w:vMerge w:val="continue"/>
          </w:tcPr>
          <w:p>
            <w:pPr>
              <w:spacing w:after="0"/>
              <w:rPr>
                <w:sz w:val="10"/>
                <w:szCs w:val="10"/>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10"/>
                <w:szCs w:val="10"/>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0"/>
                <w:szCs w:val="10"/>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(16.85)</w:t>
            </w:r>
          </w:p>
        </w:tc>
        <w:tc>
          <w:tcPr>
            <w:tcW w:w="80" w:type="dxa"/>
            <w:vAlign w:val="bottom"/>
          </w:tcPr>
          <w:p>
            <w:pPr>
              <w:spacing w:after="0"/>
              <w:rPr>
                <w:sz w:val="10"/>
                <w:szCs w:val="10"/>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8"/>
        </w:trPr>
        <w:tc>
          <w:tcPr>
            <w:tcW w:w="5400" w:type="dxa"/>
            <w:vAlign w:val="bottom"/>
          </w:tcPr>
          <w:p>
            <w:pPr>
              <w:ind w:left="220"/>
              <w:spacing w:after="0" w:line="202" w:lineRule="exact"/>
              <w:rPr>
                <w:sz w:val="20"/>
                <w:szCs w:val="20"/>
                <w:color w:val="auto"/>
              </w:rPr>
            </w:pPr>
            <w:r>
              <w:rPr>
                <w:rFonts w:ascii="Arial" w:cs="Arial" w:eastAsia="Arial" w:hAnsi="Arial"/>
                <w:sz w:val="18"/>
                <w:szCs w:val="18"/>
                <w:color w:val="auto"/>
              </w:rPr>
              <w:t>share, diluted</w:t>
            </w:r>
          </w:p>
        </w:tc>
        <w:tc>
          <w:tcPr>
            <w:tcW w:w="22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400" w:type="dxa"/>
            <w:vAlign w:val="bottom"/>
          </w:tcPr>
          <w:p>
            <w:pPr>
              <w:ind w:left="220"/>
              <w:spacing w:after="0" w:line="176" w:lineRule="exact"/>
              <w:rPr>
                <w:sz w:val="20"/>
                <w:szCs w:val="20"/>
                <w:color w:val="auto"/>
              </w:rPr>
            </w:pPr>
            <w:r>
              <w:rPr>
                <w:rFonts w:ascii="Arial" w:cs="Arial" w:eastAsia="Arial" w:hAnsi="Arial"/>
                <w:sz w:val="18"/>
                <w:szCs w:val="18"/>
                <w:color w:val="auto"/>
                <w:w w:val="97"/>
              </w:rPr>
              <w:t>Anti-dilutive stock options, nonvested, and performance nonvested</w:t>
            </w:r>
          </w:p>
        </w:tc>
        <w:tc>
          <w:tcPr>
            <w:tcW w:w="2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1,104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1,104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3"/>
        </w:trPr>
        <w:tc>
          <w:tcPr>
            <w:tcW w:w="5400" w:type="dxa"/>
            <w:vAlign w:val="bottom"/>
          </w:tcPr>
          <w:p>
            <w:pPr>
              <w:ind w:left="220"/>
              <w:spacing w:after="0" w:line="202" w:lineRule="exact"/>
              <w:rPr>
                <w:sz w:val="20"/>
                <w:szCs w:val="20"/>
                <w:color w:val="auto"/>
              </w:rPr>
            </w:pPr>
            <w:r>
              <w:rPr>
                <w:rFonts w:ascii="Arial" w:cs="Arial" w:eastAsia="Arial" w:hAnsi="Arial"/>
                <w:sz w:val="18"/>
                <w:szCs w:val="18"/>
                <w:color w:val="auto"/>
                <w:w w:val="94"/>
              </w:rPr>
              <w:t>shares excluded from the calculation of diluted net income per share</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Leases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Arrangements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minimum and contingent operating lease income for the periods presented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20" w:type="dxa"/>
            <w:vAlign w:val="bottom"/>
            <w:gridSpan w:val="4"/>
          </w:tcPr>
          <w:p>
            <w:pPr>
              <w:jc w:val="right"/>
              <w:ind w:right="275"/>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87"/>
        </w:trPr>
        <w:tc>
          <w:tcPr>
            <w:tcW w:w="54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r>
      <w:tr>
        <w:trPr>
          <w:trHeight w:val="224"/>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Minimum rental income </w:t>
            </w:r>
            <w:r>
              <w:rPr>
                <w:rFonts w:ascii="Arial" w:cs="Arial" w:eastAsia="Arial" w:hAnsi="Arial"/>
                <w:sz w:val="14"/>
                <w:szCs w:val="14"/>
                <w:color w:val="auto"/>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4"/>
              </w:rPr>
              <w:t>(2,430)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100,022</w:t>
            </w:r>
          </w:p>
        </w:tc>
      </w:tr>
      <w:tr>
        <w:trPr>
          <w:trHeight w:val="229"/>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rental income</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8"/>
              </w:rPr>
              <w:t>15,280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40,505</w:t>
            </w:r>
          </w:p>
        </w:tc>
      </w:tr>
      <w:tr>
        <w:trPr>
          <w:trHeight w:val="248"/>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rental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b w:val="1"/>
                <w:bCs w:val="1"/>
                <w:color w:val="auto"/>
                <w:w w:val="98"/>
              </w:rPr>
              <w:t>12,850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47,232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81,091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140,527</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(1) For the three and nine months ended September 30, 2020, reflects the impact of rent concessions provided to tenants.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52"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and cash flows.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Massachusetts Gaming License Related Actions</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September 17, 2014, the Massachusetts Gaming Commission ("MGC") designated Wynn MA the award winner of the Greater Boston (Region A) gaming license (the "Boston area license"). On November 7, 2014, the gaming license became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Revere Action</w:t>
      </w:r>
    </w:p>
    <w:p>
      <w:pPr>
        <w:spacing w:after="0" w:line="252"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On October 16, 2014, the City of Revere, the host community to the unsuccessful bidder for the Boston area license, the International Brotherhood of Electrical Workers, Local 103, and several individuals, filed a complaint against the MGC and its gaming commissioners in Suffolk Superior Court in Boston, Massachusetts (the "Revere Action"). Mohegan Sun ("Mohegan") the other applicant for the Boston area license, joined the lawsuit and challenged the MGC's award of the Boston area license. On December 3, 2015, the court granted the MGC's motion to dismiss the claims asserted in the Revere Action and the court dismissed all claims except Mohegan's claim alleging procedural error by the MGC in granting the license to Wynn MA. The plaintiffs appealed. After multiple appeals and cross appeals, only two claims remained: (1) individual plaintiffs' claim for violation of the open meeting laws; and</w:t>
      </w:r>
    </w:p>
    <w:p>
      <w:pPr>
        <w:spacing w:after="0" w:line="4" w:lineRule="exact"/>
        <w:rPr>
          <w:sz w:val="20"/>
          <w:szCs w:val="20"/>
          <w:color w:val="auto"/>
        </w:rPr>
      </w:pPr>
    </w:p>
    <w:p>
      <w:pPr>
        <w:ind w:right="20" w:firstLine="8"/>
        <w:spacing w:after="0" w:line="260" w:lineRule="auto"/>
        <w:tabs>
          <w:tab w:leader="none" w:pos="265" w:val="left"/>
        </w:tabs>
        <w:numPr>
          <w:ilvl w:val="0"/>
          <w:numId w:val="7"/>
        </w:numPr>
        <w:rPr>
          <w:rFonts w:ascii="Arial" w:cs="Arial" w:eastAsia="Arial" w:hAnsi="Arial"/>
          <w:sz w:val="18"/>
          <w:szCs w:val="18"/>
          <w:color w:val="auto"/>
        </w:rPr>
      </w:pPr>
      <w:r>
        <w:rPr>
          <w:rFonts w:ascii="Arial" w:cs="Arial" w:eastAsia="Arial" w:hAnsi="Arial"/>
          <w:sz w:val="18"/>
          <w:szCs w:val="18"/>
          <w:color w:val="auto"/>
        </w:rPr>
        <w:t>Mohegan's claim for procedural error. On July 12, 2019, the Suffolk Superior Court granted the MGC's motion for summary judgment and dismissed the open meeting law claim, leaving only Mohegan's procedural claim.</w:t>
      </w:r>
    </w:p>
    <w:p>
      <w:pPr>
        <w:spacing w:after="0" w:line="212"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On August 2, 2019, Mohegan filed a motion to file a second amended complaint, to add new claims related to the MGC's allegedly inadequate 2013 investigation. On October 15, 2019, the court granted Mohegan's motion to amend and allowed it to file a second amended intervenor's complaint.</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Wynn MA was not named in the Revere Action.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Litigation</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 number of stockholder derivative actions have been filed in state and federal court located in Clark County, Nevada against certain current and former members of the Company's Board of Directors and, in some cases, the Company's current and former officers. Each of the complaints alleges, among other things, breach of fiduciary duties in failing to detect, prevent and remedy alleged inappropriate personal conduct by Stephen A. Wynn in the workplace. On September 19, 2018, the Board established a Special Litigation Committee (the "SLC") to investigate the allegations in the State Derivative Case (as defined below).</w:t>
      </w:r>
    </w:p>
    <w:p>
      <w:pPr>
        <w:spacing w:after="0" w:line="215"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 xml:space="preserve">The actions filed in the Eighth Judicial District Court of Clark County, Nevada were consolidated as </w:t>
      </w:r>
      <w:r>
        <w:rPr>
          <w:rFonts w:ascii="Arial" w:cs="Arial" w:eastAsia="Arial" w:hAnsi="Arial"/>
          <w:sz w:val="18"/>
          <w:szCs w:val="18"/>
          <w:i w:val="1"/>
          <w:iCs w:val="1"/>
          <w:color w:val="auto"/>
        </w:rPr>
        <w:t>In re Wynn Resorts, Ltd. Derivative Litigation</w:t>
      </w:r>
      <w:r>
        <w:rPr>
          <w:rFonts w:ascii="Arial" w:cs="Arial" w:eastAsia="Arial" w:hAnsi="Arial"/>
          <w:sz w:val="18"/>
          <w:szCs w:val="18"/>
          <w:color w:val="auto"/>
        </w:rPr>
        <w:t xml:space="preserve"> ("State Derivative Case"). On October 26, 2018, the SLC filed a motion to intervene and stay the State Derivative Case pending completion of its investigation, which the court granted.</w:t>
      </w:r>
    </w:p>
    <w:p>
      <w:pPr>
        <w:spacing w:after="0" w:line="209"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18"/>
          <w:szCs w:val="18"/>
          <w:color w:val="auto"/>
        </w:rPr>
        <w:t>On June 3, 2019, a separate stockholder derivative action was filed in the Eighth Judicial District Court of Clark County, Nevada alleging substantially similar causes of action as the State Derivative Case with the additional allegation that various of the Company's attorneys committed professional malpractice, and certain current and former executives also breached fiduciary duties and aided and abetted the breach of fiduciary duties, in connection with the alleged inappropriate personal conduct by Stephen A. Wynn in the workplace. On July 26, 2019, the plaintiff voluntarily dismissed Matt Maddox, Stephen A. Wynn, Kimmarie Sinatra, John J. Hagenbuch, Ray R. Irani, Jay L. Johnson, Robert J. Miller, Patricia Mulroy, Clark T. Randt, Jr., Alvin V. Shoemaker, J. Edward Virtue, D. Boone Wayson, and one of the Company's law firms from the action. On September 19, 2019, the court entered an order consolidating this action into the State Derivative Case, and on December 2, 2019, further clarified that this action may not proceed as a separate action apart from the State Derivative Case.</w:t>
      </w:r>
    </w:p>
    <w:p>
      <w:pPr>
        <w:spacing w:after="0" w:line="221"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On November 27, 2019, the State Derivative Case parties agreed to terms of a settlement agreement. The court approved the settlement agreement on February 12, 2020, and entered a written order approving the settlement on March 10, 2020. Following dismissal of the only appeal, the settlement agreement has now become effective and final. Following the dismissal, the Company has received net proceeds of $30.2 million, which has been recognized as a reduction of general and administrative expense within the accompanying Condensed Consolidated Statements of Operations for the nine months ended September 30, 2020.</w:t>
      </w:r>
    </w:p>
    <w:p>
      <w:pPr>
        <w:spacing w:after="0" w:line="216"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 xml:space="preserve">In 2018, several actions filed in the United States District Court, District of Nevada were consolidated as </w:t>
      </w:r>
      <w:r>
        <w:rPr>
          <w:rFonts w:ascii="Arial" w:cs="Arial" w:eastAsia="Arial" w:hAnsi="Arial"/>
          <w:sz w:val="18"/>
          <w:szCs w:val="18"/>
          <w:i w:val="1"/>
          <w:iCs w:val="1"/>
          <w:color w:val="auto"/>
        </w:rPr>
        <w:t>In re Wynn Resorts, Ltd. 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Litigation </w:t>
      </w:r>
      <w:r>
        <w:rPr>
          <w:rFonts w:ascii="Arial" w:cs="Arial" w:eastAsia="Arial" w:hAnsi="Arial"/>
          <w:sz w:val="18"/>
          <w:szCs w:val="18"/>
          <w:color w:val="auto"/>
        </w:rPr>
        <w:t>("Federal Derivative Case"), which also claim corporate waste and violation of Section 14(a) of the Exchange Act. In June 2018,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filed a motion to dismiss and a motion to stay pending resolution of the Securities Action (described below). On March 29, 2019, the Court granted the Company's request for a stay. On March 25, 2020, the parties stipulated to dismiss the Federal Derivative Case given the approved settlement in the State Derivative Case.</w:t>
      </w:r>
    </w:p>
    <w:p>
      <w:pPr>
        <w:spacing w:after="0" w:line="216"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On March 25, 2019, a separate stockholder derivative action was filed in the United States District Court, District of Nevada alleging identical causes of action as the Federal Derivative Case with the additional allegation that the Board of Directors improperly refused the stockholder's demand to commence litigation against the officers and directors of the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Company. On June 10, 2019, the Company filed a motion to dismiss, or alternatively to consolidate this action into the Federal Derivative Case. On March 23, 2020, the court denied the Company’s motion to dismiss as moot given the approved settlement in the State Derivative Case. On April 30, 2020, the Company filed a motion for summary judgment, seeking dismissal of the claims given the approved settlement in the State Derivative Case.</w:t>
      </w:r>
    </w:p>
    <w:p>
      <w:pPr>
        <w:spacing w:after="0" w:line="191" w:lineRule="exact"/>
        <w:rPr>
          <w:sz w:val="20"/>
          <w:szCs w:val="20"/>
          <w:color w:val="auto"/>
        </w:rPr>
      </w:pPr>
    </w:p>
    <w:p>
      <w:pPr>
        <w:jc w:val="both"/>
        <w:ind w:right="20" w:firstLine="405"/>
        <w:spacing w:after="0" w:line="261" w:lineRule="auto"/>
        <w:rPr>
          <w:sz w:val="20"/>
          <w:szCs w:val="20"/>
          <w:color w:val="auto"/>
        </w:rPr>
      </w:pPr>
      <w:r>
        <w:rPr>
          <w:rFonts w:ascii="Arial" w:cs="Arial" w:eastAsia="Arial" w:hAnsi="Arial"/>
          <w:sz w:val="18"/>
          <w:szCs w:val="18"/>
          <w:color w:val="auto"/>
        </w:rPr>
        <w:t>Each of the actions seeks to recover for the Company unspecified damages, including restitution and disgorgement of profits, and also seeks to recover attorneys' fees, costs and related expenses for the plaintiff.</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Individual Stockholder Actions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number of stockholders filed individual actions in the Eighth Judicial District Court of Clark County, Nevada against certain current and former members of the Company's Board of Directors and certain of the Company's current and former officers ("Individual Stockholder Actions"). Each of the complaints alleged that defendants, among other things, breached their fiduciary duties in failing to detect, prevent and remedy alleged inappropriate personal conduct by Stephen A. Wynn in the workplace causing injury to each of the individual stockholders.</w:t>
      </w:r>
    </w:p>
    <w:p>
      <w:pPr>
        <w:spacing w:after="0" w:line="21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January 29, 2019, the defendants filed motions to dismiss each of the Individual Stockholder Actions. On December 12, 2019, the district court entered an order denying the motions to dismiss, which the defendants appealed to the Nevada Supreme Court on December 24, 2019. On July 27, 2020, the Supreme Court issued an order mandating that the district court dismiss the action. As of September 2, 2020, all of the Individual Stockholder Actions have been dismissed.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Action</w:t>
      </w:r>
    </w:p>
    <w:p>
      <w:pPr>
        <w:spacing w:after="0" w:line="25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February 20, 2018, a putative securities class action was filed against the Company and certain current and former officers of the Company in the United States District Court, Southern District of New York (which was subsequently transferred to the United States District Court, District of Nevada) by John V. Ferris and Joann M. Ferris on behalf of all persons who purchased the Company's common stock between February 28, 2014 and January 25, 2018. The complaint alleges, among other things, certain violations of federal securities laws and seeks to recover unspecified damages as well as attorneys' fees, costs and related expenses for the plaintiffs. On April 15, 2019, the Company filed a motion to dismiss, which the court granted on May 27, 2020, with leave to amend. On July 1, 2020, the plaintiffs filed an amended complaint. On August 14, 2020, the Company filed a motion to dismiss the amended complaint, which is pending decision from the court.</w:t>
      </w:r>
    </w:p>
    <w:p>
      <w:pPr>
        <w:spacing w:after="0" w:line="20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defendants in these actions will vigorously defend against the claims pleaded against them. These actions are in preliminary stages and management has determined that based on proceedings to date, it is currently unable to determine the probability of the outcome of these actions or the range of reasonably possible loss, if 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Investigation</w:t>
      </w:r>
    </w:p>
    <w:p>
      <w:pPr>
        <w:spacing w:after="0" w:line="25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From time to time, the Company receives regulatory inquiries about compliance with anti-money laundering laws. The Company received requests for information from the U.S. Attorney’s Office for the Southern District of California relating to its anti-money laundering policies and procedures, and in the first half of 2020, received two grand jury subpoenas regarding various transactions at Wynn Las Vegas relating to certain patrons and agents who reside or operate in foreign jurisdictions. The Company continues to cooperate with the U.S. Attorney’s Office in its investigation, which remains ongoing. Because no charges or claims have been brought, the Company is unable to predict the outcome of the investigation, or reasonably estimate the possible loss or range of loss, if any, which could be associated with the resolution of any possible charges or claims that may be brought against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Retail Joint Venture</w:t>
      </w:r>
    </w:p>
    <w:p>
      <w:pPr>
        <w:spacing w:after="0" w:line="2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September 30, 2020 and December 31, 2019, the Retail Joint Venture had total assets of $100.4 million and $90.0 million, respectively, and total liabilities of $635.3 million and $622.4 million, respectively. As of September 30, 2020 and December 31, 2019, the Retail Joint Venture's liabilities included long-term debt of $612.2 million and $611.7 million, respectively, net of debt issuance costs, related to the outstanding borrowings under the Retail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Information</w:t>
      </w:r>
    </w:p>
    <w:p>
      <w:pPr>
        <w:spacing w:after="0" w:line="256"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reviews the results of operations for each of its operating segments, and identifies reportable segments based upon factors such as geography, regulatory environment, and the Company's organizational and management reporting structure. Wynn Macau and Encore, an expansion at Wynn Macau, are managed as a single integrated resort and have been aggregated as one reportable segment ("Wynn Macau"). Wynn Palace is presented as a separate reportable segment and is combined with Wynn Macau for geographical presentation. Wynn Las Vegas, Encore, an expansion at Wynn Las Vegas, and the Retail Joint Venture are managed as a single integrated resort and have been aggregated as one reportable segment ("Las Vegas Operations"). On June 23, 2019, the Company opened Encore Boston Harbor, an integrated resort in Everett, Massachusetts. Encore Boston Harbor is presented as one reportable segment. Other Macau primarily represents the assets for the Company's Macau holding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the Company's segment information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6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7"/>
        </w:trPr>
        <w:tc>
          <w:tcPr>
            <w:tcW w:w="53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r>
      <w:tr>
        <w:trPr>
          <w:trHeight w:val="211"/>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Macau Operations: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Wynn Palace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320" w:type="dxa"/>
            <w:vAlign w:val="bottom"/>
          </w:tcPr>
          <w:p>
            <w:pPr>
              <w:ind w:left="340"/>
              <w:spacing w:after="0"/>
              <w:rPr>
                <w:sz w:val="20"/>
                <w:szCs w:val="20"/>
                <w:color w:val="auto"/>
              </w:rPr>
            </w:pPr>
            <w:r>
              <w:rPr>
                <w:rFonts w:ascii="Arial" w:cs="Arial" w:eastAsia="Arial" w:hAnsi="Arial"/>
                <w:sz w:val="18"/>
                <w:szCs w:val="18"/>
                <w:color w:val="auto"/>
              </w:rPr>
              <w:t>Casino</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12,301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497,657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208,449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1,649,377</w:t>
            </w:r>
          </w:p>
        </w:tc>
      </w:tr>
      <w:tr>
        <w:trPr>
          <w:trHeight w:val="229"/>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131,382</w:t>
            </w:r>
          </w:p>
        </w:tc>
      </w:tr>
      <w:tr>
        <w:trPr>
          <w:trHeight w:val="230"/>
        </w:trPr>
        <w:tc>
          <w:tcPr>
            <w:tcW w:w="532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30,256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24,385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87,691</w:t>
            </w:r>
          </w:p>
        </w:tc>
      </w:tr>
      <w:tr>
        <w:trPr>
          <w:trHeight w:val="229"/>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85,259</w:t>
            </w:r>
          </w:p>
        </w:tc>
      </w:tr>
      <w:tr>
        <w:trPr>
          <w:trHeight w:val="223"/>
        </w:trPr>
        <w:tc>
          <w:tcPr>
            <w:tcW w:w="53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598,171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283,932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1,953,709</w:t>
            </w:r>
          </w:p>
        </w:tc>
      </w:tr>
      <w:tr>
        <w:trPr>
          <w:trHeight w:val="20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Wynn Macau</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5320" w:type="dxa"/>
            <w:vAlign w:val="bottom"/>
          </w:tcPr>
          <w:p>
            <w:pPr>
              <w:ind w:left="340"/>
              <w:spacing w:after="0"/>
              <w:rPr>
                <w:sz w:val="20"/>
                <w:szCs w:val="20"/>
                <w:color w:val="auto"/>
              </w:rPr>
            </w:pPr>
            <w:r>
              <w:rPr>
                <w:rFonts w:ascii="Arial" w:cs="Arial" w:eastAsia="Arial" w:hAnsi="Arial"/>
                <w:sz w:val="18"/>
                <w:szCs w:val="18"/>
                <w:color w:val="auto"/>
              </w:rPr>
              <w:t>Casino</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27,154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408,820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213,758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1,340,266</w:t>
            </w:r>
          </w:p>
        </w:tc>
      </w:tr>
      <w:tr>
        <w:trPr>
          <w:trHeight w:val="230"/>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82,071</w:t>
            </w:r>
          </w:p>
        </w:tc>
      </w:tr>
      <w:tr>
        <w:trPr>
          <w:trHeight w:val="229"/>
        </w:trPr>
        <w:tc>
          <w:tcPr>
            <w:tcW w:w="532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18,821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60,688</w:t>
            </w:r>
          </w:p>
        </w:tc>
      </w:tr>
      <w:tr>
        <w:trPr>
          <w:trHeight w:val="230"/>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61,621</w:t>
            </w:r>
          </w:p>
        </w:tc>
      </w:tr>
      <w:tr>
        <w:trPr>
          <w:trHeight w:val="223"/>
        </w:trPr>
        <w:tc>
          <w:tcPr>
            <w:tcW w:w="53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51,368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474,281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292,745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1,544,646</w:t>
            </w:r>
          </w:p>
        </w:tc>
      </w:tr>
      <w:tr>
        <w:trPr>
          <w:trHeight w:val="223"/>
        </w:trPr>
        <w:tc>
          <w:tcPr>
            <w:tcW w:w="53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Macau Operations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67,069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1,072,452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576,677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3,498,355</w:t>
            </w:r>
          </w:p>
        </w:tc>
      </w:tr>
      <w:tr>
        <w:trPr>
          <w:trHeight w:val="250"/>
        </w:trPr>
        <w:tc>
          <w:tcPr>
            <w:tcW w:w="5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Las Vegas Operations: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320" w:type="dxa"/>
            <w:vAlign w:val="bottom"/>
          </w:tcPr>
          <w:p>
            <w:pPr>
              <w:ind w:left="340"/>
              <w:spacing w:after="0"/>
              <w:rPr>
                <w:sz w:val="20"/>
                <w:szCs w:val="20"/>
                <w:color w:val="auto"/>
              </w:rPr>
            </w:pPr>
            <w:r>
              <w:rPr>
                <w:rFonts w:ascii="Arial" w:cs="Arial" w:eastAsia="Arial" w:hAnsi="Arial"/>
                <w:sz w:val="18"/>
                <w:szCs w:val="18"/>
                <w:color w:val="auto"/>
              </w:rPr>
              <w:t>Casino</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65,694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87,002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161,354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318,439</w:t>
            </w:r>
          </w:p>
        </w:tc>
      </w:tr>
      <w:tr>
        <w:trPr>
          <w:trHeight w:val="230"/>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362,715</w:t>
            </w:r>
          </w:p>
        </w:tc>
      </w:tr>
      <w:tr>
        <w:trPr>
          <w:trHeight w:val="229"/>
        </w:trPr>
        <w:tc>
          <w:tcPr>
            <w:tcW w:w="532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55,043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149,708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177,114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438,525</w:t>
            </w:r>
          </w:p>
        </w:tc>
      </w:tr>
      <w:tr>
        <w:trPr>
          <w:trHeight w:val="230"/>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145,002</w:t>
            </w:r>
          </w:p>
        </w:tc>
      </w:tr>
      <w:tr>
        <w:trPr>
          <w:trHeight w:val="223"/>
        </w:trPr>
        <w:tc>
          <w:tcPr>
            <w:tcW w:w="5320" w:type="dxa"/>
            <w:vAlign w:val="bottom"/>
            <w:tcBorders>
              <w:bottom w:val="single" w:sz="8" w:color="CCEEFF"/>
            </w:tcBorders>
          </w:tcPr>
          <w:p>
            <w:pPr>
              <w:ind w:left="600"/>
              <w:spacing w:after="0"/>
              <w:rPr>
                <w:sz w:val="20"/>
                <w:szCs w:val="20"/>
                <w:color w:val="auto"/>
              </w:rPr>
            </w:pPr>
            <w:r>
              <w:rPr>
                <w:rFonts w:ascii="Arial" w:cs="Arial" w:eastAsia="Arial" w:hAnsi="Arial"/>
                <w:sz w:val="18"/>
                <w:szCs w:val="18"/>
                <w:b w:val="1"/>
                <w:bCs w:val="1"/>
                <w:color w:val="auto"/>
              </w:rPr>
              <w:t>Total Las Vegas Operations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186,697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399,506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575,407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1,264,681</w:t>
            </w:r>
          </w:p>
        </w:tc>
      </w:tr>
      <w:tr>
        <w:trPr>
          <w:trHeight w:val="250"/>
        </w:trPr>
        <w:tc>
          <w:tcPr>
            <w:tcW w:w="5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Encore Boston Harbor:</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Casino</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127,886</w:t>
            </w:r>
          </w:p>
        </w:tc>
      </w:tr>
      <w:tr>
        <w:trPr>
          <w:trHeight w:val="230"/>
        </w:trPr>
        <w:tc>
          <w:tcPr>
            <w:tcW w:w="5320" w:type="dxa"/>
            <w:vAlign w:val="bottom"/>
          </w:tcPr>
          <w:p>
            <w:pPr>
              <w:ind w:left="340"/>
              <w:spacing w:after="0"/>
              <w:rPr>
                <w:sz w:val="20"/>
                <w:szCs w:val="20"/>
                <w:color w:val="auto"/>
              </w:rPr>
            </w:pPr>
            <w:r>
              <w:rPr>
                <w:rFonts w:ascii="Arial" w:cs="Arial" w:eastAsia="Arial" w:hAnsi="Arial"/>
                <w:sz w:val="18"/>
                <w:szCs w:val="18"/>
                <w:color w:val="auto"/>
              </w:rPr>
              <w:t>Rooms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19,785</w:t>
            </w:r>
          </w:p>
        </w:tc>
      </w:tr>
      <w:tr>
        <w:trPr>
          <w:trHeight w:val="229"/>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Food and beverage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32,845</w:t>
            </w:r>
          </w:p>
        </w:tc>
      </w:tr>
      <w:tr>
        <w:trPr>
          <w:trHeight w:val="230"/>
        </w:trPr>
        <w:tc>
          <w:tcPr>
            <w:tcW w:w="5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14,088</w:t>
            </w:r>
          </w:p>
        </w:tc>
      </w:tr>
      <w:tr>
        <w:trPr>
          <w:trHeight w:val="223"/>
        </w:trPr>
        <w:tc>
          <w:tcPr>
            <w:tcW w:w="53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Encore Boston Harbor</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116,686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175,804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257,782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194,604</w:t>
            </w:r>
          </w:p>
        </w:tc>
      </w:tr>
      <w:tr>
        <w:trPr>
          <w:trHeight w:val="250"/>
        </w:trPr>
        <w:tc>
          <w:tcPr>
            <w:tcW w:w="5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5"/>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370,452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1,647,762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1,409,866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4,957,640</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7"/>
        </w:trPr>
        <w:tc>
          <w:tcPr>
            <w:tcW w:w="52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11"/>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4"/>
                <w:szCs w:val="14"/>
                <w:b w:val="1"/>
                <w:bCs w:val="1"/>
                <w:color w:val="auto"/>
              </w:rPr>
              <w:t>(2)</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220" w:type="dxa"/>
            <w:vAlign w:val="bottom"/>
          </w:tcPr>
          <w:p>
            <w:pPr>
              <w:ind w:left="160"/>
              <w:spacing w:after="0"/>
              <w:rPr>
                <w:sz w:val="20"/>
                <w:szCs w:val="20"/>
                <w:color w:val="auto"/>
              </w:rPr>
            </w:pPr>
            <w:r>
              <w:rPr>
                <w:rFonts w:ascii="Arial" w:cs="Arial" w:eastAsia="Arial" w:hAnsi="Arial"/>
                <w:sz w:val="18"/>
                <w:szCs w:val="18"/>
                <w:color w:val="auto"/>
              </w:rPr>
              <w:t>Macau Operations: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Wynn Palace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(178,379)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551,918</w:t>
            </w:r>
          </w:p>
        </w:tc>
      </w:tr>
      <w:tr>
        <w:trPr>
          <w:trHeight w:val="229"/>
        </w:trPr>
        <w:tc>
          <w:tcPr>
            <w:tcW w:w="52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Wynn Macau</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(34,457)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138,989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(97,895)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478,751</w:t>
            </w:r>
          </w:p>
        </w:tc>
      </w:tr>
      <w:tr>
        <w:trPr>
          <w:trHeight w:val="223"/>
        </w:trPr>
        <w:tc>
          <w:tcPr>
            <w:tcW w:w="52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 Macau Operations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(112,104)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301,156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(276,274)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1,030,669</w:t>
            </w:r>
          </w:p>
        </w:tc>
      </w:tr>
      <w:tr>
        <w:trPr>
          <w:trHeight w:val="229"/>
        </w:trPr>
        <w:tc>
          <w:tcPr>
            <w:tcW w:w="5220" w:type="dxa"/>
            <w:vAlign w:val="bottom"/>
          </w:tcPr>
          <w:p>
            <w:pPr>
              <w:ind w:left="200"/>
              <w:spacing w:after="0"/>
              <w:rPr>
                <w:sz w:val="20"/>
                <w:szCs w:val="20"/>
                <w:color w:val="auto"/>
              </w:rPr>
            </w:pPr>
            <w:r>
              <w:rPr>
                <w:rFonts w:ascii="Arial" w:cs="Arial" w:eastAsia="Arial" w:hAnsi="Arial"/>
                <w:sz w:val="18"/>
                <w:szCs w:val="18"/>
                <w:color w:val="auto"/>
              </w:rPr>
              <w:t>Las Vegas Operations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20,258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88,046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(77,383)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333,747</w:t>
            </w:r>
          </w:p>
        </w:tc>
      </w:tr>
      <w:tr>
        <w:trPr>
          <w:trHeight w:val="230"/>
        </w:trPr>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Encore Boston Harbor</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7,890</w:t>
            </w:r>
          </w:p>
        </w:tc>
      </w:tr>
      <w:tr>
        <w:trPr>
          <w:trHeight w:val="223"/>
        </w:trPr>
        <w:tc>
          <w:tcPr>
            <w:tcW w:w="5220" w:type="dxa"/>
            <w:vAlign w:val="bottom"/>
          </w:tcPr>
          <w:p>
            <w:pPr>
              <w:ind w:left="66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(65,860)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396,946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(394,086)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1,372,306</w:t>
            </w: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operating expenses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20" w:type="dxa"/>
            <w:vAlign w:val="bottom"/>
          </w:tcPr>
          <w:p>
            <w:pPr>
              <w:ind w:left="340"/>
              <w:spacing w:after="0"/>
              <w:rPr>
                <w:sz w:val="20"/>
                <w:szCs w:val="20"/>
                <w:color w:val="auto"/>
              </w:rPr>
            </w:pPr>
            <w:r>
              <w:rPr>
                <w:rFonts w:ascii="Arial" w:cs="Arial" w:eastAsia="Arial" w:hAnsi="Arial"/>
                <w:sz w:val="18"/>
                <w:szCs w:val="18"/>
                <w:color w:val="auto"/>
              </w:rPr>
              <w:t>Pre-opening</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99,212</w:t>
            </w:r>
          </w:p>
        </w:tc>
      </w:tr>
      <w:tr>
        <w:trPr>
          <w:trHeight w:val="229"/>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541,498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449,824</w:t>
            </w:r>
          </w:p>
        </w:tc>
      </w:tr>
      <w:tr>
        <w:trPr>
          <w:trHeight w:val="230"/>
        </w:trPr>
        <w:tc>
          <w:tcPr>
            <w:tcW w:w="5220" w:type="dxa"/>
            <w:vAlign w:val="bottom"/>
          </w:tcPr>
          <w:p>
            <w:pPr>
              <w:ind w:left="340"/>
              <w:spacing w:after="0"/>
              <w:rPr>
                <w:sz w:val="20"/>
                <w:szCs w:val="20"/>
                <w:color w:val="auto"/>
              </w:rPr>
            </w:pPr>
            <w:r>
              <w:rPr>
                <w:rFonts w:ascii="Arial" w:cs="Arial" w:eastAsia="Arial" w:hAnsi="Arial"/>
                <w:sz w:val="18"/>
                <w:szCs w:val="18"/>
                <w:color w:val="auto"/>
              </w:rPr>
              <w:t>Property charges and other</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43,701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17,920</w:t>
            </w:r>
          </w:p>
        </w:tc>
      </w:tr>
      <w:tr>
        <w:trPr>
          <w:trHeight w:val="229"/>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Corporate expenses and other </w:t>
            </w:r>
            <w:r>
              <w:rPr>
                <w:rFonts w:ascii="Arial" w:cs="Arial" w:eastAsia="Arial" w:hAnsi="Arial"/>
                <w:sz w:val="14"/>
                <w:szCs w:val="14"/>
                <w:color w:val="auto"/>
              </w:rPr>
              <w:t>(3)</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123,849</w:t>
            </w:r>
          </w:p>
        </w:tc>
      </w:tr>
      <w:tr>
        <w:trPr>
          <w:trHeight w:val="229"/>
        </w:trPr>
        <w:tc>
          <w:tcPr>
            <w:tcW w:w="5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 xml:space="preserve">Stock-based compensation </w:t>
            </w:r>
            <w:r>
              <w:rPr>
                <w:rFonts w:ascii="Arial" w:cs="Arial" w:eastAsia="Arial" w:hAnsi="Arial"/>
                <w:sz w:val="14"/>
                <w:szCs w:val="14"/>
                <w:color w:val="auto"/>
              </w:rPr>
              <w:t>(4)</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29,774</w:t>
            </w:r>
          </w:p>
        </w:tc>
      </w:tr>
      <w:tr>
        <w:trPr>
          <w:trHeight w:val="223"/>
        </w:trPr>
        <w:tc>
          <w:tcPr>
            <w:tcW w:w="52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 other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217,147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219,111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659,348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720,579</w:t>
            </w:r>
          </w:p>
        </w:tc>
      </w:tr>
      <w:tr>
        <w:trPr>
          <w:trHeight w:val="223"/>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(283,007)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177,835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(1,053,434)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651,727</w:t>
            </w:r>
          </w:p>
        </w:tc>
      </w:tr>
      <w:tr>
        <w:trPr>
          <w:trHeight w:val="20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non-operating income and expenses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2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13,969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19,979</w:t>
            </w:r>
          </w:p>
        </w:tc>
      </w:tr>
      <w:tr>
        <w:trPr>
          <w:trHeight w:val="230"/>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 of amounts capitalized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(300,981)</w:t>
            </w:r>
          </w:p>
        </w:tc>
      </w:tr>
      <w:tr>
        <w:trPr>
          <w:trHeight w:val="229"/>
        </w:trPr>
        <w:tc>
          <w:tcPr>
            <w:tcW w:w="5220" w:type="dxa"/>
            <w:vAlign w:val="bottom"/>
          </w:tcPr>
          <w:p>
            <w:pPr>
              <w:ind w:left="340"/>
              <w:spacing w:after="0"/>
              <w:rPr>
                <w:sz w:val="20"/>
                <w:szCs w:val="20"/>
                <w:color w:val="auto"/>
              </w:rPr>
            </w:pPr>
            <w:r>
              <w:rPr>
                <w:rFonts w:ascii="Arial" w:cs="Arial" w:eastAsia="Arial" w:hAnsi="Arial"/>
                <w:sz w:val="18"/>
                <w:szCs w:val="18"/>
                <w:color w:val="auto"/>
              </w:rPr>
              <w:t>Change in derivatives fair value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(14,279)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(6,914)</w:t>
            </w:r>
          </w:p>
        </w:tc>
      </w:tr>
      <w:tr>
        <w:trPr>
          <w:trHeight w:val="229"/>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(12,196)</w:t>
            </w:r>
          </w:p>
        </w:tc>
      </w:tr>
      <w:tr>
        <w:trPr>
          <w:trHeight w:val="230"/>
        </w:trPr>
        <w:tc>
          <w:tcPr>
            <w:tcW w:w="52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w:t>
            </w:r>
          </w:p>
        </w:tc>
      </w:tr>
      <w:tr>
        <w:trPr>
          <w:trHeight w:val="223"/>
        </w:trPr>
        <w:tc>
          <w:tcPr>
            <w:tcW w:w="52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 other non-operating income and expenses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(141,161)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(131,225)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(399,118)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(303,458)</w:t>
            </w: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(424,168)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46,610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(1,452,552)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348,269</w:t>
            </w:r>
          </w:p>
        </w:tc>
      </w:tr>
      <w:tr>
        <w:trPr>
          <w:trHeight w:val="230"/>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(407,365)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(564,103)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(19,421)</w:t>
            </w: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(831,533)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26,883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(2,016,655)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328,848</w:t>
            </w:r>
          </w:p>
        </w:tc>
      </w:tr>
      <w:tr>
        <w:trPr>
          <w:trHeight w:val="230"/>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73,391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218,912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(132,921)</w:t>
            </w: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(758,142)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(3,496)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(1,797,743)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195,927</w:t>
            </w:r>
          </w:p>
        </w:tc>
      </w:tr>
      <w:tr>
        <w:trPr>
          <w:trHeight w:val="20"/>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lease revenue accounted for under lease accounting guidance. For more information on leases, see Note 13, "Leases".</w:t>
      </w:r>
    </w:p>
    <w:p>
      <w:pPr>
        <w:spacing w:after="0" w:line="13" w:lineRule="exact"/>
        <w:rPr>
          <w:rFonts w:ascii="Arial" w:cs="Arial" w:eastAsia="Arial" w:hAnsi="Arial"/>
          <w:sz w:val="14"/>
          <w:szCs w:val="14"/>
          <w:color w:val="auto"/>
        </w:rPr>
      </w:pPr>
    </w:p>
    <w:p>
      <w:pPr>
        <w:jc w:val="both"/>
        <w:ind w:left="260" w:hanging="252"/>
        <w:spacing w:after="0" w:line="260" w:lineRule="auto"/>
        <w:tabs>
          <w:tab w:leader="none" w:pos="231" w:val="left"/>
        </w:tabs>
        <w:numPr>
          <w:ilvl w:val="0"/>
          <w:numId w:val="8"/>
        </w:numPr>
        <w:rPr>
          <w:rFonts w:ascii="Arial" w:cs="Arial" w:eastAsia="Arial" w:hAnsi="Arial"/>
          <w:sz w:val="13"/>
          <w:szCs w:val="13"/>
          <w:color w:val="auto"/>
        </w:rPr>
      </w:pPr>
      <w:r>
        <w:rPr>
          <w:rFonts w:ascii="Arial" w:cs="Arial" w:eastAsia="Arial" w:hAnsi="Arial"/>
          <w:sz w:val="13"/>
          <w:szCs w:val="13"/>
          <w:color w:val="auto"/>
        </w:rPr>
        <w:t>"Adjusted Property EBITDA" is net income (loss) before interest, income taxes, depreciation and amortization, pre-opening expenses, property charges and other, management and license fees, corporate expenses and other (including intercompany golf course and water rights leases), stock-based compensation, change in derivatives fair value, loss on extinguishment of debt,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We also present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ind w:left="260" w:right="20" w:hanging="252"/>
        <w:spacing w:after="0" w:line="241" w:lineRule="auto"/>
        <w:tabs>
          <w:tab w:leader="none" w:pos="221"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the nine months ended September 30, 2020, includes a $30.2 million net gain recorded in relation to a derivative litigation settlement. For the nine months ended September 30, 2019, includes a $35.0 million nonrecurring regulatory expense.</w:t>
      </w: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Excludes $0.7 million included in pre-opening expenses for the nine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December 31,</w:t>
            </w:r>
          </w:p>
        </w:tc>
      </w:tr>
      <w:tr>
        <w:trPr>
          <w:trHeight w:val="188"/>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Macau Operations: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Wynn Palace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3,472,957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3,734,210</w:t>
            </w:r>
          </w:p>
        </w:tc>
      </w:tr>
      <w:tr>
        <w:trPr>
          <w:trHeight w:val="229"/>
        </w:trPr>
        <w:tc>
          <w:tcPr>
            <w:tcW w:w="8260" w:type="dxa"/>
            <w:vAlign w:val="bottom"/>
          </w:tcPr>
          <w:p>
            <w:pPr>
              <w:ind w:left="340"/>
              <w:spacing w:after="0"/>
              <w:rPr>
                <w:sz w:val="20"/>
                <w:szCs w:val="20"/>
                <w:color w:val="auto"/>
              </w:rPr>
            </w:pPr>
            <w:r>
              <w:rPr>
                <w:rFonts w:ascii="Arial" w:cs="Arial" w:eastAsia="Arial" w:hAnsi="Arial"/>
                <w:sz w:val="18"/>
                <w:szCs w:val="18"/>
                <w:color w:val="auto"/>
              </w:rPr>
              <w:t>Wynn Macau</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1,405,084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1,656,625</w:t>
            </w:r>
          </w:p>
        </w:tc>
      </w:tr>
      <w:tr>
        <w:trPr>
          <w:trHeight w:val="230"/>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Macau</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1,657,283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1,023,411</w:t>
            </w:r>
          </w:p>
        </w:tc>
      </w:tr>
      <w:tr>
        <w:trPr>
          <w:trHeight w:val="223"/>
        </w:trPr>
        <w:tc>
          <w:tcPr>
            <w:tcW w:w="8260" w:type="dxa"/>
            <w:vAlign w:val="bottom"/>
          </w:tcPr>
          <w:p>
            <w:pPr>
              <w:ind w:left="660"/>
              <w:spacing w:after="0"/>
              <w:rPr>
                <w:sz w:val="20"/>
                <w:szCs w:val="20"/>
                <w:color w:val="auto"/>
              </w:rPr>
            </w:pPr>
            <w:r>
              <w:rPr>
                <w:rFonts w:ascii="Arial" w:cs="Arial" w:eastAsia="Arial" w:hAnsi="Arial"/>
                <w:sz w:val="18"/>
                <w:szCs w:val="18"/>
                <w:b w:val="1"/>
                <w:bCs w:val="1"/>
                <w:color w:val="auto"/>
              </w:rPr>
              <w:t>Total Macau Operations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6,535,324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6,414,246</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Las Vegas Operations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3,035,885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2,806,972</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Encore Boston Harbor</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2,335,575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2,456,667</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2,060,332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2,193,396</w:t>
            </w:r>
          </w:p>
        </w:tc>
      </w:tr>
      <w:tr>
        <w:trPr>
          <w:trHeight w:val="223"/>
        </w:trPr>
        <w:tc>
          <w:tcPr>
            <w:tcW w:w="8260" w:type="dxa"/>
            <w:vAlign w:val="bottom"/>
          </w:tcPr>
          <w:p>
            <w:pPr>
              <w:ind w:left="66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13,967,116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13,871,281</w:t>
            </w:r>
          </w:p>
        </w:tc>
      </w:tr>
      <w:tr>
        <w:trPr>
          <w:trHeight w:val="21"/>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following discussion should be read in conjunction with, and is qualified in its entirety by, the condensed consolidated financial statements and the notes thereto included elsewhere in this Form 10-Q and the consolidated financial statements appearing in our annual report on Form 10-K for the year ended December 31, 2019.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"Special Note Regarding Forward-Looking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are a designer, developer, and operator of integrated resorts featuring luxury hotel rooms, high-end retail space, an array of dining and entertainment options, meeting and convention facilities, and gaming, all supported by an unparalleled focus on our guests, our people, and our community. Through our approximately 72% ownership of WML, we operate two integrated resorts in the Macau Special Administrative Region of the People's Republic of China ("Macau"), Wynn Palace and Wynn Macau (collectively, our "Macau Operations"). In Las Vegas, Nevada, we operate and, with the exception of certain retail space, own 100% of Wynn Las Vegas, which we also refer to as our Las Vegas Operations. On June 23, 2019, we opened Encore Boston Harbor, an integrated resort in Everett, Massachusetts.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Interactive</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October 2020, Wynn Interactive, Ltd. ("Wynn Interactive") was formed through the merger of Wynn Resorts' digital gaming businesses and Wynn's strategic partner, BetBull Limited ("BetBull"). The merger was effected through a series of transactions which resulted in the Company contributing to BetBull its interests in WSI US, LLC and Wynn Social Gaming, LLC, which operate Wynn's existing U.S. online sports betting and gaming business and social casino business, respectively. Following the merger, Wynn Resorts holds an approximately 71% interest in Wynn Interactive, which Wynn Resorts will consolidate.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 Related to COVID-19</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previously disclosed, in January 2020, an outbreak of a new strain of coronavirus, COVID-19 ("COVID-19"), was identified. Since then, COVID-19 has spread around the world, and steps have been taken by various countries, including those in which we operate, to advise citizens to avoid non-essential travel, to restrict inbound international travel, to implement closures of non-essential operations, and to implement quarantines and lockdowns to contain the spread of the virus. Currently, no fully effective treatments or vaccines have been developed, and there can be no assurance as to if or when an effective treatment or vaccine will be discovered.</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Macau Operations</w:t>
      </w:r>
    </w:p>
    <w:p>
      <w:pPr>
        <w:spacing w:after="0" w:line="25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response to the COVID-19 pandemic, the Macau government announced on February 4, 2020 the closure of all casino operations in Macau, including those at Wynn Palace and Wynn Macau, for a period of 15 days. On February 20, 2020, casino operations at Wynn Palace and Wynn Macau reopened on a reduced basis and have since been fully restored; however, certain COVID-19 specific protective measures, such as traveler quarantines and requirements for negative COVID-19 tests before entering Macau, limiting the number of seats per table game, slot machine spacing, temperature checks, mask protection, COVID-19 negative test results requirements for entry to gaming areas, and health declarations remain in effect at the present time.</w:t>
      </w:r>
    </w:p>
    <w:p>
      <w:pPr>
        <w:spacing w:after="0" w:line="18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Visitation to Macau has fallen significantly since the outbreak of COVID-19, driven by the pandemic's strong deterrent effect on travel and social activities, the suspension in late January 2020 of the Chinese government's visa and group tour schemes that allow mainland Chinese residents to travel to Macau, quarantine and testing measures in Macau and elsewhere, travel and entry requirements, restrictions, and bans in Macau, Hong Kong, Taiwan, and certain cities and regions in mainland China, and the suspension of ferry services to Macau from Hong Kong and mainland China and other modes of transportation within Macau. Total visitation from mainland China to Macau decreased by 90.5% and 85.9% in the three and nine months ended September 30, 2020, compared with the same periods in 2019. Regionally, bans on entry or enhanced quarantine requirements, depending on the person’s residency and their recent travel history, for any Macau residents, PRC citizens, Hong Kong residents and Taiwan residents attempting to enter Macau are drastically impacting visitation. Persons who are not residents of the Greater China area are barred from entry to Macau at this time, and quarantine requirements for those traveling</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between Hong Kong and Macau have been announced to remain effective until at least December 31, 2020, at which time they may be lifted.</w:t>
      </w:r>
    </w:p>
    <w:p>
      <w:pPr>
        <w:spacing w:after="0" w:line="25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While most of the foregoing travel restrictions and quarantine requirements continue to weigh on visitation to Macau, beginning in June 2020 certain of these restrictions have eased as certain regions gradually recover from the COVID-19 pandemic. In July 2020, Guangdong Province, a Chinese province adjacent to Macau, eased certain quarantine requirements for those traveling between Guangdong Province and Macau, subject to certain testing requirements and health declarations. On September 23, 2020, mainland China authorities fully resumed the Individual Visit Scheme exit visa program, which, prior to its suspension by the PRC government due to COVID-19 travel restrictions, permitted individual PRC citizens from nearly 50 PRC cities to travel to Macau for tourism purposes. Stringent health declarations, testing and other procedures remain in place, and all visitors seeking entry to Macau need to test negative for COVID-19 before entering Macau.</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Las Vegas Operations and Encore Boston Harbor</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Wynn Las Vegas closed on March 17, 2020, and reopened on June 4, 2020 with certain COVID-19 specific protective measures in place, such as limiting the number of seats per table game, slot machine spacing, temperature checks, mask protection, and suspension of certain entertainment and nightlife offerings. Beginning October 19, 2020, Encore at Wynn Las Vegas adjusted its operating schedule to five days/four nights each week due to currently reduced customer demand levels.</w:t>
      </w:r>
    </w:p>
    <w:p>
      <w:pPr>
        <w:spacing w:after="0" w:line="21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Encore Boston Harbor commenced operations on June 23, 2019. In response to the COVID-19 pandemic, Encore Boston Harbor ceased all operations and closed to the public on March 15, 2020, for the remainder of the first and second quarters of 2020. On July 10, 2020, Encore Boston Harbor reopened with certain COVID-19 specific protective measures in place, such as limiting the number of seats per table game, slot machine spacing, temperature checks, and mask protection. In addition, certain food and beverage outlets remain closed, and hotel reservations were limited to Thursday through Sunday through the third quarter of 2020. On November 2, 2020, the Governor of Massachusetts issued a directive limiting the operating hours of certain businesses, including restaurants and casinos, effective November 6, 2020. Encore Boston Harbor has modified its hours of operation as a result of this directive. We are currently unable to determine when these measures will be lifted.</w:t>
      </w:r>
    </w:p>
    <w:p>
      <w:pPr>
        <w:spacing w:after="0" w:line="20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disruptions arising from the COVID-19 outbreak have had, during the three and nine months ended September 30, 2020, and will continue to have an adverse effect on the Company's results of operations. Our operations are generating extremely limited revenue. Given the uncertainty around the extent and timing of the potential future spread or mitigation of COVID-19 and around the imposition or relaxation of protective measures, the impact on the Company’s consolidated results of operations, cash flows and financial condition in 2020 and potentially thereafter will be material, but cannot be reasonably estimated at this time as it is unknown when the COVID-19 pandemic will end, when or if our properties will return to pre-pandemic demand and pricing, when or how quickly the current travel restrictions will be modified or cease to be necessary and the resulting impact on the Company’s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Measures</w:t>
      </w:r>
    </w:p>
    <w:p>
      <w:pPr>
        <w:spacing w:after="0" w:line="256"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Certain key operating measures specific to the gaming industry are included in our discussion of our operational performance for the periods for which the Condensed Consolidated Statements of Operations are presented. These key operating measures are presented as supplemental disclosures because management and/or certain investors use these measures to better understand period-over-period fluctuations in our casino and hotel operating revenues. These key operating measures are defined below:</w:t>
      </w:r>
    </w:p>
    <w:p>
      <w:pPr>
        <w:spacing w:after="0" w:line="215" w:lineRule="exact"/>
        <w:rPr>
          <w:sz w:val="20"/>
          <w:szCs w:val="20"/>
          <w:color w:val="auto"/>
        </w:rPr>
      </w:pPr>
    </w:p>
    <w:p>
      <w:pPr>
        <w:ind w:left="1300" w:hanging="644"/>
        <w:spacing w:after="0" w:line="258"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Table drop in mass market for our Macau Operations is the amount of cash that is deposited in a gaming table's drop box plus cash chips purchased at the casino cage.</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Table drop for our Las Vegas Operations is the amount of cash and net markers issued that are deposited in a gaming table's drop box.</w:t>
      </w:r>
    </w:p>
    <w:p>
      <w:pPr>
        <w:spacing w:after="0" w:line="32" w:lineRule="exact"/>
        <w:rPr>
          <w:rFonts w:ascii="Arial" w:cs="Arial" w:eastAsia="Arial" w:hAnsi="Arial"/>
          <w:sz w:val="16"/>
          <w:szCs w:val="16"/>
          <w:color w:val="auto"/>
        </w:rPr>
      </w:pPr>
    </w:p>
    <w:p>
      <w:pPr>
        <w:ind w:left="1300" w:hanging="644"/>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Table drop for Encore Boston Harbor is the amount of cash and gross markers issued that are deposited in a gaming table's drop box.</w:t>
      </w:r>
    </w:p>
    <w:p>
      <w:pPr>
        <w:spacing w:after="0" w:line="32" w:lineRule="exact"/>
        <w:rPr>
          <w:rFonts w:ascii="Arial" w:cs="Arial" w:eastAsia="Arial" w:hAnsi="Arial"/>
          <w:sz w:val="16"/>
          <w:szCs w:val="16"/>
          <w:color w:val="auto"/>
        </w:rPr>
      </w:pPr>
    </w:p>
    <w:p>
      <w:pPr>
        <w:ind w:left="1300" w:hanging="644"/>
        <w:spacing w:after="0" w:line="250"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Rolling chips are non-negotiable identifiable chips that are used to track turnover for purposes of calculating incentives within our Macau Operations' VIP program.</w:t>
      </w: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Macau Operations' VIP program.</w:t>
      </w:r>
    </w:p>
    <w:p>
      <w:pPr>
        <w:spacing w:after="0" w:line="9" w:lineRule="exact"/>
        <w:rPr>
          <w:rFonts w:ascii="Arial" w:cs="Arial" w:eastAsia="Arial" w:hAnsi="Arial"/>
          <w:sz w:val="18"/>
          <w:szCs w:val="18"/>
          <w:color w:val="auto"/>
        </w:rPr>
      </w:pPr>
    </w:p>
    <w:p>
      <w:pPr>
        <w:ind w:left="1300" w:hanging="644"/>
        <w:spacing w:after="0" w:line="260"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Table games win is the amount of table drop or turnover that is retained and recorded as casino revenues. Table games win is before discounts, commissions and the allocation of casino revenues to rooms, food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300"/>
        <w:spacing w:after="0" w:line="258" w:lineRule="auto"/>
        <w:rPr>
          <w:sz w:val="20"/>
          <w:szCs w:val="20"/>
          <w:color w:val="auto"/>
        </w:rPr>
      </w:pPr>
      <w:r>
        <w:rPr>
          <w:rFonts w:ascii="Arial" w:cs="Arial" w:eastAsia="Arial" w:hAnsi="Arial"/>
          <w:sz w:val="18"/>
          <w:szCs w:val="18"/>
          <w:color w:val="auto"/>
        </w:rPr>
        <w:t>beverage and other revenues for services provided to casino customers on a complimentary basis. Table games win does not include poker rake.</w:t>
      </w:r>
    </w:p>
    <w:p>
      <w:pPr>
        <w:spacing w:after="0" w:line="1" w:lineRule="exact"/>
        <w:rPr>
          <w:sz w:val="20"/>
          <w:szCs w:val="20"/>
          <w:color w:val="auto"/>
        </w:rPr>
      </w:pPr>
    </w:p>
    <w:p>
      <w:pPr>
        <w:jc w:val="both"/>
        <w:ind w:left="1300" w:hanging="644"/>
        <w:spacing w:after="0" w:line="281" w:lineRule="auto"/>
        <w:tabs>
          <w:tab w:leader="none" w:pos="1295" w:val="left"/>
        </w:tabs>
        <w:numPr>
          <w:ilvl w:val="0"/>
          <w:numId w:val="10"/>
        </w:numPr>
        <w:rPr>
          <w:rFonts w:ascii="Arial" w:cs="Arial" w:eastAsia="Arial" w:hAnsi="Arial"/>
          <w:sz w:val="16"/>
          <w:szCs w:val="16"/>
          <w:color w:val="auto"/>
        </w:rPr>
      </w:pPr>
      <w:r>
        <w:rPr>
          <w:rFonts w:ascii="Arial" w:cs="Arial" w:eastAsia="Arial" w:hAnsi="Arial"/>
          <w:sz w:val="16"/>
          <w:szCs w:val="16"/>
          <w:color w:val="auto"/>
        </w:rPr>
        <w:t>Slot machine win is the amount of handle (representing the total amount wagered) that is retained by us and is recorded as casino revenues. Slot machine win is after adjustment for progressive accruals and free play, but before discounts and the allocation of casino revenues to rooms, food and beverage and other revenues for services provided to casino customers on a complimentary basis.</w:t>
      </w:r>
    </w:p>
    <w:p>
      <w:pPr>
        <w:spacing w:after="0" w:line="1" w:lineRule="exact"/>
        <w:rPr>
          <w:rFonts w:ascii="Arial" w:cs="Arial" w:eastAsia="Arial" w:hAnsi="Arial"/>
          <w:sz w:val="16"/>
          <w:szCs w:val="16"/>
          <w:color w:val="auto"/>
        </w:rPr>
      </w:pPr>
    </w:p>
    <w:p>
      <w:pPr>
        <w:jc w:val="both"/>
        <w:ind w:left="1300" w:hanging="644"/>
        <w:spacing w:after="0" w:line="281" w:lineRule="auto"/>
        <w:tabs>
          <w:tab w:leader="none" w:pos="1295"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Poker rake is the portion of cash wagered by patrons in our poker rooms that is retained by the casino as a service fee, after adjustment for progressive accruals, but before the allocation of casino revenues to rooms, food and beverage and other revenues for services provided to casino customers on a complimentary basis. Poker tables are not included in our measure of average number of table games.</w:t>
      </w:r>
    </w:p>
    <w:p>
      <w:pPr>
        <w:spacing w:after="0" w:line="1" w:lineRule="exact"/>
        <w:rPr>
          <w:rFonts w:ascii="Arial" w:cs="Arial" w:eastAsia="Arial" w:hAnsi="Arial"/>
          <w:sz w:val="16"/>
          <w:szCs w:val="16"/>
          <w:color w:val="auto"/>
        </w:rPr>
      </w:pPr>
    </w:p>
    <w:p>
      <w:pPr>
        <w:ind w:left="1300" w:right="20" w:hanging="644"/>
        <w:spacing w:after="0" w:line="250"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revenues, including complimentaries (less service charges, if any), by total rooms occupied.</w:t>
      </w:r>
    </w:p>
    <w:p>
      <w:pPr>
        <w:ind w:left="1300" w:hanging="644"/>
        <w:spacing w:after="0" w:line="250"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revenues, including complimentaries (less service charges, if any), by total rooms available.</w:t>
      </w: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the total rooms available.</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discussion of the methodologies used to calculate win percentages at our resorts.</w:t>
      </w:r>
    </w:p>
    <w:p>
      <w:pPr>
        <w:spacing w:after="0" w:line="25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expect our win as a percentage of turnover from these operations to be within the range of 2.7% to 3.0%.</w:t>
      </w:r>
    </w:p>
    <w:p>
      <w:pPr>
        <w:spacing w:after="0" w:line="214"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our mass market operations in Macau, customers may purchase cash chips at either the gaming tables or at the casino cage. 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lower in the VIP operations when compared to the mass market operations.</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Las Vegas, customers purchase chips at the gaming tables in exchange for cash and markers. Customers may then redeem markers at the gaming tables or at the casino cage. The cash and markers, net of redemptions, used to purchase chips are deposited in the gaming table's drop box. This is the base of measurement that we use for calculating win percentage. Each type of table game has its own theoretical win percentage. Our expected table games win percentage is 22% to 26%.</w:t>
      </w:r>
    </w:p>
    <w:p>
      <w:pPr>
        <w:spacing w:after="0" w:line="21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Encore Boston Harbor, customers purchase chips at the gaming tables in exchange for cash and markers. Customers may then redeem markers only at the casino cage. The cash and gross markers used to purchase chips are deposited in the gaming table's drop box. This is the base of measurement that we use for calculating win percentage. Each type of table game has its own theoretical win percentage. Our expected table games win percentage is 18% to 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third quarter 2020 results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financial results for the periods presented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00" w:type="dxa"/>
            <w:vAlign w:val="bottom"/>
          </w:tcPr>
          <w:p>
            <w:pPr>
              <w:spacing w:after="0"/>
              <w:rPr>
                <w:sz w:val="16"/>
                <w:szCs w:val="16"/>
                <w:color w:val="auto"/>
              </w:rPr>
            </w:pPr>
          </w:p>
        </w:tc>
        <w:tc>
          <w:tcPr>
            <w:tcW w:w="2500" w:type="dxa"/>
            <w:vAlign w:val="bottom"/>
            <w:gridSpan w:val="6"/>
          </w:tcPr>
          <w:p>
            <w:pPr>
              <w:ind w:left="100"/>
              <w:spacing w:after="0"/>
              <w:rPr>
                <w:sz w:val="20"/>
                <w:szCs w:val="20"/>
                <w:color w:val="auto"/>
              </w:rPr>
            </w:pPr>
            <w:r>
              <w:rPr>
                <w:rFonts w:ascii="Arial" w:cs="Arial" w:eastAsia="Arial" w:hAnsi="Arial"/>
                <w:sz w:val="14"/>
                <w:szCs w:val="14"/>
                <w:b w:val="1"/>
                <w:bCs w:val="1"/>
                <w:color w:val="auto"/>
                <w:w w:val="99"/>
              </w:rPr>
              <w:t>Three Months Ended September 30,</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7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center"/>
              <w:ind w:right="280"/>
              <w:spacing w:after="0" w:line="122" w:lineRule="exact"/>
              <w:rPr>
                <w:sz w:val="20"/>
                <w:szCs w:val="20"/>
                <w:color w:val="auto"/>
              </w:rPr>
            </w:pPr>
            <w:r>
              <w:rPr>
                <w:rFonts w:ascii="Arial" w:cs="Arial" w:eastAsia="Arial" w:hAnsi="Arial"/>
                <w:sz w:val="14"/>
                <w:szCs w:val="14"/>
                <w:b w:val="1"/>
                <w:bCs w:val="1"/>
                <w:color w:val="auto"/>
                <w:w w:val="92"/>
              </w:rPr>
              <w:t>Increase/</w:t>
            </w:r>
          </w:p>
        </w:tc>
        <w:tc>
          <w:tcPr>
            <w:tcW w:w="1040" w:type="dxa"/>
            <w:vAlign w:val="bottom"/>
            <w:gridSpan w:val="2"/>
          </w:tcPr>
          <w:p>
            <w:pPr>
              <w:ind w:left="240"/>
              <w:spacing w:after="0" w:line="122" w:lineRule="exact"/>
              <w:rPr>
                <w:sz w:val="20"/>
                <w:szCs w:val="20"/>
                <w:color w:val="auto"/>
              </w:rPr>
            </w:pPr>
            <w:r>
              <w:rPr>
                <w:rFonts w:ascii="Arial" w:cs="Arial" w:eastAsia="Arial" w:hAnsi="Arial"/>
                <w:sz w:val="14"/>
                <w:szCs w:val="14"/>
                <w:b w:val="1"/>
                <w:bCs w:val="1"/>
                <w:color w:val="auto"/>
              </w:rPr>
              <w:t>Percent</w:t>
            </w: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vMerge w:val="restart"/>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tcPr>
          <w:p>
            <w:pPr>
              <w:jc w:val="center"/>
              <w:ind w:right="280"/>
              <w:spacing w:after="0" w:line="122" w:lineRule="exact"/>
              <w:rPr>
                <w:sz w:val="20"/>
                <w:szCs w:val="20"/>
                <w:color w:val="auto"/>
              </w:rPr>
            </w:pPr>
            <w:r>
              <w:rPr>
                <w:rFonts w:ascii="Arial" w:cs="Arial" w:eastAsia="Arial" w:hAnsi="Arial"/>
                <w:sz w:val="14"/>
                <w:szCs w:val="14"/>
                <w:b w:val="1"/>
                <w:bCs w:val="1"/>
                <w:color w:val="auto"/>
                <w:w w:val="92"/>
              </w:rPr>
              <w:t>Increase/</w:t>
            </w:r>
          </w:p>
        </w:tc>
        <w:tc>
          <w:tcPr>
            <w:tcW w:w="860" w:type="dxa"/>
            <w:vAlign w:val="bottom"/>
          </w:tcPr>
          <w:p>
            <w:pPr>
              <w:jc w:val="right"/>
              <w:ind w:right="116"/>
              <w:spacing w:after="0" w:line="12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1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860" w:type="dxa"/>
            <w:vAlign w:val="bottom"/>
          </w:tcPr>
          <w:p>
            <w:pPr>
              <w:jc w:val="right"/>
              <w:ind w:right="9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1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370,452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1,647,762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(1,277,310)</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1,409,866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4,957,640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(3,547,774)</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176"/>
        </w:trPr>
        <w:tc>
          <w:tcPr>
            <w:tcW w:w="1700" w:type="dxa"/>
            <w:vAlign w:val="bottom"/>
          </w:tcPr>
          <w:p>
            <w:pPr>
              <w:ind w:left="20"/>
              <w:spacing w:after="0" w:line="176" w:lineRule="exact"/>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00" w:type="dxa"/>
            <w:vAlign w:val="bottom"/>
          </w:tcPr>
          <w:p>
            <w:pPr>
              <w:ind w:left="20"/>
              <w:spacing w:after="0" w:line="176" w:lineRule="exact"/>
              <w:rPr>
                <w:sz w:val="20"/>
                <w:szCs w:val="20"/>
                <w:color w:val="auto"/>
              </w:rPr>
            </w:pPr>
            <w:r>
              <w:rPr>
                <w:rFonts w:ascii="Arial" w:cs="Arial" w:eastAsia="Arial" w:hAnsi="Arial"/>
                <w:sz w:val="18"/>
                <w:szCs w:val="18"/>
                <w:color w:val="auto"/>
              </w:rPr>
              <w:t>attributable to Wynn</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(758,142)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(3,496)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(754,646)</w:t>
            </w:r>
          </w:p>
        </w:tc>
        <w:tc>
          <w:tcPr>
            <w:tcW w:w="80" w:type="dxa"/>
            <w:vAlign w:val="bottom"/>
          </w:tcPr>
          <w:p>
            <w:pPr>
              <w:spacing w:after="0"/>
              <w:rPr>
                <w:sz w:val="15"/>
                <w:szCs w:val="15"/>
                <w:color w:val="auto"/>
              </w:rPr>
            </w:pPr>
          </w:p>
        </w:tc>
        <w:tc>
          <w:tcPr>
            <w:tcW w:w="1040" w:type="dxa"/>
            <w:vAlign w:val="bottom"/>
            <w:gridSpan w:val="2"/>
            <w:vMerge w:val="restart"/>
          </w:tcPr>
          <w:p>
            <w:pPr>
              <w:ind w:left="64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(1,797,743)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195,927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(1,993,670)</w:t>
            </w:r>
          </w:p>
        </w:tc>
        <w:tc>
          <w:tcPr>
            <w:tcW w:w="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1700" w:type="dxa"/>
            <w:vAlign w:val="bottom"/>
          </w:tcPr>
          <w:p>
            <w:pPr>
              <w:ind w:left="20"/>
              <w:spacing w:after="0"/>
              <w:rPr>
                <w:sz w:val="20"/>
                <w:szCs w:val="20"/>
                <w:color w:val="auto"/>
              </w:rPr>
            </w:pPr>
            <w:r>
              <w:rPr>
                <w:rFonts w:ascii="Arial" w:cs="Arial" w:eastAsia="Arial" w:hAnsi="Arial"/>
                <w:sz w:val="18"/>
                <w:szCs w:val="18"/>
                <w:color w:val="auto"/>
              </w:rPr>
              <w:t>Resorts, Limited</w:t>
            </w: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Diluted net income</w:t>
            </w:r>
          </w:p>
        </w:tc>
        <w:tc>
          <w:tcPr>
            <w:tcW w:w="2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8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ind w:left="64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per share</w:t>
            </w: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700" w:type="dxa"/>
            <w:vAlign w:val="bottom"/>
          </w:tcPr>
          <w:p>
            <w:pPr>
              <w:ind w:left="20"/>
              <w:spacing w:after="0" w:line="176" w:lineRule="exact"/>
              <w:rPr>
                <w:sz w:val="20"/>
                <w:szCs w:val="20"/>
                <w:color w:val="auto"/>
              </w:rPr>
            </w:pPr>
            <w:r>
              <w:rPr>
                <w:rFonts w:ascii="Arial" w:cs="Arial" w:eastAsia="Arial" w:hAnsi="Arial"/>
                <w:sz w:val="18"/>
                <w:szCs w:val="18"/>
                <w:color w:val="auto"/>
              </w:rPr>
              <w:t>Adjusted Property</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(65,860)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396,946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(462,806)</w:t>
            </w:r>
          </w:p>
        </w:tc>
        <w:tc>
          <w:tcPr>
            <w:tcW w:w="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(394,086)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1,372,306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(1,766,392)</w:t>
            </w:r>
          </w:p>
        </w:tc>
        <w:tc>
          <w:tcPr>
            <w:tcW w:w="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30"/>
        </w:trPr>
        <w:tc>
          <w:tcPr>
            <w:tcW w:w="1700" w:type="dxa"/>
            <w:vAlign w:val="bottom"/>
          </w:tcPr>
          <w:p>
            <w:pPr>
              <w:ind w:left="20"/>
              <w:spacing w:after="0"/>
              <w:rPr>
                <w:sz w:val="20"/>
                <w:szCs w:val="20"/>
                <w:color w:val="auto"/>
              </w:rPr>
            </w:pPr>
            <w:r>
              <w:rPr>
                <w:rFonts w:ascii="Arial" w:cs="Arial" w:eastAsia="Arial" w:hAnsi="Arial"/>
                <w:sz w:val="18"/>
                <w:szCs w:val="18"/>
                <w:color w:val="auto"/>
              </w:rPr>
              <w:t xml:space="preserve">EBITDA </w:t>
            </w:r>
            <w:r>
              <w:rPr>
                <w:rFonts w:ascii="Arial" w:cs="Arial" w:eastAsia="Arial" w:hAnsi="Arial"/>
                <w:sz w:val="14"/>
                <w:szCs w:val="14"/>
                <w:color w:val="auto"/>
              </w:rPr>
              <w:t>(1)</w:t>
            </w:r>
          </w:p>
        </w:tc>
        <w:tc>
          <w:tcPr>
            <w:tcW w:w="26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right="600" w:firstLine="8"/>
        <w:spacing w:after="0" w:line="273" w:lineRule="auto"/>
        <w:tabs>
          <w:tab w:leader="none" w:pos="204" w:val="left"/>
        </w:tabs>
        <w:numPr>
          <w:ilvl w:val="0"/>
          <w:numId w:val="11"/>
        </w:numPr>
        <w:rPr>
          <w:rFonts w:ascii="Arial" w:cs="Arial" w:eastAsia="Arial" w:hAnsi="Arial"/>
          <w:sz w:val="14"/>
          <w:szCs w:val="14"/>
          <w:color w:val="auto"/>
        </w:rPr>
      </w:pPr>
      <w:r>
        <w:rPr>
          <w:rFonts w:ascii="Arial" w:cs="Arial" w:eastAsia="Arial" w:hAnsi="Arial"/>
          <w:sz w:val="14"/>
          <w:szCs w:val="14"/>
          <w:color w:val="auto"/>
        </w:rPr>
        <w:t>See Item 1—"Financial Statements," Note 16, "Segment Information," for a reconciliation of Adjusted Property EBITDA to net income (loss) attributable to Wynn Resorts, Limited. NM - Not meaningful.</w:t>
      </w:r>
    </w:p>
    <w:p>
      <w:pPr>
        <w:spacing w:after="0" w:line="20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decrease in operating revenues for the three months ended September 30, 2020 was driven by decreases of $582.5 million, $422.9 million, $212.8 million, and $59.1 million from Wynn Palace, Wynn Macau, our Las Vegas Operations, and Encore Boston Harbor, respectively. These declines were precipitated by the continued adverse effects of the COVID-19 pandemic, including travel restrictions and capacity limitations at our Macau Operations, our Las Vegas Operations and Encore Boston Harbor. Encore Boston Harbor closed to the public on March 15, 2020, and reopened on July 10, 2020 on a reduced basis.</w:t>
      </w:r>
    </w:p>
    <w:p>
      <w:pPr>
        <w:spacing w:after="0" w:line="3" w:lineRule="exact"/>
        <w:rPr>
          <w:sz w:val="20"/>
          <w:szCs w:val="20"/>
          <w:color w:val="auto"/>
        </w:rPr>
      </w:pPr>
    </w:p>
    <w:p>
      <w:pPr>
        <w:jc w:val="both"/>
        <w:ind w:firstLine="445"/>
        <w:spacing w:after="0" w:line="260" w:lineRule="auto"/>
        <w:rPr>
          <w:sz w:val="20"/>
          <w:szCs w:val="20"/>
          <w:color w:val="auto"/>
        </w:rPr>
      </w:pPr>
      <w:r>
        <w:rPr>
          <w:rFonts w:ascii="Arial" w:cs="Arial" w:eastAsia="Arial" w:hAnsi="Arial"/>
          <w:sz w:val="18"/>
          <w:szCs w:val="18"/>
          <w:color w:val="auto"/>
        </w:rPr>
        <w:t>The increase in net loss attributable to Wynn Resorts, Limited for the three months ended September 30, 2020 was primarily related to the adverse effects of the COVID-19 pandemic on the results of our operations.</w:t>
      </w:r>
    </w:p>
    <w:p>
      <w:pPr>
        <w:spacing w:after="0" w:line="21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decrease in Adjusted Property EBITDA for the three months ended September 30, 2020 was primarily driven by decreases of $239.8 million, $173.4 million, and $67.8 million from Wynn Palace, Wynn Macau, and our Las Vegas Operations, respectively. These decreases were offset by an increase of $18.2 million in Adjusted Property EBITDA from Encore Boston Harbor.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September 30, 2020 compared to the three months ended September 30,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operating revenues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6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vMerge w:val="restart"/>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right"/>
              <w:ind w:right="235"/>
              <w:spacing w:after="0" w:line="122"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0"/>
                <w:szCs w:val="10"/>
                <w:color w:val="auto"/>
              </w:rPr>
            </w:pPr>
          </w:p>
        </w:tc>
        <w:tc>
          <w:tcPr>
            <w:tcW w:w="1200" w:type="dxa"/>
            <w:vAlign w:val="bottom"/>
          </w:tcPr>
          <w:p>
            <w:pPr>
              <w:jc w:val="right"/>
              <w:ind w:right="308"/>
              <w:spacing w:after="0" w:line="12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56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7"/>
              </w:rPr>
              <w:t>(Decrease)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60"/>
              <w:spacing w:after="0"/>
              <w:rPr>
                <w:sz w:val="20"/>
                <w:szCs w:val="20"/>
                <w:color w:val="auto"/>
              </w:rPr>
            </w:pPr>
            <w:r>
              <w:rPr>
                <w:rFonts w:ascii="Arial" w:cs="Arial" w:eastAsia="Arial" w:hAnsi="Arial"/>
                <w:sz w:val="18"/>
                <w:szCs w:val="18"/>
                <w:color w:val="auto"/>
              </w:rPr>
              <w:t>Macau Operations: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Wynn Palace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598,171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(582,470)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Wynn Macau</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474,281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(422,913)</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Macau Operations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67,069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1,072,452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(1,005,383)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29"/>
        </w:trPr>
        <w:tc>
          <w:tcPr>
            <w:tcW w:w="5620" w:type="dxa"/>
            <w:vAlign w:val="bottom"/>
          </w:tcPr>
          <w:p>
            <w:pPr>
              <w:ind w:left="160"/>
              <w:spacing w:after="0"/>
              <w:rPr>
                <w:sz w:val="20"/>
                <w:szCs w:val="20"/>
                <w:color w:val="auto"/>
              </w:rPr>
            </w:pPr>
            <w:r>
              <w:rPr>
                <w:rFonts w:ascii="Arial" w:cs="Arial" w:eastAsia="Arial" w:hAnsi="Arial"/>
                <w:sz w:val="18"/>
                <w:szCs w:val="18"/>
                <w:color w:val="auto"/>
              </w:rPr>
              <w:t>Las Vegas Operations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186,697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399,506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(212,809)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Encore Boston Harbor</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(59,118)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370,452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1,647,762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(1,277,310)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casino and non-casino operating revenues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6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vMerge w:val="restart"/>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right"/>
              <w:ind w:right="235"/>
              <w:spacing w:after="0" w:line="122"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0"/>
                <w:szCs w:val="10"/>
                <w:color w:val="auto"/>
              </w:rPr>
            </w:pPr>
          </w:p>
        </w:tc>
        <w:tc>
          <w:tcPr>
            <w:tcW w:w="1200" w:type="dxa"/>
            <w:vAlign w:val="bottom"/>
          </w:tcPr>
          <w:p>
            <w:pPr>
              <w:jc w:val="right"/>
              <w:ind w:right="308"/>
              <w:spacing w:after="0" w:line="12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56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7"/>
              </w:rPr>
              <w:t>(Decrease)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340"/>
              <w:spacing w:after="0"/>
              <w:rPr>
                <w:sz w:val="20"/>
                <w:szCs w:val="20"/>
                <w:color w:val="auto"/>
              </w:rPr>
            </w:pPr>
            <w:r>
              <w:rPr>
                <w:rFonts w:ascii="Arial" w:cs="Arial" w:eastAsia="Arial" w:hAnsi="Arial"/>
                <w:sz w:val="18"/>
                <w:szCs w:val="18"/>
                <w:b w:val="1"/>
                <w:bCs w:val="1"/>
                <w:color w:val="auto"/>
              </w:rPr>
              <w:t>Casino revenues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201,872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1,108,364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(906,492)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Non-casino revenues: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480"/>
              <w:spacing w:after="0"/>
              <w:rPr>
                <w:sz w:val="20"/>
                <w:szCs w:val="20"/>
                <w:color w:val="auto"/>
              </w:rPr>
            </w:pPr>
            <w:r>
              <w:rPr>
                <w:rFonts w:ascii="Arial" w:cs="Arial" w:eastAsia="Arial" w:hAnsi="Arial"/>
                <w:sz w:val="18"/>
                <w:szCs w:val="18"/>
                <w:color w:val="auto"/>
              </w:rPr>
              <w:t>Rooms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61,144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205,876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(144,732)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Food and beverage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(151,922)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Entertainment, retail and other</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(74,164)</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non-casino revenues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168,580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539,398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(370,818)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370,452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1,647,762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(1,277,310)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Casino revenues for the three months ended September 30, 2020 were 54.5% of operating revenues, compared to 67.3% for the same period of 2019.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Non-casino revenues for the three months ended September 30, 2020 were 45.5% of operating revenues, compared to 32.7% for the same period of 2019.</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revenues</w:t>
      </w:r>
    </w:p>
    <w:p>
      <w:pPr>
        <w:spacing w:after="0" w:line="252"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Casino revenues decreased primarily due to the adverse effects of the COVID-19 pandemic, including widespread travel restrictions and capacity limitations. In addition, Encore Boston Harbor closed to the public on March 15, 2020, and reopened on July 10, 2020 on a reduced basis. The table below sets forth our casino revenues and associated key operating measures (dollars in thousands, except for win per unit per day):</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02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gridSpan w:val="2"/>
          </w:tcPr>
          <w:p>
            <w:pPr>
              <w:jc w:val="center"/>
              <w:ind w:right="340"/>
              <w:spacing w:after="0" w:line="122" w:lineRule="exact"/>
              <w:rPr>
                <w:sz w:val="20"/>
                <w:szCs w:val="20"/>
                <w:color w:val="auto"/>
              </w:rPr>
            </w:pPr>
            <w:r>
              <w:rPr>
                <w:rFonts w:ascii="Arial" w:cs="Arial" w:eastAsia="Arial" w:hAnsi="Arial"/>
                <w:sz w:val="14"/>
                <w:szCs w:val="14"/>
                <w:b w:val="1"/>
                <w:bCs w:val="1"/>
                <w:color w:val="auto"/>
                <w:w w:val="92"/>
              </w:rPr>
              <w:t>Increase/</w:t>
            </w:r>
          </w:p>
        </w:tc>
        <w:tc>
          <w:tcPr>
            <w:tcW w:w="1400" w:type="dxa"/>
            <w:vAlign w:val="bottom"/>
          </w:tcPr>
          <w:p>
            <w:pPr>
              <w:jc w:val="right"/>
              <w:ind w:right="371"/>
              <w:spacing w:after="0" w:line="12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c>
          <w:tcPr>
            <w:tcW w:w="1400" w:type="dxa"/>
            <w:vAlign w:val="bottom"/>
          </w:tcPr>
          <w:p>
            <w:pPr>
              <w:jc w:val="right"/>
              <w:ind w:right="37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Macau Operations:</w:t>
            </w: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20"/>
              <w:spacing w:after="0"/>
              <w:rPr>
                <w:sz w:val="20"/>
                <w:szCs w:val="20"/>
                <w:color w:val="auto"/>
              </w:rPr>
            </w:pPr>
            <w:r>
              <w:rPr>
                <w:rFonts w:ascii="Arial" w:cs="Arial" w:eastAsia="Arial" w:hAnsi="Arial"/>
                <w:sz w:val="18"/>
                <w:szCs w:val="18"/>
                <w:color w:val="auto"/>
              </w:rPr>
              <w:t>Wynn Palace:</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casino 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12,301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497,657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(485,356)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29"/>
        </w:trPr>
        <w:tc>
          <w:tcPr>
            <w:tcW w:w="5020" w:type="dxa"/>
            <w:vAlign w:val="bottom"/>
          </w:tcPr>
          <w:p>
            <w:pPr>
              <w:ind w:left="340"/>
              <w:spacing w:after="0"/>
              <w:rPr>
                <w:sz w:val="20"/>
                <w:szCs w:val="20"/>
                <w:color w:val="auto"/>
              </w:rPr>
            </w:pPr>
            <w:r>
              <w:rPr>
                <w:rFonts w:ascii="Arial" w:cs="Arial" w:eastAsia="Arial" w:hAnsi="Arial"/>
                <w:sz w:val="18"/>
                <w:szCs w:val="18"/>
                <w:color w:val="auto"/>
              </w:rPr>
              <w:t>VIP:</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5020" w:type="dxa"/>
            <w:vAlign w:val="bottom"/>
          </w:tcPr>
          <w:p>
            <w:pPr>
              <w:ind w:left="540"/>
              <w:spacing w:after="0"/>
              <w:rPr>
                <w:sz w:val="20"/>
                <w:szCs w:val="20"/>
                <w:color w:val="auto"/>
              </w:rPr>
            </w:pPr>
            <w:r>
              <w:rPr>
                <w:rFonts w:ascii="Arial" w:cs="Arial" w:eastAsia="Arial" w:hAnsi="Arial"/>
                <w:sz w:val="18"/>
                <w:szCs w:val="18"/>
                <w:color w:val="auto"/>
              </w:rPr>
              <w:t>VIP turnover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311,676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10,517,685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(10,206,009)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VIP table games win</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335,277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(332,033)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30"/>
        </w:trPr>
        <w:tc>
          <w:tcPr>
            <w:tcW w:w="5020" w:type="dxa"/>
            <w:vAlign w:val="bottom"/>
          </w:tcPr>
          <w:p>
            <w:pPr>
              <w:ind w:left="540"/>
              <w:spacing w:after="0"/>
              <w:rPr>
                <w:sz w:val="20"/>
                <w:szCs w:val="20"/>
                <w:color w:val="auto"/>
              </w:rPr>
            </w:pPr>
            <w:r>
              <w:rPr>
                <w:rFonts w:ascii="Arial" w:cs="Arial" w:eastAsia="Arial" w:hAnsi="Arial"/>
                <w:sz w:val="18"/>
                <w:szCs w:val="18"/>
                <w:color w:val="auto"/>
              </w:rPr>
              <w:t>VIP win as a % of turnover</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33,595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30"/>
        </w:trPr>
        <w:tc>
          <w:tcPr>
            <w:tcW w:w="5020" w:type="dxa"/>
            <w:vAlign w:val="bottom"/>
          </w:tcPr>
          <w:p>
            <w:pPr>
              <w:ind w:left="340"/>
              <w:spacing w:after="0"/>
              <w:rPr>
                <w:sz w:val="20"/>
                <w:szCs w:val="20"/>
                <w:color w:val="auto"/>
              </w:rPr>
            </w:pPr>
            <w:r>
              <w:rPr>
                <w:rFonts w:ascii="Arial" w:cs="Arial" w:eastAsia="Arial" w:hAnsi="Arial"/>
                <w:sz w:val="18"/>
                <w:szCs w:val="18"/>
                <w:color w:val="auto"/>
              </w:rPr>
              <w:t>Mass market:</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5020" w:type="dxa"/>
            <w:vAlign w:val="bottom"/>
          </w:tcPr>
          <w:p>
            <w:pPr>
              <w:ind w:left="540"/>
              <w:spacing w:after="0"/>
              <w:rPr>
                <w:sz w:val="20"/>
                <w:szCs w:val="20"/>
                <w:color w:val="auto"/>
              </w:rPr>
            </w:pPr>
            <w:r>
              <w:rPr>
                <w:rFonts w:ascii="Arial" w:cs="Arial" w:eastAsia="Arial" w:hAnsi="Arial"/>
                <w:sz w:val="18"/>
                <w:szCs w:val="18"/>
                <w:color w:val="auto"/>
              </w:rPr>
              <w:t>Table drop</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86,347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1,298,827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(1,212,480)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Table games win</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19,015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324,177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(305,162)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29"/>
        </w:trPr>
        <w:tc>
          <w:tcPr>
            <w:tcW w:w="5020" w:type="dxa"/>
            <w:vAlign w:val="bottom"/>
          </w:tcPr>
          <w:p>
            <w:pPr>
              <w:ind w:left="540"/>
              <w:spacing w:after="0"/>
              <w:rPr>
                <w:sz w:val="20"/>
                <w:szCs w:val="20"/>
                <w:color w:val="auto"/>
              </w:rPr>
            </w:pPr>
            <w:r>
              <w:rPr>
                <w:rFonts w:ascii="Arial" w:cs="Arial" w:eastAsia="Arial" w:hAnsi="Arial"/>
                <w:sz w:val="18"/>
                <w:szCs w:val="18"/>
                <w:color w:val="auto"/>
              </w:rPr>
              <w:t>Table games win %</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16,346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30"/>
        </w:trPr>
        <w:tc>
          <w:tcPr>
            <w:tcW w:w="5020" w:type="dxa"/>
            <w:vAlign w:val="bottom"/>
          </w:tcPr>
          <w:p>
            <w:pPr>
              <w:ind w:left="540"/>
              <w:spacing w:after="0"/>
              <w:rPr>
                <w:sz w:val="20"/>
                <w:szCs w:val="20"/>
                <w:color w:val="auto"/>
              </w:rPr>
            </w:pPr>
            <w:r>
              <w:rPr>
                <w:rFonts w:ascii="Arial" w:cs="Arial" w:eastAsia="Arial" w:hAnsi="Arial"/>
                <w:sz w:val="18"/>
                <w:szCs w:val="18"/>
                <w:color w:val="auto"/>
              </w:rPr>
              <w:t>Average number of slot machines</w:t>
            </w:r>
          </w:p>
        </w:tc>
        <w:tc>
          <w:tcPr>
            <w:tcW w:w="30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Slot machine handle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78,580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973,676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(895,096)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30"/>
        </w:trPr>
        <w:tc>
          <w:tcPr>
            <w:tcW w:w="5020" w:type="dxa"/>
            <w:vAlign w:val="bottom"/>
          </w:tcPr>
          <w:p>
            <w:pPr>
              <w:ind w:left="540"/>
              <w:spacing w:after="0"/>
              <w:rPr>
                <w:sz w:val="20"/>
                <w:szCs w:val="20"/>
                <w:color w:val="auto"/>
              </w:rPr>
            </w:pPr>
            <w:r>
              <w:rPr>
                <w:rFonts w:ascii="Arial" w:cs="Arial" w:eastAsia="Arial" w:hAnsi="Arial"/>
                <w:sz w:val="18"/>
                <w:szCs w:val="18"/>
                <w:color w:val="auto"/>
              </w:rPr>
              <w:t>Slot machine win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3,995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47,289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(43,294)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Slot machine win per unit per day</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29"/>
        </w:trPr>
        <w:tc>
          <w:tcPr>
            <w:tcW w:w="5020" w:type="dxa"/>
            <w:vAlign w:val="bottom"/>
          </w:tcPr>
          <w:p>
            <w:pPr>
              <w:ind w:left="120"/>
              <w:spacing w:after="0"/>
              <w:rPr>
                <w:sz w:val="20"/>
                <w:szCs w:val="20"/>
                <w:color w:val="auto"/>
              </w:rPr>
            </w:pPr>
            <w:r>
              <w:rPr>
                <w:rFonts w:ascii="Arial" w:cs="Arial" w:eastAsia="Arial" w:hAnsi="Arial"/>
                <w:sz w:val="18"/>
                <w:szCs w:val="18"/>
                <w:color w:val="auto"/>
              </w:rPr>
              <w:t>Wynn Macau:</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casino 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27,154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408,820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(381,666)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30"/>
        </w:trPr>
        <w:tc>
          <w:tcPr>
            <w:tcW w:w="5020" w:type="dxa"/>
            <w:vAlign w:val="bottom"/>
          </w:tcPr>
          <w:p>
            <w:pPr>
              <w:ind w:left="340"/>
              <w:spacing w:after="0"/>
              <w:rPr>
                <w:sz w:val="20"/>
                <w:szCs w:val="20"/>
                <w:color w:val="auto"/>
              </w:rPr>
            </w:pPr>
            <w:r>
              <w:rPr>
                <w:rFonts w:ascii="Arial" w:cs="Arial" w:eastAsia="Arial" w:hAnsi="Arial"/>
                <w:sz w:val="18"/>
                <w:szCs w:val="18"/>
                <w:color w:val="auto"/>
              </w:rPr>
              <w:t>VIP:</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5020" w:type="dxa"/>
            <w:vAlign w:val="bottom"/>
          </w:tcPr>
          <w:p>
            <w:pPr>
              <w:ind w:left="540"/>
              <w:spacing w:after="0"/>
              <w:rPr>
                <w:sz w:val="20"/>
                <w:szCs w:val="20"/>
                <w:color w:val="auto"/>
              </w:rPr>
            </w:pPr>
            <w:r>
              <w:rPr>
                <w:rFonts w:ascii="Arial" w:cs="Arial" w:eastAsia="Arial" w:hAnsi="Arial"/>
                <w:sz w:val="18"/>
                <w:szCs w:val="18"/>
                <w:color w:val="auto"/>
              </w:rPr>
              <w:t>VIP turnover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498,519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8,024,990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(7,526,471)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VIP table games win</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19,679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221,097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(201,418)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30"/>
        </w:trPr>
        <w:tc>
          <w:tcPr>
            <w:tcW w:w="5020" w:type="dxa"/>
            <w:vAlign w:val="bottom"/>
          </w:tcPr>
          <w:p>
            <w:pPr>
              <w:ind w:left="540"/>
              <w:spacing w:after="0"/>
              <w:rPr>
                <w:sz w:val="20"/>
                <w:szCs w:val="20"/>
                <w:color w:val="auto"/>
              </w:rPr>
            </w:pPr>
            <w:r>
              <w:rPr>
                <w:rFonts w:ascii="Arial" w:cs="Arial" w:eastAsia="Arial" w:hAnsi="Arial"/>
                <w:sz w:val="18"/>
                <w:szCs w:val="18"/>
                <w:color w:val="auto"/>
              </w:rPr>
              <w:t>VIP win as a % of turnover</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23,036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30"/>
        </w:trPr>
        <w:tc>
          <w:tcPr>
            <w:tcW w:w="5020" w:type="dxa"/>
            <w:vAlign w:val="bottom"/>
          </w:tcPr>
          <w:p>
            <w:pPr>
              <w:ind w:left="340"/>
              <w:spacing w:after="0"/>
              <w:rPr>
                <w:sz w:val="20"/>
                <w:szCs w:val="20"/>
                <w:color w:val="auto"/>
              </w:rPr>
            </w:pPr>
            <w:r>
              <w:rPr>
                <w:rFonts w:ascii="Arial" w:cs="Arial" w:eastAsia="Arial" w:hAnsi="Arial"/>
                <w:sz w:val="18"/>
                <w:szCs w:val="18"/>
                <w:color w:val="auto"/>
              </w:rPr>
              <w:t>Mass market:</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5020" w:type="dxa"/>
            <w:vAlign w:val="bottom"/>
          </w:tcPr>
          <w:p>
            <w:pPr>
              <w:ind w:left="540"/>
              <w:spacing w:after="0"/>
              <w:rPr>
                <w:sz w:val="20"/>
                <w:szCs w:val="20"/>
                <w:color w:val="auto"/>
              </w:rPr>
            </w:pPr>
            <w:r>
              <w:rPr>
                <w:rFonts w:ascii="Arial" w:cs="Arial" w:eastAsia="Arial" w:hAnsi="Arial"/>
                <w:sz w:val="18"/>
                <w:szCs w:val="18"/>
                <w:color w:val="auto"/>
              </w:rPr>
              <w:t>Table drop</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133,006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1,319,405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(1,186,399)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Table games win</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24,898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272,511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(247,613)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30"/>
        </w:trPr>
        <w:tc>
          <w:tcPr>
            <w:tcW w:w="5020" w:type="dxa"/>
            <w:vAlign w:val="bottom"/>
          </w:tcPr>
          <w:p>
            <w:pPr>
              <w:ind w:left="540"/>
              <w:spacing w:after="0"/>
              <w:rPr>
                <w:sz w:val="20"/>
                <w:szCs w:val="20"/>
                <w:color w:val="auto"/>
              </w:rPr>
            </w:pPr>
            <w:r>
              <w:rPr>
                <w:rFonts w:ascii="Arial" w:cs="Arial" w:eastAsia="Arial" w:hAnsi="Arial"/>
                <w:sz w:val="18"/>
                <w:szCs w:val="18"/>
                <w:color w:val="auto"/>
              </w:rPr>
              <w:t>Table games win %</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18.7 %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20.7 %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14,440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29"/>
        </w:trPr>
        <w:tc>
          <w:tcPr>
            <w:tcW w:w="5020" w:type="dxa"/>
            <w:vAlign w:val="bottom"/>
          </w:tcPr>
          <w:p>
            <w:pPr>
              <w:ind w:left="540"/>
              <w:spacing w:after="0"/>
              <w:rPr>
                <w:sz w:val="20"/>
                <w:szCs w:val="20"/>
                <w:color w:val="auto"/>
              </w:rPr>
            </w:pPr>
            <w:r>
              <w:rPr>
                <w:rFonts w:ascii="Arial" w:cs="Arial" w:eastAsia="Arial" w:hAnsi="Arial"/>
                <w:sz w:val="18"/>
                <w:szCs w:val="18"/>
                <w:color w:val="auto"/>
              </w:rPr>
              <w:t>Average number of slot machines</w:t>
            </w:r>
          </w:p>
        </w:tc>
        <w:tc>
          <w:tcPr>
            <w:tcW w:w="30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Slot machine handle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87,988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999,985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(911,997)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30"/>
        </w:trPr>
        <w:tc>
          <w:tcPr>
            <w:tcW w:w="5020" w:type="dxa"/>
            <w:vAlign w:val="bottom"/>
          </w:tcPr>
          <w:p>
            <w:pPr>
              <w:ind w:left="540"/>
              <w:spacing w:after="0"/>
              <w:rPr>
                <w:sz w:val="20"/>
                <w:szCs w:val="20"/>
                <w:color w:val="auto"/>
              </w:rPr>
            </w:pPr>
            <w:r>
              <w:rPr>
                <w:rFonts w:ascii="Arial" w:cs="Arial" w:eastAsia="Arial" w:hAnsi="Arial"/>
                <w:sz w:val="18"/>
                <w:szCs w:val="18"/>
                <w:color w:val="auto"/>
              </w:rPr>
              <w:t>Slot machine win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46,981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(43,909)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Slot machine win per unit per day</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30"/>
        </w:trPr>
        <w:tc>
          <w:tcPr>
            <w:tcW w:w="5020" w:type="dxa"/>
            <w:vAlign w:val="bottom"/>
          </w:tcPr>
          <w:p>
            <w:pPr>
              <w:ind w:left="540"/>
              <w:spacing w:after="0"/>
              <w:rPr>
                <w:sz w:val="20"/>
                <w:szCs w:val="20"/>
                <w:color w:val="auto"/>
              </w:rPr>
            </w:pPr>
            <w:r>
              <w:rPr>
                <w:rFonts w:ascii="Arial" w:cs="Arial" w:eastAsia="Arial" w:hAnsi="Arial"/>
                <w:sz w:val="18"/>
                <w:szCs w:val="18"/>
                <w:color w:val="auto"/>
              </w:rPr>
              <w:t>Poker rake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4,703</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(4,703)</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02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vMerge w:val="restart"/>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vMerge w:val="restart"/>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tcPr>
          <w:p>
            <w:pPr>
              <w:jc w:val="center"/>
              <w:ind w:right="340"/>
              <w:spacing w:after="0" w:line="122" w:lineRule="exact"/>
              <w:rPr>
                <w:sz w:val="20"/>
                <w:szCs w:val="20"/>
                <w:color w:val="auto"/>
              </w:rPr>
            </w:pPr>
            <w:r>
              <w:rPr>
                <w:rFonts w:ascii="Arial" w:cs="Arial" w:eastAsia="Arial" w:hAnsi="Arial"/>
                <w:sz w:val="14"/>
                <w:szCs w:val="14"/>
                <w:b w:val="1"/>
                <w:bCs w:val="1"/>
                <w:color w:val="auto"/>
                <w:w w:val="92"/>
              </w:rPr>
              <w:t>Increase/</w:t>
            </w:r>
          </w:p>
        </w:tc>
        <w:tc>
          <w:tcPr>
            <w:tcW w:w="1400" w:type="dxa"/>
            <w:vAlign w:val="bottom"/>
          </w:tcPr>
          <w:p>
            <w:pPr>
              <w:jc w:val="right"/>
              <w:ind w:right="372"/>
              <w:spacing w:after="0" w:line="12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c>
          <w:tcPr>
            <w:tcW w:w="1400" w:type="dxa"/>
            <w:vAlign w:val="bottom"/>
          </w:tcPr>
          <w:p>
            <w:pPr>
              <w:jc w:val="right"/>
              <w:ind w:right="37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340"/>
              <w:spacing w:after="0"/>
              <w:rPr>
                <w:sz w:val="20"/>
                <w:szCs w:val="20"/>
                <w:color w:val="auto"/>
              </w:rPr>
            </w:pPr>
            <w:r>
              <w:rPr>
                <w:rFonts w:ascii="Arial" w:cs="Arial" w:eastAsia="Arial" w:hAnsi="Arial"/>
                <w:sz w:val="18"/>
                <w:szCs w:val="18"/>
                <w:color w:val="auto"/>
              </w:rPr>
              <w:t>Total casino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65,694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87,002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(21,308)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5020" w:type="dxa"/>
            <w:vAlign w:val="bottom"/>
          </w:tcPr>
          <w:p>
            <w:pPr>
              <w:ind w:left="540"/>
              <w:spacing w:after="0"/>
              <w:rPr>
                <w:sz w:val="20"/>
                <w:szCs w:val="20"/>
                <w:color w:val="auto"/>
              </w:rPr>
            </w:pPr>
            <w:r>
              <w:rPr>
                <w:rFonts w:ascii="Arial" w:cs="Arial" w:eastAsia="Arial" w:hAnsi="Arial"/>
                <w:sz w:val="18"/>
                <w:szCs w:val="18"/>
                <w:color w:val="auto"/>
              </w:rPr>
              <w:t>Table drop</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324,939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430,837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(105,898)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Table games win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65,611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85,738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9"/>
        </w:trPr>
        <w:tc>
          <w:tcPr>
            <w:tcW w:w="5020" w:type="dxa"/>
            <w:vAlign w:val="bottom"/>
          </w:tcPr>
          <w:p>
            <w:pPr>
              <w:ind w:left="540"/>
              <w:spacing w:after="0"/>
              <w:rPr>
                <w:sz w:val="20"/>
                <w:szCs w:val="20"/>
                <w:color w:val="auto"/>
              </w:rPr>
            </w:pPr>
            <w:r>
              <w:rPr>
                <w:rFonts w:ascii="Arial" w:cs="Arial" w:eastAsia="Arial" w:hAnsi="Arial"/>
                <w:sz w:val="18"/>
                <w:szCs w:val="18"/>
                <w:color w:val="auto"/>
              </w:rPr>
              <w:t>Table games win %</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20.2 %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19.9 %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3,191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3,927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0"/>
        </w:trPr>
        <w:tc>
          <w:tcPr>
            <w:tcW w:w="5020" w:type="dxa"/>
            <w:vAlign w:val="bottom"/>
          </w:tcPr>
          <w:p>
            <w:pPr>
              <w:ind w:left="540"/>
              <w:spacing w:after="0"/>
              <w:rPr>
                <w:sz w:val="20"/>
                <w:szCs w:val="20"/>
                <w:color w:val="auto"/>
              </w:rPr>
            </w:pPr>
            <w:r>
              <w:rPr>
                <w:rFonts w:ascii="Arial" w:cs="Arial" w:eastAsia="Arial" w:hAnsi="Arial"/>
                <w:sz w:val="18"/>
                <w:szCs w:val="18"/>
                <w:color w:val="auto"/>
              </w:rPr>
              <w:t>Average number of slot machines</w:t>
            </w:r>
          </w:p>
        </w:tc>
        <w:tc>
          <w:tcPr>
            <w:tcW w:w="30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1,738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1,783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Slot machine handle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739,291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883,931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(144,640)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5020" w:type="dxa"/>
            <w:vAlign w:val="bottom"/>
          </w:tcPr>
          <w:p>
            <w:pPr>
              <w:ind w:left="540"/>
              <w:spacing w:after="0"/>
              <w:rPr>
                <w:sz w:val="20"/>
                <w:szCs w:val="20"/>
                <w:color w:val="auto"/>
              </w:rPr>
            </w:pPr>
            <w:r>
              <w:rPr>
                <w:rFonts w:ascii="Arial" w:cs="Arial" w:eastAsia="Arial" w:hAnsi="Arial"/>
                <w:sz w:val="18"/>
                <w:szCs w:val="18"/>
                <w:color w:val="auto"/>
              </w:rPr>
              <w:t>Slot machine win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48,267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58,176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(9,909)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Slot machine win per unit per day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9"/>
        </w:trPr>
        <w:tc>
          <w:tcPr>
            <w:tcW w:w="5020" w:type="dxa"/>
            <w:vAlign w:val="bottom"/>
          </w:tcPr>
          <w:p>
            <w:pPr>
              <w:ind w:left="540"/>
              <w:spacing w:after="0"/>
              <w:rPr>
                <w:sz w:val="20"/>
                <w:szCs w:val="20"/>
                <w:color w:val="auto"/>
              </w:rPr>
            </w:pPr>
            <w:r>
              <w:rPr>
                <w:rFonts w:ascii="Arial" w:cs="Arial" w:eastAsia="Arial" w:hAnsi="Arial"/>
                <w:sz w:val="18"/>
                <w:szCs w:val="18"/>
                <w:color w:val="auto"/>
              </w:rPr>
              <w:t>Poker rake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2,977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(2,967)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Encore Boston Harbor:</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340"/>
              <w:spacing w:after="0"/>
              <w:rPr>
                <w:sz w:val="20"/>
                <w:szCs w:val="20"/>
                <w:color w:val="auto"/>
              </w:rPr>
            </w:pPr>
            <w:r>
              <w:rPr>
                <w:rFonts w:ascii="Arial" w:cs="Arial" w:eastAsia="Arial" w:hAnsi="Arial"/>
                <w:sz w:val="18"/>
                <w:szCs w:val="18"/>
                <w:color w:val="auto"/>
              </w:rPr>
              <w:t>Total casino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96,723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114,885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(18,162)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30"/>
        </w:trPr>
        <w:tc>
          <w:tcPr>
            <w:tcW w:w="5020" w:type="dxa"/>
            <w:vAlign w:val="bottom"/>
          </w:tcPr>
          <w:p>
            <w:pPr>
              <w:ind w:left="540"/>
              <w:spacing w:after="0"/>
              <w:rPr>
                <w:sz w:val="20"/>
                <w:szCs w:val="20"/>
                <w:color w:val="auto"/>
              </w:rPr>
            </w:pPr>
            <w:r>
              <w:rPr>
                <w:rFonts w:ascii="Arial" w:cs="Arial" w:eastAsia="Arial" w:hAnsi="Arial"/>
                <w:sz w:val="18"/>
                <w:szCs w:val="18"/>
                <w:color w:val="auto"/>
              </w:rPr>
              <w:t>Table drop</w:t>
            </w:r>
          </w:p>
        </w:tc>
        <w:tc>
          <w:tcPr>
            <w:tcW w:w="30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217,797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379,626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(161,829)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Table games win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47,528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74,882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30"/>
        </w:trPr>
        <w:tc>
          <w:tcPr>
            <w:tcW w:w="5020" w:type="dxa"/>
            <w:vAlign w:val="bottom"/>
          </w:tcPr>
          <w:p>
            <w:pPr>
              <w:ind w:left="540"/>
              <w:spacing w:after="0"/>
              <w:rPr>
                <w:sz w:val="20"/>
                <w:szCs w:val="20"/>
                <w:color w:val="auto"/>
              </w:rPr>
            </w:pPr>
            <w:r>
              <w:rPr>
                <w:rFonts w:ascii="Arial" w:cs="Arial" w:eastAsia="Arial" w:hAnsi="Arial"/>
                <w:sz w:val="18"/>
                <w:szCs w:val="18"/>
                <w:color w:val="auto"/>
              </w:rPr>
              <w:t>Table games win %</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21.8 %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19.7 %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3,079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5,631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29"/>
        </w:trPr>
        <w:tc>
          <w:tcPr>
            <w:tcW w:w="5020" w:type="dxa"/>
            <w:vAlign w:val="bottom"/>
          </w:tcPr>
          <w:p>
            <w:pPr>
              <w:ind w:left="540"/>
              <w:spacing w:after="0"/>
              <w:rPr>
                <w:sz w:val="20"/>
                <w:szCs w:val="20"/>
                <w:color w:val="auto"/>
              </w:rPr>
            </w:pPr>
            <w:r>
              <w:rPr>
                <w:rFonts w:ascii="Arial" w:cs="Arial" w:eastAsia="Arial" w:hAnsi="Arial"/>
                <w:sz w:val="18"/>
                <w:szCs w:val="18"/>
                <w:color w:val="auto"/>
              </w:rPr>
              <w:t>Average number of slot machines</w:t>
            </w:r>
          </w:p>
        </w:tc>
        <w:tc>
          <w:tcPr>
            <w:tcW w:w="30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1,877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3,101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Slot machine handle</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813,435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892,706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(79,271)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5020" w:type="dxa"/>
            <w:vAlign w:val="bottom"/>
          </w:tcPr>
          <w:p>
            <w:pPr>
              <w:ind w:left="540"/>
              <w:spacing w:after="0"/>
              <w:rPr>
                <w:sz w:val="20"/>
                <w:szCs w:val="20"/>
                <w:color w:val="auto"/>
              </w:rPr>
            </w:pPr>
            <w:r>
              <w:rPr>
                <w:rFonts w:ascii="Arial" w:cs="Arial" w:eastAsia="Arial" w:hAnsi="Arial"/>
                <w:sz w:val="18"/>
                <w:szCs w:val="18"/>
                <w:color w:val="auto"/>
              </w:rPr>
              <w:t>Slot machine win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63,458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62,381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Slot machine win per unit per day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30"/>
        </w:trPr>
        <w:tc>
          <w:tcPr>
            <w:tcW w:w="5020" w:type="dxa"/>
            <w:vAlign w:val="bottom"/>
          </w:tcPr>
          <w:p>
            <w:pPr>
              <w:ind w:left="540"/>
              <w:spacing w:after="0"/>
              <w:rPr>
                <w:sz w:val="20"/>
                <w:szCs w:val="20"/>
                <w:color w:val="auto"/>
              </w:rPr>
            </w:pPr>
            <w:r>
              <w:rPr>
                <w:rFonts w:ascii="Arial" w:cs="Arial" w:eastAsia="Arial" w:hAnsi="Arial"/>
                <w:sz w:val="18"/>
                <w:szCs w:val="18"/>
                <w:color w:val="auto"/>
              </w:rPr>
              <w:t>Poker rake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5,984</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(5,984)</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Non-casino revenues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sets forth our room revenues and associated key operating measures: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02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vMerge w:val="restart"/>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vMerge w:val="restart"/>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tcPr>
          <w:p>
            <w:pPr>
              <w:jc w:val="center"/>
              <w:ind w:right="340"/>
              <w:spacing w:after="0" w:line="122" w:lineRule="exact"/>
              <w:rPr>
                <w:sz w:val="20"/>
                <w:szCs w:val="20"/>
                <w:color w:val="auto"/>
              </w:rPr>
            </w:pPr>
            <w:r>
              <w:rPr>
                <w:rFonts w:ascii="Arial" w:cs="Arial" w:eastAsia="Arial" w:hAnsi="Arial"/>
                <w:sz w:val="14"/>
                <w:szCs w:val="14"/>
                <w:b w:val="1"/>
                <w:bCs w:val="1"/>
                <w:color w:val="auto"/>
                <w:w w:val="92"/>
              </w:rPr>
              <w:t>Increase/</w:t>
            </w:r>
          </w:p>
        </w:tc>
        <w:tc>
          <w:tcPr>
            <w:tcW w:w="14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8"/>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Macau Operations:</w:t>
            </w: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160"/>
              <w:spacing w:after="0"/>
              <w:rPr>
                <w:sz w:val="20"/>
                <w:szCs w:val="20"/>
                <w:color w:val="auto"/>
              </w:rPr>
            </w:pPr>
            <w:r>
              <w:rPr>
                <w:rFonts w:ascii="Arial" w:cs="Arial" w:eastAsia="Arial" w:hAnsi="Arial"/>
                <w:sz w:val="18"/>
                <w:szCs w:val="18"/>
                <w:color w:val="auto"/>
              </w:rPr>
              <w:t>Wynn Palace</w:t>
            </w:r>
            <w:r>
              <w:rPr>
                <w:rFonts w:ascii="Arial" w:cs="Arial" w:eastAsia="Arial" w:hAnsi="Arial"/>
                <w:sz w:val="14"/>
                <w:szCs w:val="14"/>
                <w:color w:val="auto"/>
              </w:rPr>
              <w:t>:</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room revenues (dollars in thousands)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4,506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44,884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30"/>
        </w:trPr>
        <w:tc>
          <w:tcPr>
            <w:tcW w:w="5020" w:type="dxa"/>
            <w:vAlign w:val="bottom"/>
          </w:tcPr>
          <w:p>
            <w:pPr>
              <w:ind w:left="340"/>
              <w:spacing w:after="0"/>
              <w:rPr>
                <w:sz w:val="20"/>
                <w:szCs w:val="20"/>
                <w:color w:val="auto"/>
              </w:rPr>
            </w:pPr>
            <w:r>
              <w:rPr>
                <w:rFonts w:ascii="Arial" w:cs="Arial" w:eastAsia="Arial" w:hAnsi="Arial"/>
                <w:sz w:val="18"/>
                <w:szCs w:val="18"/>
                <w:color w:val="auto"/>
              </w:rPr>
              <w:t>Occupancy</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97.2 %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5020" w:type="dxa"/>
            <w:vAlign w:val="bottom"/>
          </w:tcPr>
          <w:p>
            <w:pPr>
              <w:ind w:left="340"/>
              <w:spacing w:after="0"/>
              <w:rPr>
                <w:sz w:val="20"/>
                <w:szCs w:val="20"/>
                <w:color w:val="auto"/>
              </w:rPr>
            </w:pPr>
            <w:r>
              <w:rPr>
                <w:rFonts w:ascii="Arial" w:cs="Arial" w:eastAsia="Arial" w:hAnsi="Arial"/>
                <w:sz w:val="18"/>
                <w:szCs w:val="18"/>
                <w:color w:val="auto"/>
              </w:rPr>
              <w:t>REVPAR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Wynn Macau:</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340"/>
              <w:spacing w:after="0"/>
              <w:rPr>
                <w:sz w:val="20"/>
                <w:szCs w:val="20"/>
                <w:color w:val="auto"/>
              </w:rPr>
            </w:pPr>
            <w:r>
              <w:rPr>
                <w:rFonts w:ascii="Arial" w:cs="Arial" w:eastAsia="Arial" w:hAnsi="Arial"/>
                <w:sz w:val="18"/>
                <w:szCs w:val="18"/>
                <w:color w:val="auto"/>
              </w:rPr>
              <w:t>Total room revenues (dollars in thousands)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4,938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26,740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(21,802)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Occupancy</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340"/>
              <w:spacing w:after="0"/>
              <w:rPr>
                <w:sz w:val="20"/>
                <w:szCs w:val="20"/>
                <w:color w:val="auto"/>
              </w:rPr>
            </w:pPr>
            <w:r>
              <w:rPr>
                <w:rFonts w:ascii="Arial" w:cs="Arial" w:eastAsia="Arial" w:hAnsi="Arial"/>
                <w:sz w:val="18"/>
                <w:szCs w:val="18"/>
                <w:color w:val="auto"/>
              </w:rPr>
              <w:t>ADR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REVPAR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room revenues (dollars in thousands)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44,961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116,072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30"/>
        </w:trPr>
        <w:tc>
          <w:tcPr>
            <w:tcW w:w="5020" w:type="dxa"/>
            <w:vAlign w:val="bottom"/>
          </w:tcPr>
          <w:p>
            <w:pPr>
              <w:ind w:left="340"/>
              <w:spacing w:after="0"/>
              <w:rPr>
                <w:sz w:val="20"/>
                <w:szCs w:val="20"/>
                <w:color w:val="auto"/>
              </w:rPr>
            </w:pPr>
            <w:r>
              <w:rPr>
                <w:rFonts w:ascii="Arial" w:cs="Arial" w:eastAsia="Arial" w:hAnsi="Arial"/>
                <w:sz w:val="18"/>
                <w:szCs w:val="18"/>
                <w:color w:val="auto"/>
              </w:rPr>
              <w:t>Occupancy</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39.2 %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87.9 %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9"/>
        </w:trPr>
        <w:tc>
          <w:tcPr>
            <w:tcW w:w="5020" w:type="dxa"/>
            <w:vAlign w:val="bottom"/>
          </w:tcPr>
          <w:p>
            <w:pPr>
              <w:ind w:left="340"/>
              <w:spacing w:after="0"/>
              <w:rPr>
                <w:sz w:val="20"/>
                <w:szCs w:val="20"/>
                <w:color w:val="auto"/>
              </w:rPr>
            </w:pPr>
            <w:r>
              <w:rPr>
                <w:rFonts w:ascii="Arial" w:cs="Arial" w:eastAsia="Arial" w:hAnsi="Arial"/>
                <w:sz w:val="18"/>
                <w:szCs w:val="18"/>
                <w:color w:val="auto"/>
              </w:rPr>
              <w:t>REVPAR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Encore Boston Harbor (1):</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340"/>
              <w:spacing w:after="0"/>
              <w:rPr>
                <w:sz w:val="20"/>
                <w:szCs w:val="20"/>
                <w:color w:val="auto"/>
              </w:rPr>
            </w:pPr>
            <w:r>
              <w:rPr>
                <w:rFonts w:ascii="Arial" w:cs="Arial" w:eastAsia="Arial" w:hAnsi="Arial"/>
                <w:sz w:val="18"/>
                <w:szCs w:val="18"/>
                <w:color w:val="auto"/>
              </w:rPr>
              <w:t>Total room revenues (dollars in thousands)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6,739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18,180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(11,441)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Occupancy</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340"/>
              <w:spacing w:after="0"/>
              <w:rPr>
                <w:sz w:val="20"/>
                <w:szCs w:val="20"/>
                <w:color w:val="auto"/>
              </w:rPr>
            </w:pPr>
            <w:r>
              <w:rPr>
                <w:rFonts w:ascii="Arial" w:cs="Arial" w:eastAsia="Arial" w:hAnsi="Arial"/>
                <w:sz w:val="18"/>
                <w:szCs w:val="18"/>
                <w:color w:val="auto"/>
              </w:rPr>
              <w:t>ADR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REVPAR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60" w:hanging="252"/>
        <w:spacing w:after="0" w:line="273" w:lineRule="auto"/>
        <w:tabs>
          <w:tab w:leader="none" w:pos="237" w:val="left"/>
        </w:tabs>
        <w:numPr>
          <w:ilvl w:val="0"/>
          <w:numId w:val="12"/>
        </w:numPr>
        <w:rPr>
          <w:rFonts w:ascii="Arial" w:cs="Arial" w:eastAsia="Arial" w:hAnsi="Arial"/>
          <w:sz w:val="14"/>
          <w:szCs w:val="14"/>
          <w:color w:val="auto"/>
        </w:rPr>
      </w:pPr>
      <w:r>
        <w:rPr>
          <w:rFonts w:ascii="Arial" w:cs="Arial" w:eastAsia="Arial" w:hAnsi="Arial"/>
          <w:sz w:val="14"/>
          <w:szCs w:val="14"/>
          <w:color w:val="auto"/>
        </w:rPr>
        <w:t>Since reopening on July 10, 2020, hotel reservations at Encore Boston Harbor have been limited to Thursday through Sunday. Accordingly, Encore Boston Harbor's room key operating measures have been computed based on 47 days of operation for the three months ended September 30, 2020.</w:t>
      </w:r>
    </w:p>
    <w:p>
      <w:pPr>
        <w:spacing w:after="0" w:line="20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Room revenues decreased $144.7 million, primarily due to lower occupancy at Wynn Palace, Wynn Macau, and our Las Vegas Operations resulting from the adverse effects of the COVID-19 pandemic. In addition, Encore Boston Harbor closed to the public on March 15, 2020 and reopened July 10, 2020, with hotel reservations limited to Thursday through Sunday during the remainder of the third quarter of 2020.</w:t>
      </w:r>
    </w:p>
    <w:p>
      <w:pPr>
        <w:spacing w:after="0" w:line="19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Food and beverage revenues decreased $151.9 million, primarily due to decreased covers at our restaurants and the reduction of nightlife offerings at our Las Vegas Operations as a result of the adverse effects of the COVID-19 pandemic. In addition, Encore Boston Harbor closed to the public on March 15, 2020 and reopened July 10, 2020, with certain food and beverage outlets remaining closed.</w:t>
      </w:r>
    </w:p>
    <w:p>
      <w:pPr>
        <w:spacing w:after="0" w:line="2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Entertainment, retail and other revenues decreased $74.2 million, primarily due to a decrease in visitation to our Macau Operations, our Las Vegas Operations, and Encore Boston Harbor resulting from the adverse effects of the COVID-19 pandemic. The closure of the La Reve show at our Las Vegas Operations and rent concessions provided to tenants at our Macau Operations also contributed to the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operating expenses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6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right"/>
              <w:ind w:right="233"/>
              <w:spacing w:after="0" w:line="122"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0"/>
                <w:szCs w:val="10"/>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9"/>
              </w:rPr>
              <w:t>Percent Change</w:t>
            </w:r>
          </w:p>
        </w:tc>
        <w:tc>
          <w:tcPr>
            <w:tcW w:w="0" w:type="dxa"/>
            <w:vAlign w:val="bottom"/>
          </w:tcPr>
          <w:p>
            <w:pPr>
              <w:spacing w:after="0"/>
              <w:rPr>
                <w:sz w:val="1"/>
                <w:szCs w:val="1"/>
                <w:color w:val="auto"/>
              </w:rPr>
            </w:pPr>
          </w:p>
        </w:tc>
      </w:tr>
      <w:tr>
        <w:trPr>
          <w:trHeight w:val="188"/>
        </w:trPr>
        <w:tc>
          <w:tcPr>
            <w:tcW w:w="56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7"/>
              </w:rPr>
              <w:t>(Decrease)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340"/>
              <w:spacing w:after="0"/>
              <w:rPr>
                <w:sz w:val="20"/>
                <w:szCs w:val="20"/>
                <w:color w:val="auto"/>
              </w:rPr>
            </w:pPr>
            <w:r>
              <w:rPr>
                <w:rFonts w:ascii="Arial" w:cs="Arial" w:eastAsia="Arial" w:hAnsi="Arial"/>
                <w:sz w:val="18"/>
                <w:szCs w:val="18"/>
                <w:color w:val="auto"/>
              </w:rPr>
              <w:t>Casino</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160,861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722,692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(561,831)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29"/>
        </w:trPr>
        <w:tc>
          <w:tcPr>
            <w:tcW w:w="562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76,536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196,661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(120,125)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 retail and other</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30"/>
        </w:trPr>
        <w:tc>
          <w:tcPr>
            <w:tcW w:w="56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160,896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246,442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(85,546)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credit losses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7,552</w:t>
            </w:r>
          </w:p>
        </w:tc>
        <w:tc>
          <w:tcPr>
            <w:tcW w:w="1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29"/>
        </w:trPr>
        <w:tc>
          <w:tcPr>
            <w:tcW w:w="5620" w:type="dxa"/>
            <w:vAlign w:val="bottom"/>
          </w:tcPr>
          <w:p>
            <w:pPr>
              <w:ind w:left="340"/>
              <w:spacing w:after="0"/>
              <w:rPr>
                <w:sz w:val="20"/>
                <w:szCs w:val="20"/>
                <w:color w:val="auto"/>
              </w:rPr>
            </w:pPr>
            <w:r>
              <w:rPr>
                <w:rFonts w:ascii="Arial" w:cs="Arial" w:eastAsia="Arial" w:hAnsi="Arial"/>
                <w:sz w:val="18"/>
                <w:szCs w:val="18"/>
                <w:color w:val="auto"/>
              </w:rPr>
              <w:t>Pre-opening</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10,488</w:t>
            </w:r>
          </w:p>
        </w:tc>
        <w:tc>
          <w:tcPr>
            <w:tcW w:w="1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Property charges and other</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w:t>
            </w:r>
          </w:p>
        </w:tc>
        <w:tc>
          <w:tcPr>
            <w:tcW w:w="132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653,459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1,469,927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(816,468)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Total operating expenses decreased $816.5 million compared to the third quarter of 2019, primarily due to decreased expenses related to the impact of the COVID-19 pandemic on our resorts.</w:t>
      </w:r>
    </w:p>
    <w:p>
      <w:pPr>
        <w:spacing w:after="0" w:line="103"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Casino expenses decreased $301.0 million, $221.2 million, $17.2 million, and $22.3 million at Wynn Palace, Wynn Macau, our Las Vegas Operations, and Encore Boston Harbor, respectively. These decreases were primarily due to reductions in gaming tax expense commensurate with the declines in casino revenues at each property resulting from the effects of the COVID-19 pandemic.</w:t>
      </w:r>
    </w:p>
    <w:p>
      <w:pPr>
        <w:spacing w:after="0" w:line="10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Room expenses decreased $21.6 million, $7.8 million, $3.4 million, and $6.4 million at our Las Vegas Operations, Wynn Palace, Wynn Macau, and Encore Boston Harbor, respectively. The decreases were primarily a result of lower operating costs related to the declines in occupancy at our Las Vegas Operations and our Macau Operations resulting from the effects of the COVID-19 pandemic, as well as the limitation of hotel reservations to Thursday through Sunday at Encore Boston Harbor since reopening July 10, 2020, through the remainder of the third quarter of 2020.</w:t>
      </w:r>
    </w:p>
    <w:p>
      <w:pPr>
        <w:spacing w:after="0" w:line="10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Food and beverage expenses decreased $71.9 million, $17.4 million, $9.1 million, and $21.8 million at our Las Vegas Operations, Wynn Palace, Wynn Macau, and Encore Boston Harbor, respectively. The decreases were primarily a result of lower operating costs related to the declines in food and beverage revenues at each property resulting from the effects of the COVID-19 pandemic, as well as lower nightlife entertainment costs at our Las Vegas Operations.</w:t>
      </w:r>
    </w:p>
    <w:p>
      <w:pPr>
        <w:spacing w:after="0" w:line="11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Entertainment, retail and other expenses decreased $22.5 million, $2.7 million, $1.7 million, and $1.8 million at our Las Vegas Operations, Wynn Palace, Wynn Macau, and Encore Boston Harbor, respectively. The decreases were primarily a result of lower operating costs related to the declines in entertainment, retail and other revenues at each property resulting from the effects of the COVID-19 pandemic.</w:t>
      </w:r>
    </w:p>
    <w:p>
      <w:pPr>
        <w:spacing w:after="0" w:line="84"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General and administrative expenses decreased primarily due to decreases of $21.1 million, $13.3 million, $11.0 million, $25.8 million, and $14.4 million at Wynn Palace, Wynn Macau, our Las Vegas Operations, Encore Boston Harbor, and corporate and other, respectively. These decreases were primarily attributable to decreased payroll, operating costs, and general and administrative expenses as a result of the COVID-19 pandemic.</w:t>
      </w:r>
    </w:p>
    <w:p>
      <w:pPr>
        <w:spacing w:after="0" w:line="8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Provision for credit losses increased primarily due to an increase of $8.1 million at Wynn Palace. The increase was primarily due to the impact of historical collection patterns and expectations of current and future collection trends in light of the COVID-19 pandemic, as well as the specific review of customer accounts, on our estimated credit loss for the respective periods.</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Depreciation and amortization increased primarily due to an increase of $7.1 million at our Las Vegas Operations associated with the opening of the meeting and convention expansion in February 2020.</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Our property charges and other expenses for the quarter ended September 30, 2020 consisted primarily of asset abandonments of $6.2 million and $1.1 million at Encore Boston Harbor and our Las Vegas Operations,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 of capitalized interest</w:t>
      </w:r>
    </w:p>
    <w:p>
      <w:pPr>
        <w:spacing w:after="0" w:line="3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information related to interest expense (dollars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24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vMerge w:val="restart"/>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vMerge w:val="restart"/>
          </w:tcPr>
          <w:p>
            <w:pPr>
              <w:jc w:val="right"/>
              <w:ind w:right="59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center"/>
              <w:ind w:right="97"/>
              <w:spacing w:after="0" w:line="122" w:lineRule="exact"/>
              <w:rPr>
                <w:sz w:val="20"/>
                <w:szCs w:val="20"/>
                <w:color w:val="auto"/>
              </w:rPr>
            </w:pPr>
            <w:r>
              <w:rPr>
                <w:rFonts w:ascii="Arial" w:cs="Arial" w:eastAsia="Arial" w:hAnsi="Arial"/>
                <w:sz w:val="14"/>
                <w:szCs w:val="14"/>
                <w:b w:val="1"/>
                <w:bCs w:val="1"/>
                <w:color w:val="auto"/>
                <w:w w:val="88"/>
              </w:rPr>
              <w:t>Increase/</w:t>
            </w:r>
          </w:p>
        </w:tc>
        <w:tc>
          <w:tcPr>
            <w:tcW w:w="100" w:type="dxa"/>
            <w:vAlign w:val="bottom"/>
          </w:tcPr>
          <w:p>
            <w:pPr>
              <w:spacing w:after="0"/>
              <w:rPr>
                <w:sz w:val="10"/>
                <w:szCs w:val="10"/>
                <w:color w:val="auto"/>
              </w:rPr>
            </w:pPr>
          </w:p>
        </w:tc>
        <w:tc>
          <w:tcPr>
            <w:tcW w:w="1180" w:type="dxa"/>
            <w:vAlign w:val="bottom"/>
          </w:tcPr>
          <w:p>
            <w:pPr>
              <w:jc w:val="right"/>
              <w:ind w:right="288"/>
              <w:spacing w:after="0" w:line="12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5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2"/>
              </w:rPr>
              <w:t>(Decrease)</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240" w:type="dxa"/>
            <w:vAlign w:val="bottom"/>
          </w:tcPr>
          <w:p>
            <w:pPr>
              <w:ind w:left="340"/>
              <w:spacing w:after="0" w:line="176" w:lineRule="exact"/>
              <w:rPr>
                <w:sz w:val="20"/>
                <w:szCs w:val="20"/>
                <w:color w:val="auto"/>
              </w:rPr>
            </w:pPr>
            <w:r>
              <w:rPr>
                <w:rFonts w:ascii="Arial" w:cs="Arial" w:eastAsia="Arial" w:hAnsi="Arial"/>
                <w:sz w:val="18"/>
                <w:szCs w:val="18"/>
                <w:color w:val="auto"/>
                <w:w w:val="97"/>
              </w:rPr>
              <w:t>Interest cost, including amortization of debt issuance costs and</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ind w:right="135"/>
              <w:spacing w:after="0"/>
              <w:rPr>
                <w:sz w:val="20"/>
                <w:szCs w:val="20"/>
                <w:color w:val="auto"/>
              </w:rPr>
            </w:pPr>
            <w:r>
              <w:rPr>
                <w:rFonts w:ascii="Arial" w:cs="Arial" w:eastAsia="Arial" w:hAnsi="Arial"/>
                <w:sz w:val="18"/>
                <w:szCs w:val="18"/>
                <w:color w:val="auto"/>
              </w:rPr>
              <w:t>145,142</w:t>
            </w:r>
          </w:p>
        </w:tc>
        <w:tc>
          <w:tcPr>
            <w:tcW w:w="100" w:type="dxa"/>
            <w:vAlign w:val="bottom"/>
          </w:tcPr>
          <w:p>
            <w:pPr>
              <w:spacing w:after="0"/>
              <w:rPr>
                <w:sz w:val="15"/>
                <w:szCs w:val="15"/>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ind w:right="133"/>
              <w:spacing w:after="0"/>
              <w:rPr>
                <w:sz w:val="20"/>
                <w:szCs w:val="20"/>
                <w:color w:val="auto"/>
              </w:rPr>
            </w:pPr>
            <w:r>
              <w:rPr>
                <w:rFonts w:ascii="Arial" w:cs="Arial" w:eastAsia="Arial" w:hAnsi="Arial"/>
                <w:sz w:val="18"/>
                <w:szCs w:val="18"/>
                <w:color w:val="auto"/>
              </w:rPr>
              <w:t>117,960</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ind w:left="440"/>
              <w:spacing w:after="0"/>
              <w:rPr>
                <w:sz w:val="20"/>
                <w:szCs w:val="20"/>
                <w:color w:val="auto"/>
              </w:rPr>
            </w:pPr>
            <w:r>
              <w:rPr>
                <w:rFonts w:ascii="Arial" w:cs="Arial" w:eastAsia="Arial" w:hAnsi="Arial"/>
                <w:sz w:val="18"/>
                <w:szCs w:val="18"/>
                <w:color w:val="auto"/>
                <w:w w:val="98"/>
              </w:rPr>
              <w:t>27,182</w:t>
            </w:r>
          </w:p>
        </w:tc>
        <w:tc>
          <w:tcPr>
            <w:tcW w:w="1280" w:type="dxa"/>
            <w:vAlign w:val="bottom"/>
            <w:gridSpan w:val="2"/>
            <w:vMerge w:val="restart"/>
          </w:tcPr>
          <w:p>
            <w:pPr>
              <w:jc w:val="right"/>
              <w:ind w:right="8"/>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9"/>
        </w:trPr>
        <w:tc>
          <w:tcPr>
            <w:tcW w:w="5240" w:type="dxa"/>
            <w:vAlign w:val="bottom"/>
          </w:tcPr>
          <w:p>
            <w:pPr>
              <w:ind w:left="340"/>
              <w:spacing w:after="0"/>
              <w:rPr>
                <w:sz w:val="20"/>
                <w:szCs w:val="20"/>
                <w:color w:val="auto"/>
              </w:rPr>
            </w:pPr>
            <w:r>
              <w:rPr>
                <w:rFonts w:ascii="Arial" w:cs="Arial" w:eastAsia="Arial" w:hAnsi="Arial"/>
                <w:sz w:val="18"/>
                <w:szCs w:val="18"/>
                <w:color w:val="auto"/>
              </w:rPr>
              <w:t>original issue discount and premium</w:t>
            </w:r>
          </w:p>
        </w:tc>
        <w:tc>
          <w:tcPr>
            <w:tcW w:w="34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Capitalized interest</w:t>
            </w: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(3,308)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(3,308)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145,142</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114,652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w w:val="98"/>
              </w:rPr>
              <w:t>30,490</w:t>
            </w:r>
          </w:p>
        </w:tc>
        <w:tc>
          <w:tcPr>
            <w:tcW w:w="1280" w:type="dxa"/>
            <w:vAlign w:val="bottom"/>
            <w:gridSpan w:val="2"/>
          </w:tcPr>
          <w:p>
            <w:pPr>
              <w:jc w:val="right"/>
              <w:ind w:right="8"/>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Weighted average total debt balance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13,110,457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9,261,889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interest rate</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costs increased due to an increase in the weighted average debt balance, partially offset by a decrease in the weighted average interest 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Capitalized interest decreased due to the completion of the meeting and convention expansion in February 2020.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incurred a foreign currency remeasurement gain of $0.4 million and a loss of $8.7 million for the three months ended September 30, 2020 and 2019, respectively. The impact of the exchange rate fluctuation of the Macau pataca, in relation to the U.S. dollar, on the remeasurements of U.S. dollar denominated debt and other obligations from our Macau-related entities drove the variability between periods.</w:t>
      </w:r>
    </w:p>
    <w:p>
      <w:pPr>
        <w:spacing w:after="0" w:line="2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recorded a gain of $4.7 million and a loss of $2.1 million for the three months ended September 30, 2020 and 2019, respectively, from change in derivatives fair value.</w:t>
      </w:r>
    </w:p>
    <w:p>
      <w:pPr>
        <w:spacing w:after="0" w:line="19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recorded a $3.1 million loss on extinguishment of debt for the three months ended September 30, 2020 related to the partial prepayment of the Wynn Macau Term Loan. We recorded a $12.2 million loss on extinguishment of debt for the three months ended September 30, 2019 in connection with refinancing our Wynn Resorts Finance (formerly Wynn America) credit facility and Wynn Resorts term loan.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recorded an income tax expense of $407.4 million and $19.7 million for the three months ended September 30, 2020 and 2019, respectively.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2020 income tax expense primarily related to the increase in the valuation allowances for U.S foreign tax credits, U.S. loss carryforwards and other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The 2019 income tax expense primarily related to the increase in the valuation allowances for U.S foreign tax credits.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attributable to noncontrolling interests</w:t>
      </w:r>
    </w:p>
    <w:p>
      <w:pPr>
        <w:spacing w:after="0" w:line="252"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Net loss attributable to noncontrolling interests was $73.4 million for the three months ended September 30, 2020, compared to net income of $30.4 million for the same period of 2019. These amounts are primarily related to the noncontrolling interests' share of net income (loss) from WML.</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nine months ended September 30, 2020 compared to the nine months ended September 30,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operating revenues (in thousands):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6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vMerge w:val="restart"/>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jc w:val="right"/>
              <w:ind w:right="235"/>
              <w:spacing w:after="0" w:line="122"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0"/>
                <w:szCs w:val="10"/>
                <w:color w:val="auto"/>
              </w:rPr>
            </w:pPr>
          </w:p>
        </w:tc>
        <w:tc>
          <w:tcPr>
            <w:tcW w:w="120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9"/>
              </w:rPr>
              <w:t>Percent Change</w:t>
            </w:r>
          </w:p>
        </w:tc>
        <w:tc>
          <w:tcPr>
            <w:tcW w:w="0" w:type="dxa"/>
            <w:vAlign w:val="bottom"/>
          </w:tcPr>
          <w:p>
            <w:pPr>
              <w:spacing w:after="0"/>
              <w:rPr>
                <w:sz w:val="1"/>
                <w:szCs w:val="1"/>
                <w:color w:val="auto"/>
              </w:rPr>
            </w:pPr>
          </w:p>
        </w:tc>
      </w:tr>
      <w:tr>
        <w:trPr>
          <w:trHeight w:val="188"/>
        </w:trPr>
        <w:tc>
          <w:tcPr>
            <w:tcW w:w="56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20"/>
              <w:spacing w:after="0"/>
              <w:rPr>
                <w:sz w:val="20"/>
                <w:szCs w:val="20"/>
                <w:color w:val="auto"/>
              </w:rPr>
            </w:pPr>
            <w:r>
              <w:rPr>
                <w:rFonts w:ascii="Arial" w:cs="Arial" w:eastAsia="Arial" w:hAnsi="Arial"/>
                <w:sz w:val="18"/>
                <w:szCs w:val="18"/>
                <w:color w:val="auto"/>
              </w:rPr>
              <w:t>Macau Operations: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Wynn Palace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1,953,709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(1,669,777)</w:t>
            </w:r>
          </w:p>
        </w:tc>
        <w:tc>
          <w:tcPr>
            <w:tcW w:w="1300" w:type="dxa"/>
            <w:vAlign w:val="bottom"/>
            <w:gridSpan w:val="2"/>
            <w:shd w:val="clear" w:color="auto" w:fill="CCEEFF"/>
          </w:tcPr>
          <w:p>
            <w:pPr>
              <w:jc w:val="center"/>
              <w:ind w:left="730"/>
              <w:spacing w:after="0"/>
              <w:rPr>
                <w:sz w:val="20"/>
                <w:szCs w:val="20"/>
                <w:color w:val="auto"/>
              </w:rPr>
            </w:pPr>
            <w:r>
              <w:rPr>
                <w:rFonts w:ascii="Arial" w:cs="Arial" w:eastAsia="Arial" w:hAnsi="Arial"/>
                <w:sz w:val="18"/>
                <w:szCs w:val="18"/>
                <w:color w:val="auto"/>
                <w:w w:val="93"/>
              </w:rPr>
              <w:t>(85.5)</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Wynn Macau</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292,745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1,544,646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(1,251,901)</w:t>
            </w:r>
          </w:p>
        </w:tc>
        <w:tc>
          <w:tcPr>
            <w:tcW w:w="1300" w:type="dxa"/>
            <w:vAlign w:val="bottom"/>
            <w:tcBorders>
              <w:bottom w:val="single" w:sz="8" w:color="CCEEFF"/>
            </w:tcBorders>
            <w:gridSpan w:val="2"/>
          </w:tcPr>
          <w:p>
            <w:pPr>
              <w:jc w:val="center"/>
              <w:ind w:left="730"/>
              <w:spacing w:after="0"/>
              <w:rPr>
                <w:sz w:val="20"/>
                <w:szCs w:val="20"/>
                <w:color w:val="auto"/>
              </w:rPr>
            </w:pPr>
            <w:r>
              <w:rPr>
                <w:rFonts w:ascii="Arial" w:cs="Arial" w:eastAsia="Arial" w:hAnsi="Arial"/>
                <w:sz w:val="18"/>
                <w:szCs w:val="18"/>
                <w:color w:val="auto"/>
                <w:w w:val="93"/>
              </w:rPr>
              <w:t>(81.0)</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 Macau Operations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576,677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3,498,355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(2,921,678)</w:t>
            </w:r>
          </w:p>
        </w:tc>
        <w:tc>
          <w:tcPr>
            <w:tcW w:w="1300" w:type="dxa"/>
            <w:vAlign w:val="bottom"/>
            <w:gridSpan w:val="2"/>
            <w:shd w:val="clear" w:color="auto" w:fill="CCEEFF"/>
          </w:tcPr>
          <w:p>
            <w:pPr>
              <w:jc w:val="center"/>
              <w:ind w:left="730"/>
              <w:spacing w:after="0"/>
              <w:rPr>
                <w:sz w:val="20"/>
                <w:szCs w:val="20"/>
                <w:color w:val="auto"/>
              </w:rPr>
            </w:pPr>
            <w:r>
              <w:rPr>
                <w:rFonts w:ascii="Arial" w:cs="Arial" w:eastAsia="Arial" w:hAnsi="Arial"/>
                <w:sz w:val="18"/>
                <w:szCs w:val="18"/>
                <w:color w:val="auto"/>
                <w:w w:val="93"/>
              </w:rPr>
              <w:t>(83.5)</w:t>
            </w:r>
          </w:p>
        </w:tc>
        <w:tc>
          <w:tcPr>
            <w:tcW w:w="0" w:type="dxa"/>
            <w:vAlign w:val="bottom"/>
          </w:tcPr>
          <w:p>
            <w:pPr>
              <w:spacing w:after="0"/>
              <w:rPr>
                <w:sz w:val="1"/>
                <w:szCs w:val="1"/>
                <w:color w:val="auto"/>
              </w:rPr>
            </w:pPr>
          </w:p>
        </w:tc>
      </w:tr>
      <w:tr>
        <w:trPr>
          <w:trHeight w:val="229"/>
        </w:trPr>
        <w:tc>
          <w:tcPr>
            <w:tcW w:w="5620" w:type="dxa"/>
            <w:vAlign w:val="bottom"/>
          </w:tcPr>
          <w:p>
            <w:pPr>
              <w:ind w:left="120"/>
              <w:spacing w:after="0"/>
              <w:rPr>
                <w:sz w:val="20"/>
                <w:szCs w:val="20"/>
                <w:color w:val="auto"/>
              </w:rPr>
            </w:pPr>
            <w:r>
              <w:rPr>
                <w:rFonts w:ascii="Arial" w:cs="Arial" w:eastAsia="Arial" w:hAnsi="Arial"/>
                <w:sz w:val="18"/>
                <w:szCs w:val="18"/>
                <w:color w:val="auto"/>
              </w:rPr>
              <w:t>Las Vegas Operations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575,407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1,264,681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(689,274)</w:t>
            </w:r>
          </w:p>
        </w:tc>
        <w:tc>
          <w:tcPr>
            <w:tcW w:w="1300" w:type="dxa"/>
            <w:vAlign w:val="bottom"/>
            <w:gridSpan w:val="2"/>
          </w:tcPr>
          <w:p>
            <w:pPr>
              <w:jc w:val="center"/>
              <w:ind w:left="730"/>
              <w:spacing w:after="0"/>
              <w:rPr>
                <w:sz w:val="20"/>
                <w:szCs w:val="20"/>
                <w:color w:val="auto"/>
              </w:rPr>
            </w:pPr>
            <w:r>
              <w:rPr>
                <w:rFonts w:ascii="Arial" w:cs="Arial" w:eastAsia="Arial" w:hAnsi="Arial"/>
                <w:sz w:val="18"/>
                <w:szCs w:val="18"/>
                <w:color w:val="auto"/>
                <w:w w:val="93"/>
              </w:rPr>
              <w:t>(54.5)</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Encore Boston Harbor </w:t>
            </w:r>
            <w:r>
              <w:rPr>
                <w:rFonts w:ascii="Arial" w:cs="Arial" w:eastAsia="Arial" w:hAnsi="Arial"/>
                <w:sz w:val="14"/>
                <w:szCs w:val="14"/>
                <w:color w:val="auto"/>
              </w:rPr>
              <w:t>(1)</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257,782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194,604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63,178</w:t>
            </w:r>
          </w:p>
        </w:tc>
        <w:tc>
          <w:tcPr>
            <w:tcW w:w="1300" w:type="dxa"/>
            <w:vAlign w:val="bottom"/>
            <w:gridSpan w:val="2"/>
            <w:shd w:val="clear" w:color="auto" w:fill="CCEEFF"/>
          </w:tcPr>
          <w:p>
            <w:pPr>
              <w:jc w:val="center"/>
              <w:ind w:left="770"/>
              <w:spacing w:after="0"/>
              <w:rPr>
                <w:sz w:val="20"/>
                <w:szCs w:val="20"/>
                <w:color w:val="auto"/>
              </w:rPr>
            </w:pPr>
            <w:r>
              <w:rPr>
                <w:rFonts w:ascii="Arial" w:cs="Arial" w:eastAsia="Arial" w:hAnsi="Arial"/>
                <w:sz w:val="18"/>
                <w:szCs w:val="18"/>
                <w:color w:val="auto"/>
                <w:w w:val="91"/>
              </w:rPr>
              <w:t>32.5</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1,409,866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4,957,640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(3,547,774)</w:t>
            </w:r>
          </w:p>
        </w:tc>
        <w:tc>
          <w:tcPr>
            <w:tcW w:w="1300" w:type="dxa"/>
            <w:vAlign w:val="bottom"/>
            <w:gridSpan w:val="2"/>
          </w:tcPr>
          <w:p>
            <w:pPr>
              <w:jc w:val="center"/>
              <w:ind w:left="730"/>
              <w:spacing w:after="0"/>
              <w:rPr>
                <w:sz w:val="20"/>
                <w:szCs w:val="20"/>
                <w:color w:val="auto"/>
              </w:rPr>
            </w:pPr>
            <w:r>
              <w:rPr>
                <w:rFonts w:ascii="Arial" w:cs="Arial" w:eastAsia="Arial" w:hAnsi="Arial"/>
                <w:sz w:val="18"/>
                <w:szCs w:val="18"/>
                <w:color w:val="auto"/>
                <w:w w:val="93"/>
              </w:rPr>
              <w:t>(71.6)</w:t>
            </w: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(1) Encore Boston commenced operations on June 23, 2019.</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casino and non-casino operating revenues (in thousands):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6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vMerge w:val="restart"/>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jc w:val="right"/>
              <w:ind w:right="235"/>
              <w:spacing w:after="0" w:line="122"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0"/>
                <w:szCs w:val="10"/>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8"/>
        </w:trPr>
        <w:tc>
          <w:tcPr>
            <w:tcW w:w="56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320"/>
              <w:spacing w:after="0"/>
              <w:rPr>
                <w:sz w:val="20"/>
                <w:szCs w:val="20"/>
                <w:color w:val="auto"/>
              </w:rPr>
            </w:pPr>
            <w:r>
              <w:rPr>
                <w:rFonts w:ascii="Arial" w:cs="Arial" w:eastAsia="Arial" w:hAnsi="Arial"/>
                <w:sz w:val="18"/>
                <w:szCs w:val="18"/>
                <w:b w:val="1"/>
                <w:bCs w:val="1"/>
                <w:color w:val="auto"/>
              </w:rPr>
              <w:t>Casino revenues</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782,074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3,435,968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(2,653,894)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Non-casino revenues: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60"/>
              <w:spacing w:after="0"/>
              <w:rPr>
                <w:sz w:val="20"/>
                <w:szCs w:val="20"/>
                <w:color w:val="auto"/>
              </w:rPr>
            </w:pPr>
            <w:r>
              <w:rPr>
                <w:rFonts w:ascii="Arial" w:cs="Arial" w:eastAsia="Arial" w:hAnsi="Arial"/>
                <w:sz w:val="18"/>
                <w:szCs w:val="18"/>
                <w:color w:val="auto"/>
              </w:rPr>
              <w:t>Rooms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231,240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595,953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(364,713)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Food and beverage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(369,742)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Entertainment, retail and other</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146,545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305,970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(159,425)</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Total non-casino revenues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627,792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1,521,672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(893,880)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1,409,866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4,957,640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(3,547,774)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Casino revenues for the nine months ended September 30, 2020 were 55.5% of operating revenues, compared to 69.3% for the same period of 2019.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Non-casino revenues for the nine months ended September 30, 2020 were 44.5% of operating revenues, compared to 30.7% for the same period of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revenues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Casino revenues decreased primarily due to the adverse effects of the COVID-19 pandemic, including the closure of our casino operations in Macau for a 15-day period in February and their subsequent reopening on a reduced basis, and the closures of our Las Vegas Operations from March 17, 2020 until June 4, 2020, and Encore Boston Harbor from March 15, 2020 until July 10, 2020. The table below sets forth our casino revenues and associated key operating measures (dollars in thousands, except for win per unit per day):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98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vMerge w:val="restart"/>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Increase/(Decrease)</w:t>
            </w:r>
          </w:p>
        </w:tc>
        <w:tc>
          <w:tcPr>
            <w:tcW w:w="1400" w:type="dxa"/>
            <w:vAlign w:val="bottom"/>
          </w:tcPr>
          <w:p>
            <w:pPr>
              <w:jc w:val="right"/>
              <w:ind w:right="371"/>
              <w:spacing w:after="0" w:line="12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00" w:type="dxa"/>
            <w:vAlign w:val="bottom"/>
          </w:tcPr>
          <w:p>
            <w:pPr>
              <w:jc w:val="right"/>
              <w:ind w:right="37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Macau Operations:</w:t>
            </w: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20"/>
              <w:spacing w:after="0"/>
              <w:rPr>
                <w:sz w:val="20"/>
                <w:szCs w:val="20"/>
                <w:color w:val="auto"/>
              </w:rPr>
            </w:pPr>
            <w:r>
              <w:rPr>
                <w:rFonts w:ascii="Arial" w:cs="Arial" w:eastAsia="Arial" w:hAnsi="Arial"/>
                <w:sz w:val="18"/>
                <w:szCs w:val="18"/>
                <w:color w:val="auto"/>
              </w:rPr>
              <w:t>Wynn Palace:</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casino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208,449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1,649,377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(1,440,928)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30"/>
        </w:trPr>
        <w:tc>
          <w:tcPr>
            <w:tcW w:w="4980" w:type="dxa"/>
            <w:vAlign w:val="bottom"/>
          </w:tcPr>
          <w:p>
            <w:pPr>
              <w:ind w:left="340"/>
              <w:spacing w:after="0"/>
              <w:rPr>
                <w:sz w:val="20"/>
                <w:szCs w:val="20"/>
                <w:color w:val="auto"/>
              </w:rPr>
            </w:pPr>
            <w:r>
              <w:rPr>
                <w:rFonts w:ascii="Arial" w:cs="Arial" w:eastAsia="Arial" w:hAnsi="Arial"/>
                <w:sz w:val="18"/>
                <w:szCs w:val="18"/>
                <w:color w:val="auto"/>
              </w:rPr>
              <w:t>VIP:</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4980" w:type="dxa"/>
            <w:vAlign w:val="bottom"/>
          </w:tcPr>
          <w:p>
            <w:pPr>
              <w:ind w:left="540"/>
              <w:spacing w:after="0"/>
              <w:rPr>
                <w:sz w:val="20"/>
                <w:szCs w:val="20"/>
                <w:color w:val="auto"/>
              </w:rPr>
            </w:pPr>
            <w:r>
              <w:rPr>
                <w:rFonts w:ascii="Arial" w:cs="Arial" w:eastAsia="Arial" w:hAnsi="Arial"/>
                <w:sz w:val="18"/>
                <w:szCs w:val="18"/>
                <w:color w:val="auto"/>
              </w:rPr>
              <w:t>VIP turnover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6,823,955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36,533,594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(29,709,639)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VIP table games win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113,007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1,232,870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(1,119,863)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29"/>
        </w:trPr>
        <w:tc>
          <w:tcPr>
            <w:tcW w:w="4980" w:type="dxa"/>
            <w:vAlign w:val="bottom"/>
          </w:tcPr>
          <w:p>
            <w:pPr>
              <w:ind w:left="540"/>
              <w:spacing w:after="0"/>
              <w:rPr>
                <w:sz w:val="20"/>
                <w:szCs w:val="20"/>
                <w:color w:val="auto"/>
              </w:rPr>
            </w:pPr>
            <w:r>
              <w:rPr>
                <w:rFonts w:ascii="Arial" w:cs="Arial" w:eastAsia="Arial" w:hAnsi="Arial"/>
                <w:sz w:val="18"/>
                <w:szCs w:val="18"/>
                <w:color w:val="auto"/>
              </w:rPr>
              <w:t>VIP win as a % of turnover</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3.37 %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4,458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40,868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29"/>
        </w:trPr>
        <w:tc>
          <w:tcPr>
            <w:tcW w:w="4980" w:type="dxa"/>
            <w:vAlign w:val="bottom"/>
          </w:tcPr>
          <w:p>
            <w:pPr>
              <w:ind w:left="340"/>
              <w:spacing w:after="0"/>
              <w:rPr>
                <w:sz w:val="20"/>
                <w:szCs w:val="20"/>
                <w:color w:val="auto"/>
              </w:rPr>
            </w:pPr>
            <w:r>
              <w:rPr>
                <w:rFonts w:ascii="Arial" w:cs="Arial" w:eastAsia="Arial" w:hAnsi="Arial"/>
                <w:sz w:val="18"/>
                <w:szCs w:val="18"/>
                <w:color w:val="auto"/>
              </w:rPr>
              <w:t>Mass market:</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4980" w:type="dxa"/>
            <w:vAlign w:val="bottom"/>
          </w:tcPr>
          <w:p>
            <w:pPr>
              <w:ind w:left="540"/>
              <w:spacing w:after="0"/>
              <w:rPr>
                <w:sz w:val="20"/>
                <w:szCs w:val="20"/>
                <w:color w:val="auto"/>
              </w:rPr>
            </w:pPr>
            <w:r>
              <w:rPr>
                <w:rFonts w:ascii="Arial" w:cs="Arial" w:eastAsia="Arial" w:hAnsi="Arial"/>
                <w:sz w:val="18"/>
                <w:szCs w:val="18"/>
                <w:color w:val="auto"/>
              </w:rPr>
              <w:t>Table drop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583,599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3,869,904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(3,286,305)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Table games win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156,897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936,497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(779,600)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30"/>
        </w:trPr>
        <w:tc>
          <w:tcPr>
            <w:tcW w:w="4980" w:type="dxa"/>
            <w:vAlign w:val="bottom"/>
          </w:tcPr>
          <w:p>
            <w:pPr>
              <w:ind w:left="540"/>
              <w:spacing w:after="0"/>
              <w:rPr>
                <w:sz w:val="20"/>
                <w:szCs w:val="20"/>
                <w:color w:val="auto"/>
              </w:rPr>
            </w:pPr>
            <w:r>
              <w:rPr>
                <w:rFonts w:ascii="Arial" w:cs="Arial" w:eastAsia="Arial" w:hAnsi="Arial"/>
                <w:sz w:val="18"/>
                <w:szCs w:val="18"/>
                <w:color w:val="auto"/>
              </w:rPr>
              <w:t>Table games win %</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26.9 %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24.2 %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16,071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30"/>
        </w:trPr>
        <w:tc>
          <w:tcPr>
            <w:tcW w:w="4980" w:type="dxa"/>
            <w:vAlign w:val="bottom"/>
          </w:tcPr>
          <w:p>
            <w:pPr>
              <w:ind w:left="54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Slot machine handle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542,708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2,886,566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(2,343,858)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30"/>
        </w:trPr>
        <w:tc>
          <w:tcPr>
            <w:tcW w:w="4980" w:type="dxa"/>
            <w:vAlign w:val="bottom"/>
          </w:tcPr>
          <w:p>
            <w:pPr>
              <w:ind w:left="54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24,796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142,257</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(117,461)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30"/>
        </w:trPr>
        <w:tc>
          <w:tcPr>
            <w:tcW w:w="4980" w:type="dxa"/>
            <w:vAlign w:val="bottom"/>
          </w:tcPr>
          <w:p>
            <w:pPr>
              <w:ind w:left="120"/>
              <w:spacing w:after="0"/>
              <w:rPr>
                <w:sz w:val="20"/>
                <w:szCs w:val="20"/>
                <w:color w:val="auto"/>
              </w:rPr>
            </w:pPr>
            <w:r>
              <w:rPr>
                <w:rFonts w:ascii="Arial" w:cs="Arial" w:eastAsia="Arial" w:hAnsi="Arial"/>
                <w:sz w:val="18"/>
                <w:szCs w:val="18"/>
                <w:color w:val="auto"/>
              </w:rPr>
              <w:t>Wynn Macau:</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casino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213,758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1,340,266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(1,126,508)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30"/>
        </w:trPr>
        <w:tc>
          <w:tcPr>
            <w:tcW w:w="4980" w:type="dxa"/>
            <w:vAlign w:val="bottom"/>
          </w:tcPr>
          <w:p>
            <w:pPr>
              <w:ind w:left="340"/>
              <w:spacing w:after="0"/>
              <w:rPr>
                <w:sz w:val="20"/>
                <w:szCs w:val="20"/>
                <w:color w:val="auto"/>
              </w:rPr>
            </w:pPr>
            <w:r>
              <w:rPr>
                <w:rFonts w:ascii="Arial" w:cs="Arial" w:eastAsia="Arial" w:hAnsi="Arial"/>
                <w:sz w:val="18"/>
                <w:szCs w:val="18"/>
                <w:color w:val="auto"/>
              </w:rPr>
              <w:t>VIP:</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0"/>
        </w:trPr>
        <w:tc>
          <w:tcPr>
            <w:tcW w:w="4980" w:type="dxa"/>
            <w:vAlign w:val="bottom"/>
          </w:tcPr>
          <w:p>
            <w:pPr>
              <w:ind w:left="540"/>
              <w:spacing w:after="0"/>
              <w:rPr>
                <w:sz w:val="20"/>
                <w:szCs w:val="20"/>
                <w:color w:val="auto"/>
              </w:rPr>
            </w:pPr>
            <w:r>
              <w:rPr>
                <w:rFonts w:ascii="Arial" w:cs="Arial" w:eastAsia="Arial" w:hAnsi="Arial"/>
                <w:sz w:val="18"/>
                <w:szCs w:val="18"/>
                <w:color w:val="auto"/>
              </w:rPr>
              <w:t>VIP turnover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4,069,809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27,494,650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(23,424,841)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VIP table games win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130,143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822,204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(692,061)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30"/>
        </w:trPr>
        <w:tc>
          <w:tcPr>
            <w:tcW w:w="4980" w:type="dxa"/>
            <w:vAlign w:val="bottom"/>
          </w:tcPr>
          <w:p>
            <w:pPr>
              <w:ind w:left="540"/>
              <w:spacing w:after="0"/>
              <w:rPr>
                <w:sz w:val="20"/>
                <w:szCs w:val="20"/>
                <w:color w:val="auto"/>
              </w:rPr>
            </w:pPr>
            <w:r>
              <w:rPr>
                <w:rFonts w:ascii="Arial" w:cs="Arial" w:eastAsia="Arial" w:hAnsi="Arial"/>
                <w:sz w:val="18"/>
                <w:szCs w:val="18"/>
                <w:color w:val="auto"/>
              </w:rPr>
              <w:t>VIP win as a % of turnover</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2.99 %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5,692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27,634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30"/>
        </w:trPr>
        <w:tc>
          <w:tcPr>
            <w:tcW w:w="4980" w:type="dxa"/>
            <w:vAlign w:val="bottom"/>
          </w:tcPr>
          <w:p>
            <w:pPr>
              <w:ind w:left="340"/>
              <w:spacing w:after="0"/>
              <w:rPr>
                <w:sz w:val="20"/>
                <w:szCs w:val="20"/>
                <w:color w:val="auto"/>
              </w:rPr>
            </w:pPr>
            <w:r>
              <w:rPr>
                <w:rFonts w:ascii="Arial" w:cs="Arial" w:eastAsia="Arial" w:hAnsi="Arial"/>
                <w:sz w:val="18"/>
                <w:szCs w:val="18"/>
                <w:color w:val="auto"/>
              </w:rPr>
              <w:t>Mass market:</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4980" w:type="dxa"/>
            <w:vAlign w:val="bottom"/>
          </w:tcPr>
          <w:p>
            <w:pPr>
              <w:ind w:left="540"/>
              <w:spacing w:after="0"/>
              <w:rPr>
                <w:sz w:val="20"/>
                <w:szCs w:val="20"/>
                <w:color w:val="auto"/>
              </w:rPr>
            </w:pPr>
            <w:r>
              <w:rPr>
                <w:rFonts w:ascii="Arial" w:cs="Arial" w:eastAsia="Arial" w:hAnsi="Arial"/>
                <w:sz w:val="18"/>
                <w:szCs w:val="18"/>
                <w:color w:val="auto"/>
              </w:rPr>
              <w:t>Table drop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752,058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4,018,533</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(3,266,475)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Table games win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146,231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816,180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(669,949)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30"/>
        </w:trPr>
        <w:tc>
          <w:tcPr>
            <w:tcW w:w="4980" w:type="dxa"/>
            <w:vAlign w:val="bottom"/>
          </w:tcPr>
          <w:p>
            <w:pPr>
              <w:ind w:left="540"/>
              <w:spacing w:after="0"/>
              <w:rPr>
                <w:sz w:val="20"/>
                <w:szCs w:val="20"/>
                <w:color w:val="auto"/>
              </w:rPr>
            </w:pPr>
            <w:r>
              <w:rPr>
                <w:rFonts w:ascii="Arial" w:cs="Arial" w:eastAsia="Arial" w:hAnsi="Arial"/>
                <w:sz w:val="18"/>
                <w:szCs w:val="18"/>
                <w:color w:val="auto"/>
              </w:rPr>
              <w:t>Table games win %</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19.4 %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20.3 %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14,551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30"/>
        </w:trPr>
        <w:tc>
          <w:tcPr>
            <w:tcW w:w="4980" w:type="dxa"/>
            <w:vAlign w:val="bottom"/>
          </w:tcPr>
          <w:p>
            <w:pPr>
              <w:ind w:left="54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Slot machine handle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516,537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2,720,137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(2,203,600)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30"/>
        </w:trPr>
        <w:tc>
          <w:tcPr>
            <w:tcW w:w="4980" w:type="dxa"/>
            <w:vAlign w:val="bottom"/>
          </w:tcPr>
          <w:p>
            <w:pPr>
              <w:ind w:left="54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18,993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127,690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(108,697)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4980" w:type="dxa"/>
            <w:vAlign w:val="bottom"/>
          </w:tcPr>
          <w:p>
            <w:pPr>
              <w:ind w:left="540"/>
              <w:spacing w:after="0"/>
              <w:rPr>
                <w:sz w:val="20"/>
                <w:szCs w:val="20"/>
                <w:color w:val="auto"/>
              </w:rPr>
            </w:pPr>
            <w:r>
              <w:rPr>
                <w:rFonts w:ascii="Arial" w:cs="Arial" w:eastAsia="Arial" w:hAnsi="Arial"/>
                <w:sz w:val="18"/>
                <w:szCs w:val="18"/>
                <w:color w:val="auto"/>
              </w:rPr>
              <w:t>Poker rake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15,130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(13,047)</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182"/>
        </w:trPr>
        <w:tc>
          <w:tcPr>
            <w:tcW w:w="4980" w:type="dxa"/>
            <w:vAlign w:val="bottom"/>
          </w:tcPr>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6"/>
        </w:trPr>
        <w:tc>
          <w:tcPr>
            <w:tcW w:w="49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jc w:val="right"/>
              <w:ind w:right="431"/>
              <w:spacing w:after="0"/>
              <w:rPr>
                <w:sz w:val="20"/>
                <w:szCs w:val="20"/>
                <w:color w:val="auto"/>
              </w:rPr>
            </w:pPr>
            <w:r>
              <w:rPr>
                <w:rFonts w:ascii="Arial" w:cs="Arial" w:eastAsia="Arial" w:hAnsi="Arial"/>
                <w:sz w:val="14"/>
                <w:szCs w:val="14"/>
                <w:b w:val="1"/>
                <w:bCs w:val="1"/>
                <w:color w:val="auto"/>
              </w:rPr>
              <w:t>Nine Months Ended September 30,</w:t>
            </w: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8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0"/>
                <w:szCs w:val="10"/>
                <w:color w:val="auto"/>
              </w:rPr>
            </w:pPr>
          </w:p>
        </w:tc>
        <w:tc>
          <w:tcPr>
            <w:tcW w:w="118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0"/>
                <w:szCs w:val="10"/>
                <w:color w:val="auto"/>
              </w:rPr>
            </w:pPr>
          </w:p>
        </w:tc>
        <w:tc>
          <w:tcPr>
            <w:tcW w:w="158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w w:val="89"/>
              </w:rPr>
              <w:t>Increase/(Decrease)</w:t>
            </w:r>
          </w:p>
        </w:tc>
        <w:tc>
          <w:tcPr>
            <w:tcW w:w="1200" w:type="dxa"/>
            <w:vAlign w:val="bottom"/>
          </w:tcPr>
          <w:p>
            <w:pPr>
              <w:jc w:val="right"/>
              <w:ind w:right="352"/>
              <w:spacing w:after="0" w:line="12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4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1200" w:type="dxa"/>
            <w:vAlign w:val="bottom"/>
          </w:tcPr>
          <w:p>
            <w:pPr>
              <w:jc w:val="right"/>
              <w:ind w:right="35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1"/>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340"/>
              <w:spacing w:after="0"/>
              <w:rPr>
                <w:sz w:val="20"/>
                <w:szCs w:val="20"/>
                <w:color w:val="auto"/>
              </w:rPr>
            </w:pPr>
            <w:r>
              <w:rPr>
                <w:rFonts w:ascii="Arial" w:cs="Arial" w:eastAsia="Arial" w:hAnsi="Arial"/>
                <w:sz w:val="18"/>
                <w:szCs w:val="18"/>
                <w:color w:val="auto"/>
              </w:rPr>
              <w:t>Total casino 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161,354</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318,439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11"/>
              <w:spacing w:after="0"/>
              <w:rPr>
                <w:sz w:val="20"/>
                <w:szCs w:val="20"/>
                <w:color w:val="auto"/>
              </w:rPr>
            </w:pPr>
            <w:r>
              <w:rPr>
                <w:rFonts w:ascii="Arial" w:cs="Arial" w:eastAsia="Arial" w:hAnsi="Arial"/>
                <w:sz w:val="18"/>
                <w:szCs w:val="18"/>
                <w:color w:val="auto"/>
              </w:rPr>
              <w:t>(157,085)</w:t>
            </w:r>
          </w:p>
        </w:tc>
        <w:tc>
          <w:tcPr>
            <w:tcW w:w="1200" w:type="dxa"/>
            <w:vAlign w:val="bottom"/>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228</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238</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4980" w:type="dxa"/>
            <w:vAlign w:val="bottom"/>
          </w:tcPr>
          <w:p>
            <w:pPr>
              <w:ind w:left="540"/>
              <w:spacing w:after="0"/>
              <w:rPr>
                <w:sz w:val="20"/>
                <w:szCs w:val="20"/>
                <w:color w:val="auto"/>
              </w:rPr>
            </w:pPr>
            <w:r>
              <w:rPr>
                <w:rFonts w:ascii="Arial" w:cs="Arial" w:eastAsia="Arial" w:hAnsi="Arial"/>
                <w:sz w:val="18"/>
                <w:szCs w:val="18"/>
                <w:color w:val="auto"/>
              </w:rPr>
              <w:t>Table drop</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830,745</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1,275,676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11"/>
              <w:spacing w:after="0"/>
              <w:rPr>
                <w:sz w:val="20"/>
                <w:szCs w:val="20"/>
                <w:color w:val="auto"/>
              </w:rPr>
            </w:pPr>
            <w:r>
              <w:rPr>
                <w:rFonts w:ascii="Arial" w:cs="Arial" w:eastAsia="Arial" w:hAnsi="Arial"/>
                <w:sz w:val="18"/>
                <w:szCs w:val="18"/>
                <w:color w:val="auto"/>
              </w:rPr>
              <w:t>(444,931)</w:t>
            </w:r>
          </w:p>
        </w:tc>
        <w:tc>
          <w:tcPr>
            <w:tcW w:w="120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Table games win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166,196</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323,503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(157,307)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29"/>
        </w:trPr>
        <w:tc>
          <w:tcPr>
            <w:tcW w:w="4980" w:type="dxa"/>
            <w:vAlign w:val="bottom"/>
          </w:tcPr>
          <w:p>
            <w:pPr>
              <w:ind w:left="540"/>
              <w:spacing w:after="0"/>
              <w:rPr>
                <w:sz w:val="20"/>
                <w:szCs w:val="20"/>
                <w:color w:val="auto"/>
              </w:rPr>
            </w:pPr>
            <w:r>
              <w:rPr>
                <w:rFonts w:ascii="Arial" w:cs="Arial" w:eastAsia="Arial" w:hAnsi="Arial"/>
                <w:sz w:val="18"/>
                <w:szCs w:val="18"/>
                <w:color w:val="auto"/>
              </w:rPr>
              <w:t>Table games win %</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20.0 %</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25.4 %</w:t>
            </w:r>
          </w:p>
        </w:tc>
        <w:tc>
          <w:tcPr>
            <w:tcW w:w="220" w:type="dxa"/>
            <w:vAlign w:val="bottom"/>
          </w:tcPr>
          <w:p>
            <w:pPr>
              <w:spacing w:after="0"/>
              <w:rPr>
                <w:sz w:val="19"/>
                <w:szCs w:val="19"/>
                <w:color w:val="auto"/>
              </w:rPr>
            </w:pPr>
          </w:p>
        </w:tc>
        <w:tc>
          <w:tcPr>
            <w:tcW w:w="1580" w:type="dxa"/>
            <w:vAlign w:val="bottom"/>
          </w:tcPr>
          <w:p>
            <w:pPr>
              <w:jc w:val="right"/>
              <w:ind w:right="211"/>
              <w:spacing w:after="0"/>
              <w:rPr>
                <w:sz w:val="20"/>
                <w:szCs w:val="20"/>
                <w:color w:val="auto"/>
              </w:rPr>
            </w:pPr>
            <w:r>
              <w:rPr>
                <w:rFonts w:ascii="Arial" w:cs="Arial" w:eastAsia="Arial" w:hAnsi="Arial"/>
                <w:sz w:val="18"/>
                <w:szCs w:val="18"/>
                <w:color w:val="auto"/>
              </w:rPr>
              <w:t>(5.4)</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3,711</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4,982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(1,271)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9"/>
        </w:trPr>
        <w:tc>
          <w:tcPr>
            <w:tcW w:w="4980" w:type="dxa"/>
            <w:vAlign w:val="bottom"/>
          </w:tcPr>
          <w:p>
            <w:pPr>
              <w:ind w:left="540"/>
              <w:spacing w:after="0"/>
              <w:rPr>
                <w:sz w:val="20"/>
                <w:szCs w:val="20"/>
                <w:color w:val="auto"/>
              </w:rPr>
            </w:pPr>
            <w:r>
              <w:rPr>
                <w:rFonts w:ascii="Arial" w:cs="Arial" w:eastAsia="Arial" w:hAnsi="Arial"/>
                <w:sz w:val="18"/>
                <w:szCs w:val="18"/>
                <w:color w:val="auto"/>
              </w:rPr>
              <w:t>Average number of slot machines</w:t>
            </w:r>
          </w:p>
        </w:tc>
        <w:tc>
          <w:tcPr>
            <w:tcW w:w="320" w:type="dxa"/>
            <w:vAlign w:val="bottom"/>
          </w:tcPr>
          <w:p>
            <w:pPr>
              <w:spacing w:after="0"/>
              <w:rPr>
                <w:sz w:val="19"/>
                <w:szCs w:val="19"/>
                <w:color w:val="auto"/>
              </w:rPr>
            </w:pP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1,751</w:t>
            </w:r>
          </w:p>
        </w:tc>
        <w:tc>
          <w:tcPr>
            <w:tcW w:w="42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1,793</w:t>
            </w:r>
          </w:p>
        </w:tc>
        <w:tc>
          <w:tcPr>
            <w:tcW w:w="220" w:type="dxa"/>
            <w:vAlign w:val="bottom"/>
          </w:tcPr>
          <w:p>
            <w:pPr>
              <w:spacing w:after="0"/>
              <w:rPr>
                <w:sz w:val="19"/>
                <w:szCs w:val="19"/>
                <w:color w:val="auto"/>
              </w:rPr>
            </w:pPr>
          </w:p>
        </w:tc>
        <w:tc>
          <w:tcPr>
            <w:tcW w:w="1580" w:type="dxa"/>
            <w:vAlign w:val="bottom"/>
          </w:tcPr>
          <w:p>
            <w:pPr>
              <w:jc w:val="right"/>
              <w:ind w:right="211"/>
              <w:spacing w:after="0"/>
              <w:rPr>
                <w:sz w:val="20"/>
                <w:szCs w:val="20"/>
                <w:color w:val="auto"/>
              </w:rPr>
            </w:pPr>
            <w:r>
              <w:rPr>
                <w:rFonts w:ascii="Arial" w:cs="Arial" w:eastAsia="Arial" w:hAnsi="Arial"/>
                <w:sz w:val="18"/>
                <w:szCs w:val="18"/>
                <w:color w:val="auto"/>
              </w:rPr>
              <w:t>(42)</w:t>
            </w: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Slot machine handle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1,650,517</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2,484,880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(834,363)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29"/>
        </w:trPr>
        <w:tc>
          <w:tcPr>
            <w:tcW w:w="4980" w:type="dxa"/>
            <w:vAlign w:val="bottom"/>
          </w:tcPr>
          <w:p>
            <w:pPr>
              <w:ind w:left="540"/>
              <w:spacing w:after="0"/>
              <w:rPr>
                <w:sz w:val="20"/>
                <w:szCs w:val="20"/>
                <w:color w:val="auto"/>
              </w:rPr>
            </w:pPr>
            <w:r>
              <w:rPr>
                <w:rFonts w:ascii="Arial" w:cs="Arial" w:eastAsia="Arial" w:hAnsi="Arial"/>
                <w:sz w:val="18"/>
                <w:szCs w:val="18"/>
                <w:color w:val="auto"/>
              </w:rPr>
              <w:t>Slot machine win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112,464</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167,848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11"/>
              <w:spacing w:after="0"/>
              <w:rPr>
                <w:sz w:val="20"/>
                <w:szCs w:val="20"/>
                <w:color w:val="auto"/>
              </w:rPr>
            </w:pPr>
            <w:r>
              <w:rPr>
                <w:rFonts w:ascii="Arial" w:cs="Arial" w:eastAsia="Arial" w:hAnsi="Arial"/>
                <w:sz w:val="18"/>
                <w:szCs w:val="18"/>
                <w:color w:val="auto"/>
              </w:rPr>
              <w:t>(55,384)</w:t>
            </w:r>
          </w:p>
        </w:tc>
        <w:tc>
          <w:tcPr>
            <w:tcW w:w="120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Slot machine win per unit per day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328</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4980" w:type="dxa"/>
            <w:vAlign w:val="bottom"/>
          </w:tcPr>
          <w:p>
            <w:pPr>
              <w:ind w:left="540"/>
              <w:spacing w:after="0"/>
              <w:rPr>
                <w:sz w:val="20"/>
                <w:szCs w:val="20"/>
                <w:color w:val="auto"/>
              </w:rPr>
            </w:pPr>
            <w:r>
              <w:rPr>
                <w:rFonts w:ascii="Arial" w:cs="Arial" w:eastAsia="Arial" w:hAnsi="Arial"/>
                <w:sz w:val="18"/>
                <w:szCs w:val="18"/>
                <w:color w:val="auto"/>
              </w:rPr>
              <w:t>Poker rake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2,185</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9,557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11"/>
              <w:spacing w:after="0"/>
              <w:rPr>
                <w:sz w:val="20"/>
                <w:szCs w:val="20"/>
                <w:color w:val="auto"/>
              </w:rPr>
            </w:pPr>
            <w:r>
              <w:rPr>
                <w:rFonts w:ascii="Arial" w:cs="Arial" w:eastAsia="Arial" w:hAnsi="Arial"/>
                <w:sz w:val="18"/>
                <w:szCs w:val="18"/>
                <w:color w:val="auto"/>
              </w:rPr>
              <w:t>(7,372)</w:t>
            </w:r>
          </w:p>
        </w:tc>
        <w:tc>
          <w:tcPr>
            <w:tcW w:w="1200" w:type="dxa"/>
            <w:vAlign w:val="bottom"/>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Encore Boston Harbor </w:t>
            </w:r>
            <w:r>
              <w:rPr>
                <w:rFonts w:ascii="Arial" w:cs="Arial" w:eastAsia="Arial" w:hAnsi="Arial"/>
                <w:sz w:val="14"/>
                <w:szCs w:val="14"/>
                <w:b w:val="1"/>
                <w:bCs w:val="1"/>
                <w:color w:val="auto"/>
              </w:rPr>
              <w:t>(1)</w:t>
            </w: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340"/>
              <w:spacing w:after="0"/>
              <w:rPr>
                <w:sz w:val="20"/>
                <w:szCs w:val="20"/>
                <w:color w:val="auto"/>
              </w:rPr>
            </w:pPr>
            <w:r>
              <w:rPr>
                <w:rFonts w:ascii="Arial" w:cs="Arial" w:eastAsia="Arial" w:hAnsi="Arial"/>
                <w:sz w:val="18"/>
                <w:szCs w:val="18"/>
                <w:color w:val="auto"/>
              </w:rPr>
              <w:t>Total casino 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198,513</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127,886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51"/>
              <w:spacing w:after="0"/>
              <w:rPr>
                <w:sz w:val="20"/>
                <w:szCs w:val="20"/>
                <w:color w:val="auto"/>
              </w:rPr>
            </w:pPr>
            <w:r>
              <w:rPr>
                <w:rFonts w:ascii="Arial" w:cs="Arial" w:eastAsia="Arial" w:hAnsi="Arial"/>
                <w:sz w:val="18"/>
                <w:szCs w:val="18"/>
                <w:color w:val="auto"/>
              </w:rPr>
              <w:t>70,627</w:t>
            </w:r>
          </w:p>
        </w:tc>
        <w:tc>
          <w:tcPr>
            <w:tcW w:w="1200" w:type="dxa"/>
            <w:vAlign w:val="bottom"/>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174</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9"/>
        </w:trPr>
        <w:tc>
          <w:tcPr>
            <w:tcW w:w="4980" w:type="dxa"/>
            <w:vAlign w:val="bottom"/>
          </w:tcPr>
          <w:p>
            <w:pPr>
              <w:ind w:left="540"/>
              <w:spacing w:after="0"/>
              <w:rPr>
                <w:sz w:val="20"/>
                <w:szCs w:val="20"/>
                <w:color w:val="auto"/>
              </w:rPr>
            </w:pPr>
            <w:r>
              <w:rPr>
                <w:rFonts w:ascii="Arial" w:cs="Arial" w:eastAsia="Arial" w:hAnsi="Arial"/>
                <w:sz w:val="18"/>
                <w:szCs w:val="18"/>
                <w:color w:val="auto"/>
              </w:rPr>
              <w:t>Table drop</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493,428</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416,202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51"/>
              <w:spacing w:after="0"/>
              <w:rPr>
                <w:sz w:val="20"/>
                <w:szCs w:val="20"/>
                <w:color w:val="auto"/>
              </w:rPr>
            </w:pPr>
            <w:r>
              <w:rPr>
                <w:rFonts w:ascii="Arial" w:cs="Arial" w:eastAsia="Arial" w:hAnsi="Arial"/>
                <w:sz w:val="18"/>
                <w:szCs w:val="18"/>
                <w:color w:val="auto"/>
              </w:rPr>
              <w:t>77,226</w:t>
            </w:r>
          </w:p>
        </w:tc>
        <w:tc>
          <w:tcPr>
            <w:tcW w:w="120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Table games win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104,814</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81,482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23,332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9"/>
        </w:trPr>
        <w:tc>
          <w:tcPr>
            <w:tcW w:w="4980" w:type="dxa"/>
            <w:vAlign w:val="bottom"/>
          </w:tcPr>
          <w:p>
            <w:pPr>
              <w:ind w:left="540"/>
              <w:spacing w:after="0"/>
              <w:rPr>
                <w:sz w:val="20"/>
                <w:szCs w:val="20"/>
                <w:color w:val="auto"/>
              </w:rPr>
            </w:pPr>
            <w:r>
              <w:rPr>
                <w:rFonts w:ascii="Arial" w:cs="Arial" w:eastAsia="Arial" w:hAnsi="Arial"/>
                <w:sz w:val="18"/>
                <w:szCs w:val="18"/>
                <w:color w:val="auto"/>
              </w:rPr>
              <w:t>Table games win %</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21.2 %</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19.6 %</w:t>
            </w:r>
          </w:p>
        </w:tc>
        <w:tc>
          <w:tcPr>
            <w:tcW w:w="220" w:type="dxa"/>
            <w:vAlign w:val="bottom"/>
          </w:tcPr>
          <w:p>
            <w:pPr>
              <w:spacing w:after="0"/>
              <w:rPr>
                <w:sz w:val="19"/>
                <w:szCs w:val="19"/>
                <w:color w:val="auto"/>
              </w:rPr>
            </w:pPr>
          </w:p>
        </w:tc>
        <w:tc>
          <w:tcPr>
            <w:tcW w:w="1580" w:type="dxa"/>
            <w:vAlign w:val="bottom"/>
          </w:tcPr>
          <w:p>
            <w:pPr>
              <w:jc w:val="right"/>
              <w:ind w:right="251"/>
              <w:spacing w:after="0"/>
              <w:rPr>
                <w:sz w:val="20"/>
                <w:szCs w:val="20"/>
                <w:color w:val="auto"/>
              </w:rPr>
            </w:pPr>
            <w:r>
              <w:rPr>
                <w:rFonts w:ascii="Arial" w:cs="Arial" w:eastAsia="Arial" w:hAnsi="Arial"/>
                <w:sz w:val="18"/>
                <w:szCs w:val="18"/>
                <w:color w:val="auto"/>
              </w:rPr>
              <w:t>1.6</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3,839</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5,639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(1,800)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0"/>
        </w:trPr>
        <w:tc>
          <w:tcPr>
            <w:tcW w:w="4980" w:type="dxa"/>
            <w:vAlign w:val="bottom"/>
          </w:tcPr>
          <w:p>
            <w:pPr>
              <w:ind w:left="540"/>
              <w:spacing w:after="0"/>
              <w:rPr>
                <w:sz w:val="20"/>
                <w:szCs w:val="20"/>
                <w:color w:val="auto"/>
              </w:rPr>
            </w:pPr>
            <w:r>
              <w:rPr>
                <w:rFonts w:ascii="Arial" w:cs="Arial" w:eastAsia="Arial" w:hAnsi="Arial"/>
                <w:sz w:val="18"/>
                <w:szCs w:val="18"/>
                <w:color w:val="auto"/>
              </w:rPr>
              <w:t>Average number of slot machines</w:t>
            </w:r>
          </w:p>
        </w:tc>
        <w:tc>
          <w:tcPr>
            <w:tcW w:w="320" w:type="dxa"/>
            <w:vAlign w:val="bottom"/>
          </w:tcPr>
          <w:p>
            <w:pPr>
              <w:spacing w:after="0"/>
              <w:rPr>
                <w:sz w:val="19"/>
                <w:szCs w:val="19"/>
                <w:color w:val="auto"/>
              </w:rPr>
            </w:pP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2,330</w:t>
            </w:r>
          </w:p>
        </w:tc>
        <w:tc>
          <w:tcPr>
            <w:tcW w:w="42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3,105</w:t>
            </w:r>
          </w:p>
        </w:tc>
        <w:tc>
          <w:tcPr>
            <w:tcW w:w="220" w:type="dxa"/>
            <w:vAlign w:val="bottom"/>
          </w:tcPr>
          <w:p>
            <w:pPr>
              <w:spacing w:after="0"/>
              <w:rPr>
                <w:sz w:val="19"/>
                <w:szCs w:val="19"/>
                <w:color w:val="auto"/>
              </w:rPr>
            </w:pPr>
          </w:p>
        </w:tc>
        <w:tc>
          <w:tcPr>
            <w:tcW w:w="1580" w:type="dxa"/>
            <w:vAlign w:val="bottom"/>
          </w:tcPr>
          <w:p>
            <w:pPr>
              <w:jc w:val="right"/>
              <w:ind w:right="211"/>
              <w:spacing w:after="0"/>
              <w:rPr>
                <w:sz w:val="20"/>
                <w:szCs w:val="20"/>
                <w:color w:val="auto"/>
              </w:rPr>
            </w:pPr>
            <w:r>
              <w:rPr>
                <w:rFonts w:ascii="Arial" w:cs="Arial" w:eastAsia="Arial" w:hAnsi="Arial"/>
                <w:sz w:val="18"/>
                <w:szCs w:val="18"/>
                <w:color w:val="auto"/>
              </w:rPr>
              <w:t>(775)</w:t>
            </w:r>
          </w:p>
        </w:tc>
        <w:tc>
          <w:tcPr>
            <w:tcW w:w="120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Slot machine handle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1,581,174</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990,634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590,540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30"/>
        </w:trPr>
        <w:tc>
          <w:tcPr>
            <w:tcW w:w="4980" w:type="dxa"/>
            <w:vAlign w:val="bottom"/>
          </w:tcPr>
          <w:p>
            <w:pPr>
              <w:ind w:left="540"/>
              <w:spacing w:after="0"/>
              <w:rPr>
                <w:sz w:val="20"/>
                <w:szCs w:val="20"/>
                <w:color w:val="auto"/>
              </w:rPr>
            </w:pPr>
            <w:r>
              <w:rPr>
                <w:rFonts w:ascii="Arial" w:cs="Arial" w:eastAsia="Arial" w:hAnsi="Arial"/>
                <w:sz w:val="18"/>
                <w:szCs w:val="18"/>
                <w:color w:val="auto"/>
              </w:rPr>
              <w:t>Slot machine win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122,906</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70,880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51"/>
              <w:spacing w:after="0"/>
              <w:rPr>
                <w:sz w:val="20"/>
                <w:szCs w:val="20"/>
                <w:color w:val="auto"/>
              </w:rPr>
            </w:pPr>
            <w:r>
              <w:rPr>
                <w:rFonts w:ascii="Arial" w:cs="Arial" w:eastAsia="Arial" w:hAnsi="Arial"/>
                <w:sz w:val="18"/>
                <w:szCs w:val="18"/>
                <w:color w:val="auto"/>
              </w:rPr>
              <w:t>52,026</w:t>
            </w:r>
          </w:p>
        </w:tc>
        <w:tc>
          <w:tcPr>
            <w:tcW w:w="1200" w:type="dxa"/>
            <w:vAlign w:val="bottom"/>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Slot machine win per unit per day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336</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108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30"/>
        </w:trPr>
        <w:tc>
          <w:tcPr>
            <w:tcW w:w="4980" w:type="dxa"/>
            <w:vAlign w:val="bottom"/>
          </w:tcPr>
          <w:p>
            <w:pPr>
              <w:ind w:left="540"/>
              <w:spacing w:after="0"/>
              <w:rPr>
                <w:sz w:val="20"/>
                <w:szCs w:val="20"/>
                <w:color w:val="auto"/>
              </w:rPr>
            </w:pPr>
            <w:r>
              <w:rPr>
                <w:rFonts w:ascii="Arial" w:cs="Arial" w:eastAsia="Arial" w:hAnsi="Arial"/>
                <w:sz w:val="18"/>
                <w:szCs w:val="18"/>
                <w:color w:val="auto"/>
              </w:rPr>
              <w:t>Poker rake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5,105</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6,664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11"/>
              <w:spacing w:after="0"/>
              <w:rPr>
                <w:sz w:val="20"/>
                <w:szCs w:val="20"/>
                <w:color w:val="auto"/>
              </w:rPr>
            </w:pPr>
            <w:r>
              <w:rPr>
                <w:rFonts w:ascii="Arial" w:cs="Arial" w:eastAsia="Arial" w:hAnsi="Arial"/>
                <w:sz w:val="18"/>
                <w:szCs w:val="18"/>
                <w:color w:val="auto"/>
              </w:rPr>
              <w:t>(1,559)</w:t>
            </w:r>
          </w:p>
        </w:tc>
        <w:tc>
          <w:tcPr>
            <w:tcW w:w="120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(1) Encore Boston Harbor commenced operations on June 23, 2019.</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Non-casino revenues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sets forth our room revenues and associated key operating measures: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8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8"/>
        </w:trPr>
        <w:tc>
          <w:tcPr>
            <w:tcW w:w="53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Increase/(Decrease)</w:t>
            </w:r>
          </w:p>
        </w:tc>
        <w:tc>
          <w:tcPr>
            <w:tcW w:w="1160" w:type="dxa"/>
            <w:vAlign w:val="bottom"/>
          </w:tcPr>
          <w:p>
            <w:pPr>
              <w:jc w:val="right"/>
              <w:ind w:right="11"/>
              <w:spacing w:after="0"/>
              <w:rPr>
                <w:sz w:val="20"/>
                <w:szCs w:val="20"/>
                <w:color w:val="auto"/>
              </w:rPr>
            </w:pPr>
            <w:r>
              <w:rPr>
                <w:rFonts w:ascii="Arial" w:cs="Arial" w:eastAsia="Arial" w:hAnsi="Arial"/>
                <w:sz w:val="14"/>
                <w:szCs w:val="14"/>
                <w:b w:val="1"/>
                <w:bCs w:val="1"/>
                <w:color w:val="auto"/>
                <w:w w:val="97"/>
              </w:rPr>
              <w:t>Percent Change</w:t>
            </w:r>
          </w:p>
        </w:tc>
      </w:tr>
      <w:tr>
        <w:trPr>
          <w:trHeight w:val="211"/>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Macau Operations:</w:t>
            </w: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29"/>
        </w:trPr>
        <w:tc>
          <w:tcPr>
            <w:tcW w:w="5380" w:type="dxa"/>
            <w:vAlign w:val="bottom"/>
          </w:tcPr>
          <w:p>
            <w:pPr>
              <w:ind w:left="120"/>
              <w:spacing w:after="0"/>
              <w:rPr>
                <w:sz w:val="20"/>
                <w:szCs w:val="20"/>
                <w:color w:val="auto"/>
              </w:rPr>
            </w:pPr>
            <w:r>
              <w:rPr>
                <w:rFonts w:ascii="Arial" w:cs="Arial" w:eastAsia="Arial" w:hAnsi="Arial"/>
                <w:sz w:val="18"/>
                <w:szCs w:val="18"/>
                <w:color w:val="auto"/>
              </w:rPr>
              <w:t>Wynn Palace:</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room revenues (dollars in thousands)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26,647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131,382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(104,735)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r>
      <w:tr>
        <w:trPr>
          <w:trHeight w:val="229"/>
        </w:trPr>
        <w:tc>
          <w:tcPr>
            <w:tcW w:w="5380" w:type="dxa"/>
            <w:vAlign w:val="bottom"/>
          </w:tcPr>
          <w:p>
            <w:pPr>
              <w:ind w:left="320"/>
              <w:spacing w:after="0"/>
              <w:rPr>
                <w:sz w:val="20"/>
                <w:szCs w:val="20"/>
                <w:color w:val="auto"/>
              </w:rPr>
            </w:pPr>
            <w:r>
              <w:rPr>
                <w:rFonts w:ascii="Arial" w:cs="Arial" w:eastAsia="Arial" w:hAnsi="Arial"/>
                <w:sz w:val="18"/>
                <w:szCs w:val="18"/>
                <w:color w:val="auto"/>
              </w:rPr>
              <w:t>Occupancy</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5380" w:type="dxa"/>
            <w:vAlign w:val="bottom"/>
          </w:tcPr>
          <w:p>
            <w:pPr>
              <w:ind w:left="320"/>
              <w:spacing w:after="0"/>
              <w:rPr>
                <w:sz w:val="20"/>
                <w:szCs w:val="20"/>
                <w:color w:val="auto"/>
              </w:rPr>
            </w:pPr>
            <w:r>
              <w:rPr>
                <w:rFonts w:ascii="Arial" w:cs="Arial" w:eastAsia="Arial" w:hAnsi="Arial"/>
                <w:sz w:val="18"/>
                <w:szCs w:val="18"/>
                <w:color w:val="auto"/>
              </w:rPr>
              <w:t>REVPAR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(79.4)</w:t>
            </w:r>
          </w:p>
        </w:tc>
      </w:tr>
      <w:tr>
        <w:trPr>
          <w:trHeight w:val="229"/>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Wynn Macau:</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5380" w:type="dxa"/>
            <w:vAlign w:val="bottom"/>
          </w:tcPr>
          <w:p>
            <w:pPr>
              <w:ind w:left="320"/>
              <w:spacing w:after="0"/>
              <w:rPr>
                <w:sz w:val="20"/>
                <w:szCs w:val="20"/>
                <w:color w:val="auto"/>
              </w:rPr>
            </w:pPr>
            <w:r>
              <w:rPr>
                <w:rFonts w:ascii="Arial" w:cs="Arial" w:eastAsia="Arial" w:hAnsi="Arial"/>
                <w:sz w:val="18"/>
                <w:szCs w:val="18"/>
                <w:color w:val="auto"/>
              </w:rPr>
              <w:t>Total room revenues (dollars in thousands)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23,480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82,071</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(58,591)</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(71.4)</w:t>
            </w:r>
          </w:p>
        </w:tc>
      </w:tr>
      <w:tr>
        <w:trPr>
          <w:trHeight w:val="230"/>
        </w:trPr>
        <w:tc>
          <w:tcPr>
            <w:tcW w:w="5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Occupancy</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5380" w:type="dxa"/>
            <w:vAlign w:val="bottom"/>
          </w:tcPr>
          <w:p>
            <w:pPr>
              <w:ind w:left="320"/>
              <w:spacing w:after="0"/>
              <w:rPr>
                <w:sz w:val="20"/>
                <w:szCs w:val="20"/>
                <w:color w:val="auto"/>
              </w:rPr>
            </w:pPr>
            <w:r>
              <w:rPr>
                <w:rFonts w:ascii="Arial" w:cs="Arial" w:eastAsia="Arial" w:hAnsi="Arial"/>
                <w:sz w:val="18"/>
                <w:szCs w:val="18"/>
                <w:color w:val="auto"/>
              </w:rPr>
              <w:t>ADR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5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REVPAR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room revenues (dollars in thousands)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163,419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362,715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(199,296)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r>
      <w:tr>
        <w:trPr>
          <w:trHeight w:val="230"/>
        </w:trPr>
        <w:tc>
          <w:tcPr>
            <w:tcW w:w="5380" w:type="dxa"/>
            <w:vAlign w:val="bottom"/>
          </w:tcPr>
          <w:p>
            <w:pPr>
              <w:ind w:left="320"/>
              <w:spacing w:after="0"/>
              <w:rPr>
                <w:sz w:val="20"/>
                <w:szCs w:val="20"/>
                <w:color w:val="auto"/>
              </w:rPr>
            </w:pPr>
            <w:r>
              <w:rPr>
                <w:rFonts w:ascii="Arial" w:cs="Arial" w:eastAsia="Arial" w:hAnsi="Arial"/>
                <w:sz w:val="18"/>
                <w:szCs w:val="18"/>
                <w:color w:val="auto"/>
              </w:rPr>
              <w:t>Occupancy</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55.8 %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86.9 %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5380" w:type="dxa"/>
            <w:vAlign w:val="bottom"/>
          </w:tcPr>
          <w:p>
            <w:pPr>
              <w:ind w:left="320"/>
              <w:spacing w:after="0"/>
              <w:rPr>
                <w:sz w:val="20"/>
                <w:szCs w:val="20"/>
                <w:color w:val="auto"/>
              </w:rPr>
            </w:pPr>
            <w:r>
              <w:rPr>
                <w:rFonts w:ascii="Arial" w:cs="Arial" w:eastAsia="Arial" w:hAnsi="Arial"/>
                <w:sz w:val="18"/>
                <w:szCs w:val="18"/>
                <w:color w:val="auto"/>
              </w:rPr>
              <w:t>REVPAR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Encore Boston Harbor </w:t>
            </w:r>
            <w:r>
              <w:rPr>
                <w:rFonts w:ascii="Arial" w:cs="Arial" w:eastAsia="Arial" w:hAnsi="Arial"/>
                <w:sz w:val="14"/>
                <w:szCs w:val="14"/>
                <w:b w:val="1"/>
                <w:bCs w:val="1"/>
                <w:color w:val="auto"/>
              </w:rPr>
              <w:t>(1) (2)</w:t>
            </w: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5380" w:type="dxa"/>
            <w:vAlign w:val="bottom"/>
          </w:tcPr>
          <w:p>
            <w:pPr>
              <w:ind w:left="320"/>
              <w:spacing w:after="0"/>
              <w:rPr>
                <w:sz w:val="20"/>
                <w:szCs w:val="20"/>
                <w:color w:val="auto"/>
              </w:rPr>
            </w:pPr>
            <w:r>
              <w:rPr>
                <w:rFonts w:ascii="Arial" w:cs="Arial" w:eastAsia="Arial" w:hAnsi="Arial"/>
                <w:sz w:val="18"/>
                <w:szCs w:val="18"/>
                <w:color w:val="auto"/>
              </w:rPr>
              <w:t>Total room revenues (dollars in thousands)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17,694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19,785</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(2,091)</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5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Occupancy</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5380" w:type="dxa"/>
            <w:vAlign w:val="bottom"/>
          </w:tcPr>
          <w:p>
            <w:pPr>
              <w:ind w:left="320"/>
              <w:spacing w:after="0"/>
              <w:rPr>
                <w:sz w:val="20"/>
                <w:szCs w:val="20"/>
                <w:color w:val="auto"/>
              </w:rPr>
            </w:pPr>
            <w:r>
              <w:rPr>
                <w:rFonts w:ascii="Arial" w:cs="Arial" w:eastAsia="Arial" w:hAnsi="Arial"/>
                <w:sz w:val="18"/>
                <w:szCs w:val="18"/>
                <w:color w:val="auto"/>
              </w:rPr>
              <w:t>ADR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230"/>
        </w:trPr>
        <w:tc>
          <w:tcPr>
            <w:tcW w:w="5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REVPAR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r>
    </w:tbl>
    <w:p>
      <w:pPr>
        <w:spacing w:after="0" w:line="89"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Encore Boston Harbor commenced operations on June 23, 2019.</w:t>
      </w:r>
    </w:p>
    <w:p>
      <w:pPr>
        <w:spacing w:after="0" w:line="13" w:lineRule="exact"/>
        <w:rPr>
          <w:rFonts w:ascii="Arial" w:cs="Arial" w:eastAsia="Arial" w:hAnsi="Arial"/>
          <w:sz w:val="14"/>
          <w:szCs w:val="14"/>
          <w:color w:val="auto"/>
        </w:rPr>
      </w:pPr>
    </w:p>
    <w:p>
      <w:pPr>
        <w:ind w:left="260" w:hanging="252"/>
        <w:spacing w:after="0" w:line="293" w:lineRule="auto"/>
        <w:tabs>
          <w:tab w:leader="none" w:pos="229" w:val="left"/>
        </w:tabs>
        <w:numPr>
          <w:ilvl w:val="0"/>
          <w:numId w:val="13"/>
        </w:numPr>
        <w:rPr>
          <w:rFonts w:ascii="Arial" w:cs="Arial" w:eastAsia="Arial" w:hAnsi="Arial"/>
          <w:sz w:val="13"/>
          <w:szCs w:val="13"/>
          <w:color w:val="auto"/>
        </w:rPr>
      </w:pPr>
      <w:r>
        <w:rPr>
          <w:rFonts w:ascii="Arial" w:cs="Arial" w:eastAsia="Arial" w:hAnsi="Arial"/>
          <w:sz w:val="13"/>
          <w:szCs w:val="13"/>
          <w:color w:val="auto"/>
        </w:rPr>
        <w:t>Encore Boston Harbor closed on March 15, 2020 and reopened July 10, 2020. Since reopening, hotel reservations at Encore Boston Harbor have been limited to Thursday through Sunday. Accordingly, Encore Boston Harbor's room key operating measures have been computed based on 121 days of operation for the nine months ended September 30, 2020.</w:t>
      </w:r>
    </w:p>
    <w:p>
      <w:pPr>
        <w:spacing w:after="0" w:line="19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Room revenues decreased $364.7 million, primarily due to lower occupancy and the closure of our Las Vegas Operations resulting from the adverse effects of the COVID-19 pandemic.</w:t>
      </w:r>
    </w:p>
    <w:p>
      <w:pPr>
        <w:spacing w:after="0" w:line="1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Food and beverage revenues decreased $369.7 million, primarily due to decreased covers at our restaurants and the reduction of nightlife offerings at our Las Vegas Operations as a result of the adverse effects of the COVID-19 pandemic.</w:t>
      </w:r>
    </w:p>
    <w:p>
      <w:pPr>
        <w:spacing w:after="0" w:line="197"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Entertainment, retail and other revenues decreased $159.4 million, primarily due to a decrease in visitation to our Macau Operations and temporary closures of our Las Vegas Operations and Encore Boston Harbor resulting from the adverse effects of the COVID-19 pandemic. The closure of the La Reve show at our Las Vegas Operations and rent concessions provided to tenants at our Macau Operations also contributed to the decrease.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operating expenses (in thousands):</w:t>
      </w:r>
    </w:p>
    <w:p>
      <w:pPr>
        <w:spacing w:after="0" w:line="41"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55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vMerge w:val="restart"/>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jc w:val="right"/>
              <w:ind w:right="233"/>
              <w:spacing w:after="0" w:line="122"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0"/>
                <w:szCs w:val="10"/>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8"/>
        </w:trPr>
        <w:tc>
          <w:tcPr>
            <w:tcW w:w="55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320"/>
              <w:spacing w:after="0"/>
              <w:rPr>
                <w:sz w:val="20"/>
                <w:szCs w:val="20"/>
                <w:color w:val="auto"/>
              </w:rPr>
            </w:pPr>
            <w:r>
              <w:rPr>
                <w:rFonts w:ascii="Arial" w:cs="Arial" w:eastAsia="Arial" w:hAnsi="Arial"/>
                <w:sz w:val="18"/>
                <w:szCs w:val="18"/>
                <w:color w:val="auto"/>
              </w:rPr>
              <w:t>Casino</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734,689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2,197,750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(1,463,061)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Rooms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(65,255)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5560" w:type="dxa"/>
            <w:vAlign w:val="bottom"/>
          </w:tcPr>
          <w:p>
            <w:pPr>
              <w:ind w:left="320"/>
              <w:spacing w:after="0"/>
              <w:rPr>
                <w:sz w:val="20"/>
                <w:szCs w:val="20"/>
                <w:color w:val="auto"/>
              </w:rPr>
            </w:pPr>
            <w:r>
              <w:rPr>
                <w:rFonts w:ascii="Arial" w:cs="Arial" w:eastAsia="Arial" w:hAnsi="Arial"/>
                <w:sz w:val="18"/>
                <w:szCs w:val="18"/>
                <w:color w:val="auto"/>
              </w:rPr>
              <w:t>Food and beverage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314,335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527,502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(213,167)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Entertainment, retail and other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29"/>
        </w:trPr>
        <w:tc>
          <w:tcPr>
            <w:tcW w:w="5560" w:type="dxa"/>
            <w:vAlign w:val="bottom"/>
          </w:tcPr>
          <w:p>
            <w:pPr>
              <w:ind w:left="3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547,305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665,988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(118,683)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credit losses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0" w:type="dxa"/>
            <w:vAlign w:val="bottom"/>
          </w:tcPr>
          <w:p>
            <w:pPr>
              <w:spacing w:after="0"/>
              <w:rPr>
                <w:sz w:val="1"/>
                <w:szCs w:val="1"/>
                <w:color w:val="auto"/>
              </w:rPr>
            </w:pPr>
          </w:p>
        </w:tc>
      </w:tr>
      <w:tr>
        <w:trPr>
          <w:trHeight w:val="229"/>
        </w:trPr>
        <w:tc>
          <w:tcPr>
            <w:tcW w:w="5560" w:type="dxa"/>
            <w:vAlign w:val="bottom"/>
          </w:tcPr>
          <w:p>
            <w:pPr>
              <w:ind w:left="320"/>
              <w:spacing w:after="0"/>
              <w:rPr>
                <w:sz w:val="20"/>
                <w:szCs w:val="20"/>
                <w:color w:val="auto"/>
              </w:rPr>
            </w:pPr>
            <w:r>
              <w:rPr>
                <w:rFonts w:ascii="Arial" w:cs="Arial" w:eastAsia="Arial" w:hAnsi="Arial"/>
                <w:sz w:val="18"/>
                <w:szCs w:val="18"/>
                <w:color w:val="auto"/>
              </w:rPr>
              <w:t>Pre-opening</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99,212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(93,598)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91,674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Property charges and 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25,781</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2,463,300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4,305,913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(1,842,613)</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Total operating expenses decreased $1.84 billion compared to the nine months ended September 30, 2019, primarily due to decreased expenses related to the impact of the COVID-19 pandemic on our resorts, partially offset by increased operating expenses following the opening of Encore Boston Harbor in June 2019.</w:t>
      </w:r>
    </w:p>
    <w:p>
      <w:pPr>
        <w:spacing w:after="0" w:line="21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Casino expenses decreased $848.5 million, $628.9 million, and $36.4 million at Wynn Palace, Wynn Macau, and our Las Vegas Operations, respectively. These decreases were primarily due to reductions in gaming tax expense commensurate with the declines in casino revenues at each property resulting from the effects of the COVID-19 pandemic, and were partially offset by increased casino expenses of $50.7 million from Encore Boston Harbor.</w:t>
      </w:r>
    </w:p>
    <w:p>
      <w:pPr>
        <w:spacing w:after="0" w:line="17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Room expenses decreased $46.9 million, $17.3 million. and $6.0 million at our Las Vegas Operations, Wynn Palace, and Wynn Macau, respectively. The decreases were primarily a result of lower operating costs related to the declines in occupancy at our Las Vegas Operations and our Macau Operations resulting from the effects of the COVID-19 pandemic as well as the closure of our Las Vegas Operations, and were partially offset by increased room expenses of $4.9 million from Encore Boston Harbor.</w:t>
      </w:r>
    </w:p>
    <w:p>
      <w:pPr>
        <w:spacing w:after="0" w:line="21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Food and beverage expenses decreased $159.4 million, $41.8 million, and $19.3 million at our Las Vegas Operations, Wynn Palace, and Wynn Macau, respectively. The decreases were primarily a result of lower operating costs related to the declines in food and beverage revenues at each property resulting from the effects of the COVID-19 pandemic as well as lower nightlife entertainment costs at our Las Vegas Operations, and were partially offset by increased food and beverage expenses of $7.3 million at Encore Boston Harbor.</w:t>
      </w:r>
    </w:p>
    <w:p>
      <w:pPr>
        <w:spacing w:after="0" w:line="21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Entertainment, retail and other expenses decreased primarily due to decreases of $39.7 million, $12.6 million and $6.3 million at our Las Vegas Operations, Wynn Palace, and Wynn Macau, respectively. The decreases were primarily a result of lower operating costs related to the declines in entertainment, retail and other revenues at each property resulting from the effects of the COVID-19 pandemic, and were partially offset by increased entertainment, retail and other expenses of $4.8 million at Encore Boston Harbor.</w:t>
      </w:r>
    </w:p>
    <w:p>
      <w:pPr>
        <w:spacing w:after="0" w:line="21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General and administrative expenses decreased primarily due to decreases of $40.0 million, $20.9 million, and $12.5 million at Wynn Palace, Wynn Macau, and our Las Vegas Operations, respectively. These decreases were primarily attributable to the effects of the COVID-19 pandemic. In addition, corporate and other general and administrative expenses decreased $88.4 million, primarily due to a credit of $30.2 million for the net proceeds of a derivative action settlement recognized during the nine months ended September 30, 2020, and a fine of $35.0 million assessed by the Massachusetts Gaming Commission which was incurred during the three months ended March 31, 2019. These decreases were partially offset by an increase of $43.0 million of general and administrative expenses from Encore Boston Harbor due to the opening of the property in June 2019.</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provision for credit losses increased $17.4 million, $21.9 million, and $6.8 million at our Las Vegas Operations, Wynn Palace, and Wynn Macau, respectively. The increases were primarily due to the impact of historical collection patterns and expectations of current and future collection trends in light of the COVID-19 pandemic, as well as the specific review of customer accounts, on our estimated credit loss for the respective periods.</w:t>
      </w:r>
    </w:p>
    <w:p>
      <w:pPr>
        <w:spacing w:after="0" w:line="19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nine months ended September 30, 2020, pre-opening expenses totaled $5.6 million, which primarily related to restaurant remodels at our Las Vegas Operations. For the nine months ended September 30, 2019, pre-opening expenses totaled $99.2 million, which primarily related to the development of Encore Boston Harbor.</w:t>
      </w:r>
    </w:p>
    <w:p>
      <w:pPr>
        <w:spacing w:after="0" w:line="211"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Depreciation and amortization increased primarily due to an increase in depreciation expense of $69.9 million associated with the opening of Encore Boston Harbor and an increase of $13.9 million at our Las Vegas Operations associated with the opening of the meeting and convention expansion in February 2020.</w:t>
      </w:r>
    </w:p>
    <w:p>
      <w:pPr>
        <w:spacing w:after="0" w:line="2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property charges and other expenses for the nine months ended September 30, 2020 consisted primarily of asset disposals and abandonments of $23.4 million and $9.7 million at Wynn Palace and Encore Boston Harbor,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 of capitalized interest</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information related to interest expense (dollars in thousands):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4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vMerge w:val="restart"/>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vMerge w:val="restart"/>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right"/>
              <w:ind w:right="237"/>
              <w:spacing w:after="0" w:line="122"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0"/>
                <w:szCs w:val="10"/>
                <w:color w:val="auto"/>
              </w:rPr>
            </w:pPr>
          </w:p>
        </w:tc>
        <w:tc>
          <w:tcPr>
            <w:tcW w:w="116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7"/>
              </w:rPr>
              <w:t>Percent Change</w:t>
            </w:r>
          </w:p>
        </w:tc>
        <w:tc>
          <w:tcPr>
            <w:tcW w:w="0" w:type="dxa"/>
            <w:vAlign w:val="bottom"/>
          </w:tcPr>
          <w:p>
            <w:pPr>
              <w:spacing w:after="0"/>
              <w:rPr>
                <w:sz w:val="1"/>
                <w:szCs w:val="1"/>
                <w:color w:val="auto"/>
              </w:rPr>
            </w:pPr>
          </w:p>
        </w:tc>
      </w:tr>
      <w:tr>
        <w:trPr>
          <w:trHeight w:val="188"/>
        </w:trPr>
        <w:tc>
          <w:tcPr>
            <w:tcW w:w="54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420" w:type="dxa"/>
            <w:vAlign w:val="bottom"/>
          </w:tcPr>
          <w:p>
            <w:pPr>
              <w:ind w:left="320"/>
              <w:spacing w:after="0" w:line="176" w:lineRule="exact"/>
              <w:rPr>
                <w:sz w:val="20"/>
                <w:szCs w:val="20"/>
                <w:color w:val="auto"/>
              </w:rPr>
            </w:pPr>
            <w:r>
              <w:rPr>
                <w:rFonts w:ascii="Arial" w:cs="Arial" w:eastAsia="Arial" w:hAnsi="Arial"/>
                <w:sz w:val="18"/>
                <w:szCs w:val="18"/>
                <w:color w:val="auto"/>
              </w:rPr>
              <w:t>Interest cost, including amortization of debt issuance costs and</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ind w:right="135"/>
              <w:spacing w:after="0"/>
              <w:rPr>
                <w:sz w:val="20"/>
                <w:szCs w:val="20"/>
                <w:color w:val="auto"/>
              </w:rPr>
            </w:pPr>
            <w:r>
              <w:rPr>
                <w:rFonts w:ascii="Arial" w:cs="Arial" w:eastAsia="Arial" w:hAnsi="Arial"/>
                <w:sz w:val="18"/>
                <w:szCs w:val="18"/>
                <w:color w:val="auto"/>
              </w:rPr>
              <w:t>408,439</w:t>
            </w:r>
          </w:p>
        </w:tc>
        <w:tc>
          <w:tcPr>
            <w:tcW w:w="12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ind w:right="133"/>
              <w:spacing w:after="0"/>
              <w:rPr>
                <w:sz w:val="20"/>
                <w:szCs w:val="20"/>
                <w:color w:val="auto"/>
              </w:rPr>
            </w:pPr>
            <w:r>
              <w:rPr>
                <w:rFonts w:ascii="Arial" w:cs="Arial" w:eastAsia="Arial" w:hAnsi="Arial"/>
                <w:sz w:val="18"/>
                <w:szCs w:val="18"/>
                <w:color w:val="auto"/>
              </w:rPr>
              <w:t>351,135</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57,304</w:t>
            </w:r>
          </w:p>
        </w:tc>
        <w:tc>
          <w:tcPr>
            <w:tcW w:w="1280" w:type="dxa"/>
            <w:vAlign w:val="bottom"/>
            <w:gridSpan w:val="2"/>
            <w:vMerge w:val="restart"/>
          </w:tcPr>
          <w:p>
            <w:pPr>
              <w:jc w:val="center"/>
              <w:ind w:left="750"/>
              <w:spacing w:after="0"/>
              <w:rPr>
                <w:sz w:val="20"/>
                <w:szCs w:val="20"/>
                <w:color w:val="auto"/>
              </w:rPr>
            </w:pPr>
            <w:r>
              <w:rPr>
                <w:rFonts w:ascii="Arial" w:cs="Arial" w:eastAsia="Arial" w:hAnsi="Arial"/>
                <w:sz w:val="18"/>
                <w:szCs w:val="18"/>
                <w:color w:val="auto"/>
                <w:w w:val="91"/>
              </w:rPr>
              <w:t>16.3</w:t>
            </w:r>
          </w:p>
        </w:tc>
        <w:tc>
          <w:tcPr>
            <w:tcW w:w="0" w:type="dxa"/>
            <w:vAlign w:val="bottom"/>
          </w:tcPr>
          <w:p>
            <w:pPr>
              <w:spacing w:after="0"/>
              <w:rPr>
                <w:sz w:val="1"/>
                <w:szCs w:val="1"/>
                <w:color w:val="auto"/>
              </w:rPr>
            </w:pPr>
          </w:p>
        </w:tc>
      </w:tr>
      <w:tr>
        <w:trPr>
          <w:trHeight w:val="229"/>
        </w:trPr>
        <w:tc>
          <w:tcPr>
            <w:tcW w:w="5420" w:type="dxa"/>
            <w:vAlign w:val="bottom"/>
          </w:tcPr>
          <w:p>
            <w:pPr>
              <w:ind w:left="320"/>
              <w:spacing w:after="0"/>
              <w:rPr>
                <w:sz w:val="20"/>
                <w:szCs w:val="20"/>
                <w:color w:val="auto"/>
              </w:rPr>
            </w:pPr>
            <w:r>
              <w:rPr>
                <w:rFonts w:ascii="Arial" w:cs="Arial" w:eastAsia="Arial" w:hAnsi="Arial"/>
                <w:sz w:val="18"/>
                <w:szCs w:val="18"/>
                <w:color w:val="auto"/>
              </w:rPr>
              <w:t>original issue discount and premium</w:t>
            </w:r>
          </w:p>
        </w:tc>
        <w:tc>
          <w:tcPr>
            <w:tcW w:w="32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Capitalized interest</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(1,252)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(50,154)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(48,902)</w:t>
            </w:r>
          </w:p>
        </w:tc>
        <w:tc>
          <w:tcPr>
            <w:tcW w:w="1280" w:type="dxa"/>
            <w:vAlign w:val="bottom"/>
            <w:gridSpan w:val="2"/>
            <w:shd w:val="clear" w:color="auto" w:fill="CCEEFF"/>
          </w:tcPr>
          <w:p>
            <w:pPr>
              <w:jc w:val="center"/>
              <w:ind w:left="710"/>
              <w:spacing w:after="0"/>
              <w:rPr>
                <w:sz w:val="20"/>
                <w:szCs w:val="20"/>
                <w:color w:val="auto"/>
              </w:rPr>
            </w:pPr>
            <w:r>
              <w:rPr>
                <w:rFonts w:ascii="Arial" w:cs="Arial" w:eastAsia="Arial" w:hAnsi="Arial"/>
                <w:sz w:val="18"/>
                <w:szCs w:val="18"/>
                <w:color w:val="auto"/>
                <w:w w:val="93"/>
              </w:rPr>
              <w:t>(97.5)</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407,187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300,981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106,206</w:t>
            </w:r>
          </w:p>
        </w:tc>
        <w:tc>
          <w:tcPr>
            <w:tcW w:w="1280" w:type="dxa"/>
            <w:vAlign w:val="bottom"/>
            <w:gridSpan w:val="2"/>
          </w:tcPr>
          <w:p>
            <w:pPr>
              <w:jc w:val="center"/>
              <w:ind w:left="750"/>
              <w:spacing w:after="0"/>
              <w:rPr>
                <w:sz w:val="20"/>
                <w:szCs w:val="20"/>
                <w:color w:val="auto"/>
              </w:rPr>
            </w:pPr>
            <w:r>
              <w:rPr>
                <w:rFonts w:ascii="Arial" w:cs="Arial" w:eastAsia="Arial" w:hAnsi="Arial"/>
                <w:sz w:val="18"/>
                <w:szCs w:val="18"/>
                <w:color w:val="auto"/>
                <w:w w:val="91"/>
              </w:rPr>
              <w:t>35.3</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Weighted average total debt balance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5"/>
              <w:spacing w:after="0"/>
              <w:rPr>
                <w:sz w:val="20"/>
                <w:szCs w:val="20"/>
                <w:color w:val="auto"/>
              </w:rPr>
            </w:pPr>
            <w:r>
              <w:rPr>
                <w:rFonts w:ascii="Arial" w:cs="Arial" w:eastAsia="Arial" w:hAnsi="Arial"/>
                <w:sz w:val="18"/>
                <w:szCs w:val="18"/>
                <w:color w:val="auto"/>
              </w:rPr>
              <w:t>12,050,631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9,277,142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interest rate</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costs increased due to an increase in the weighted average debt balance, partially offset by a decrease in the weighted average interest 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Capitalized interest decreased primarily due to the completion of Encore Boston Harbor construction activities on June 23, 2019.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incurred a foreign currency remeasurement gain of $13.0 million and a loss of $3.3 million for the nine months ended September 30, 2020 and 2019, respectively. The impact of the exchange rate fluctuation of the Macau pataca, in relation to the U.S. dollar, on the remeasurements of U.S. dollar denominated debt and other obligations from our Macau-related entities drove the variability between periods.</w:t>
      </w:r>
    </w:p>
    <w:p>
      <w:pPr>
        <w:spacing w:after="0" w:line="14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recorded a loss of $14.3 million and $6.9 million for the nine months ended September 30, 2020 and 2019, respectively, from change in derivatives fair value.</w:t>
      </w:r>
    </w:p>
    <w:p>
      <w:pPr>
        <w:spacing w:after="0" w:line="19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recorded a $4.6 million loss on extinguishment of debt for the nine months ended September 30, 2020 primarily related to the partial prepayment of the Wynn Macau Term Loan. We recorded a $12.2 million loss on extinguishment of debt for the nine months ended September 30, 2019 in connection with refinancing our Wynn Resorts Finance (formerly Wynn America) credit facility and Wynn Resorts term loan.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recorded an income tax expense of $564.1 million and $19.4 million for the nine months ended September 30, 2020 and 2019, respectively.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2020 income tax expense primarily related to the increase in the valuation allowances for U.S foreign tax credits, U.S. loss carryforwards and other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The 2019 income tax expense primarily related to the increase in the valuation allowance for U.S foreign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attributable to noncontrolling interests</w:t>
      </w:r>
    </w:p>
    <w:p>
      <w:pPr>
        <w:spacing w:after="0" w:line="252"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Net loss attributable to noncontrolling interests was $218.9 million for the nine months ended September 30, 2020, compared to net income of $132.9 million for the same period of 2019. These amounts are primarily related to the noncontrolling interests' share of net income (loss) from WML.</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256" w:lineRule="exact"/>
        <w:rPr>
          <w:sz w:val="20"/>
          <w:szCs w:val="20"/>
          <w:color w:val="auto"/>
        </w:rPr>
      </w:pPr>
    </w:p>
    <w:p>
      <w:pPr>
        <w:jc w:val="both"/>
        <w:ind w:firstLine="405"/>
        <w:spacing w:after="0" w:line="267" w:lineRule="auto"/>
        <w:rPr>
          <w:sz w:val="20"/>
          <w:szCs w:val="20"/>
          <w:color w:val="auto"/>
        </w:rPr>
      </w:pPr>
      <w:r>
        <w:rPr>
          <w:rFonts w:ascii="Arial" w:cs="Arial" w:eastAsia="Arial" w:hAnsi="Arial"/>
          <w:sz w:val="17"/>
          <w:szCs w:val="17"/>
          <w:color w:val="auto"/>
        </w:rPr>
        <w:t>We use Adjusted Property EBITDA to manage the operating results of our segments. Adjusted Property EBITDA is net income (loss) before interest, income taxes, depreciation and amortization, pre-opening expenses, property charges and other, management and license fees, corporate expenses and other (including intercompany golf course and water rights leases), stock-based compensation, change in derivatives fair value, loss on extinguishment of debt,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We also present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24"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following table summarizes Adjusted Property EBITDA (in thousands) for Wynn Palace, Wynn Macau, Las Vegas Operations, and Encore Boston Harbor as reviewed by management and summarized in Item 1—"Notes to Condensed Consolidated Financial Statements," Note 16, "Segment Information." That footnote also presents a reconciliation of Adjusted Property EBITDA to net income (loss) attributable to Wynn Resorts, Limited.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5"/>
          </w:tcPr>
          <w:p>
            <w:pPr>
              <w:ind w:left="20"/>
              <w:spacing w:after="0"/>
              <w:rPr>
                <w:sz w:val="20"/>
                <w:szCs w:val="20"/>
                <w:color w:val="auto"/>
              </w:rPr>
            </w:pPr>
            <w:r>
              <w:rPr>
                <w:rFonts w:ascii="Arial" w:cs="Arial" w:eastAsia="Arial" w:hAnsi="Arial"/>
                <w:sz w:val="13"/>
                <w:szCs w:val="13"/>
                <w:b w:val="1"/>
                <w:bCs w:val="1"/>
                <w:color w:val="auto"/>
              </w:rPr>
              <w:t>Three Months Ended September 30,</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20" w:type="dxa"/>
            <w:vAlign w:val="bottom"/>
            <w:gridSpan w:val="5"/>
          </w:tcPr>
          <w:p>
            <w:pPr>
              <w:ind w:left="40"/>
              <w:spacing w:after="0"/>
              <w:rPr>
                <w:sz w:val="20"/>
                <w:szCs w:val="20"/>
                <w:color w:val="auto"/>
              </w:rPr>
            </w:pPr>
            <w:r>
              <w:rPr>
                <w:rFonts w:ascii="Arial" w:cs="Arial" w:eastAsia="Arial" w:hAnsi="Arial"/>
                <w:sz w:val="13"/>
                <w:szCs w:val="13"/>
                <w:b w:val="1"/>
                <w:bCs w:val="1"/>
                <w:color w:val="auto"/>
              </w:rPr>
              <w:t>Nine Months Ended September 30,</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31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0"/>
                <w:szCs w:val="10"/>
                <w:color w:val="auto"/>
              </w:rPr>
            </w:pPr>
          </w:p>
        </w:tc>
        <w:tc>
          <w:tcPr>
            <w:tcW w:w="1200" w:type="dxa"/>
            <w:vAlign w:val="bottom"/>
            <w:gridSpan w:val="2"/>
          </w:tcPr>
          <w:p>
            <w:pPr>
              <w:jc w:val="center"/>
              <w:ind w:right="120"/>
              <w:spacing w:after="0" w:line="122" w:lineRule="exact"/>
              <w:rPr>
                <w:sz w:val="20"/>
                <w:szCs w:val="20"/>
                <w:color w:val="auto"/>
              </w:rPr>
            </w:pPr>
            <w:r>
              <w:rPr>
                <w:rFonts w:ascii="Arial" w:cs="Arial" w:eastAsia="Arial" w:hAnsi="Arial"/>
                <w:sz w:val="14"/>
                <w:szCs w:val="14"/>
                <w:b w:val="1"/>
                <w:bCs w:val="1"/>
                <w:color w:val="auto"/>
                <w:w w:val="92"/>
              </w:rPr>
              <w:t>Increase/</w:t>
            </w:r>
          </w:p>
        </w:tc>
        <w:tc>
          <w:tcPr>
            <w:tcW w:w="980" w:type="dxa"/>
            <w:vAlign w:val="bottom"/>
            <w:gridSpan w:val="2"/>
          </w:tcPr>
          <w:p>
            <w:pPr>
              <w:ind w:left="200"/>
              <w:spacing w:after="0" w:line="122" w:lineRule="exact"/>
              <w:rPr>
                <w:sz w:val="20"/>
                <w:szCs w:val="20"/>
                <w:color w:val="auto"/>
              </w:rPr>
            </w:pPr>
            <w:r>
              <w:rPr>
                <w:rFonts w:ascii="Arial" w:cs="Arial" w:eastAsia="Arial" w:hAnsi="Arial"/>
                <w:sz w:val="14"/>
                <w:szCs w:val="14"/>
                <w:b w:val="1"/>
                <w:bCs w:val="1"/>
                <w:color w:val="auto"/>
              </w:rPr>
              <w:t>Percent</w:t>
            </w: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31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0"/>
                <w:szCs w:val="10"/>
                <w:color w:val="auto"/>
              </w:rPr>
            </w:pPr>
          </w:p>
        </w:tc>
        <w:tc>
          <w:tcPr>
            <w:tcW w:w="1180" w:type="dxa"/>
            <w:vAlign w:val="bottom"/>
            <w:gridSpan w:val="2"/>
          </w:tcPr>
          <w:p>
            <w:pPr>
              <w:jc w:val="center"/>
              <w:ind w:right="100"/>
              <w:spacing w:after="0" w:line="122" w:lineRule="exact"/>
              <w:rPr>
                <w:sz w:val="20"/>
                <w:szCs w:val="20"/>
                <w:color w:val="auto"/>
              </w:rPr>
            </w:pPr>
            <w:r>
              <w:rPr>
                <w:rFonts w:ascii="Arial" w:cs="Arial" w:eastAsia="Arial" w:hAnsi="Arial"/>
                <w:sz w:val="14"/>
                <w:szCs w:val="14"/>
                <w:b w:val="1"/>
                <w:bCs w:val="1"/>
                <w:color w:val="auto"/>
                <w:w w:val="92"/>
              </w:rPr>
              <w:t>Increase/</w:t>
            </w:r>
          </w:p>
        </w:tc>
        <w:tc>
          <w:tcPr>
            <w:tcW w:w="720" w:type="dxa"/>
            <w:vAlign w:val="bottom"/>
          </w:tcPr>
          <w:p>
            <w:pPr>
              <w:jc w:val="right"/>
              <w:ind w:right="36"/>
              <w:spacing w:after="0" w:line="12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2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(Decrease)</w:t>
            </w:r>
          </w:p>
        </w:tc>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(Decrease)</w:t>
            </w:r>
          </w:p>
        </w:tc>
        <w:tc>
          <w:tcPr>
            <w:tcW w:w="720" w:type="dxa"/>
            <w:vAlign w:val="bottom"/>
          </w:tcPr>
          <w:p>
            <w:pPr>
              <w:jc w:val="right"/>
              <w:ind w:right="3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Wynn Palace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center"/>
              <w:ind w:left="158"/>
              <w:spacing w:after="0"/>
              <w:rPr>
                <w:sz w:val="20"/>
                <w:szCs w:val="20"/>
                <w:color w:val="auto"/>
              </w:rPr>
            </w:pPr>
            <w:r>
              <w:rPr>
                <w:rFonts w:ascii="Arial" w:cs="Arial" w:eastAsia="Arial" w:hAnsi="Arial"/>
                <w:sz w:val="18"/>
                <w:szCs w:val="18"/>
                <w:color w:val="auto"/>
                <w:w w:val="92"/>
              </w:rPr>
              <w:t>(77,647)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162,167</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(239,814)</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(178,379)</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551,918</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(730,297)</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Arial" w:cs="Arial" w:eastAsia="Arial" w:hAnsi="Arial"/>
                <w:sz w:val="18"/>
                <w:szCs w:val="18"/>
                <w:color w:val="auto"/>
              </w:rPr>
              <w:t>Wynn Macau</w:t>
            </w:r>
          </w:p>
        </w:tc>
        <w:tc>
          <w:tcPr>
            <w:tcW w:w="140" w:type="dxa"/>
            <w:vAlign w:val="bottom"/>
          </w:tcPr>
          <w:p>
            <w:pPr>
              <w:spacing w:after="0"/>
              <w:rPr>
                <w:sz w:val="19"/>
                <w:szCs w:val="19"/>
                <w:color w:val="auto"/>
              </w:rPr>
            </w:pPr>
          </w:p>
        </w:tc>
        <w:tc>
          <w:tcPr>
            <w:tcW w:w="940" w:type="dxa"/>
            <w:vAlign w:val="bottom"/>
          </w:tcPr>
          <w:p>
            <w:pPr>
              <w:jc w:val="center"/>
              <w:ind w:left="158"/>
              <w:spacing w:after="0"/>
              <w:rPr>
                <w:sz w:val="20"/>
                <w:szCs w:val="20"/>
                <w:color w:val="auto"/>
              </w:rPr>
            </w:pPr>
            <w:r>
              <w:rPr>
                <w:rFonts w:ascii="Arial" w:cs="Arial" w:eastAsia="Arial" w:hAnsi="Arial"/>
                <w:sz w:val="18"/>
                <w:szCs w:val="18"/>
                <w:color w:val="auto"/>
                <w:w w:val="92"/>
              </w:rPr>
              <w:t>(34,457)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138,989</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(173,446)</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(97,895)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478,751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(576,646)</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Las Vegas Operations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198"/>
              <w:spacing w:after="0"/>
              <w:rPr>
                <w:sz w:val="20"/>
                <w:szCs w:val="20"/>
                <w:color w:val="auto"/>
              </w:rPr>
            </w:pPr>
            <w:r>
              <w:rPr>
                <w:rFonts w:ascii="Arial" w:cs="Arial" w:eastAsia="Arial" w:hAnsi="Arial"/>
                <w:sz w:val="18"/>
                <w:szCs w:val="18"/>
                <w:color w:val="auto"/>
                <w:w w:val="90"/>
              </w:rPr>
              <w:t>20,258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(67,788)</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(77,383)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333,747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(411,130)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Arial" w:cs="Arial" w:eastAsia="Arial" w:hAnsi="Arial"/>
                <w:sz w:val="18"/>
                <w:szCs w:val="18"/>
                <w:color w:val="auto"/>
              </w:rPr>
              <w:t xml:space="preserve">Encore Boston Harbor </w:t>
            </w:r>
            <w:r>
              <w:rPr>
                <w:rFonts w:ascii="Arial" w:cs="Arial" w:eastAsia="Arial" w:hAnsi="Arial"/>
                <w:sz w:val="14"/>
                <w:szCs w:val="14"/>
                <w:color w:val="auto"/>
              </w:rPr>
              <w:t>(1)</w:t>
            </w:r>
          </w:p>
        </w:tc>
        <w:tc>
          <w:tcPr>
            <w:tcW w:w="140" w:type="dxa"/>
            <w:vAlign w:val="bottom"/>
          </w:tcPr>
          <w:p>
            <w:pPr>
              <w:spacing w:after="0"/>
              <w:rPr>
                <w:sz w:val="20"/>
                <w:szCs w:val="20"/>
                <w:color w:val="auto"/>
              </w:rPr>
            </w:pPr>
          </w:p>
        </w:tc>
        <w:tc>
          <w:tcPr>
            <w:tcW w:w="940" w:type="dxa"/>
            <w:vAlign w:val="bottom"/>
          </w:tcPr>
          <w:p>
            <w:pPr>
              <w:jc w:val="center"/>
              <w:ind w:left="198"/>
              <w:spacing w:after="0"/>
              <w:rPr>
                <w:sz w:val="20"/>
                <w:szCs w:val="20"/>
                <w:color w:val="auto"/>
              </w:rPr>
            </w:pPr>
            <w:r>
              <w:rPr>
                <w:rFonts w:ascii="Arial" w:cs="Arial" w:eastAsia="Arial" w:hAnsi="Arial"/>
                <w:sz w:val="18"/>
                <w:szCs w:val="18"/>
                <w:color w:val="auto"/>
                <w:w w:val="90"/>
              </w:rPr>
              <w:t>25,986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7,744</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18,242</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(40,429)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7,890</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(48,319)</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right="7320" w:firstLine="8"/>
        <w:spacing w:after="0" w:line="273" w:lineRule="auto"/>
        <w:tabs>
          <w:tab w:leader="none" w:pos="204" w:val="left"/>
        </w:tabs>
        <w:numPr>
          <w:ilvl w:val="0"/>
          <w:numId w:val="14"/>
        </w:numPr>
        <w:rPr>
          <w:rFonts w:ascii="Arial" w:cs="Arial" w:eastAsia="Arial" w:hAnsi="Arial"/>
          <w:sz w:val="14"/>
          <w:szCs w:val="14"/>
          <w:color w:val="auto"/>
        </w:rPr>
      </w:pPr>
      <w:r>
        <w:rPr>
          <w:rFonts w:ascii="Arial" w:cs="Arial" w:eastAsia="Arial" w:hAnsi="Arial"/>
          <w:sz w:val="14"/>
          <w:szCs w:val="14"/>
          <w:color w:val="auto"/>
        </w:rPr>
        <w:t>Encore Boston Harbor commenced operations on June 23, 2019. NM - Not meaningful.</w:t>
      </w:r>
    </w:p>
    <w:p>
      <w:pPr>
        <w:spacing w:after="0" w:line="20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Adjusted Property EBITDA at Wynn Palace decreased $239.8 million and $730.3 million for the three and nine months ended September 30, 2020, respectively, primarily due to a decline in operating revenues precipitated by the adverse effects of the COVID-19 pandemic during the three and nine months ended September 30, 2020, which include the closure of our casino operations in Macau for a 15-day period and their subsequent reopening on a reduced basis.</w:t>
      </w:r>
    </w:p>
    <w:p>
      <w:pPr>
        <w:spacing w:after="0" w:line="10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Adjusted Property EBITDA at Wynn Macau decreased $173.4 million and $576.6 million for the three and nine months ended September 30, 2020, respectively, primarily due to a decline in operating revenues precipitated by the adverse effects of the COVID-19 pandemic during the three and nine months ended September 30, 2020, which include the closure of our casino operations in Macau for a 15-day period and their subsequent reopening on a reduced basis.</w:t>
      </w:r>
    </w:p>
    <w:p>
      <w:pPr>
        <w:spacing w:after="0" w:line="11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Adjusted Property EBITDA decreased $67.8 million and $411.1 million at our Las Vegas Operations, primarily due to the adverse effects of the COVID-19 pandemic during the three and nine months ended September 30, 2020, including the closure of our Las Vegas Operations on March 17, 2020 for a 79-day period and their subsequent reopening on a reduced basis.</w:t>
      </w:r>
    </w:p>
    <w:p>
      <w:pPr>
        <w:spacing w:after="0" w:line="11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Adjusted Property EBITDA increased $18.2 million at Encore Boston Harbor primarily due the decrease in operating expenses during the three months ended September 30, 2020. Adjusted Property EBITDA from Encore Boston Harbor for the nine months ended September 30, 2020 was $(40.4) million. Encore Boston Harbor closed to the public on March 15, 2020 and reopened on July 10, 2020 on a reduced basis.</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Refer to the discussions above regarding the specific details of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cash flows were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4"/>
          </w:tcPr>
          <w:p>
            <w:pPr>
              <w:jc w:val="right"/>
              <w:ind w:right="851"/>
              <w:spacing w:after="0"/>
              <w:rPr>
                <w:sz w:val="20"/>
                <w:szCs w:val="20"/>
                <w:color w:val="auto"/>
              </w:rPr>
            </w:pPr>
            <w:r>
              <w:rPr>
                <w:rFonts w:ascii="Arial" w:cs="Arial" w:eastAsia="Arial" w:hAnsi="Arial"/>
                <w:sz w:val="14"/>
                <w:szCs w:val="14"/>
                <w:b w:val="1"/>
                <w:bCs w:val="1"/>
                <w:color w:val="auto"/>
              </w:rPr>
              <w:t>Nine Months Ended September 30,</w:t>
            </w:r>
          </w:p>
        </w:tc>
      </w:tr>
      <w:tr>
        <w:trPr>
          <w:trHeight w:val="216"/>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i w:val="1"/>
                <w:iCs w:val="1"/>
                <w:color w:val="auto"/>
              </w:rPr>
              <w:t>Cash Flows - Summary</w:t>
            </w:r>
          </w:p>
        </w:tc>
        <w:tc>
          <w:tcPr>
            <w:tcW w:w="4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b w:val="1"/>
                <w:bCs w:val="1"/>
                <w:color w:val="auto"/>
              </w:rPr>
              <w:t>2019</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(781,079)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779,885</w:t>
            </w: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 net of construction payables and retention</w:t>
            </w: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(878,335)</w:t>
            </w:r>
          </w:p>
        </w:tc>
      </w:tr>
      <w:tr>
        <w:trPr>
          <w:trHeight w:val="229"/>
        </w:trPr>
        <w:tc>
          <w:tcPr>
            <w:tcW w:w="7200" w:type="dxa"/>
            <w:vAlign w:val="bottom"/>
          </w:tcPr>
          <w:p>
            <w:pPr>
              <w:ind w:left="340"/>
              <w:spacing w:after="0"/>
              <w:rPr>
                <w:sz w:val="20"/>
                <w:szCs w:val="20"/>
                <w:color w:val="auto"/>
              </w:rPr>
            </w:pPr>
            <w:r>
              <w:rPr>
                <w:rFonts w:ascii="Arial" w:cs="Arial" w:eastAsia="Arial" w:hAnsi="Arial"/>
                <w:sz w:val="18"/>
                <w:szCs w:val="18"/>
                <w:color w:val="auto"/>
              </w:rPr>
              <w:t>Purchase of intangible and other assets</w:t>
            </w:r>
          </w:p>
        </w:tc>
        <w:tc>
          <w:tcPr>
            <w:tcW w:w="4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30"/>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assets and other</w:t>
            </w:r>
          </w:p>
        </w:tc>
        <w:tc>
          <w:tcPr>
            <w:tcW w:w="4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r>
      <w:tr>
        <w:trPr>
          <w:trHeight w:val="223"/>
        </w:trPr>
        <w:tc>
          <w:tcPr>
            <w:tcW w:w="7200" w:type="dxa"/>
            <w:vAlign w:val="bottom"/>
          </w:tcPr>
          <w:p>
            <w:pPr>
              <w:ind w:left="1100"/>
              <w:spacing w:after="0"/>
              <w:rPr>
                <w:sz w:val="20"/>
                <w:szCs w:val="20"/>
                <w:color w:val="auto"/>
              </w:rPr>
            </w:pPr>
            <w:r>
              <w:rPr>
                <w:rFonts w:ascii="Arial" w:cs="Arial" w:eastAsia="Arial" w:hAnsi="Arial"/>
                <w:sz w:val="18"/>
                <w:szCs w:val="18"/>
                <w:b w:val="1"/>
                <w:bCs w:val="1"/>
                <w:color w:val="auto"/>
              </w:rPr>
              <w:t>Net cash used in investing activities</w:t>
            </w:r>
          </w:p>
        </w:tc>
        <w:tc>
          <w:tcPr>
            <w:tcW w:w="4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(257,360)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(883,743)</w:t>
            </w:r>
          </w:p>
        </w:tc>
      </w:tr>
      <w:tr>
        <w:trPr>
          <w:trHeight w:val="270"/>
        </w:trPr>
        <w:tc>
          <w:tcPr>
            <w:tcW w:w="72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long-term debt</w:t>
            </w: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3,919,377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2,549,072</w:t>
            </w:r>
          </w:p>
        </w:tc>
      </w:tr>
      <w:tr>
        <w:trPr>
          <w:trHeight w:val="230"/>
        </w:trPr>
        <w:tc>
          <w:tcPr>
            <w:tcW w:w="7200" w:type="dxa"/>
            <w:vAlign w:val="bottom"/>
          </w:tcPr>
          <w:p>
            <w:pPr>
              <w:ind w:left="340"/>
              <w:spacing w:after="0"/>
              <w:rPr>
                <w:sz w:val="20"/>
                <w:szCs w:val="20"/>
                <w:color w:val="auto"/>
              </w:rPr>
            </w:pPr>
            <w:r>
              <w:rPr>
                <w:rFonts w:ascii="Arial" w:cs="Arial" w:eastAsia="Arial" w:hAnsi="Arial"/>
                <w:sz w:val="18"/>
                <w:szCs w:val="18"/>
                <w:color w:val="auto"/>
              </w:rPr>
              <w:t>Repayments of long-term debt</w:t>
            </w:r>
          </w:p>
        </w:tc>
        <w:tc>
          <w:tcPr>
            <w:tcW w:w="4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(1,540,609)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(2,443,367)</w:t>
            </w:r>
          </w:p>
        </w:tc>
      </w:tr>
      <w:tr>
        <w:trPr>
          <w:trHeight w:val="229"/>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common stock</w:t>
            </w: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(65,705)</w:t>
            </w:r>
          </w:p>
        </w:tc>
      </w:tr>
      <w:tr>
        <w:trPr>
          <w:trHeight w:val="229"/>
        </w:trPr>
        <w:tc>
          <w:tcPr>
            <w:tcW w:w="7200" w:type="dxa"/>
            <w:vAlign w:val="bottom"/>
          </w:tcPr>
          <w:p>
            <w:pPr>
              <w:ind w:left="340"/>
              <w:spacing w:after="0"/>
              <w:rPr>
                <w:sz w:val="20"/>
                <w:szCs w:val="20"/>
                <w:color w:val="auto"/>
              </w:rPr>
            </w:pPr>
            <w:r>
              <w:rPr>
                <w:rFonts w:ascii="Arial" w:cs="Arial" w:eastAsia="Arial" w:hAnsi="Arial"/>
                <w:sz w:val="18"/>
                <w:szCs w:val="18"/>
                <w:color w:val="auto"/>
              </w:rPr>
              <w:t>Finance lease payment</w:t>
            </w:r>
          </w:p>
        </w:tc>
        <w:tc>
          <w:tcPr>
            <w:tcW w:w="4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14,696</w:t>
            </w:r>
          </w:p>
        </w:tc>
      </w:tr>
      <w:tr>
        <w:trPr>
          <w:trHeight w:val="229"/>
        </w:trPr>
        <w:tc>
          <w:tcPr>
            <w:tcW w:w="7200" w:type="dxa"/>
            <w:vAlign w:val="bottom"/>
          </w:tcPr>
          <w:p>
            <w:pPr>
              <w:ind w:left="340"/>
              <w:spacing w:after="0"/>
              <w:rPr>
                <w:sz w:val="20"/>
                <w:szCs w:val="20"/>
                <w:color w:val="auto"/>
              </w:rPr>
            </w:pPr>
            <w:r>
              <w:rPr>
                <w:rFonts w:ascii="Arial" w:cs="Arial" w:eastAsia="Arial" w:hAnsi="Arial"/>
                <w:sz w:val="18"/>
                <w:szCs w:val="18"/>
                <w:color w:val="auto"/>
              </w:rPr>
              <w:t>Dividends paid</w:t>
            </w:r>
          </w:p>
        </w:tc>
        <w:tc>
          <w:tcPr>
            <w:tcW w:w="4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(108,282)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(460,139)</w:t>
            </w:r>
          </w:p>
        </w:tc>
      </w:tr>
      <w:tr>
        <w:trPr>
          <w:trHeight w:val="229"/>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 to noncontrolling interest</w:t>
            </w: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w:t>
            </w:r>
          </w:p>
        </w:tc>
      </w:tr>
      <w:tr>
        <w:trPr>
          <w:trHeight w:val="230"/>
        </w:trPr>
        <w:tc>
          <w:tcPr>
            <w:tcW w:w="7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Payments for financing costs</w:t>
            </w:r>
          </w:p>
        </w:tc>
        <w:tc>
          <w:tcPr>
            <w:tcW w:w="4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(22,359)</w:t>
            </w:r>
          </w:p>
        </w:tc>
      </w:tr>
      <w:tr>
        <w:trPr>
          <w:trHeight w:val="223"/>
        </w:trPr>
        <w:tc>
          <w:tcPr>
            <w:tcW w:w="7200" w:type="dxa"/>
            <w:vAlign w:val="bottom"/>
            <w:shd w:val="clear" w:color="auto" w:fill="CCEEFF"/>
          </w:tcPr>
          <w:p>
            <w:pPr>
              <w:ind w:left="11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2,236,479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(431,563)</w:t>
            </w:r>
          </w:p>
        </w:tc>
      </w:tr>
      <w:tr>
        <w:trPr>
          <w:trHeight w:val="270"/>
        </w:trPr>
        <w:tc>
          <w:tcPr>
            <w:tcW w:w="7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Effect of exchange rate on cash, cash equivalents and restricted cash</w:t>
            </w:r>
          </w:p>
        </w:tc>
        <w:tc>
          <w:tcPr>
            <w:tcW w:w="4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3,412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(1,610)</w:t>
            </w: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Increase (decrease) in cash, cash equivalents and restricted cash</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1,201,452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(537,031)</w:t>
            </w:r>
          </w:p>
        </w:tc>
      </w:tr>
      <w:tr>
        <w:trPr>
          <w:trHeight w:val="20"/>
        </w:trPr>
        <w:tc>
          <w:tcPr>
            <w:tcW w:w="7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operating cash flows primarily consist of operating income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international customers who gamble on credit. The ability to collect these gaming receivables may impact our operating cash flow for the period. Our rooms, food and beverage, and entertainment, retail and other revenue is conducted on a cash and credit basis. Accordingly, operating cash flows will be impacted by changes in operating income and accounts receivable, net.</w:t>
      </w:r>
    </w:p>
    <w:p>
      <w:pPr>
        <w:spacing w:after="0" w:line="19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nine months ended September 30, 2020, the decrease in net cash provided by operations was primarily due to the adverse effects of the COVID-19 pandemic on the results of our operations. During the nine months ended September 30, 2019, the increase in net cash provided by operations was primarily driven by changes in our working capital accounts and an increase in deferred tax assets related to the settlement of the Redemption Note during the nine months ended September 30, 2018.</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Our investing activities primarily consist of project capital expenditures, such as the construction of Encore Boston Harbor, which opened in June 2019, and the construction of the meeting and convention expansion at Wynn Las Vegas, which opened in February 2020, as well as maintenance capital expenditures associated with maintaining and continually refining our world-class integrated resort properties. In light of the unprecedented COVID-19 pandemic and our focus on safeguarding the Company's operations and the well-being of our employees, we expect to temporarily postpone major project capital expenditures for the remainder of fiscal year 2020, including the Wynn Tower room remodel at Wynn Las Vegas. We will be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continuously monitoring the situation and conditions in the markets in which we operate, and will resume such project capital expenditures when conditions have stabilized.</w:t>
      </w:r>
    </w:p>
    <w:p>
      <w:pPr>
        <w:spacing w:after="0" w:line="19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During the nine months ended September 30, 2020, we incurred capital expenditures of $56.2 million at Encore Boston Harbor primarily for the payment of construction retention and other payables related to its construction, $81.5 million at our Las Vegas Operations for restaurant remodels and maintenance capital expenditures, $41.3 million for the construction of the additional meeting and convention space at Wynn Las Vegas, and $38.5 million and $42.1 million at Wynn Palace and Wynn Macau, respectively, primarily related to maintenance capital expenditures.</w:t>
      </w:r>
    </w:p>
    <w:p>
      <w:pPr>
        <w:spacing w:after="0" w:line="19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During the nine months ended September 30, 2019, we incurred capital expenditures of $421.4 million related to the construction of Encore Boston Harbor, $104.1 million at Wynn Macau primarily related to the room remodel and Lakeside Casino renovation, $47.2 million and $71.9 million at Wynn Palace and our Las Vegas Operations, respectively, primarily related to maintenance capital expenditures, and $166.4 million primarily related to the construction of the additional meeting and convention space at Wynn Las Vegas and the reconfiguration of the Wynn Las Vegas golf course.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During the nine months ended September 30, 2020, we issued $1.0 billion aggregate principal amount of WML 5 1/2% Senior Notes due 2026, issued $600.0 million aggregate principal amount of WML 5 5/8% Senior Notes due 2028, issued $600.0 million aggregate principal amount of WRF 7 3/4% Senior Notes due 2025, borrowed $400.0 million, net of amounts repaid, under the Wynn Macau Revolver, borrowed $816.0 million under the WRF Revolver, paid $1.0 billion of outstanding principal owed under the Wynn Macau Term Loan, and made quarterly amortization payments under the WRF Term Loan totaling $37.5 million. In addition, we used cash of $108.3 million for the payment of dividends.</w:t>
      </w:r>
    </w:p>
    <w:p>
      <w:pPr>
        <w:spacing w:after="0" w:line="20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nine months ended September 30, 2019, we borrowed an additional $250.0 million term loan under the Wynn Resorts Credit Agreement and repaid $991.3 million of outstanding principal under the Wynn America Credit Facilities and $746.3 million of outstanding principal under the Wynn Resorts Term Loan using proceeds from the borrowing of $1.03 billion under the WRF Credit Facilities and issuance of $750.0 million of WRF 2029 notes. We also repaid $174.7 million, net of amounts borrowed, on the Wynn Macau Senior Revolving Credit Facility. In addition, we used cash of $460.1 million for the payment of dividends.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5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COVID-19 pandemic has caused, and is continuing to cause, significant disruption in the financial markets both globally and in the United States, and has impacted and will continue to impact, materially, our business, financial condition and results of operations. While we believe our strong liquidity position will enable us to fund our current obligations for the foreseeable future, COVID-19 has resulted in significant disruption, which has had and will continue to have a negative impact on our operating income and could have a negative impact on our ability to access capital in the future. We continue to monitor the rapidly evolving situation and guidance from international and domestic authorities.</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unrestricted cash and cash equivalents and available revolver borrowing capacity under the Company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Total Cash and Cash</w:t>
            </w:r>
          </w:p>
        </w:tc>
        <w:tc>
          <w:tcPr>
            <w:tcW w:w="180" w:type="dxa"/>
            <w:vAlign w:val="bottom"/>
          </w:tcPr>
          <w:p>
            <w:pPr>
              <w:spacing w:after="0"/>
              <w:rPr>
                <w:sz w:val="14"/>
                <w:szCs w:val="14"/>
                <w:color w:val="auto"/>
              </w:rPr>
            </w:pPr>
          </w:p>
        </w:tc>
        <w:tc>
          <w:tcPr>
            <w:tcW w:w="1580" w:type="dxa"/>
            <w:vAlign w:val="bottom"/>
          </w:tcPr>
          <w:p>
            <w:pPr>
              <w:jc w:val="right"/>
              <w:ind w:right="175"/>
              <w:spacing w:after="0"/>
              <w:rPr>
                <w:sz w:val="20"/>
                <w:szCs w:val="20"/>
                <w:color w:val="auto"/>
              </w:rPr>
            </w:pPr>
            <w:r>
              <w:rPr>
                <w:rFonts w:ascii="Arial" w:cs="Arial" w:eastAsia="Arial" w:hAnsi="Arial"/>
                <w:sz w:val="14"/>
                <w:szCs w:val="14"/>
                <w:b w:val="1"/>
                <w:bCs w:val="1"/>
                <w:color w:val="auto"/>
                <w:w w:val="97"/>
              </w:rPr>
              <w:t>Revolver Borrowing</w:t>
            </w:r>
          </w:p>
        </w:tc>
      </w:tr>
      <w:tr>
        <w:trPr>
          <w:trHeight w:val="188"/>
        </w:trPr>
        <w:tc>
          <w:tcPr>
            <w:tcW w:w="7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Equivalents</w:t>
            </w:r>
          </w:p>
        </w:tc>
        <w:tc>
          <w:tcPr>
            <w:tcW w:w="180" w:type="dxa"/>
            <w:vAlign w:val="bottom"/>
          </w:tcPr>
          <w:p>
            <w:pPr>
              <w:spacing w:after="0"/>
              <w:rPr>
                <w:sz w:val="16"/>
                <w:szCs w:val="16"/>
                <w:color w:val="auto"/>
              </w:rPr>
            </w:pPr>
          </w:p>
        </w:tc>
        <w:tc>
          <w:tcPr>
            <w:tcW w:w="1580" w:type="dxa"/>
            <w:vAlign w:val="bottom"/>
          </w:tcPr>
          <w:p>
            <w:pPr>
              <w:jc w:val="right"/>
              <w:ind w:right="515"/>
              <w:spacing w:after="0"/>
              <w:rPr>
                <w:sz w:val="20"/>
                <w:szCs w:val="20"/>
                <w:color w:val="auto"/>
              </w:rPr>
            </w:pPr>
            <w:r>
              <w:rPr>
                <w:rFonts w:ascii="Arial" w:cs="Arial" w:eastAsia="Arial" w:hAnsi="Arial"/>
                <w:sz w:val="14"/>
                <w:szCs w:val="14"/>
                <w:b w:val="1"/>
                <w:bCs w:val="1"/>
                <w:color w:val="auto"/>
              </w:rPr>
              <w:t>Capacity</w:t>
            </w:r>
          </w:p>
        </w:tc>
      </w:tr>
      <w:tr>
        <w:trPr>
          <w:trHeight w:val="224"/>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Wynn Resorts (Macau) S.A. and subsidiaries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633,388</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 xml:space="preserve">Wynn Macau, Limited and subsidiaries </w:t>
            </w:r>
            <w:r>
              <w:rPr>
                <w:rFonts w:ascii="Arial" w:cs="Arial" w:eastAsia="Arial" w:hAnsi="Arial"/>
                <w:sz w:val="14"/>
                <w:szCs w:val="14"/>
                <w:color w:val="auto"/>
              </w:rPr>
              <w:t>(1)</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1,647,826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Wynn Resorts Finance, LLC </w:t>
            </w:r>
            <w:r>
              <w:rPr>
                <w:rFonts w:ascii="Arial" w:cs="Arial" w:eastAsia="Arial" w:hAnsi="Arial"/>
                <w:sz w:val="14"/>
                <w:szCs w:val="14"/>
                <w:color w:val="auto"/>
              </w:rPr>
              <w:t>(2)</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391,807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15,950</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Wynn Resorts, Limited and other</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881,874</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cash and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3,554,895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15,950</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Excluding Wynn Resorts (Macau) S.A. and subsidiaries.</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Excluding Wynn Macau, Limited and subsidiaries.</w:t>
      </w:r>
    </w:p>
    <w:p>
      <w:pPr>
        <w:spacing w:after="0" w:line="23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i w:val="1"/>
          <w:iCs w:val="1"/>
          <w:color w:val="auto"/>
        </w:rPr>
        <w:t xml:space="preserve">Wynn Resorts (Macau) S.A. and subsidiaries. </w:t>
      </w:r>
      <w:r>
        <w:rPr>
          <w:rFonts w:ascii="Arial" w:cs="Arial" w:eastAsia="Arial" w:hAnsi="Arial"/>
          <w:sz w:val="17"/>
          <w:szCs w:val="17"/>
          <w:color w:val="auto"/>
        </w:rPr>
        <w:t>Wynn Resorts (Macau) S.A. ("Wynn Macau SA") generates cash from our Macau Operations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utilizes its revolver to fund short term working capital requirements as needed. We expect to use this cash to service our existing Wynn Macau Credit Facilities, make distributions to WML, and fund working capital and capital expenditure requirements at our Macau Operations.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Wynn Macau Credit Facilities contain customary negative and financial covenants, including, but not limited to, leverage ratio and interest coverage ratio tests (as defined in the Wynn Macau Credit Facilities) that could restrict its ability to make distributions to WML and incur additional indebtedness. Wynn Macau SA is required to maintain a leverage ratio of not greater than 4.00 to 1 and an interest coverage ratio of not less than 2.00 to 1. Wynn Macau SA complied with these ratios for the three months ended September 30, 2020.</w:t>
      </w:r>
    </w:p>
    <w:p>
      <w:pPr>
        <w:spacing w:after="0" w:line="21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 xml:space="preserve">Wynn Macau, Limited and subsidiaries. </w:t>
      </w:r>
      <w:r>
        <w:rPr>
          <w:rFonts w:ascii="Arial" w:cs="Arial" w:eastAsia="Arial" w:hAnsi="Arial"/>
          <w:sz w:val="18"/>
          <w:szCs w:val="18"/>
          <w:color w:val="auto"/>
        </w:rPr>
        <w:t>Wynn Macau, Limited ("WML") primarily generates cash through distributions from Wynn Macau SA. We</w:t>
      </w:r>
      <w:r>
        <w:rPr>
          <w:rFonts w:ascii="Arial" w:cs="Arial" w:eastAsia="Arial" w:hAnsi="Arial"/>
          <w:sz w:val="18"/>
          <w:szCs w:val="18"/>
          <w:i w:val="1"/>
          <w:iCs w:val="1"/>
          <w:color w:val="auto"/>
        </w:rPr>
        <w:t xml:space="preserve"> </w:t>
      </w:r>
      <w:r>
        <w:rPr>
          <w:rFonts w:ascii="Arial" w:cs="Arial" w:eastAsia="Arial" w:hAnsi="Arial"/>
          <w:sz w:val="18"/>
          <w:szCs w:val="18"/>
          <w:color w:val="auto"/>
        </w:rPr>
        <w:t>expect to use WML's cash to service our existing WML Notes, pay dividends to shareholders of WML (of which we own approximately 72%), and fund working capital requirements at WML.</w:t>
      </w:r>
    </w:p>
    <w:p>
      <w:pPr>
        <w:spacing w:after="0" w:line="2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board of directors of WML concluded not to recommend the payment of a dividend with respect to the year ended December 31, 2019, in light of the unprecedented COVID-19 pandemic and our focus on safeguarding the Company's Macau Operations and the well-being of our employees. The WML board of directors will be continuously monitoring the situation and market conditions in Macau and Greater China and may consider a special dividend in the future when such conditions have stabilized.</w:t>
      </w:r>
    </w:p>
    <w:p>
      <w:pPr>
        <w:spacing w:after="0" w:line="21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On June 19, 2020, WML issued $750.0 million aggregate principal amount of 5 1/2% Senior Notes due 2026 (the "2026 WML Notes") pursuant to an indenture (the "2026 Indenture"). The 2026 WML Notes were issued at par. On August 26, 2020, WML issued $250.0 million aggregate principal amount of 5 1/2% Senior Notes due 2026 and $600.0 million aggregate principal amount of 5 5/8% Senior Notes due 2028. WML intends to use the net proceeds from the Existing 2026 WML Notes for general corporate purposes until WML's business recovers from the effects of the COVID-19 pandemic, and then to facilitate the repayment of a portion of the amounts outstanding under the Wynn Macau Credit Facilities. WML used the net proceeds from the Additional 2026 and 2028 WML Notes to facilitate the prepayment of term loans outstanding under the Wynn Macau Credit Facilities in September 2020.</w:t>
      </w:r>
    </w:p>
    <w:p>
      <w:pPr>
        <w:spacing w:after="0" w:line="19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If our portion of our cash and cash equivalents were repatriated to the U.S. on September 30, 2020, it would be subject to minimal U.S. taxes in the year of repatriation.</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Wynn Resorts Finance, LLC and subsidiaries. </w:t>
      </w:r>
      <w:r>
        <w:rPr>
          <w:rFonts w:ascii="Arial" w:cs="Arial" w:eastAsia="Arial" w:hAnsi="Arial"/>
          <w:sz w:val="18"/>
          <w:szCs w:val="18"/>
          <w:color w:val="auto"/>
        </w:rPr>
        <w:t>Wynn Resorts Finance, LLC ("WRF" or "Wynn Resorts Finance") generates cash from distributions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from its subsidiaries, which include our Macau Operations, Wynn Las Vegas, and Encore Boston Harbor, and contributions from Wynn Resorts, as required. In addition, WRF may utilize its available revolving borrowing capacity as needed. We expect to use this cash to service our WRF Credit Facilities, 2025 WRF Notes (as defined below), 2029 WRF Notes, and WLV Notes, and to fund working capital and capital expenditure requirements as needed.</w:t>
      </w:r>
    </w:p>
    <w:p>
      <w:pPr>
        <w:spacing w:after="0" w:line="21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April 2020, WRF and its subsidiary, Wynn Resorts Capital Corp. (collectively with WRF, the "WRF Issuers"), each an indirect wholly-owned subsidiary of the Company, issued $600 million aggregate principal amount of 7 3/4% Senior Notes due 2025 (the "2025 WRF Notes") pursuant to an indenture (the "2025 Indenture") among the WRF Issuers, the guarantors party thereto and U.S. Bank National Association, as trustee (the "Trustee"), in a private offering. The 2025 WRF Notes were issued at par. WRF plans to use the net proceeds from the offering for general corporate purposes and to pay related fees and expenses.</w:t>
      </w:r>
    </w:p>
    <w:p>
      <w:pPr>
        <w:spacing w:after="0" w:line="21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In April 2020, WRF and certain of its subsidiaries entered into an amendment (the "WRF Credit Agreement Amendment") to its existing credit agreement (the "WRF Credit Agreement"). The WRF Credit Agreement Amendment provides for a financial covenant relief period through April 1, 2021, during which the existing consolidated first lien net leverage ratio financial covenant is replaced by a requirement for WRF to maintain minimum liquidity of at least $300.0 million at all times. Following the financial covenant relief period, WRF is subject to a financial covenant increase period beginning on the first day after the expiration of the financial covenant relief period and ending on the first day of the fourth fiscal quarter after the expiration of the financial covenant relief period, during which WRF must maintain a consolidated first lien net leverage ratio no greater than 4.50 to 1 during the first quarter of the financial covenant increase period, no greater than 4.25 to 1 for the second fiscal quarter, no greater than 4.00 to 1 for the third fiscal quarter, and no greater than 3.75 to 1 for the fourth fiscal quarter of the financial covenant increase period and for each subsequent fiscal quarter thereafter. The WRF Credit Agreement Amendment also adds certain restrictions on restricted payments during the financial covenant relief period and the financial covenant increase period.</w:t>
      </w:r>
    </w:p>
    <w:p>
      <w:pPr>
        <w:spacing w:after="0" w:line="2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WRF is a holding company and, as a result, its ability to pay dividends to Wynn Resorts is dependent on WRF receiving distributions from its subsidiaries, which include WML, Wynn Las Vegas, LLC, and Wynn MA, LLC (the owner and operator of Encore Boston Harbor). The WRF Credit Agreement contains customary negative and financial covenants, including, but not limited to, covenants that restrict WRF's ability to pay dividends or distributions and incur additional indebtedness.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As previously disclosed, we are in the planning phase of a room remodel of the Wynn Tower at Wynn Las Vegas. We have concluded to temporarily postpone the remodel until conditions have stabilized (as discussed above within </w:t>
      </w:r>
      <w:r>
        <w:rPr>
          <w:rFonts w:ascii="Arial" w:cs="Arial" w:eastAsia="Arial" w:hAnsi="Arial"/>
          <w:sz w:val="17"/>
          <w:szCs w:val="17"/>
          <w:i w:val="1"/>
          <w:iCs w:val="1"/>
          <w:color w:val="auto"/>
        </w:rPr>
        <w:t>Investing Activities</w:t>
      </w:r>
      <w:r>
        <w:rPr>
          <w:rFonts w:ascii="Arial" w:cs="Arial" w:eastAsia="Arial" w:hAnsi="Arial"/>
          <w:sz w:val="17"/>
          <w:szCs w:val="17"/>
          <w:color w:val="auto"/>
        </w:rPr>
        <w:t>). Accordingly, at this time we do not expect to incur significant capital expenditures associated with the Wynn Tower room remodel during the remainder of fiscal year 2020.</w:t>
      </w:r>
    </w:p>
    <w:p>
      <w:pPr>
        <w:spacing w:after="0" w:line="19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 xml:space="preserve">Wynn Resorts, Limited and other subsidiaries. </w:t>
      </w:r>
      <w:r>
        <w:rPr>
          <w:rFonts w:ascii="Arial" w:cs="Arial" w:eastAsia="Arial" w:hAnsi="Arial"/>
          <w:sz w:val="17"/>
          <w:szCs w:val="17"/>
          <w:color w:val="auto"/>
        </w:rPr>
        <w:t>Wynn Resorts, Limited is a holding company and, as a result, our ability to pay dividends is dependent</w:t>
      </w:r>
      <w:r>
        <w:rPr>
          <w:rFonts w:ascii="Arial" w:cs="Arial" w:eastAsia="Arial" w:hAnsi="Arial"/>
          <w:sz w:val="17"/>
          <w:szCs w:val="17"/>
          <w:i w:val="1"/>
          <w:iCs w:val="1"/>
          <w:color w:val="auto"/>
        </w:rPr>
        <w:t xml:space="preserve"> </w:t>
      </w:r>
      <w:r>
        <w:rPr>
          <w:rFonts w:ascii="Arial" w:cs="Arial" w:eastAsia="Arial" w:hAnsi="Arial"/>
          <w:sz w:val="17"/>
          <w:szCs w:val="17"/>
          <w:color w:val="auto"/>
        </w:rPr>
        <w:t>on our ability to obtain funds and our subsidiaries' ability to provide funds to us. Wynn Resorts, Limited and other primarily generates cash from royalty and management agreements with our resorts, dividends and distributions from our subsidiaries, and the operations of the Retail Joint Venture of which we own 50.1%. We expect to use this cash to service our Retail Term Loan and for general corporate purposes.</w:t>
      </w:r>
    </w:p>
    <w:p>
      <w:pPr>
        <w:spacing w:after="0" w:line="19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May 5, 2020, certain subsidiaries of the Retail Joint Venture entered into an amendment to the existing retail term loan agreement to temporarily suspend the requirement to maintain certain financial ratios to avoid triggering excess cash sweep provisions from the first quarter of 2020 through the fourth quarter of 2021.</w:t>
      </w:r>
    </w:p>
    <w:p>
      <w:pPr>
        <w:spacing w:after="0" w:line="211" w:lineRule="exact"/>
        <w:rPr>
          <w:sz w:val="20"/>
          <w:szCs w:val="20"/>
          <w:color w:val="auto"/>
        </w:rPr>
      </w:pPr>
    </w:p>
    <w:p>
      <w:pPr>
        <w:jc w:val="both"/>
        <w:ind w:right="20" w:firstLine="405"/>
        <w:spacing w:after="0" w:line="261" w:lineRule="auto"/>
        <w:rPr>
          <w:sz w:val="20"/>
          <w:szCs w:val="20"/>
          <w:color w:val="auto"/>
        </w:rPr>
      </w:pPr>
      <w:r>
        <w:rPr>
          <w:rFonts w:ascii="Arial" w:cs="Arial" w:eastAsia="Arial" w:hAnsi="Arial"/>
          <w:sz w:val="18"/>
          <w:szCs w:val="18"/>
          <w:color w:val="auto"/>
        </w:rPr>
        <w:t>On May 6, 2020, the Company announced that it has suspended its quarterly dividend program due to the financial impact of the COVID-19 pandemic.</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Factors Affecting Liquidity</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may refinance all or a portion of our indebtedness on or before maturity. We cannot assure you that we will be able to refinance any of the indebtedness on acceptable terms or at all.</w:t>
      </w:r>
    </w:p>
    <w:p>
      <w:pPr>
        <w:spacing w:after="0" w:line="1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Item 1—"Notes to Condensed Consolidated Financial Statements," Note 14, "Commitments and Contingencies."</w:t>
      </w:r>
    </w:p>
    <w:p>
      <w:pPr>
        <w:spacing w:after="0" w:line="21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Our Board of Directors has authorized an equity repurchase program of up to $1.0 billion. Under the equity repurchase program, we may repurchase the Company's outstanding shares from time to time through open market purchases, in privately negotiated transactions, and under plans complying with Rules 10b5-1 and 10b-18 under the Exchange Act. As of September 30, 2020, we had $800.1 million in repurchase authority remaining under the program.</w:t>
      </w:r>
    </w:p>
    <w:p>
      <w:pPr>
        <w:spacing w:after="0" w:line="17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w:t>
      </w:r>
    </w:p>
    <w:p>
      <w:pPr>
        <w:spacing w:after="0" w:line="21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may require us to obtain additional financing. We may decide to conduct any such development through Wynn Resorts, Limited or through subsidiaries separate from the Las Vegas, Boston or Macau-related entities.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Off-Balance Sheet Arrangements</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an interest rate collar associated with our Retail Term Loan. We do not have any retained or contingent interest in assets transferred to an unconsolidated entity. As of September 30, 2020, we had outstanding letters of credit totaling $18.1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 description of our critical accounting policies is included in Item 7 of our Annual Report on Form 10-K for the year ended December 31, 2019.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to these policies for the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 and Accounting Standards Issued But Not Yet Adopted</w:t>
      </w:r>
    </w:p>
    <w:p>
      <w:pPr>
        <w:spacing w:after="0" w:line="25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See related disclosure in Item 1—"Notes to Condensed Consolidated Financial Statements," Note 2, "Basis of Presentation and Significant Accounting Policies."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make forward-looking statements in this Annual Report on Form 10-K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21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1A—"Risk Factors" and other factors we describe from time to time in our periodic filings with the SEC, such as:</w:t>
      </w:r>
    </w:p>
    <w:p>
      <w:pPr>
        <w:spacing w:after="0" w:line="211" w:lineRule="exact"/>
        <w:rPr>
          <w:sz w:val="20"/>
          <w:szCs w:val="20"/>
          <w:color w:val="auto"/>
        </w:rPr>
      </w:pPr>
    </w:p>
    <w:p>
      <w:pPr>
        <w:jc w:val="both"/>
        <w:ind w:left="1300" w:hanging="644"/>
        <w:spacing w:after="0" w:line="269" w:lineRule="auto"/>
        <w:tabs>
          <w:tab w:leader="none" w:pos="129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duration and severity of the COVID-19 pandemic, the adverse effects of the COVID-19 pandemic, including government-mandated property closures, travel restrictions or social distancing or quarantine measures, the macroeconomic conditions during and after the COVID-19 pandemic, including potential higher unemployment rates, declines in income levels and loss of personal wealth resulting from the COVID-19 pandemic and its impact on consumer behavior related to discretionary spending and traveling;</w:t>
      </w:r>
    </w:p>
    <w:p>
      <w:pPr>
        <w:spacing w:after="0" w:line="1" w:lineRule="exact"/>
        <w:rPr>
          <w:rFonts w:ascii="Arial" w:cs="Arial" w:eastAsia="Arial" w:hAnsi="Arial"/>
          <w:sz w:val="17"/>
          <w:szCs w:val="17"/>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extensive regulation of our business and the cost of compliance or failure to comply with applicable laws and regulations;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pending or future claims and legal proceedings, regulatory or enforcement actions or probity investigations;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our gaming licenses and concessions;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dependence on key employees;</w:t>
      </w:r>
    </w:p>
    <w:p>
      <w:pPr>
        <w:spacing w:after="0" w:line="9" w:lineRule="exact"/>
        <w:rPr>
          <w:rFonts w:ascii="Arial" w:cs="Arial" w:eastAsia="Arial" w:hAnsi="Arial"/>
          <w:sz w:val="18"/>
          <w:szCs w:val="18"/>
          <w:color w:val="auto"/>
        </w:rPr>
      </w:pPr>
    </w:p>
    <w:p>
      <w:pPr>
        <w:ind w:left="1300" w:hanging="644"/>
        <w:spacing w:after="0" w:line="250"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global political and economic conditions, in the U.S. and China (including COVID-19 and the Chinese government's ongoing anti-corruption campaign), which may impact levels of travel, leisure, and consumer spending;</w:t>
      </w: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tightened control of certain cross-border fund transfers from mainland China;</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or conditions on visitation (caused by COVID-19 or otherwise) to Macau and the United States;</w:t>
      </w:r>
    </w:p>
    <w:p>
      <w:pPr>
        <w:spacing w:after="0" w:line="9" w:lineRule="exact"/>
        <w:rPr>
          <w:rFonts w:ascii="Arial" w:cs="Arial" w:eastAsia="Arial" w:hAnsi="Arial"/>
          <w:sz w:val="18"/>
          <w:szCs w:val="18"/>
          <w:color w:val="auto"/>
        </w:rPr>
      </w:pPr>
    </w:p>
    <w:p>
      <w:pPr>
        <w:jc w:val="both"/>
        <w:ind w:left="1300" w:hanging="644"/>
        <w:spacing w:after="0" w:line="250"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on the travel and leisure industry from factors such as an outbreak of an infectious disease, such as COVID-19, public incidents of violence, riots, demonstrations, extreme weather patterns or natural disasters, military conflicts, civil unrest, and any future security alerts and/or terrorist attacks;</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receivables;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relationships with Macau gaming promoters;</w:t>
      </w:r>
    </w:p>
    <w:p>
      <w:pPr>
        <w:spacing w:after="0" w:line="9" w:lineRule="exact"/>
        <w:rPr>
          <w:rFonts w:ascii="Arial" w:cs="Arial" w:eastAsia="Arial" w:hAnsi="Arial"/>
          <w:sz w:val="18"/>
          <w:szCs w:val="18"/>
          <w:color w:val="auto"/>
        </w:rPr>
      </w:pPr>
    </w:p>
    <w:p>
      <w:pPr>
        <w:ind w:left="1300" w:hanging="644"/>
        <w:spacing w:after="0" w:line="250"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 and our subsidiaries' ability to pay us dividends and distributions;</w:t>
      </w:r>
    </w:p>
    <w:p>
      <w:pPr>
        <w:ind w:left="1300" w:right="20" w:hanging="644"/>
        <w:spacing w:after="0" w:line="250"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 including new development and construction activities of competitors;</w:t>
      </w:r>
    </w:p>
    <w:p>
      <w:pPr>
        <w:jc w:val="both"/>
        <w:ind w:left="1300" w:hanging="644"/>
        <w:spacing w:after="0" w:line="250"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factors affecting the development and success of new gaming and resort properties (including limited labor resources, government labor and gaming policies and transportation infrastructure in Macau; and cost increases, environmental regulation, and our ability to secure necessary permits and approvals);</w:t>
      </w:r>
    </w:p>
    <w:p>
      <w:pPr>
        <w:spacing w:after="0" w:line="1" w:lineRule="exact"/>
        <w:rPr>
          <w:rFonts w:ascii="Arial" w:cs="Arial" w:eastAsia="Arial" w:hAnsi="Arial"/>
          <w:sz w:val="18"/>
          <w:szCs w:val="18"/>
          <w:color w:val="auto"/>
        </w:rPr>
      </w:pPr>
    </w:p>
    <w:p>
      <w:pPr>
        <w:ind w:left="1300" w:hanging="644"/>
        <w:spacing w:after="0" w:line="265" w:lineRule="auto"/>
        <w:tabs>
          <w:tab w:leader="none" w:pos="1295"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construction risks (including disputes with and defaults by contractors and subcontractors; construction, equipment or staffing problems; shortages of materials or skilled labor; environment, health and safety issues; and unanticipated cost increases);</w:t>
      </w: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legalization and growth of gaming in other jurisdictions;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Foreign Corrupt Practices Act;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incidents or adverse publicity concerning our resorts or our corporate responsibilities;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gaming laws or regulations;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federal, foreign, or state tax laws or the administration of such laws;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continued compliance with all provisions in our debt agreements;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300" w:hanging="644"/>
        <w:spacing w:after="0" w:line="258"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cybersecurity risk, including cyber and physical security breaches, system failure, computer viruses, and negligent or intentional misuse by customers, company employees, or employees of third-party vendors;</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2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52"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w:t>
      </w:r>
    </w:p>
    <w:p>
      <w:pPr>
        <w:spacing w:after="0" w:line="252"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As of September 30, 2020, approximately 66% of our long-term debt was based on fixed rates. Based on our borrowings as of September 30, 2020, an assumed 100 basis point change in the variable rates would cause our annual interest expense to change by $39.2 million.</w:t>
      </w:r>
    </w:p>
    <w:p>
      <w:pPr>
        <w:spacing w:after="0" w:line="17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order to mitigate exposure to interest rate fluctuations on the Retail Term Loan, the Company entered into a five year interest rate collar with a notional value of $615.0 million. The interest rate collar establishes a range whereby the Company will pay the counterparty if one-month LIBOR falls below the established floor rate of 1.00%, and the counterparty will pay the Company if one-month LIBOR exceeds the ceiling rate of 3.75%.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Risks</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expect most of the revenues and expenses for any casino that we operate in Macau will be denominated in Hong Kong dollars or Macau patacas; however, a significant portion of our Wynn Macau, Limited debt is denominated in U.S. dollars. Fluctuations in the exchange rates resulting in weakening of the Macau pataca or the Hong Kong dollar in relation to the U.S. dollar could have materially adverse effects on our results, financial condition and ability to service debt. Based on our balances as of September 30, 2020, an assumed 1% change in the U.S. dollar/Hong Kong dollar exchange rate would cause a foreign currency transaction gain/loss of $31.0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Company's management, with the participation of the Company's Chief Executive Officer ("CEO") and Chief Financial Officer ("CFO"),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CEO and CFO have concluded that, as of the period covered by this report,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CEO and CFO, as appropriate to allow timely decisions regarding required disclosure.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Exchange Act) during the quarter to which this report relates that materially affected, or are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proceedings see Item 1—"Notes to Condensed Consolidated Financial Statements," Note 14, "Commitments and Contingencies" of Part I in this Quarterly Report on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 description of our risk factors can be found in Item 1A, Part I of our Annual Report on Form 10-K for the year ended December 31, 2019. There were no material changes to those risk factors during the nine months ended September 30, 2020 other than the risk factor described below:</w:t>
      </w:r>
    </w:p>
    <w:p>
      <w:pPr>
        <w:spacing w:after="0" w:line="173"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b w:val="1"/>
          <w:bCs w:val="1"/>
          <w:i w:val="1"/>
          <w:iCs w:val="1"/>
          <w:color w:val="auto"/>
        </w:rPr>
        <w:t>The outbreak of the novel coronavirus COVID-19 ("COVID-19") has had and will likely continue to have an adverse effect on our business, operations, financial condition and operating results, and the ability of our subsidiaries to pay dividends and distributions.</w:t>
      </w:r>
    </w:p>
    <w:p>
      <w:pPr>
        <w:spacing w:after="0" w:line="173"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In January 2020, an outbreak of a new strain of coronavirus, COVID-19, was identified and it has since spread around the world including the United States. Currently, there are no fully effective vaccines or treatments and there can be no assurance that an effective vaccine or treatment will be developed. The spread of COVID-19 and the recent developments surrounding the global pandemic are currently having negative impacts on all aspects of our business.</w:t>
      </w:r>
    </w:p>
    <w:p>
      <w:pPr>
        <w:spacing w:after="0" w:line="21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7"/>
          <w:szCs w:val="17"/>
          <w:color w:val="auto"/>
        </w:rPr>
        <w:t>The current, and uncertain future, impact of the COVID-19 pandemic, including its effect on the ability or desire of people to travel (including to and from our properties), is expected to continue to affect our results, operations, outlooks, plans, goals, growth, reputation, cash flows and liquidity.</w:t>
      </w:r>
    </w:p>
    <w:p>
      <w:pPr>
        <w:spacing w:after="0" w:line="17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U.S. government has put in place restrictions on travel to the United States from Europe and Asia, and could expand the restrictions. A significant portion of our business in the United States relies on the willingness and ability of premium international customers to travel to the United States. As such, our Las Vegas Operations and operations at Encore Boston Harbor have been and may continue to be adversely impacted.</w:t>
      </w:r>
    </w:p>
    <w:p>
      <w:pPr>
        <w:spacing w:after="0" w:line="19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6"/>
          <w:szCs w:val="16"/>
          <w:color w:val="auto"/>
        </w:rPr>
        <w:t>Furthermore, in response to and as part of a continuing effort to reduce the spread of COVID-19, we temporarily closed all operations at Wynn Las Vegas and at Encore Boston Harbor, and they remained closed until authorized to re-open under U.S. and state government directives, on June 4, 2020 and July 10, 2020, respectively. Since reopening, we have implemented certain COVID-19 specific protective measures at each location, such as limiting the number of seats per table game, slot machine spacing, temperature checks, and mask protection. At Encore Boston Harbor, since reopening, certain food and beverage outlets remain closed and hotel reservations were limited to Thursday through Sunday through the third quarter of 2020. Beginning October 19, 2020, Encore at Wynn Las Vegas adjusted its operating schedule to five days/four nights each week due to currently reduced customer demand levels. On November 2, 2020, the Governor of Massachusetts issued a directive limiting the operating hours of certain businesses, including restaurants and casinos, effective November 6, 2020. Encore Boston Harbor has modified its hours of operation as a result of this directive. In addition, we have been, and will continue to be further, negatively impacted by developments related to COVID-19, including heightened governmental regulations and travel advisories, including recommendations by the U.S. Department of State and the Centers for Disease Control and Prevention, and travel bans and restrictions, each of which has impacted, and is expected to continue to significantly impact, the casino resort industry.</w:t>
      </w:r>
    </w:p>
    <w:p>
      <w:pPr>
        <w:spacing w:after="0" w:line="19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6"/>
          <w:szCs w:val="16"/>
          <w:color w:val="auto"/>
        </w:rPr>
        <w:t>Our casino operations in Macau were closed for a 15-day period in February 2020 and resumed operations on a reduced basis on February 20, 2020. On March 20, 2020, our casinos’ operations were fully restored; however certain COVID-19 specific protective measures, such as various traveler quarantines and requirements for negative COVID-19 tests before entering Macau, limiting the number of seats per table game, slot machine spacing, temperature checks, mask protection, COVID-19 negative test results requirements for entry to gaming areas, and health declarations remain in effect at the present time. Visitation to Macau has significantly decreased since the outbreak of COVID-19, driven by the pandemic’s strong deterrent effect on travel and social activities, the Chinese government’s suspension in late January 2020 of many of its visa and group tour schemes that allow mainland Chinese residents to travel to Macau, various quarantine measures in Macau and elsewhere, travel and entry restrictions and conditions in Macau, Hong Kong, Taiwan, and mainland China, and the suspension of ferry services to Macau from Hong Kong and mainland China and other modes of transportation within Macau. Regionally, bans on entry or enhanced quarantine requirements, depending on the person’s residency and their recent travel history, for any Macau residents, PRC citizens, Hong Kong residents and Taiwan residents attempting to enter Macau are drastically impacting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color w:val="auto"/>
        </w:rPr>
        <w:t>visitation. Persons who are not residents of the Greater China area are barred from entry to Macau at this time, and quarantine requirements for those traveling between Hong Kong and Macau have been announced to remain effective until at least December 31, 2020, at which time they may be lifted.</w:t>
      </w:r>
    </w:p>
    <w:p>
      <w:pPr>
        <w:spacing w:after="0" w:line="15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7"/>
          <w:szCs w:val="17"/>
          <w:color w:val="auto"/>
        </w:rPr>
        <w:t>While most of the foregoing travel restrictions and quarantine and testing requirements continue to weigh on visitation to Macau, beginning in June 2020 certain of these restrictions have eased as certain regions gradually recover from the COVID-19 pandemic. In July 2020, Guangdong Province, a Chinese province adjacent to Macau, eased certain quarantine requirements for those traveling between Guangdong Province and Macau, subject to certain testing requirements and health declarations.On September 23, 2020, mainland China authorities fully resumed the Individual Visit Scheme ("IVS") exit visa program, which, prior to its suspension by the PRC government due to COVID-19 travel restrictions, permitted individual PRC citizens from nearly 50 PRC cities to travel to Macau for tourism purposes. Stringent health declarations, testing and other procedures remain in place, and all visitors seeking entry to Macau need to test negative for COVID-19 before entering Macau. We are currently unable to determine when remaining restrictions and requirements will be further eased, and lifted or eased measures may be reintroduced if there are adverse developments in the COVID-19 situation in Macau and other regions with access to Macau.</w:t>
      </w:r>
    </w:p>
    <w:p>
      <w:pPr>
        <w:spacing w:after="0" w:line="211"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Although all our properties are currently open, we cannot predict whether future closures would be appropriate or could be mandated. For instance, a confirmed COVID-19 case being found in the casinos in the future could result in all casino operations in Macau, including those of Wynn Palace and Wynn Macau, being suspended by the Macau government.</w:t>
      </w:r>
    </w:p>
    <w:p>
      <w:pPr>
        <w:spacing w:after="0" w:line="20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7"/>
          <w:szCs w:val="17"/>
          <w:color w:val="auto"/>
        </w:rPr>
        <w:t>We cannot predict the effects of the conditions upon which we have been permitted by governmental authorities to reopen our operations. Moreover, even once travel advisories and restrictions are lifted, demand for casino resorts may remain weak for a significant length of time and we cannot predict if and when our properties will return to pre-outbreak demand or pricing. In particular, consumer behavior related to discretionary spending and traveling, including demand for casino resorts, may be negatively impacted by the adverse changes in the perceived or actual economic climate, including higher unemployment rates, declines in income levels and loss of personal wealth resulting from the impact of the COVID-19 pandemic. In addition, we cannot predict the impact that the COVID-19 pandemic will have on our partners, such as tenants, travel agencies, suppliers and other vendors. We may be adversely impacted as a result of the adverse impact that our partners suffer.</w:t>
      </w:r>
    </w:p>
    <w:p>
      <w:pPr>
        <w:spacing w:after="0" w:line="207" w:lineRule="exact"/>
        <w:rPr>
          <w:sz w:val="20"/>
          <w:szCs w:val="20"/>
          <w:color w:val="auto"/>
        </w:rPr>
      </w:pPr>
    </w:p>
    <w:p>
      <w:pPr>
        <w:jc w:val="both"/>
        <w:ind w:firstLine="405"/>
        <w:spacing w:after="0" w:line="239" w:lineRule="auto"/>
        <w:rPr>
          <w:sz w:val="20"/>
          <w:szCs w:val="20"/>
          <w:color w:val="auto"/>
        </w:rPr>
      </w:pPr>
      <w:r>
        <w:rPr>
          <w:rFonts w:ascii="Arial" w:cs="Arial" w:eastAsia="Arial" w:hAnsi="Arial"/>
          <w:sz w:val="18"/>
          <w:szCs w:val="18"/>
          <w:color w:val="auto"/>
        </w:rPr>
        <w:t>As a result of all of the foregoing, we may be required to raise additional capital in the future and our access to and cost of financing will depend on, among other things, global economic conditions, conditions in the global financing markets, the availability of sufficient amounts of financing, our prospects and our credit ratings. If our credit ratings were to be downgraded, or general market conditions were to ascribe higher risk to our rating levels, our industry, or us, our access to capital and the cost of any debt financing will be further negatively impacted. In addition, the terms of future debt agreements could include more restrictive covenants, or require incremental collateral, which may further restrict our business operations or be unavailable due to our covenant restrictions then in effect. There is no guarantee that debt financings will be available in the future to fund our obligations, or that they will be available on terms consistent with our expectations.</w:t>
      </w:r>
    </w:p>
    <w:p>
      <w:pPr>
        <w:spacing w:after="0" w:line="218"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In addition, the COVID-19 pandemic has significantly increased economic and demand uncertainty. The current outbreak and continued spread of COVID-19 could cause a global recession or depression, which would have a further adverse impact on our financial condition and operations. Current economic forecasts for significant increases in unemployment in the U.S. and other regions due to the adoption of social distancing and other policies to slow the spread of the virus is likely to have a negative impact on demand for casino resorts, and these impacts could exist for an extensive period of time.</w:t>
      </w:r>
    </w:p>
    <w:p>
      <w:pPr>
        <w:spacing w:after="0" w:line="182"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The extent of the effects of the outbreak on our business and the casino resort industry at large is highly uncertain and will ultimately depend on future developments, including, but not limited to, the duration and severity of the pandemic, the length of time it takes for demand and pricing to return and normal economic and operating conditions to resume.</w:t>
      </w:r>
    </w:p>
    <w:p>
      <w:pPr>
        <w:spacing w:after="0" w:line="209" w:lineRule="exact"/>
        <w:rPr>
          <w:sz w:val="20"/>
          <w:szCs w:val="20"/>
          <w:color w:val="auto"/>
        </w:rPr>
      </w:pPr>
    </w:p>
    <w:p>
      <w:pPr>
        <w:jc w:val="both"/>
        <w:ind w:firstLine="405"/>
        <w:spacing w:after="0"/>
        <w:rPr>
          <w:sz w:val="20"/>
          <w:szCs w:val="20"/>
          <w:color w:val="auto"/>
        </w:rPr>
      </w:pPr>
      <w:r>
        <w:rPr>
          <w:rFonts w:ascii="Arial" w:cs="Arial" w:eastAsia="Arial" w:hAnsi="Arial"/>
          <w:sz w:val="18"/>
          <w:szCs w:val="18"/>
          <w:color w:val="auto"/>
        </w:rPr>
        <w:t>The COVID-19 pandemic has had and will continue to have an adverse effect on our results of operations and the ability of our subsidiaries to pay dividends and distributions. Given the uncertainty around the extent and timing of the potential future spread or mitigation of COVID-19 and around the imposition or relaxation of protective measures, the impact on our results of operations, cash flows, and financial condition in 2020 and potentially thereafter will be material, but cannot be reasonably estimated at this time as it is unknown when the COVID-19 pandemic will end, when or if our properties will return to pre-pandemic demand and pricing, when or how quickly the current travel restrictions will be eased and the resulting impact on our business and operations.</w:t>
      </w:r>
    </w:p>
    <w:p>
      <w:pPr>
        <w:spacing w:after="0" w:line="216"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To the extent the COVID-19 pandemic adversely affects our business, operations, financial condition and operating results, it may also have the effect of heightening many of the other risks related to our business, including, but not limited to, those relating to our high level of indebtedness, our need to generate sufficient cash flows to service our indebtedness, and our ability to comply with the covenants contained in the agreements that govern our indebtedness.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52" w:lineRule="exact"/>
        <w:rPr>
          <w:sz w:val="20"/>
          <w:szCs w:val="20"/>
          <w:color w:val="auto"/>
        </w:rPr>
      </w:pPr>
    </w:p>
    <w:p>
      <w:pPr>
        <w:ind w:firstLine="405"/>
        <w:spacing w:after="0" w:line="269" w:lineRule="auto"/>
        <w:rPr>
          <w:sz w:val="20"/>
          <w:szCs w:val="20"/>
          <w:color w:val="auto"/>
        </w:rPr>
      </w:pPr>
      <w:r>
        <w:rPr>
          <w:rFonts w:ascii="Arial" w:cs="Arial" w:eastAsia="Arial" w:hAnsi="Arial"/>
          <w:sz w:val="18"/>
          <w:szCs w:val="18"/>
          <w:color w:val="auto"/>
        </w:rPr>
        <w:t>The following table summarizes the share repurchases in satisfaction of tax withholding obligations on vested restricted stock during the quarter ended September 30, 2020:</w:t>
      </w:r>
    </w:p>
    <w:tbl>
      <w:tblPr>
        <w:tblLayout w:type="fixed"/>
        <w:tblInd w:w="0" w:type="dxa"/>
        <w:tblCellMar>
          <w:top w:w="0" w:type="dxa"/>
          <w:left w:w="0" w:type="dxa"/>
          <w:bottom w:w="0" w:type="dxa"/>
          <w:right w:w="0" w:type="dxa"/>
        </w:tblCellMar>
      </w:tblPr>
      <w:tr>
        <w:trPr>
          <w:trHeight w:val="144"/>
        </w:trPr>
        <w:tc>
          <w:tcPr>
            <w:tcW w:w="5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Number of Shares</w:t>
            </w:r>
          </w:p>
        </w:tc>
        <w:tc>
          <w:tcPr>
            <w:tcW w:w="1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8"/>
              </w:rPr>
              <w:t>Weighted Average Price Paid</w:t>
            </w:r>
          </w:p>
        </w:tc>
        <w:tc>
          <w:tcPr>
            <w:tcW w:w="160" w:type="dxa"/>
            <w:vAlign w:val="bottom"/>
          </w:tcPr>
          <w:p>
            <w:pPr>
              <w:spacing w:after="0"/>
              <w:rPr>
                <w:sz w:val="12"/>
                <w:szCs w:val="12"/>
                <w:color w:val="auto"/>
              </w:rPr>
            </w:pPr>
          </w:p>
        </w:tc>
        <w:tc>
          <w:tcPr>
            <w:tcW w:w="2020" w:type="dxa"/>
            <w:vAlign w:val="bottom"/>
          </w:tcPr>
          <w:p>
            <w:pPr>
              <w:jc w:val="center"/>
              <w:ind w:right="79"/>
              <w:spacing w:after="0" w:line="145" w:lineRule="exact"/>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35"/>
        </w:trPr>
        <w:tc>
          <w:tcPr>
            <w:tcW w:w="5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 the Month Ended</w:t>
            </w:r>
          </w:p>
        </w:tc>
        <w:tc>
          <w:tcPr>
            <w:tcW w:w="1960" w:type="dxa"/>
            <w:vAlign w:val="bottom"/>
            <w:gridSpan w:val="2"/>
            <w:vMerge w:val="continue"/>
          </w:tcPr>
          <w:p>
            <w:pPr>
              <w:spacing w:after="0"/>
              <w:rPr>
                <w:sz w:val="11"/>
                <w:szCs w:val="11"/>
                <w:color w:val="auto"/>
              </w:rPr>
            </w:pPr>
          </w:p>
        </w:tc>
        <w:tc>
          <w:tcPr>
            <w:tcW w:w="19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2020" w:type="dxa"/>
            <w:vAlign w:val="bottom"/>
          </w:tcPr>
          <w:p>
            <w:pPr>
              <w:jc w:val="center"/>
              <w:ind w:right="119"/>
              <w:spacing w:after="0" w:line="135" w:lineRule="exact"/>
              <w:rPr>
                <w:sz w:val="20"/>
                <w:szCs w:val="20"/>
                <w:color w:val="auto"/>
              </w:rPr>
            </w:pPr>
            <w:r>
              <w:rPr>
                <w:rFonts w:ascii="Arial" w:cs="Arial" w:eastAsia="Arial" w:hAnsi="Arial"/>
                <w:sz w:val="14"/>
                <w:szCs w:val="14"/>
                <w:b w:val="1"/>
                <w:bCs w:val="1"/>
                <w:color w:val="auto"/>
                <w:w w:val="90"/>
              </w:rPr>
              <w:t>Repurchased Shares</w:t>
            </w:r>
          </w:p>
        </w:tc>
        <w:tc>
          <w:tcPr>
            <w:tcW w:w="0" w:type="dxa"/>
            <w:vAlign w:val="bottom"/>
          </w:tcPr>
          <w:p>
            <w:pPr>
              <w:spacing w:after="0"/>
              <w:rPr>
                <w:sz w:val="1"/>
                <w:szCs w:val="1"/>
                <w:color w:val="auto"/>
              </w:rPr>
            </w:pPr>
          </w:p>
        </w:tc>
      </w:tr>
      <w:tr>
        <w:trPr>
          <w:trHeight w:val="188"/>
        </w:trPr>
        <w:tc>
          <w:tcPr>
            <w:tcW w:w="5140" w:type="dxa"/>
            <w:vAlign w:val="bottom"/>
            <w:gridSpan w:val="2"/>
            <w:vMerge w:val="continue"/>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Repurchased</w:t>
            </w:r>
          </w:p>
        </w:tc>
        <w:tc>
          <w:tcPr>
            <w:tcW w:w="380" w:type="dxa"/>
            <w:vAlign w:val="bottom"/>
          </w:tcPr>
          <w:p>
            <w:pPr>
              <w:spacing w:after="0"/>
              <w:rPr>
                <w:sz w:val="16"/>
                <w:szCs w:val="16"/>
                <w:color w:val="auto"/>
              </w:rPr>
            </w:pPr>
          </w:p>
        </w:tc>
        <w:tc>
          <w:tcPr>
            <w:tcW w:w="1580" w:type="dxa"/>
            <w:vAlign w:val="bottom"/>
            <w:gridSpan w:val="2"/>
          </w:tcPr>
          <w:p>
            <w:pPr>
              <w:ind w:left="240"/>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6"/>
                <w:szCs w:val="16"/>
                <w:color w:val="auto"/>
              </w:rPr>
            </w:pPr>
          </w:p>
        </w:tc>
        <w:tc>
          <w:tcPr>
            <w:tcW w:w="202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4"/>
        </w:trPr>
        <w:tc>
          <w:tcPr>
            <w:tcW w:w="50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July 31, 2020</w:t>
            </w:r>
          </w:p>
        </w:tc>
        <w:tc>
          <w:tcPr>
            <w:tcW w:w="12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873,480</w:t>
            </w:r>
          </w:p>
        </w:tc>
        <w:tc>
          <w:tcPr>
            <w:tcW w:w="0" w:type="dxa"/>
            <w:vAlign w:val="bottom"/>
          </w:tcPr>
          <w:p>
            <w:pPr>
              <w:spacing w:after="0"/>
              <w:rPr>
                <w:sz w:val="1"/>
                <w:szCs w:val="1"/>
                <w:color w:val="auto"/>
              </w:rPr>
            </w:pPr>
          </w:p>
        </w:tc>
      </w:tr>
      <w:tr>
        <w:trPr>
          <w:trHeight w:val="229"/>
        </w:trPr>
        <w:tc>
          <w:tcPr>
            <w:tcW w:w="5140" w:type="dxa"/>
            <w:vAlign w:val="bottom"/>
            <w:gridSpan w:val="2"/>
          </w:tcPr>
          <w:p>
            <w:pPr>
              <w:ind w:left="120"/>
              <w:spacing w:after="0"/>
              <w:rPr>
                <w:sz w:val="20"/>
                <w:szCs w:val="20"/>
                <w:color w:val="auto"/>
              </w:rPr>
            </w:pPr>
            <w:r>
              <w:rPr>
                <w:rFonts w:ascii="Arial" w:cs="Arial" w:eastAsia="Arial" w:hAnsi="Arial"/>
                <w:sz w:val="18"/>
                <w:szCs w:val="18"/>
                <w:color w:val="auto"/>
              </w:rPr>
              <w:t>August 31, 2020</w:t>
            </w:r>
          </w:p>
        </w:tc>
        <w:tc>
          <w:tcPr>
            <w:tcW w:w="1860" w:type="dxa"/>
            <w:vAlign w:val="bottom"/>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76.63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91,114</w:t>
            </w: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September 30, 2020</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133,879</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None of the foregoing repurchases that occurred during the three months ended September 30, 2020 were part of the Company's publicly announced repurchase program. As of September 30, 2020, we had $800.1 million in repurchase authority under the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p>
      <w:pPr>
        <w:ind w:left="820" w:hanging="65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Exhibits</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Exhibit</w:t>
      </w:r>
    </w:p>
    <w:p>
      <w:pPr>
        <w:ind w:left="380"/>
        <w:spacing w:after="0"/>
        <w:tabs>
          <w:tab w:leader="none" w:pos="10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p>
    <w:p>
      <w:pPr>
        <w:ind w:left="1060" w:right="1580" w:hanging="354"/>
        <w:spacing w:after="0" w:line="235" w:lineRule="auto"/>
        <w:rPr>
          <w:rFonts w:ascii="Arial" w:cs="Arial" w:eastAsia="Arial" w:hAnsi="Arial"/>
          <w:sz w:val="18"/>
          <w:szCs w:val="18"/>
          <w:color w:val="0000FF"/>
        </w:rPr>
      </w:pPr>
      <w:r>
        <w:rPr>
          <w:rFonts w:ascii="Arial" w:cs="Arial" w:eastAsia="Arial" w:hAnsi="Arial"/>
          <w:sz w:val="18"/>
          <w:szCs w:val="18"/>
          <w:color w:val="auto"/>
        </w:rPr>
        <w:t xml:space="preserve">3.1 </w:t>
      </w:r>
      <w:hyperlink r:id="rId69">
        <w:r>
          <w:rPr>
            <w:rFonts w:ascii="Arial" w:cs="Arial" w:eastAsia="Arial" w:hAnsi="Arial"/>
            <w:sz w:val="18"/>
            <w:szCs w:val="18"/>
            <w:u w:val="single" w:color="auto"/>
            <w:color w:val="0000FF"/>
          </w:rPr>
          <w:t>Third Amended and Restated Articles of Incorporation of the Registrant. (Incorporated by reference from the Quarterly</w:t>
        </w:r>
      </w:hyperlink>
      <w:r>
        <w:rPr>
          <w:rFonts w:ascii="Arial" w:cs="Arial" w:eastAsia="Arial" w:hAnsi="Arial"/>
          <w:sz w:val="18"/>
          <w:szCs w:val="18"/>
          <w:color w:val="auto"/>
        </w:rPr>
        <w:t xml:space="preserve"> </w:t>
      </w:r>
      <w:hyperlink r:id="rId69">
        <w:r>
          <w:rPr>
            <w:rFonts w:ascii="Arial" w:cs="Arial" w:eastAsia="Arial" w:hAnsi="Arial"/>
            <w:sz w:val="18"/>
            <w:szCs w:val="18"/>
            <w:u w:val="single" w:color="auto"/>
            <w:color w:val="0000FF"/>
          </w:rPr>
          <w:t>Report on Form 10-Q filed by the Registrant on May 8, 2015.)</w:t>
        </w:r>
        <w:r>
          <w:rPr>
            <w:rFonts w:ascii="Arial" w:cs="Arial" w:eastAsia="Arial" w:hAnsi="Arial"/>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6000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ind w:left="1060" w:right="1500" w:hanging="354"/>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3.2 </w:t>
      </w:r>
      <w:hyperlink r:id="rId71">
        <w:r>
          <w:rPr>
            <w:rFonts w:ascii="Arial" w:cs="Arial" w:eastAsia="Arial" w:hAnsi="Arial"/>
            <w:sz w:val="18"/>
            <w:szCs w:val="18"/>
            <w:u w:val="single" w:color="auto"/>
            <w:color w:val="0000FF"/>
          </w:rPr>
          <w:t>Ninth Amended and Restated Bylaws of the Registrant. (Incorporated by reference from the Annual Report on Form 10-</w:t>
        </w:r>
      </w:hyperlink>
      <w:hyperlink r:id="rId71">
        <w:r>
          <w:rPr>
            <w:rFonts w:ascii="Arial" w:cs="Arial" w:eastAsia="Arial" w:hAnsi="Arial"/>
            <w:sz w:val="18"/>
            <w:szCs w:val="18"/>
            <w:u w:val="single" w:color="auto"/>
            <w:color w:val="0000FF"/>
          </w:rPr>
          <w:t>K filed by the Registrant on February 28, 2020.)</w:t>
        </w:r>
        <w:r>
          <w:rPr>
            <w:rFonts w:ascii="Arial" w:cs="Arial" w:eastAsia="Arial" w:hAnsi="Arial"/>
            <w:sz w:val="18"/>
            <w:szCs w:val="18"/>
            <w:color w:val="000000"/>
          </w:rPr>
          <w:t>.</w:t>
        </w:r>
      </w:hyperlink>
    </w:p>
    <w:p>
      <w:pPr>
        <w:spacing w:after="0" w:line="1" w:lineRule="exact"/>
        <w:rPr>
          <w:sz w:val="20"/>
          <w:szCs w:val="20"/>
          <w:color w:val="auto"/>
        </w:rPr>
      </w:pPr>
    </w:p>
    <w:p>
      <w:pPr>
        <w:ind w:left="1060" w:right="1880" w:hanging="444"/>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 </w:t>
      </w:r>
      <w:hyperlink w:anchor="page58">
        <w:r>
          <w:rPr>
            <w:rFonts w:ascii="Arial" w:cs="Arial" w:eastAsia="Arial" w:hAnsi="Arial"/>
            <w:sz w:val="18"/>
            <w:szCs w:val="18"/>
            <w:u w:val="single" w:color="auto"/>
            <w:color w:val="0000FF"/>
          </w:rPr>
          <w:t>Indenture, dated as of August</w:t>
        </w:r>
        <w:r>
          <w:rPr>
            <w:rFonts w:ascii="Arial" w:cs="Arial" w:eastAsia="Arial" w:hAnsi="Arial"/>
            <w:sz w:val="18"/>
            <w:szCs w:val="18"/>
            <w:u w:val="single" w:color="auto"/>
            <w:color w:val="auto"/>
          </w:rPr>
          <w:t xml:space="preserve"> </w:t>
        </w:r>
        <w:r>
          <w:rPr>
            <w:rFonts w:ascii="Arial" w:cs="Arial" w:eastAsia="Arial" w:hAnsi="Arial"/>
            <w:sz w:val="18"/>
            <w:szCs w:val="18"/>
            <w:u w:val="single" w:color="auto"/>
            <w:color w:val="0000FF"/>
          </w:rPr>
          <w:t>26, 2020, by and between Wynn Macau, Limited and Deutsche Bank Trust Company</w:t>
        </w:r>
      </w:hyperlink>
      <w:r>
        <w:rPr>
          <w:rFonts w:ascii="Arial" w:cs="Arial" w:eastAsia="Arial" w:hAnsi="Arial"/>
          <w:sz w:val="18"/>
          <w:szCs w:val="18"/>
          <w:color w:val="auto"/>
        </w:rPr>
        <w:t xml:space="preserve"> </w:t>
      </w:r>
      <w:hyperlink w:anchor="page58">
        <w:r>
          <w:rPr>
            <w:rFonts w:ascii="Arial" w:cs="Arial" w:eastAsia="Arial" w:hAnsi="Arial"/>
            <w:sz w:val="18"/>
            <w:szCs w:val="18"/>
            <w:u w:val="single" w:color="auto"/>
            <w:color w:val="0000FF"/>
          </w:rPr>
          <w:t>Americas, as trustee, related to senior notes due 2028.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2025015</wp:posOffset>
            </wp:positionH>
            <wp:positionV relativeFrom="paragraph">
              <wp:posOffset>-135890</wp:posOffset>
            </wp:positionV>
            <wp:extent cx="39173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3917315" cy="8890"/>
                    </a:xfrm>
                    <a:prstGeom prst="rect">
                      <a:avLst/>
                    </a:prstGeom>
                    <a:noFill/>
                  </pic:spPr>
                </pic:pic>
              </a:graphicData>
            </a:graphic>
          </wp:anchor>
        </w:drawing>
      </w:r>
    </w:p>
    <w:p>
      <w:pPr>
        <w:ind w:left="540"/>
        <w:spacing w:after="0"/>
        <w:rPr>
          <w:rFonts w:ascii="Arial" w:cs="Arial" w:eastAsia="Arial" w:hAnsi="Arial"/>
          <w:sz w:val="18"/>
          <w:szCs w:val="18"/>
          <w:color w:val="auto"/>
        </w:rPr>
      </w:pPr>
      <w:r>
        <w:rPr>
          <w:rFonts w:ascii="Arial" w:cs="Arial" w:eastAsia="Arial" w:hAnsi="Arial"/>
          <w:sz w:val="18"/>
          <w:szCs w:val="18"/>
          <w:color w:val="auto"/>
        </w:rPr>
        <w:t xml:space="preserve">*31.1  </w:t>
      </w:r>
      <w:hyperlink w:anchor="page155">
        <w:r>
          <w:rPr>
            <w:rFonts w:ascii="Arial" w:cs="Arial" w:eastAsia="Arial" w:hAnsi="Arial"/>
            <w:sz w:val="18"/>
            <w:szCs w:val="18"/>
            <w:u w:val="single" w:color="auto"/>
            <w:color w:val="0000FF"/>
          </w:rPr>
          <w:t>Certification of Chief Executive Officer of Periodic Report Pursuant to Rule 13a – 14(a) and Rule 15d – 14(a).</w:t>
        </w:r>
      </w:hyperlink>
    </w:p>
    <w:p>
      <w:pPr>
        <w:spacing w:after="0" w:line="23" w:lineRule="exact"/>
        <w:rPr>
          <w:sz w:val="20"/>
          <w:szCs w:val="20"/>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xml:space="preserve">*31.2  </w:t>
      </w:r>
      <w:hyperlink w:anchor="page156">
        <w:r>
          <w:rPr>
            <w:rFonts w:ascii="Arial" w:cs="Arial" w:eastAsia="Arial" w:hAnsi="Arial"/>
            <w:sz w:val="18"/>
            <w:szCs w:val="18"/>
            <w:u w:val="single" w:color="auto"/>
            <w:color w:val="0000FF"/>
          </w:rPr>
          <w:t>Certification of Chief Financial Officer of Periodic Report Pursuant to Rule 13a – 14(a) and Rule 15d – 14(a).</w:t>
        </w:r>
      </w:hyperlink>
    </w:p>
    <w:p>
      <w:pPr>
        <w:spacing w:after="0" w:line="23"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*32  </w:t>
      </w:r>
      <w:hyperlink w:anchor="page157">
        <w:r>
          <w:rPr>
            <w:rFonts w:ascii="Arial" w:cs="Arial" w:eastAsia="Arial" w:hAnsi="Arial"/>
            <w:sz w:val="18"/>
            <w:szCs w:val="18"/>
            <w:u w:val="single" w:color="auto"/>
            <w:color w:val="0000FF"/>
          </w:rPr>
          <w:t>Certification of CEO and CFO Pursuant to 19 U.S.C. Section 1350.</w:t>
        </w:r>
      </w:hyperlink>
    </w:p>
    <w:p>
      <w:pPr>
        <w:spacing w:after="0" w:line="23" w:lineRule="exact"/>
        <w:rPr>
          <w:sz w:val="20"/>
          <w:szCs w:val="20"/>
          <w:color w:val="auto"/>
        </w:rPr>
      </w:pPr>
    </w:p>
    <w:p>
      <w:pPr>
        <w:jc w:val="both"/>
        <w:ind w:left="1060" w:right="1460" w:hanging="395"/>
        <w:spacing w:after="0" w:line="222"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following material from Wynn Resorts, Limited's Quarterly Report on Form 10-Q, formatted in Inline XBRL (Inline Extensible Business Reporting Language): (i) the Condensed Consolidated Balance Sheets as of September 30, 2020 and December 31, 2019; (ii) the Condensed Consolidated Statements of Operations for the three and nine months ended September 30, 2020 and 2019; (iii) the Condensed Consolidated Statements of Comprehensive Income (Loss) for the three and nine months ended September 30, 2020 and 2019; (iv) the Condensed Consolidated Statements of Stockholders' Equity (Deficit) for the three and nine months ended September 30, 2020 and 2019; (v) the Condensed Consolidated Statements of Cash Flows for the nine months ended September 30, 2020 and 2019; and (vi) Notes to Condensed Consolidated Financial Statements. The instance document does not appear in the Interactive Data File because its XBRL tags are embedded within the Inline XBRL document.</w:t>
      </w:r>
    </w:p>
    <w:p>
      <w:pPr>
        <w:spacing w:after="0" w:line="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104  Cover Page Interactive Data File - The cover page XBRL tags are embedded within the Inline XBRL document.</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Wynn Resorts, Limited agrees to furnish to the U.S. Securities and Exchange Commission, upon request, a copy of each agreement with respect to long-term debt not filed herewith in reliance upon the exemption from filing applicable to any series of debt which does not exceed 10% of the total consolidated assets of the company.</w:t>
      </w:r>
    </w:p>
    <w:p>
      <w:pPr>
        <w:spacing w:after="0" w:line="157"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WYNN RESORTS, LIMITED</w:t>
      </w:r>
    </w:p>
    <w:p>
      <w:pPr>
        <w:sectPr>
          <w:pgSz w:w="11900" w:h="16838" w:orient="portrait"/>
          <w:cols w:equalWidth="0" w:num="1">
            <w:col w:w="10740"/>
          </w:cols>
          <w:pgMar w:left="320" w:top="122" w:right="839" w:bottom="1440" w:gutter="0" w:footer="0" w:header="0"/>
        </w:sectPr>
      </w:pPr>
    </w:p>
    <w:p>
      <w:pPr>
        <w:spacing w:after="0" w:line="81"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Dated: November 6, 2020</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29210</wp:posOffset>
            </wp:positionV>
            <wp:extent cx="26231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5740" w:space="720"/>
            <w:col w:w="4280"/>
          </w:cols>
          <w:pgMar w:left="320" w:top="122" w:right="839" w:bottom="1440" w:gutter="0" w:footer="0" w:header="0"/>
          <w:type w:val="continuous"/>
        </w:sectPr>
      </w:pPr>
    </w:p>
    <w:p>
      <w:pPr>
        <w:ind w:left="6460"/>
        <w:spacing w:after="0"/>
        <w:rPr>
          <w:sz w:val="20"/>
          <w:szCs w:val="20"/>
          <w:color w:val="auto"/>
        </w:rPr>
      </w:pPr>
      <w:r>
        <w:rPr>
          <w:rFonts w:ascii="Arial" w:cs="Arial" w:eastAsia="Arial" w:hAnsi="Arial"/>
          <w:sz w:val="18"/>
          <w:szCs w:val="18"/>
          <w:color w:val="auto"/>
        </w:rPr>
        <w:t>Craig S. Billings</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President and Chief Financial Officer</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0740"/>
          </w:cols>
          <w:pgMar w:left="320" w:top="122" w:right="839" w:bottom="1440" w:gutter="0" w:footer="0" w:header="0"/>
          <w:type w:val="continuous"/>
        </w:sectPr>
      </w:pPr>
    </w:p>
    <w:bookmarkStart w:id="57" w:name="page58"/>
    <w:bookmarkEnd w:id="57"/>
    <w:p>
      <w:pPr>
        <w:jc w:val="right"/>
        <w:spacing w:after="0"/>
        <w:rPr>
          <w:sz w:val="20"/>
          <w:szCs w:val="20"/>
          <w:color w:val="auto"/>
        </w:rPr>
      </w:pPr>
      <w:r>
        <w:rPr>
          <w:rFonts w:ascii="Arial" w:cs="Arial" w:eastAsia="Arial" w:hAnsi="Arial"/>
          <w:sz w:val="18"/>
          <w:szCs w:val="18"/>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1292225</wp:posOffset>
            </wp:positionV>
            <wp:extent cx="704659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0465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WYNN MACAU, LIMITED</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5.625% SENIOR NOTES DUE 2028</w:t>
      </w:r>
    </w:p>
    <w:p>
      <w:pPr>
        <w:spacing w:after="0" w:line="21" w:lineRule="exact"/>
        <w:rPr>
          <w:sz w:val="20"/>
          <w:szCs w:val="20"/>
          <w:color w:val="auto"/>
        </w:rPr>
      </w:pPr>
    </w:p>
    <w:p>
      <w:pPr>
        <w:ind w:left="3320"/>
        <w:spacing w:after="0"/>
        <w:rPr>
          <w:sz w:val="20"/>
          <w:szCs w:val="20"/>
          <w:color w:val="auto"/>
        </w:rPr>
      </w:pPr>
      <w:r>
        <w:rPr>
          <w:rFonts w:ascii="Arial" w:cs="Arial" w:eastAsia="Arial" w:hAnsi="Arial"/>
          <w:sz w:val="22"/>
          <w:szCs w:val="22"/>
          <w:u w:val="single" w:color="auto"/>
          <w:color w:val="auto"/>
        </w:rPr>
        <w:t>______________________</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INDENTURE</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Dated as of August 26, 2020</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320"/>
        <w:spacing w:after="0"/>
        <w:rPr>
          <w:sz w:val="20"/>
          <w:szCs w:val="20"/>
          <w:color w:val="auto"/>
        </w:rPr>
      </w:pPr>
      <w:r>
        <w:rPr>
          <w:rFonts w:ascii="Arial" w:cs="Arial" w:eastAsia="Arial" w:hAnsi="Arial"/>
          <w:sz w:val="22"/>
          <w:szCs w:val="22"/>
          <w:u w:val="single" w:color="auto"/>
          <w:color w:val="auto"/>
        </w:rPr>
        <w:t>______________________</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DEUTSCHE BANK TRUST COMPANY AMERICAS</w:t>
      </w:r>
    </w:p>
    <w:p>
      <w:pPr>
        <w:spacing w:after="0" w:line="258"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Trustee</w:t>
      </w:r>
    </w:p>
    <w:p>
      <w:pPr>
        <w:spacing w:after="0" w:line="21" w:lineRule="exact"/>
        <w:rPr>
          <w:sz w:val="20"/>
          <w:szCs w:val="20"/>
          <w:color w:val="auto"/>
        </w:rPr>
      </w:pPr>
    </w:p>
    <w:p>
      <w:pPr>
        <w:ind w:left="3320"/>
        <w:spacing w:after="0"/>
        <w:rPr>
          <w:sz w:val="20"/>
          <w:szCs w:val="20"/>
          <w:color w:val="auto"/>
        </w:rPr>
      </w:pPr>
      <w:r>
        <w:rPr>
          <w:rFonts w:ascii="Arial" w:cs="Arial" w:eastAsia="Arial" w:hAnsi="Arial"/>
          <w:sz w:val="22"/>
          <w:szCs w:val="22"/>
          <w:u w:val="single" w:color="auto"/>
          <w:color w:val="auto"/>
        </w:rPr>
        <w:t>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287655</wp:posOffset>
            </wp:positionV>
            <wp:extent cx="704659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046595" cy="17145"/>
                    </a:xfrm>
                    <a:prstGeom prst="rect">
                      <a:avLst/>
                    </a:prstGeom>
                    <a:noFill/>
                  </pic:spPr>
                </pic:pic>
              </a:graphicData>
            </a:graphic>
          </wp:anchor>
        </w:drawing>
      </w:r>
    </w:p>
    <w:p>
      <w:pPr>
        <w:sectPr>
          <w:pgSz w:w="11900" w:h="16838" w:orient="portrait"/>
          <w:cols w:equalWidth="0" w:num="1">
            <w:col w:w="10120"/>
          </w:cols>
          <w:pgMar w:left="1440" w:top="368"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74"/>
        </w:trPr>
        <w:tc>
          <w:tcPr>
            <w:tcW w:w="1200" w:type="dxa"/>
            <w:vAlign w:val="bottom"/>
          </w:tcPr>
          <w:p>
            <w:pPr>
              <w:spacing w:after="0"/>
              <w:rPr>
                <w:sz w:val="23"/>
                <w:szCs w:val="23"/>
                <w:color w:val="auto"/>
              </w:rPr>
            </w:pPr>
          </w:p>
        </w:tc>
        <w:tc>
          <w:tcPr>
            <w:tcW w:w="7900" w:type="dxa"/>
            <w:vAlign w:val="bottom"/>
          </w:tcPr>
          <w:p>
            <w:pPr>
              <w:jc w:val="center"/>
              <w:ind w:left="792"/>
              <w:spacing w:after="0"/>
              <w:rPr>
                <w:sz w:val="20"/>
                <w:szCs w:val="20"/>
                <w:color w:val="auto"/>
              </w:rPr>
            </w:pPr>
            <w:r>
              <w:rPr>
                <w:rFonts w:ascii="Arial" w:cs="Arial" w:eastAsia="Arial" w:hAnsi="Arial"/>
                <w:sz w:val="22"/>
                <w:szCs w:val="22"/>
                <w:color w:val="auto"/>
                <w:w w:val="94"/>
              </w:rPr>
              <w:t>TABLE OF CONTENTS</w:t>
            </w:r>
          </w:p>
        </w:tc>
        <w:tc>
          <w:tcPr>
            <w:tcW w:w="2120" w:type="dxa"/>
            <w:vAlign w:val="bottom"/>
          </w:tcPr>
          <w:p>
            <w:pPr>
              <w:spacing w:after="0"/>
              <w:rPr>
                <w:sz w:val="23"/>
                <w:szCs w:val="23"/>
                <w:color w:val="auto"/>
              </w:rPr>
            </w:pPr>
          </w:p>
        </w:tc>
      </w:tr>
      <w:tr>
        <w:trPr>
          <w:trHeight w:val="473"/>
        </w:trPr>
        <w:tc>
          <w:tcPr>
            <w:tcW w:w="120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22"/>
                <w:szCs w:val="22"/>
                <w:i w:val="1"/>
                <w:iCs w:val="1"/>
                <w:color w:val="auto"/>
              </w:rPr>
              <w:t>Page</w:t>
            </w:r>
          </w:p>
        </w:tc>
      </w:tr>
      <w:tr>
        <w:trPr>
          <w:trHeight w:val="509"/>
        </w:trPr>
        <w:tc>
          <w:tcPr>
            <w:tcW w:w="1200" w:type="dxa"/>
            <w:vAlign w:val="bottom"/>
          </w:tcPr>
          <w:p>
            <w:pPr>
              <w:spacing w:after="0"/>
              <w:rPr>
                <w:sz w:val="24"/>
                <w:szCs w:val="24"/>
                <w:color w:val="auto"/>
              </w:rPr>
            </w:pPr>
          </w:p>
        </w:tc>
        <w:tc>
          <w:tcPr>
            <w:tcW w:w="7900" w:type="dxa"/>
            <w:vAlign w:val="bottom"/>
          </w:tcPr>
          <w:p>
            <w:pPr>
              <w:jc w:val="center"/>
              <w:ind w:left="772"/>
              <w:spacing w:after="0"/>
              <w:rPr>
                <w:rFonts w:ascii="Arial" w:cs="Arial" w:eastAsia="Arial" w:hAnsi="Arial"/>
                <w:sz w:val="22"/>
                <w:szCs w:val="22"/>
                <w:color w:val="auto"/>
                <w:w w:val="98"/>
              </w:rPr>
            </w:pPr>
            <w:r>
              <w:rPr>
                <w:rFonts w:ascii="Arial" w:cs="Arial" w:eastAsia="Arial" w:hAnsi="Arial"/>
                <w:sz w:val="22"/>
                <w:szCs w:val="22"/>
                <w:color w:val="auto"/>
                <w:w w:val="98"/>
              </w:rPr>
              <w:t xml:space="preserve">Article </w:t>
            </w:r>
            <w:hyperlink w:anchor="page61">
              <w:r>
                <w:rPr>
                  <w:rFonts w:ascii="Arial" w:cs="Arial" w:eastAsia="Arial" w:hAnsi="Arial"/>
                  <w:sz w:val="22"/>
                  <w:szCs w:val="22"/>
                  <w:color w:val="auto"/>
                  <w:w w:val="98"/>
                </w:rPr>
                <w:t>1</w:t>
              </w:r>
            </w:hyperlink>
          </w:p>
        </w:tc>
        <w:tc>
          <w:tcPr>
            <w:tcW w:w="2120" w:type="dxa"/>
            <w:vAlign w:val="bottom"/>
          </w:tcPr>
          <w:p>
            <w:pPr>
              <w:spacing w:after="0"/>
              <w:rPr>
                <w:sz w:val="24"/>
                <w:szCs w:val="24"/>
                <w:color w:val="auto"/>
              </w:rPr>
            </w:pPr>
          </w:p>
        </w:tc>
      </w:tr>
      <w:tr>
        <w:trPr>
          <w:trHeight w:val="257"/>
        </w:trPr>
        <w:tc>
          <w:tcPr>
            <w:tcW w:w="1200" w:type="dxa"/>
            <w:vAlign w:val="bottom"/>
          </w:tcPr>
          <w:p>
            <w:pPr>
              <w:spacing w:after="0"/>
              <w:rPr>
                <w:sz w:val="22"/>
                <w:szCs w:val="22"/>
                <w:color w:val="auto"/>
              </w:rPr>
            </w:pPr>
          </w:p>
        </w:tc>
        <w:tc>
          <w:tcPr>
            <w:tcW w:w="7900" w:type="dxa"/>
            <w:vAlign w:val="bottom"/>
          </w:tcPr>
          <w:p>
            <w:pPr>
              <w:jc w:val="center"/>
              <w:ind w:left="772"/>
              <w:spacing w:after="0"/>
              <w:rPr>
                <w:rFonts w:ascii="Arial" w:cs="Arial" w:eastAsia="Arial" w:hAnsi="Arial"/>
                <w:sz w:val="22"/>
                <w:szCs w:val="22"/>
                <w:color w:val="auto"/>
                <w:w w:val="95"/>
              </w:rPr>
            </w:pPr>
            <w:hyperlink w:anchor="page61">
              <w:r>
                <w:rPr>
                  <w:rFonts w:ascii="Arial" w:cs="Arial" w:eastAsia="Arial" w:hAnsi="Arial"/>
                  <w:sz w:val="22"/>
                  <w:szCs w:val="22"/>
                  <w:color w:val="auto"/>
                  <w:w w:val="95"/>
                </w:rPr>
                <w:t>DEFINITIONS AND INCORPORATION</w:t>
              </w:r>
            </w:hyperlink>
          </w:p>
        </w:tc>
        <w:tc>
          <w:tcPr>
            <w:tcW w:w="2120" w:type="dxa"/>
            <w:vAlign w:val="bottom"/>
          </w:tcPr>
          <w:p>
            <w:pPr>
              <w:spacing w:after="0"/>
              <w:rPr>
                <w:sz w:val="22"/>
                <w:szCs w:val="22"/>
                <w:color w:val="auto"/>
              </w:rPr>
            </w:pPr>
          </w:p>
        </w:tc>
      </w:tr>
      <w:tr>
        <w:trPr>
          <w:trHeight w:val="274"/>
        </w:trPr>
        <w:tc>
          <w:tcPr>
            <w:tcW w:w="1200" w:type="dxa"/>
            <w:vAlign w:val="bottom"/>
          </w:tcPr>
          <w:p>
            <w:pPr>
              <w:spacing w:after="0"/>
              <w:rPr>
                <w:sz w:val="23"/>
                <w:szCs w:val="23"/>
                <w:color w:val="auto"/>
              </w:rPr>
            </w:pPr>
          </w:p>
        </w:tc>
        <w:tc>
          <w:tcPr>
            <w:tcW w:w="7900" w:type="dxa"/>
            <w:vAlign w:val="bottom"/>
          </w:tcPr>
          <w:p>
            <w:pPr>
              <w:jc w:val="center"/>
              <w:ind w:left="772"/>
              <w:spacing w:after="0"/>
              <w:rPr>
                <w:rFonts w:ascii="Arial" w:cs="Arial" w:eastAsia="Arial" w:hAnsi="Arial"/>
                <w:sz w:val="22"/>
                <w:szCs w:val="22"/>
                <w:color w:val="auto"/>
                <w:w w:val="92"/>
              </w:rPr>
            </w:pPr>
            <w:hyperlink w:anchor="page61">
              <w:r>
                <w:rPr>
                  <w:rFonts w:ascii="Arial" w:cs="Arial" w:eastAsia="Arial" w:hAnsi="Arial"/>
                  <w:sz w:val="22"/>
                  <w:szCs w:val="22"/>
                  <w:color w:val="auto"/>
                  <w:w w:val="92"/>
                </w:rPr>
                <w:t>BY REFERENCE</w:t>
              </w:r>
            </w:hyperlink>
          </w:p>
        </w:tc>
        <w:tc>
          <w:tcPr>
            <w:tcW w:w="2120" w:type="dxa"/>
            <w:vAlign w:val="bottom"/>
          </w:tcPr>
          <w:p>
            <w:pPr>
              <w:spacing w:after="0"/>
              <w:rPr>
                <w:sz w:val="23"/>
                <w:szCs w:val="23"/>
                <w:color w:val="auto"/>
              </w:rPr>
            </w:pPr>
          </w:p>
        </w:tc>
      </w:tr>
      <w:tr>
        <w:trPr>
          <w:trHeight w:val="311"/>
        </w:trPr>
        <w:tc>
          <w:tcPr>
            <w:tcW w:w="1200" w:type="dxa"/>
            <w:vAlign w:val="bottom"/>
          </w:tcPr>
          <w:p>
            <w:pPr>
              <w:spacing w:after="0"/>
              <w:rPr>
                <w:sz w:val="20"/>
                <w:szCs w:val="20"/>
                <w:color w:val="auto"/>
              </w:rPr>
            </w:pPr>
            <w:r>
              <w:rPr>
                <w:rFonts w:ascii="Arial" w:cs="Arial" w:eastAsia="Arial" w:hAnsi="Arial"/>
                <w:sz w:val="22"/>
                <w:szCs w:val="22"/>
                <w:color w:val="auto"/>
                <w:w w:val="96"/>
              </w:rPr>
              <w:t>Section 1.01</w:t>
            </w:r>
          </w:p>
        </w:tc>
        <w:tc>
          <w:tcPr>
            <w:tcW w:w="7900" w:type="dxa"/>
            <w:vAlign w:val="bottom"/>
          </w:tcPr>
          <w:p>
            <w:pPr>
              <w:ind w:left="100"/>
              <w:spacing w:after="0"/>
              <w:rPr>
                <w:sz w:val="20"/>
                <w:szCs w:val="20"/>
                <w:color w:val="auto"/>
              </w:rPr>
            </w:pPr>
            <w:r>
              <w:rPr>
                <w:rFonts w:ascii="Arial" w:cs="Arial" w:eastAsia="Arial" w:hAnsi="Arial"/>
                <w:sz w:val="22"/>
                <w:szCs w:val="22"/>
                <w:color w:val="auto"/>
              </w:rPr>
              <w:t>Definitions</w:t>
            </w:r>
          </w:p>
        </w:tc>
        <w:tc>
          <w:tcPr>
            <w:tcW w:w="212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10"/>
        </w:trPr>
        <w:tc>
          <w:tcPr>
            <w:tcW w:w="1200" w:type="dxa"/>
            <w:vAlign w:val="bottom"/>
          </w:tcPr>
          <w:p>
            <w:pPr>
              <w:spacing w:after="0"/>
              <w:rPr>
                <w:sz w:val="20"/>
                <w:szCs w:val="20"/>
                <w:color w:val="auto"/>
              </w:rPr>
            </w:pPr>
            <w:r>
              <w:rPr>
                <w:rFonts w:ascii="Arial" w:cs="Arial" w:eastAsia="Arial" w:hAnsi="Arial"/>
                <w:sz w:val="22"/>
                <w:szCs w:val="22"/>
                <w:color w:val="auto"/>
                <w:w w:val="96"/>
              </w:rPr>
              <w:t>Section 1.02</w:t>
            </w:r>
          </w:p>
        </w:tc>
        <w:tc>
          <w:tcPr>
            <w:tcW w:w="7900" w:type="dxa"/>
            <w:vAlign w:val="bottom"/>
          </w:tcPr>
          <w:p>
            <w:pPr>
              <w:ind w:left="100"/>
              <w:spacing w:after="0"/>
              <w:rPr>
                <w:sz w:val="20"/>
                <w:szCs w:val="20"/>
                <w:color w:val="auto"/>
              </w:rPr>
            </w:pPr>
            <w:r>
              <w:rPr>
                <w:rFonts w:ascii="Arial" w:cs="Arial" w:eastAsia="Arial" w:hAnsi="Arial"/>
                <w:sz w:val="22"/>
                <w:szCs w:val="22"/>
                <w:color w:val="auto"/>
              </w:rPr>
              <w:t>Other Definitions</w:t>
            </w:r>
          </w:p>
        </w:tc>
        <w:tc>
          <w:tcPr>
            <w:tcW w:w="212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12</w:t>
              </w:r>
            </w:hyperlink>
          </w:p>
        </w:tc>
      </w:tr>
      <w:tr>
        <w:trPr>
          <w:trHeight w:val="311"/>
        </w:trPr>
        <w:tc>
          <w:tcPr>
            <w:tcW w:w="9100" w:type="dxa"/>
            <w:vAlign w:val="bottom"/>
            <w:gridSpan w:val="2"/>
          </w:tcPr>
          <w:p>
            <w:pPr>
              <w:spacing w:after="0"/>
              <w:rPr>
                <w:sz w:val="20"/>
                <w:szCs w:val="20"/>
                <w:color w:val="auto"/>
              </w:rPr>
            </w:pPr>
            <w:r>
              <w:rPr>
                <w:rFonts w:ascii="Arial" w:cs="Arial" w:eastAsia="Arial" w:hAnsi="Arial"/>
                <w:sz w:val="22"/>
                <w:szCs w:val="22"/>
                <w:color w:val="auto"/>
              </w:rPr>
              <w:t>Section 1.03  Rules of Construction</w:t>
            </w:r>
          </w:p>
        </w:tc>
        <w:tc>
          <w:tcPr>
            <w:tcW w:w="212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13</w:t>
              </w:r>
            </w:hyperlink>
          </w:p>
        </w:tc>
      </w:tr>
      <w:tr>
        <w:trPr>
          <w:trHeight w:val="293"/>
        </w:trPr>
        <w:tc>
          <w:tcPr>
            <w:tcW w:w="1200" w:type="dxa"/>
            <w:vAlign w:val="bottom"/>
          </w:tcPr>
          <w:p>
            <w:pPr>
              <w:spacing w:after="0"/>
              <w:rPr>
                <w:sz w:val="24"/>
                <w:szCs w:val="24"/>
                <w:color w:val="auto"/>
              </w:rPr>
            </w:pPr>
          </w:p>
        </w:tc>
        <w:tc>
          <w:tcPr>
            <w:tcW w:w="7900" w:type="dxa"/>
            <w:vAlign w:val="bottom"/>
          </w:tcPr>
          <w:p>
            <w:pPr>
              <w:jc w:val="center"/>
              <w:ind w:left="772"/>
              <w:spacing w:after="0"/>
              <w:rPr>
                <w:sz w:val="20"/>
                <w:szCs w:val="20"/>
                <w:color w:val="auto"/>
              </w:rPr>
            </w:pPr>
            <w:r>
              <w:rPr>
                <w:rFonts w:ascii="Arial" w:cs="Arial" w:eastAsia="Arial" w:hAnsi="Arial"/>
                <w:sz w:val="22"/>
                <w:szCs w:val="22"/>
                <w:color w:val="auto"/>
                <w:w w:val="98"/>
              </w:rPr>
              <w:t>Article 2</w:t>
            </w:r>
          </w:p>
        </w:tc>
        <w:tc>
          <w:tcPr>
            <w:tcW w:w="2120" w:type="dxa"/>
            <w:vAlign w:val="bottom"/>
          </w:tcPr>
          <w:p>
            <w:pPr>
              <w:spacing w:after="0"/>
              <w:rPr>
                <w:sz w:val="24"/>
                <w:szCs w:val="24"/>
                <w:color w:val="auto"/>
              </w:rPr>
            </w:pPr>
          </w:p>
        </w:tc>
      </w:tr>
      <w:tr>
        <w:trPr>
          <w:trHeight w:val="274"/>
        </w:trPr>
        <w:tc>
          <w:tcPr>
            <w:tcW w:w="1200" w:type="dxa"/>
            <w:vAlign w:val="bottom"/>
          </w:tcPr>
          <w:p>
            <w:pPr>
              <w:spacing w:after="0"/>
              <w:rPr>
                <w:sz w:val="23"/>
                <w:szCs w:val="23"/>
                <w:color w:val="auto"/>
              </w:rPr>
            </w:pPr>
          </w:p>
        </w:tc>
        <w:tc>
          <w:tcPr>
            <w:tcW w:w="7900" w:type="dxa"/>
            <w:vAlign w:val="bottom"/>
          </w:tcPr>
          <w:p>
            <w:pPr>
              <w:jc w:val="center"/>
              <w:ind w:left="772"/>
              <w:spacing w:after="0"/>
              <w:rPr>
                <w:sz w:val="20"/>
                <w:szCs w:val="20"/>
                <w:color w:val="auto"/>
              </w:rPr>
            </w:pPr>
            <w:r>
              <w:rPr>
                <w:rFonts w:ascii="Arial" w:cs="Arial" w:eastAsia="Arial" w:hAnsi="Arial"/>
                <w:sz w:val="22"/>
                <w:szCs w:val="22"/>
                <w:color w:val="auto"/>
                <w:w w:val="93"/>
              </w:rPr>
              <w:t>THE NOTES</w:t>
            </w:r>
          </w:p>
        </w:tc>
        <w:tc>
          <w:tcPr>
            <w:tcW w:w="2120" w:type="dxa"/>
            <w:vAlign w:val="bottom"/>
          </w:tcPr>
          <w:p>
            <w:pPr>
              <w:spacing w:after="0"/>
              <w:rPr>
                <w:sz w:val="23"/>
                <w:szCs w:val="23"/>
                <w:color w:val="auto"/>
              </w:rPr>
            </w:pPr>
          </w:p>
        </w:tc>
      </w:tr>
      <w:tr>
        <w:trPr>
          <w:trHeight w:val="311"/>
        </w:trPr>
        <w:tc>
          <w:tcPr>
            <w:tcW w:w="9100" w:type="dxa"/>
            <w:vAlign w:val="bottom"/>
            <w:gridSpan w:val="2"/>
          </w:tcPr>
          <w:p>
            <w:pPr>
              <w:spacing w:after="0"/>
              <w:rPr>
                <w:sz w:val="20"/>
                <w:szCs w:val="20"/>
                <w:color w:val="auto"/>
              </w:rPr>
            </w:pPr>
            <w:r>
              <w:rPr>
                <w:rFonts w:ascii="Arial" w:cs="Arial" w:eastAsia="Arial" w:hAnsi="Arial"/>
                <w:sz w:val="22"/>
                <w:szCs w:val="22"/>
                <w:color w:val="auto"/>
              </w:rPr>
              <w:t>Section 2.01  Form and Dating</w:t>
            </w:r>
          </w:p>
        </w:tc>
        <w:tc>
          <w:tcPr>
            <w:tcW w:w="212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14</w:t>
              </w:r>
            </w:hyperlink>
          </w:p>
        </w:tc>
      </w:tr>
      <w:tr>
        <w:trPr>
          <w:trHeight w:val="310"/>
        </w:trPr>
        <w:tc>
          <w:tcPr>
            <w:tcW w:w="9100" w:type="dxa"/>
            <w:vAlign w:val="bottom"/>
            <w:gridSpan w:val="2"/>
          </w:tcPr>
          <w:p>
            <w:pPr>
              <w:spacing w:after="0"/>
              <w:rPr>
                <w:sz w:val="20"/>
                <w:szCs w:val="20"/>
                <w:color w:val="auto"/>
              </w:rPr>
            </w:pPr>
            <w:r>
              <w:rPr>
                <w:rFonts w:ascii="Arial" w:cs="Arial" w:eastAsia="Arial" w:hAnsi="Arial"/>
                <w:sz w:val="22"/>
                <w:szCs w:val="22"/>
                <w:color w:val="auto"/>
              </w:rPr>
              <w:t>Section 2.02  Execution and Authentication</w:t>
            </w:r>
          </w:p>
        </w:tc>
        <w:tc>
          <w:tcPr>
            <w:tcW w:w="212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15</w:t>
              </w:r>
            </w:hyperlink>
          </w:p>
        </w:tc>
      </w:tr>
      <w:tr>
        <w:trPr>
          <w:trHeight w:val="311"/>
        </w:trPr>
        <w:tc>
          <w:tcPr>
            <w:tcW w:w="9100" w:type="dxa"/>
            <w:vAlign w:val="bottom"/>
            <w:gridSpan w:val="2"/>
          </w:tcPr>
          <w:p>
            <w:pPr>
              <w:spacing w:after="0"/>
              <w:rPr>
                <w:sz w:val="20"/>
                <w:szCs w:val="20"/>
                <w:color w:val="auto"/>
              </w:rPr>
            </w:pPr>
            <w:r>
              <w:rPr>
                <w:rFonts w:ascii="Arial" w:cs="Arial" w:eastAsia="Arial" w:hAnsi="Arial"/>
                <w:sz w:val="22"/>
                <w:szCs w:val="22"/>
                <w:color w:val="auto"/>
              </w:rPr>
              <w:t>Section 2.03  Registrar and Paying Agent</w:t>
            </w:r>
          </w:p>
        </w:tc>
        <w:tc>
          <w:tcPr>
            <w:tcW w:w="212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15</w:t>
              </w:r>
            </w:hyperlink>
          </w:p>
        </w:tc>
      </w:tr>
      <w:tr>
        <w:trPr>
          <w:trHeight w:val="310"/>
        </w:trPr>
        <w:tc>
          <w:tcPr>
            <w:tcW w:w="9100" w:type="dxa"/>
            <w:vAlign w:val="bottom"/>
            <w:gridSpan w:val="2"/>
          </w:tcPr>
          <w:p>
            <w:pPr>
              <w:spacing w:after="0"/>
              <w:rPr>
                <w:sz w:val="20"/>
                <w:szCs w:val="20"/>
                <w:color w:val="auto"/>
              </w:rPr>
            </w:pPr>
            <w:r>
              <w:rPr>
                <w:rFonts w:ascii="Arial" w:cs="Arial" w:eastAsia="Arial" w:hAnsi="Arial"/>
                <w:sz w:val="22"/>
                <w:szCs w:val="22"/>
                <w:color w:val="auto"/>
              </w:rPr>
              <w:t>Section 2.04  Paying Agent to Hold Money in Trust</w:t>
            </w:r>
          </w:p>
        </w:tc>
        <w:tc>
          <w:tcPr>
            <w:tcW w:w="212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11"/>
        </w:trPr>
        <w:tc>
          <w:tcPr>
            <w:tcW w:w="1200" w:type="dxa"/>
            <w:vAlign w:val="bottom"/>
          </w:tcPr>
          <w:p>
            <w:pPr>
              <w:spacing w:after="0"/>
              <w:rPr>
                <w:sz w:val="20"/>
                <w:szCs w:val="20"/>
                <w:color w:val="auto"/>
              </w:rPr>
            </w:pPr>
            <w:r>
              <w:rPr>
                <w:rFonts w:ascii="Arial" w:cs="Arial" w:eastAsia="Arial" w:hAnsi="Arial"/>
                <w:sz w:val="22"/>
                <w:szCs w:val="22"/>
                <w:color w:val="auto"/>
                <w:w w:val="96"/>
              </w:rPr>
              <w:t>Section 2.05</w:t>
            </w:r>
          </w:p>
        </w:tc>
        <w:tc>
          <w:tcPr>
            <w:tcW w:w="7900" w:type="dxa"/>
            <w:vAlign w:val="bottom"/>
          </w:tcPr>
          <w:p>
            <w:pPr>
              <w:ind w:left="100"/>
              <w:spacing w:after="0"/>
              <w:rPr>
                <w:sz w:val="20"/>
                <w:szCs w:val="20"/>
                <w:color w:val="auto"/>
              </w:rPr>
            </w:pPr>
            <w:r>
              <w:rPr>
                <w:rFonts w:ascii="Arial" w:cs="Arial" w:eastAsia="Arial" w:hAnsi="Arial"/>
                <w:sz w:val="22"/>
                <w:szCs w:val="22"/>
                <w:color w:val="auto"/>
              </w:rPr>
              <w:t>Holder Lists</w:t>
            </w:r>
          </w:p>
        </w:tc>
        <w:tc>
          <w:tcPr>
            <w:tcW w:w="212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16</w:t>
              </w:r>
            </w:hyperlink>
          </w:p>
        </w:tc>
      </w:tr>
      <w:tr>
        <w:trPr>
          <w:trHeight w:val="311"/>
        </w:trPr>
        <w:tc>
          <w:tcPr>
            <w:tcW w:w="9100" w:type="dxa"/>
            <w:vAlign w:val="bottom"/>
            <w:gridSpan w:val="2"/>
          </w:tcPr>
          <w:p>
            <w:pPr>
              <w:spacing w:after="0"/>
              <w:rPr>
                <w:sz w:val="20"/>
                <w:szCs w:val="20"/>
                <w:color w:val="auto"/>
              </w:rPr>
            </w:pPr>
            <w:r>
              <w:rPr>
                <w:rFonts w:ascii="Arial" w:cs="Arial" w:eastAsia="Arial" w:hAnsi="Arial"/>
                <w:sz w:val="22"/>
                <w:szCs w:val="22"/>
                <w:color w:val="auto"/>
              </w:rPr>
              <w:t>Section 2.06  Transfer and Exchange</w:t>
            </w:r>
          </w:p>
        </w:tc>
        <w:tc>
          <w:tcPr>
            <w:tcW w:w="212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16</w:t>
              </w:r>
            </w:hyperlink>
          </w:p>
        </w:tc>
      </w:tr>
      <w:tr>
        <w:trPr>
          <w:trHeight w:val="310"/>
        </w:trPr>
        <w:tc>
          <w:tcPr>
            <w:tcW w:w="1200" w:type="dxa"/>
            <w:vAlign w:val="bottom"/>
          </w:tcPr>
          <w:p>
            <w:pPr>
              <w:spacing w:after="0"/>
              <w:rPr>
                <w:sz w:val="20"/>
                <w:szCs w:val="20"/>
                <w:color w:val="auto"/>
              </w:rPr>
            </w:pPr>
            <w:r>
              <w:rPr>
                <w:rFonts w:ascii="Arial" w:cs="Arial" w:eastAsia="Arial" w:hAnsi="Arial"/>
                <w:sz w:val="22"/>
                <w:szCs w:val="22"/>
                <w:color w:val="auto"/>
                <w:w w:val="96"/>
              </w:rPr>
              <w:t>Section 2.07</w:t>
            </w:r>
          </w:p>
        </w:tc>
        <w:tc>
          <w:tcPr>
            <w:tcW w:w="7900" w:type="dxa"/>
            <w:vAlign w:val="bottom"/>
          </w:tcPr>
          <w:p>
            <w:pPr>
              <w:ind w:left="100"/>
              <w:spacing w:after="0"/>
              <w:rPr>
                <w:sz w:val="20"/>
                <w:szCs w:val="20"/>
                <w:color w:val="auto"/>
              </w:rPr>
            </w:pPr>
            <w:r>
              <w:rPr>
                <w:rFonts w:ascii="Arial" w:cs="Arial" w:eastAsia="Arial" w:hAnsi="Arial"/>
                <w:sz w:val="22"/>
                <w:szCs w:val="22"/>
                <w:color w:val="auto"/>
              </w:rPr>
              <w:t>Replacement Notes</w:t>
            </w:r>
          </w:p>
        </w:tc>
        <w:tc>
          <w:tcPr>
            <w:tcW w:w="212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27</w:t>
              </w:r>
            </w:hyperlink>
          </w:p>
        </w:tc>
      </w:tr>
      <w:tr>
        <w:trPr>
          <w:trHeight w:val="310"/>
        </w:trPr>
        <w:tc>
          <w:tcPr>
            <w:tcW w:w="1200" w:type="dxa"/>
            <w:vAlign w:val="bottom"/>
          </w:tcPr>
          <w:p>
            <w:pPr>
              <w:spacing w:after="0"/>
              <w:rPr>
                <w:sz w:val="20"/>
                <w:szCs w:val="20"/>
                <w:color w:val="auto"/>
              </w:rPr>
            </w:pPr>
            <w:r>
              <w:rPr>
                <w:rFonts w:ascii="Arial" w:cs="Arial" w:eastAsia="Arial" w:hAnsi="Arial"/>
                <w:sz w:val="22"/>
                <w:szCs w:val="22"/>
                <w:color w:val="auto"/>
                <w:w w:val="96"/>
              </w:rPr>
              <w:t>Section 2.08</w:t>
            </w:r>
          </w:p>
        </w:tc>
        <w:tc>
          <w:tcPr>
            <w:tcW w:w="7900" w:type="dxa"/>
            <w:vAlign w:val="bottom"/>
          </w:tcPr>
          <w:p>
            <w:pPr>
              <w:ind w:left="100"/>
              <w:spacing w:after="0"/>
              <w:rPr>
                <w:sz w:val="20"/>
                <w:szCs w:val="20"/>
                <w:color w:val="auto"/>
              </w:rPr>
            </w:pPr>
            <w:r>
              <w:rPr>
                <w:rFonts w:ascii="Arial" w:cs="Arial" w:eastAsia="Arial" w:hAnsi="Arial"/>
                <w:sz w:val="22"/>
                <w:szCs w:val="22"/>
                <w:color w:val="auto"/>
              </w:rPr>
              <w:t>Outstanding Notes</w:t>
            </w:r>
          </w:p>
        </w:tc>
        <w:tc>
          <w:tcPr>
            <w:tcW w:w="21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11"/>
        </w:trPr>
        <w:tc>
          <w:tcPr>
            <w:tcW w:w="1200" w:type="dxa"/>
            <w:vAlign w:val="bottom"/>
          </w:tcPr>
          <w:p>
            <w:pPr>
              <w:spacing w:after="0"/>
              <w:rPr>
                <w:sz w:val="20"/>
                <w:szCs w:val="20"/>
                <w:color w:val="auto"/>
              </w:rPr>
            </w:pPr>
            <w:r>
              <w:rPr>
                <w:rFonts w:ascii="Arial" w:cs="Arial" w:eastAsia="Arial" w:hAnsi="Arial"/>
                <w:sz w:val="22"/>
                <w:szCs w:val="22"/>
                <w:color w:val="auto"/>
                <w:w w:val="96"/>
              </w:rPr>
              <w:t>Section 2.09</w:t>
            </w:r>
          </w:p>
        </w:tc>
        <w:tc>
          <w:tcPr>
            <w:tcW w:w="7900" w:type="dxa"/>
            <w:vAlign w:val="bottom"/>
          </w:tcPr>
          <w:p>
            <w:pPr>
              <w:ind w:left="100"/>
              <w:spacing w:after="0"/>
              <w:rPr>
                <w:sz w:val="20"/>
                <w:szCs w:val="20"/>
                <w:color w:val="auto"/>
              </w:rPr>
            </w:pPr>
            <w:r>
              <w:rPr>
                <w:rFonts w:ascii="Arial" w:cs="Arial" w:eastAsia="Arial" w:hAnsi="Arial"/>
                <w:sz w:val="22"/>
                <w:szCs w:val="22"/>
                <w:color w:val="auto"/>
              </w:rPr>
              <w:t>Treasury Notes</w:t>
            </w:r>
          </w:p>
        </w:tc>
        <w:tc>
          <w:tcPr>
            <w:tcW w:w="212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10"/>
        </w:trPr>
        <w:tc>
          <w:tcPr>
            <w:tcW w:w="1200" w:type="dxa"/>
            <w:vAlign w:val="bottom"/>
          </w:tcPr>
          <w:p>
            <w:pPr>
              <w:spacing w:after="0"/>
              <w:rPr>
                <w:sz w:val="20"/>
                <w:szCs w:val="20"/>
                <w:color w:val="auto"/>
              </w:rPr>
            </w:pPr>
            <w:r>
              <w:rPr>
                <w:rFonts w:ascii="Arial" w:cs="Arial" w:eastAsia="Arial" w:hAnsi="Arial"/>
                <w:sz w:val="22"/>
                <w:szCs w:val="22"/>
                <w:color w:val="auto"/>
                <w:w w:val="96"/>
              </w:rPr>
              <w:t>Section 2.10</w:t>
            </w:r>
          </w:p>
        </w:tc>
        <w:tc>
          <w:tcPr>
            <w:tcW w:w="7900" w:type="dxa"/>
            <w:vAlign w:val="bottom"/>
          </w:tcPr>
          <w:p>
            <w:pPr>
              <w:ind w:left="100"/>
              <w:spacing w:after="0"/>
              <w:rPr>
                <w:sz w:val="20"/>
                <w:szCs w:val="20"/>
                <w:color w:val="auto"/>
              </w:rPr>
            </w:pPr>
            <w:r>
              <w:rPr>
                <w:rFonts w:ascii="Arial" w:cs="Arial" w:eastAsia="Arial" w:hAnsi="Arial"/>
                <w:sz w:val="22"/>
                <w:szCs w:val="22"/>
                <w:color w:val="auto"/>
              </w:rPr>
              <w:t>Temporary Notes</w:t>
            </w:r>
          </w:p>
        </w:tc>
        <w:tc>
          <w:tcPr>
            <w:tcW w:w="212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10"/>
        </w:trPr>
        <w:tc>
          <w:tcPr>
            <w:tcW w:w="1200" w:type="dxa"/>
            <w:vAlign w:val="bottom"/>
          </w:tcPr>
          <w:p>
            <w:pPr>
              <w:spacing w:after="0"/>
              <w:rPr>
                <w:sz w:val="20"/>
                <w:szCs w:val="20"/>
                <w:color w:val="auto"/>
              </w:rPr>
            </w:pPr>
            <w:r>
              <w:rPr>
                <w:rFonts w:ascii="Arial" w:cs="Arial" w:eastAsia="Arial" w:hAnsi="Arial"/>
                <w:sz w:val="22"/>
                <w:szCs w:val="22"/>
                <w:color w:val="auto"/>
                <w:w w:val="96"/>
              </w:rPr>
              <w:t>Section 2.11</w:t>
            </w:r>
          </w:p>
        </w:tc>
        <w:tc>
          <w:tcPr>
            <w:tcW w:w="7900" w:type="dxa"/>
            <w:vAlign w:val="bottom"/>
          </w:tcPr>
          <w:p>
            <w:pPr>
              <w:ind w:left="100"/>
              <w:spacing w:after="0"/>
              <w:rPr>
                <w:sz w:val="20"/>
                <w:szCs w:val="20"/>
                <w:color w:val="auto"/>
              </w:rPr>
            </w:pPr>
            <w:r>
              <w:rPr>
                <w:rFonts w:ascii="Arial" w:cs="Arial" w:eastAsia="Arial" w:hAnsi="Arial"/>
                <w:sz w:val="22"/>
                <w:szCs w:val="22"/>
                <w:color w:val="auto"/>
              </w:rPr>
              <w:t>Cancelation</w:t>
            </w:r>
          </w:p>
        </w:tc>
        <w:tc>
          <w:tcPr>
            <w:tcW w:w="212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10"/>
        </w:trPr>
        <w:tc>
          <w:tcPr>
            <w:tcW w:w="1200" w:type="dxa"/>
            <w:vAlign w:val="bottom"/>
          </w:tcPr>
          <w:p>
            <w:pPr>
              <w:spacing w:after="0"/>
              <w:rPr>
                <w:sz w:val="20"/>
                <w:szCs w:val="20"/>
                <w:color w:val="auto"/>
              </w:rPr>
            </w:pPr>
            <w:r>
              <w:rPr>
                <w:rFonts w:ascii="Arial" w:cs="Arial" w:eastAsia="Arial" w:hAnsi="Arial"/>
                <w:sz w:val="22"/>
                <w:szCs w:val="22"/>
                <w:color w:val="auto"/>
                <w:w w:val="96"/>
              </w:rPr>
              <w:t>Section 2.12</w:t>
            </w:r>
          </w:p>
        </w:tc>
        <w:tc>
          <w:tcPr>
            <w:tcW w:w="7900" w:type="dxa"/>
            <w:vAlign w:val="bottom"/>
          </w:tcPr>
          <w:p>
            <w:pPr>
              <w:ind w:left="100"/>
              <w:spacing w:after="0"/>
              <w:rPr>
                <w:sz w:val="20"/>
                <w:szCs w:val="20"/>
                <w:color w:val="auto"/>
              </w:rPr>
            </w:pPr>
            <w:r>
              <w:rPr>
                <w:rFonts w:ascii="Arial" w:cs="Arial" w:eastAsia="Arial" w:hAnsi="Arial"/>
                <w:sz w:val="22"/>
                <w:szCs w:val="22"/>
                <w:color w:val="auto"/>
              </w:rPr>
              <w:t>Defaulted Interest</w:t>
            </w:r>
          </w:p>
        </w:tc>
        <w:tc>
          <w:tcPr>
            <w:tcW w:w="212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10"/>
        </w:trPr>
        <w:tc>
          <w:tcPr>
            <w:tcW w:w="9100" w:type="dxa"/>
            <w:vAlign w:val="bottom"/>
            <w:gridSpan w:val="2"/>
          </w:tcPr>
          <w:p>
            <w:pPr>
              <w:spacing w:after="0"/>
              <w:rPr>
                <w:sz w:val="20"/>
                <w:szCs w:val="20"/>
                <w:color w:val="auto"/>
              </w:rPr>
            </w:pPr>
            <w:r>
              <w:rPr>
                <w:rFonts w:ascii="Arial" w:cs="Arial" w:eastAsia="Arial" w:hAnsi="Arial"/>
                <w:sz w:val="22"/>
                <w:szCs w:val="22"/>
                <w:color w:val="auto"/>
              </w:rPr>
              <w:t>Section 2.13  Issuance of Additional Notes</w:t>
            </w:r>
          </w:p>
        </w:tc>
        <w:tc>
          <w:tcPr>
            <w:tcW w:w="212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93"/>
        </w:trPr>
        <w:tc>
          <w:tcPr>
            <w:tcW w:w="1200" w:type="dxa"/>
            <w:vAlign w:val="bottom"/>
          </w:tcPr>
          <w:p>
            <w:pPr>
              <w:spacing w:after="0"/>
              <w:rPr>
                <w:sz w:val="24"/>
                <w:szCs w:val="24"/>
                <w:color w:val="auto"/>
              </w:rPr>
            </w:pPr>
          </w:p>
        </w:tc>
        <w:tc>
          <w:tcPr>
            <w:tcW w:w="7900" w:type="dxa"/>
            <w:vAlign w:val="bottom"/>
          </w:tcPr>
          <w:p>
            <w:pPr>
              <w:ind w:left="3760"/>
              <w:spacing w:after="0"/>
              <w:rPr>
                <w:sz w:val="20"/>
                <w:szCs w:val="20"/>
                <w:color w:val="auto"/>
              </w:rPr>
            </w:pPr>
            <w:r>
              <w:rPr>
                <w:rFonts w:ascii="Arial" w:cs="Arial" w:eastAsia="Arial" w:hAnsi="Arial"/>
                <w:sz w:val="22"/>
                <w:szCs w:val="22"/>
                <w:color w:val="auto"/>
              </w:rPr>
              <w:t>Article 3</w:t>
            </w:r>
          </w:p>
        </w:tc>
        <w:tc>
          <w:tcPr>
            <w:tcW w:w="2120" w:type="dxa"/>
            <w:vAlign w:val="bottom"/>
          </w:tcPr>
          <w:p>
            <w:pPr>
              <w:spacing w:after="0"/>
              <w:rPr>
                <w:sz w:val="24"/>
                <w:szCs w:val="24"/>
                <w:color w:val="auto"/>
              </w:rPr>
            </w:pPr>
          </w:p>
        </w:tc>
      </w:tr>
      <w:tr>
        <w:trPr>
          <w:trHeight w:val="274"/>
        </w:trPr>
        <w:tc>
          <w:tcPr>
            <w:tcW w:w="1200" w:type="dxa"/>
            <w:vAlign w:val="bottom"/>
          </w:tcPr>
          <w:p>
            <w:pPr>
              <w:spacing w:after="0"/>
              <w:rPr>
                <w:sz w:val="23"/>
                <w:szCs w:val="23"/>
                <w:color w:val="auto"/>
              </w:rPr>
            </w:pPr>
          </w:p>
        </w:tc>
        <w:tc>
          <w:tcPr>
            <w:tcW w:w="7900" w:type="dxa"/>
            <w:vAlign w:val="bottom"/>
          </w:tcPr>
          <w:p>
            <w:pPr>
              <w:ind w:left="2440"/>
              <w:spacing w:after="0"/>
              <w:rPr>
                <w:sz w:val="20"/>
                <w:szCs w:val="20"/>
                <w:color w:val="auto"/>
              </w:rPr>
            </w:pPr>
            <w:r>
              <w:rPr>
                <w:rFonts w:ascii="Arial" w:cs="Arial" w:eastAsia="Arial" w:hAnsi="Arial"/>
                <w:sz w:val="22"/>
                <w:szCs w:val="22"/>
                <w:color w:val="auto"/>
              </w:rPr>
              <w:t>REDEMPTION AND PREPAYMENT</w:t>
            </w:r>
          </w:p>
        </w:tc>
        <w:tc>
          <w:tcPr>
            <w:tcW w:w="2120" w:type="dxa"/>
            <w:vAlign w:val="bottom"/>
          </w:tcPr>
          <w:p>
            <w:pPr>
              <w:spacing w:after="0"/>
              <w:rPr>
                <w:sz w:val="23"/>
                <w:szCs w:val="23"/>
                <w:color w:val="auto"/>
              </w:rPr>
            </w:pPr>
          </w:p>
        </w:tc>
      </w:tr>
      <w:tr>
        <w:trPr>
          <w:trHeight w:val="310"/>
        </w:trPr>
        <w:tc>
          <w:tcPr>
            <w:tcW w:w="9100" w:type="dxa"/>
            <w:vAlign w:val="bottom"/>
            <w:gridSpan w:val="2"/>
          </w:tcPr>
          <w:p>
            <w:pPr>
              <w:spacing w:after="0"/>
              <w:rPr>
                <w:sz w:val="20"/>
                <w:szCs w:val="20"/>
                <w:color w:val="auto"/>
              </w:rPr>
            </w:pPr>
            <w:r>
              <w:rPr>
                <w:rFonts w:ascii="Arial" w:cs="Arial" w:eastAsia="Arial" w:hAnsi="Arial"/>
                <w:sz w:val="22"/>
                <w:szCs w:val="22"/>
                <w:color w:val="auto"/>
              </w:rPr>
              <w:t>Section 3.01  Notices to Trustee</w:t>
            </w:r>
          </w:p>
        </w:tc>
        <w:tc>
          <w:tcPr>
            <w:tcW w:w="212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310"/>
        </w:trPr>
        <w:tc>
          <w:tcPr>
            <w:tcW w:w="9100" w:type="dxa"/>
            <w:vAlign w:val="bottom"/>
            <w:gridSpan w:val="2"/>
          </w:tcPr>
          <w:p>
            <w:pPr>
              <w:spacing w:after="0"/>
              <w:rPr>
                <w:sz w:val="20"/>
                <w:szCs w:val="20"/>
                <w:color w:val="auto"/>
              </w:rPr>
            </w:pPr>
            <w:r>
              <w:rPr>
                <w:rFonts w:ascii="Arial" w:cs="Arial" w:eastAsia="Arial" w:hAnsi="Arial"/>
                <w:sz w:val="22"/>
                <w:szCs w:val="22"/>
                <w:color w:val="auto"/>
              </w:rPr>
              <w:t>Section 3.02  Selection of Notes to Be Redeemed or Purchased</w:t>
            </w:r>
          </w:p>
        </w:tc>
        <w:tc>
          <w:tcPr>
            <w:tcW w:w="21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10"/>
        </w:trPr>
        <w:tc>
          <w:tcPr>
            <w:tcW w:w="9100" w:type="dxa"/>
            <w:vAlign w:val="bottom"/>
            <w:gridSpan w:val="2"/>
          </w:tcPr>
          <w:p>
            <w:pPr>
              <w:spacing w:after="0"/>
              <w:rPr>
                <w:sz w:val="20"/>
                <w:szCs w:val="20"/>
                <w:color w:val="auto"/>
              </w:rPr>
            </w:pPr>
            <w:r>
              <w:rPr>
                <w:rFonts w:ascii="Arial" w:cs="Arial" w:eastAsia="Arial" w:hAnsi="Arial"/>
                <w:sz w:val="22"/>
                <w:szCs w:val="22"/>
                <w:color w:val="auto"/>
              </w:rPr>
              <w:t>Section 3.03  Notice of Redemption</w:t>
            </w:r>
          </w:p>
        </w:tc>
        <w:tc>
          <w:tcPr>
            <w:tcW w:w="212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30</w:t>
              </w:r>
            </w:hyperlink>
          </w:p>
        </w:tc>
      </w:tr>
      <w:tr>
        <w:trPr>
          <w:trHeight w:val="310"/>
        </w:trPr>
        <w:tc>
          <w:tcPr>
            <w:tcW w:w="9100" w:type="dxa"/>
            <w:vAlign w:val="bottom"/>
            <w:gridSpan w:val="2"/>
          </w:tcPr>
          <w:p>
            <w:pPr>
              <w:spacing w:after="0"/>
              <w:rPr>
                <w:sz w:val="20"/>
                <w:szCs w:val="20"/>
                <w:color w:val="auto"/>
              </w:rPr>
            </w:pPr>
            <w:r>
              <w:rPr>
                <w:rFonts w:ascii="Arial" w:cs="Arial" w:eastAsia="Arial" w:hAnsi="Arial"/>
                <w:sz w:val="22"/>
                <w:szCs w:val="22"/>
                <w:color w:val="auto"/>
              </w:rPr>
              <w:t>Section 3.04  Effect of Notice of Redemption</w:t>
            </w:r>
          </w:p>
        </w:tc>
        <w:tc>
          <w:tcPr>
            <w:tcW w:w="212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31</w:t>
              </w:r>
            </w:hyperlink>
          </w:p>
        </w:tc>
      </w:tr>
      <w:tr>
        <w:trPr>
          <w:trHeight w:val="311"/>
        </w:trPr>
        <w:tc>
          <w:tcPr>
            <w:tcW w:w="9100" w:type="dxa"/>
            <w:vAlign w:val="bottom"/>
            <w:gridSpan w:val="2"/>
          </w:tcPr>
          <w:p>
            <w:pPr>
              <w:spacing w:after="0"/>
              <w:rPr>
                <w:sz w:val="20"/>
                <w:szCs w:val="20"/>
                <w:color w:val="auto"/>
              </w:rPr>
            </w:pPr>
            <w:r>
              <w:rPr>
                <w:rFonts w:ascii="Arial" w:cs="Arial" w:eastAsia="Arial" w:hAnsi="Arial"/>
                <w:sz w:val="22"/>
                <w:szCs w:val="22"/>
                <w:color w:val="auto"/>
              </w:rPr>
              <w:t>Section 3.05  Deposit of Redemption or Purchase Price</w:t>
            </w:r>
          </w:p>
        </w:tc>
        <w:tc>
          <w:tcPr>
            <w:tcW w:w="212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31</w:t>
              </w:r>
            </w:hyperlink>
          </w:p>
        </w:tc>
      </w:tr>
      <w:tr>
        <w:trPr>
          <w:trHeight w:val="310"/>
        </w:trPr>
        <w:tc>
          <w:tcPr>
            <w:tcW w:w="9100" w:type="dxa"/>
            <w:vAlign w:val="bottom"/>
            <w:gridSpan w:val="2"/>
          </w:tcPr>
          <w:p>
            <w:pPr>
              <w:spacing w:after="0"/>
              <w:rPr>
                <w:sz w:val="20"/>
                <w:szCs w:val="20"/>
                <w:color w:val="auto"/>
              </w:rPr>
            </w:pPr>
            <w:r>
              <w:rPr>
                <w:rFonts w:ascii="Arial" w:cs="Arial" w:eastAsia="Arial" w:hAnsi="Arial"/>
                <w:sz w:val="22"/>
                <w:szCs w:val="22"/>
                <w:color w:val="auto"/>
              </w:rPr>
              <w:t>Section 3.06  Notes Redeemed or Purchased in Part</w:t>
            </w:r>
          </w:p>
        </w:tc>
        <w:tc>
          <w:tcPr>
            <w:tcW w:w="212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31</w:t>
              </w:r>
            </w:hyperlink>
          </w:p>
        </w:tc>
      </w:tr>
      <w:tr>
        <w:trPr>
          <w:trHeight w:val="310"/>
        </w:trPr>
        <w:tc>
          <w:tcPr>
            <w:tcW w:w="1200" w:type="dxa"/>
            <w:vAlign w:val="bottom"/>
          </w:tcPr>
          <w:p>
            <w:pPr>
              <w:spacing w:after="0"/>
              <w:rPr>
                <w:sz w:val="20"/>
                <w:szCs w:val="20"/>
                <w:color w:val="auto"/>
              </w:rPr>
            </w:pPr>
            <w:r>
              <w:rPr>
                <w:rFonts w:ascii="Arial" w:cs="Arial" w:eastAsia="Arial" w:hAnsi="Arial"/>
                <w:sz w:val="22"/>
                <w:szCs w:val="22"/>
                <w:color w:val="auto"/>
                <w:w w:val="96"/>
              </w:rPr>
              <w:t>Section 3.07</w:t>
            </w:r>
          </w:p>
        </w:tc>
        <w:tc>
          <w:tcPr>
            <w:tcW w:w="7900" w:type="dxa"/>
            <w:vAlign w:val="bottom"/>
          </w:tcPr>
          <w:p>
            <w:pPr>
              <w:ind w:left="100"/>
              <w:spacing w:after="0"/>
              <w:rPr>
                <w:sz w:val="20"/>
                <w:szCs w:val="20"/>
                <w:color w:val="auto"/>
              </w:rPr>
            </w:pPr>
            <w:r>
              <w:rPr>
                <w:rFonts w:ascii="Arial" w:cs="Arial" w:eastAsia="Arial" w:hAnsi="Arial"/>
                <w:sz w:val="22"/>
                <w:szCs w:val="22"/>
                <w:color w:val="auto"/>
              </w:rPr>
              <w:t>Optional Redemption</w:t>
            </w:r>
          </w:p>
        </w:tc>
        <w:tc>
          <w:tcPr>
            <w:tcW w:w="212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32</w:t>
              </w:r>
            </w:hyperlink>
          </w:p>
        </w:tc>
      </w:tr>
      <w:tr>
        <w:trPr>
          <w:trHeight w:val="310"/>
        </w:trPr>
        <w:tc>
          <w:tcPr>
            <w:tcW w:w="1200" w:type="dxa"/>
            <w:vAlign w:val="bottom"/>
          </w:tcPr>
          <w:p>
            <w:pPr>
              <w:spacing w:after="0"/>
              <w:rPr>
                <w:sz w:val="20"/>
                <w:szCs w:val="20"/>
                <w:color w:val="auto"/>
              </w:rPr>
            </w:pPr>
            <w:r>
              <w:rPr>
                <w:rFonts w:ascii="Arial" w:cs="Arial" w:eastAsia="Arial" w:hAnsi="Arial"/>
                <w:sz w:val="22"/>
                <w:szCs w:val="22"/>
                <w:color w:val="auto"/>
                <w:w w:val="96"/>
              </w:rPr>
              <w:t>Section 3.08</w:t>
            </w:r>
          </w:p>
        </w:tc>
        <w:tc>
          <w:tcPr>
            <w:tcW w:w="7900" w:type="dxa"/>
            <w:vAlign w:val="bottom"/>
          </w:tcPr>
          <w:p>
            <w:pPr>
              <w:ind w:left="100"/>
              <w:spacing w:after="0"/>
              <w:rPr>
                <w:sz w:val="20"/>
                <w:szCs w:val="20"/>
                <w:color w:val="auto"/>
              </w:rPr>
            </w:pPr>
            <w:r>
              <w:rPr>
                <w:rFonts w:ascii="Arial" w:cs="Arial" w:eastAsia="Arial" w:hAnsi="Arial"/>
                <w:sz w:val="22"/>
                <w:szCs w:val="22"/>
                <w:color w:val="auto"/>
              </w:rPr>
              <w:t>Mandatory Redemption</w:t>
            </w:r>
          </w:p>
        </w:tc>
        <w:tc>
          <w:tcPr>
            <w:tcW w:w="212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33</w:t>
              </w:r>
            </w:hyperlink>
          </w:p>
        </w:tc>
      </w:tr>
      <w:tr>
        <w:trPr>
          <w:trHeight w:val="310"/>
        </w:trPr>
        <w:tc>
          <w:tcPr>
            <w:tcW w:w="9100" w:type="dxa"/>
            <w:vAlign w:val="bottom"/>
            <w:gridSpan w:val="2"/>
          </w:tcPr>
          <w:p>
            <w:pPr>
              <w:spacing w:after="0"/>
              <w:rPr>
                <w:sz w:val="20"/>
                <w:szCs w:val="20"/>
                <w:color w:val="auto"/>
              </w:rPr>
            </w:pPr>
            <w:r>
              <w:rPr>
                <w:rFonts w:ascii="Arial" w:cs="Arial" w:eastAsia="Arial" w:hAnsi="Arial"/>
                <w:sz w:val="22"/>
                <w:szCs w:val="22"/>
                <w:color w:val="auto"/>
              </w:rPr>
              <w:t>Section 3.09  Mandatory Disposition or Redemption Pursuant to Gaming Laws</w:t>
            </w:r>
          </w:p>
        </w:tc>
        <w:tc>
          <w:tcPr>
            <w:tcW w:w="212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33</w:t>
              </w:r>
            </w:hyperlink>
          </w:p>
        </w:tc>
      </w:tr>
      <w:tr>
        <w:trPr>
          <w:trHeight w:val="311"/>
        </w:trPr>
        <w:tc>
          <w:tcPr>
            <w:tcW w:w="9100" w:type="dxa"/>
            <w:vAlign w:val="bottom"/>
            <w:gridSpan w:val="2"/>
          </w:tcPr>
          <w:p>
            <w:pPr>
              <w:spacing w:after="0"/>
              <w:rPr>
                <w:sz w:val="20"/>
                <w:szCs w:val="20"/>
                <w:color w:val="auto"/>
              </w:rPr>
            </w:pPr>
            <w:r>
              <w:rPr>
                <w:rFonts w:ascii="Arial" w:cs="Arial" w:eastAsia="Arial" w:hAnsi="Arial"/>
                <w:sz w:val="22"/>
                <w:szCs w:val="22"/>
                <w:color w:val="auto"/>
              </w:rPr>
              <w:t>Section 3.10  Redemption Upon Changes in Withholding Taxes</w:t>
            </w:r>
          </w:p>
        </w:tc>
        <w:tc>
          <w:tcPr>
            <w:tcW w:w="212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34</w:t>
              </w:r>
            </w:hyperlink>
          </w:p>
        </w:tc>
      </w:tr>
      <w:tr>
        <w:trPr>
          <w:trHeight w:val="293"/>
        </w:trPr>
        <w:tc>
          <w:tcPr>
            <w:tcW w:w="1200" w:type="dxa"/>
            <w:vAlign w:val="bottom"/>
          </w:tcPr>
          <w:p>
            <w:pPr>
              <w:spacing w:after="0"/>
              <w:rPr>
                <w:sz w:val="24"/>
                <w:szCs w:val="24"/>
                <w:color w:val="auto"/>
              </w:rPr>
            </w:pPr>
          </w:p>
        </w:tc>
        <w:tc>
          <w:tcPr>
            <w:tcW w:w="7900" w:type="dxa"/>
            <w:vAlign w:val="bottom"/>
          </w:tcPr>
          <w:p>
            <w:pPr>
              <w:jc w:val="center"/>
              <w:ind w:left="772"/>
              <w:spacing w:after="0"/>
              <w:rPr>
                <w:rFonts w:ascii="Arial" w:cs="Arial" w:eastAsia="Arial" w:hAnsi="Arial"/>
                <w:sz w:val="22"/>
                <w:szCs w:val="22"/>
                <w:color w:val="auto"/>
                <w:w w:val="98"/>
              </w:rPr>
            </w:pPr>
            <w:hyperlink w:anchor="page61">
              <w:r>
                <w:rPr>
                  <w:rFonts w:ascii="Arial" w:cs="Arial" w:eastAsia="Arial" w:hAnsi="Arial"/>
                  <w:sz w:val="22"/>
                  <w:szCs w:val="22"/>
                  <w:color w:val="auto"/>
                  <w:w w:val="98"/>
                </w:rPr>
                <w:t>Article 4</w:t>
              </w:r>
            </w:hyperlink>
          </w:p>
        </w:tc>
        <w:tc>
          <w:tcPr>
            <w:tcW w:w="2120" w:type="dxa"/>
            <w:vAlign w:val="bottom"/>
          </w:tcPr>
          <w:p>
            <w:pPr>
              <w:spacing w:after="0"/>
              <w:rPr>
                <w:sz w:val="24"/>
                <w:szCs w:val="24"/>
                <w:color w:val="auto"/>
              </w:rPr>
            </w:pPr>
          </w:p>
        </w:tc>
      </w:tr>
      <w:tr>
        <w:trPr>
          <w:trHeight w:val="274"/>
        </w:trPr>
        <w:tc>
          <w:tcPr>
            <w:tcW w:w="1200" w:type="dxa"/>
            <w:vAlign w:val="bottom"/>
          </w:tcPr>
          <w:p>
            <w:pPr>
              <w:spacing w:after="0"/>
              <w:rPr>
                <w:sz w:val="23"/>
                <w:szCs w:val="23"/>
                <w:color w:val="auto"/>
              </w:rPr>
            </w:pPr>
          </w:p>
        </w:tc>
        <w:tc>
          <w:tcPr>
            <w:tcW w:w="7900" w:type="dxa"/>
            <w:vAlign w:val="bottom"/>
          </w:tcPr>
          <w:p>
            <w:pPr>
              <w:jc w:val="center"/>
              <w:ind w:left="772"/>
              <w:spacing w:after="0"/>
              <w:rPr>
                <w:rFonts w:ascii="Arial" w:cs="Arial" w:eastAsia="Arial" w:hAnsi="Arial"/>
                <w:sz w:val="22"/>
                <w:szCs w:val="22"/>
                <w:color w:val="auto"/>
                <w:w w:val="94"/>
              </w:rPr>
            </w:pPr>
            <w:hyperlink w:anchor="page61">
              <w:r>
                <w:rPr>
                  <w:rFonts w:ascii="Arial" w:cs="Arial" w:eastAsia="Arial" w:hAnsi="Arial"/>
                  <w:sz w:val="22"/>
                  <w:szCs w:val="22"/>
                  <w:color w:val="auto"/>
                  <w:w w:val="94"/>
                </w:rPr>
                <w:t>COVENANTS</w:t>
              </w:r>
            </w:hyperlink>
          </w:p>
        </w:tc>
        <w:tc>
          <w:tcPr>
            <w:tcW w:w="2120" w:type="dxa"/>
            <w:vAlign w:val="bottom"/>
          </w:tcPr>
          <w:p>
            <w:pPr>
              <w:spacing w:after="0"/>
              <w:rPr>
                <w:sz w:val="23"/>
                <w:szCs w:val="23"/>
                <w:color w:val="auto"/>
              </w:rPr>
            </w:pPr>
          </w:p>
        </w:tc>
      </w:tr>
      <w:tr>
        <w:trPr>
          <w:trHeight w:val="310"/>
        </w:trPr>
        <w:tc>
          <w:tcPr>
            <w:tcW w:w="9100" w:type="dxa"/>
            <w:vAlign w:val="bottom"/>
            <w:gridSpan w:val="2"/>
          </w:tcPr>
          <w:p>
            <w:pPr>
              <w:spacing w:after="0"/>
              <w:rPr>
                <w:sz w:val="20"/>
                <w:szCs w:val="20"/>
                <w:color w:val="auto"/>
              </w:rPr>
            </w:pPr>
            <w:r>
              <w:rPr>
                <w:rFonts w:ascii="Arial" w:cs="Arial" w:eastAsia="Arial" w:hAnsi="Arial"/>
                <w:sz w:val="22"/>
                <w:szCs w:val="22"/>
                <w:color w:val="auto"/>
              </w:rPr>
              <w:t>Section 4.01  Payment of Notes</w:t>
            </w:r>
          </w:p>
        </w:tc>
        <w:tc>
          <w:tcPr>
            <w:tcW w:w="212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35</w:t>
              </w:r>
            </w:hyperlink>
          </w:p>
        </w:tc>
      </w:tr>
      <w:tr>
        <w:trPr>
          <w:trHeight w:val="311"/>
        </w:trPr>
        <w:tc>
          <w:tcPr>
            <w:tcW w:w="9100" w:type="dxa"/>
            <w:vAlign w:val="bottom"/>
            <w:gridSpan w:val="2"/>
          </w:tcPr>
          <w:p>
            <w:pPr>
              <w:spacing w:after="0"/>
              <w:rPr>
                <w:sz w:val="20"/>
                <w:szCs w:val="20"/>
                <w:color w:val="auto"/>
              </w:rPr>
            </w:pPr>
            <w:r>
              <w:rPr>
                <w:rFonts w:ascii="Arial" w:cs="Arial" w:eastAsia="Arial" w:hAnsi="Arial"/>
                <w:sz w:val="22"/>
                <w:szCs w:val="22"/>
                <w:color w:val="auto"/>
              </w:rPr>
              <w:t>Section 4.02  Maintenance of Office or Agency</w:t>
            </w:r>
          </w:p>
        </w:tc>
        <w:tc>
          <w:tcPr>
            <w:tcW w:w="212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35</w:t>
              </w:r>
            </w:hyperlink>
          </w:p>
        </w:tc>
      </w:tr>
      <w:tr>
        <w:trPr>
          <w:trHeight w:val="310"/>
        </w:trPr>
        <w:tc>
          <w:tcPr>
            <w:tcW w:w="1200" w:type="dxa"/>
            <w:vAlign w:val="bottom"/>
          </w:tcPr>
          <w:p>
            <w:pPr>
              <w:spacing w:after="0"/>
              <w:rPr>
                <w:sz w:val="20"/>
                <w:szCs w:val="20"/>
                <w:color w:val="auto"/>
              </w:rPr>
            </w:pPr>
            <w:r>
              <w:rPr>
                <w:rFonts w:ascii="Arial" w:cs="Arial" w:eastAsia="Arial" w:hAnsi="Arial"/>
                <w:sz w:val="22"/>
                <w:szCs w:val="22"/>
                <w:color w:val="auto"/>
                <w:w w:val="96"/>
              </w:rPr>
              <w:t>Section 4.03</w:t>
            </w:r>
          </w:p>
        </w:tc>
        <w:tc>
          <w:tcPr>
            <w:tcW w:w="7900" w:type="dxa"/>
            <w:vAlign w:val="bottom"/>
          </w:tcPr>
          <w:p>
            <w:pPr>
              <w:ind w:left="100"/>
              <w:spacing w:after="0"/>
              <w:rPr>
                <w:sz w:val="20"/>
                <w:szCs w:val="20"/>
                <w:color w:val="auto"/>
              </w:rPr>
            </w:pPr>
            <w:r>
              <w:rPr>
                <w:rFonts w:ascii="Arial" w:cs="Arial" w:eastAsia="Arial" w:hAnsi="Arial"/>
                <w:sz w:val="22"/>
                <w:szCs w:val="22"/>
                <w:color w:val="auto"/>
              </w:rPr>
              <w:t>Reports</w:t>
            </w:r>
          </w:p>
        </w:tc>
        <w:tc>
          <w:tcPr>
            <w:tcW w:w="212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36</w:t>
              </w:r>
            </w:hyperlink>
          </w:p>
        </w:tc>
      </w:tr>
      <w:tr>
        <w:trPr>
          <w:trHeight w:val="310"/>
        </w:trPr>
        <w:tc>
          <w:tcPr>
            <w:tcW w:w="1200" w:type="dxa"/>
            <w:vAlign w:val="bottom"/>
          </w:tcPr>
          <w:p>
            <w:pPr>
              <w:spacing w:after="0"/>
              <w:rPr>
                <w:sz w:val="20"/>
                <w:szCs w:val="20"/>
                <w:color w:val="auto"/>
              </w:rPr>
            </w:pPr>
            <w:r>
              <w:rPr>
                <w:rFonts w:ascii="Arial" w:cs="Arial" w:eastAsia="Arial" w:hAnsi="Arial"/>
                <w:sz w:val="22"/>
                <w:szCs w:val="22"/>
                <w:color w:val="auto"/>
                <w:w w:val="96"/>
              </w:rPr>
              <w:t>Section 4.04</w:t>
            </w:r>
          </w:p>
        </w:tc>
        <w:tc>
          <w:tcPr>
            <w:tcW w:w="7900" w:type="dxa"/>
            <w:vAlign w:val="bottom"/>
          </w:tcPr>
          <w:p>
            <w:pPr>
              <w:ind w:left="100"/>
              <w:spacing w:after="0"/>
              <w:rPr>
                <w:sz w:val="20"/>
                <w:szCs w:val="20"/>
                <w:color w:val="auto"/>
              </w:rPr>
            </w:pPr>
            <w:r>
              <w:rPr>
                <w:rFonts w:ascii="Arial" w:cs="Arial" w:eastAsia="Arial" w:hAnsi="Arial"/>
                <w:sz w:val="22"/>
                <w:szCs w:val="22"/>
                <w:color w:val="auto"/>
              </w:rPr>
              <w:t>Compliance Certificate</w:t>
            </w:r>
          </w:p>
        </w:tc>
        <w:tc>
          <w:tcPr>
            <w:tcW w:w="212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37</w:t>
              </w:r>
            </w:hyperlink>
          </w:p>
        </w:tc>
      </w:tr>
      <w:tr>
        <w:trPr>
          <w:trHeight w:val="311"/>
        </w:trPr>
        <w:tc>
          <w:tcPr>
            <w:tcW w:w="1200" w:type="dxa"/>
            <w:vAlign w:val="bottom"/>
          </w:tcPr>
          <w:p>
            <w:pPr>
              <w:spacing w:after="0"/>
              <w:rPr>
                <w:sz w:val="20"/>
                <w:szCs w:val="20"/>
                <w:color w:val="auto"/>
              </w:rPr>
            </w:pPr>
            <w:r>
              <w:rPr>
                <w:rFonts w:ascii="Arial" w:cs="Arial" w:eastAsia="Arial" w:hAnsi="Arial"/>
                <w:sz w:val="22"/>
                <w:szCs w:val="22"/>
                <w:color w:val="auto"/>
                <w:w w:val="96"/>
              </w:rPr>
              <w:t>Section 4.05</w:t>
            </w:r>
          </w:p>
        </w:tc>
        <w:tc>
          <w:tcPr>
            <w:tcW w:w="7900" w:type="dxa"/>
            <w:vAlign w:val="bottom"/>
          </w:tcPr>
          <w:p>
            <w:pPr>
              <w:ind w:left="100"/>
              <w:spacing w:after="0"/>
              <w:rPr>
                <w:sz w:val="20"/>
                <w:szCs w:val="20"/>
                <w:color w:val="auto"/>
              </w:rPr>
            </w:pPr>
            <w:r>
              <w:rPr>
                <w:rFonts w:ascii="Arial" w:cs="Arial" w:eastAsia="Arial" w:hAnsi="Arial"/>
                <w:sz w:val="22"/>
                <w:szCs w:val="22"/>
                <w:color w:val="auto"/>
              </w:rPr>
              <w:t>Taxes</w:t>
            </w:r>
          </w:p>
        </w:tc>
        <w:tc>
          <w:tcPr>
            <w:tcW w:w="212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38</w:t>
              </w:r>
            </w:hyperlink>
          </w:p>
        </w:tc>
      </w:tr>
    </w:tbl>
    <w:p>
      <w:pPr>
        <w:spacing w:after="0" w:line="200" w:lineRule="exact"/>
        <w:rPr>
          <w:sz w:val="20"/>
          <w:szCs w:val="20"/>
          <w:color w:val="auto"/>
        </w:rPr>
      </w:pPr>
    </w:p>
    <w:p>
      <w:pPr>
        <w:sectPr>
          <w:pgSz w:w="11900" w:h="16838" w:orient="portrait"/>
          <w:cols w:equalWidth="0" w:num="1">
            <w:col w:w="11220"/>
          </w:cols>
          <w:pgMar w:left="340" w:top="1428" w:right="339" w:bottom="759" w:gutter="0" w:footer="0" w:header="0"/>
        </w:sectPr>
      </w:pPr>
    </w:p>
    <w:p>
      <w:pPr>
        <w:spacing w:after="0" w:line="200" w:lineRule="exact"/>
        <w:rPr>
          <w:sz w:val="20"/>
          <w:szCs w:val="20"/>
          <w:color w:val="auto"/>
        </w:rPr>
      </w:pPr>
    </w:p>
    <w:p>
      <w:pPr>
        <w:spacing w:after="0" w:line="379" w:lineRule="exact"/>
        <w:rPr>
          <w:sz w:val="20"/>
          <w:szCs w:val="20"/>
          <w:color w:val="auto"/>
        </w:rPr>
      </w:pPr>
    </w:p>
    <w:p>
      <w:pPr>
        <w:spacing w:after="0"/>
        <w:tabs>
          <w:tab w:leader="none" w:pos="5460" w:val="left"/>
        </w:tabs>
        <w:rPr>
          <w:sz w:val="20"/>
          <w:szCs w:val="20"/>
          <w:color w:val="auto"/>
        </w:rPr>
      </w:pPr>
      <w:r>
        <w:rPr>
          <w:rFonts w:ascii="Arial" w:cs="Arial" w:eastAsia="Arial" w:hAnsi="Arial"/>
          <w:sz w:val="11"/>
          <w:szCs w:val="11"/>
          <w:color w:val="auto"/>
        </w:rPr>
        <w:t>ASIA 34064015</w:t>
      </w:r>
      <w:r>
        <w:rPr>
          <w:sz w:val="20"/>
          <w:szCs w:val="20"/>
          <w:color w:val="auto"/>
        </w:rPr>
        <w:tab/>
      </w:r>
      <w:r>
        <w:rPr>
          <w:rFonts w:ascii="Arial" w:cs="Arial" w:eastAsia="Arial" w:hAnsi="Arial"/>
          <w:sz w:val="17"/>
          <w:szCs w:val="17"/>
          <w:color w:val="auto"/>
        </w:rPr>
        <w:t>1</w:t>
      </w:r>
    </w:p>
    <w:p>
      <w:pPr>
        <w:sectPr>
          <w:pgSz w:w="11900" w:h="16838" w:orient="portrait"/>
          <w:cols w:equalWidth="0" w:num="1">
            <w:col w:w="11220"/>
          </w:cols>
          <w:pgMar w:left="340" w:top="1428" w:right="339" w:bottom="759" w:gutter="0" w:footer="0" w:header="0"/>
          <w:type w:val="continuous"/>
        </w:sectPr>
      </w:pPr>
    </w:p>
    <w:bookmarkStart w:id="59" w:name="page60"/>
    <w:bookmarkEnd w:id="59"/>
    <w:p>
      <w:pPr>
        <w:jc w:val="right"/>
        <w:spacing w:after="0"/>
        <w:rPr>
          <w:sz w:val="20"/>
          <w:szCs w:val="20"/>
          <w:color w:val="auto"/>
        </w:rPr>
      </w:pPr>
      <w:r>
        <w:rPr>
          <w:rFonts w:ascii="Arial" w:cs="Arial" w:eastAsia="Arial" w:hAnsi="Arial"/>
          <w:sz w:val="22"/>
          <w:szCs w:val="22"/>
          <w:i w:val="1"/>
          <w:i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0380" w:type="dxa"/>
            <w:vAlign w:val="bottom"/>
            <w:gridSpan w:val="2"/>
          </w:tcPr>
          <w:p>
            <w:pPr>
              <w:spacing w:after="0"/>
              <w:rPr>
                <w:sz w:val="20"/>
                <w:szCs w:val="20"/>
                <w:color w:val="auto"/>
              </w:rPr>
            </w:pPr>
            <w:r>
              <w:rPr>
                <w:rFonts w:ascii="Arial" w:cs="Arial" w:eastAsia="Arial" w:hAnsi="Arial"/>
                <w:sz w:val="22"/>
                <w:szCs w:val="22"/>
                <w:color w:val="auto"/>
              </w:rPr>
              <w:t>Section 4.06  Stay, Extension and Usury Laws</w:t>
            </w:r>
          </w:p>
        </w:tc>
        <w:tc>
          <w:tcPr>
            <w:tcW w:w="80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38</w:t>
              </w:r>
            </w:hyperlink>
          </w:p>
        </w:tc>
      </w:tr>
      <w:tr>
        <w:trPr>
          <w:trHeight w:val="310"/>
        </w:trPr>
        <w:tc>
          <w:tcPr>
            <w:tcW w:w="10380" w:type="dxa"/>
            <w:vAlign w:val="bottom"/>
            <w:gridSpan w:val="2"/>
          </w:tcPr>
          <w:p>
            <w:pPr>
              <w:spacing w:after="0"/>
              <w:rPr>
                <w:sz w:val="20"/>
                <w:szCs w:val="20"/>
                <w:color w:val="auto"/>
              </w:rPr>
            </w:pPr>
            <w:r>
              <w:rPr>
                <w:rFonts w:ascii="Arial" w:cs="Arial" w:eastAsia="Arial" w:hAnsi="Arial"/>
                <w:sz w:val="22"/>
                <w:szCs w:val="22"/>
                <w:color w:val="auto"/>
              </w:rPr>
              <w:t>Section 4.07  Corporate and Organizational Existence</w:t>
            </w:r>
          </w:p>
        </w:tc>
        <w:tc>
          <w:tcPr>
            <w:tcW w:w="80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39</w:t>
              </w:r>
            </w:hyperlink>
          </w:p>
        </w:tc>
      </w:tr>
      <w:tr>
        <w:trPr>
          <w:trHeight w:val="311"/>
        </w:trPr>
        <w:tc>
          <w:tcPr>
            <w:tcW w:w="10380" w:type="dxa"/>
            <w:vAlign w:val="bottom"/>
            <w:gridSpan w:val="2"/>
          </w:tcPr>
          <w:p>
            <w:pPr>
              <w:spacing w:after="0"/>
              <w:rPr>
                <w:sz w:val="20"/>
                <w:szCs w:val="20"/>
                <w:color w:val="auto"/>
              </w:rPr>
            </w:pPr>
            <w:r>
              <w:rPr>
                <w:rFonts w:ascii="Arial" w:cs="Arial" w:eastAsia="Arial" w:hAnsi="Arial"/>
                <w:sz w:val="22"/>
                <w:szCs w:val="22"/>
                <w:color w:val="auto"/>
              </w:rPr>
              <w:t>Section 4.08  Offer to Purchase Upon Change of Control Triggering Event</w:t>
            </w:r>
          </w:p>
        </w:tc>
        <w:tc>
          <w:tcPr>
            <w:tcW w:w="80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39</w:t>
              </w:r>
            </w:hyperlink>
          </w:p>
        </w:tc>
      </w:tr>
      <w:tr>
        <w:trPr>
          <w:trHeight w:val="311"/>
        </w:trPr>
        <w:tc>
          <w:tcPr>
            <w:tcW w:w="1200" w:type="dxa"/>
            <w:vAlign w:val="bottom"/>
          </w:tcPr>
          <w:p>
            <w:pPr>
              <w:spacing w:after="0"/>
              <w:rPr>
                <w:sz w:val="20"/>
                <w:szCs w:val="20"/>
                <w:color w:val="auto"/>
              </w:rPr>
            </w:pPr>
            <w:r>
              <w:rPr>
                <w:rFonts w:ascii="Arial" w:cs="Arial" w:eastAsia="Arial" w:hAnsi="Arial"/>
                <w:sz w:val="22"/>
                <w:szCs w:val="22"/>
                <w:color w:val="auto"/>
                <w:w w:val="96"/>
              </w:rPr>
              <w:t>Section 4.09</w:t>
            </w:r>
          </w:p>
        </w:tc>
        <w:tc>
          <w:tcPr>
            <w:tcW w:w="9180" w:type="dxa"/>
            <w:vAlign w:val="bottom"/>
          </w:tcPr>
          <w:p>
            <w:pPr>
              <w:ind w:left="100"/>
              <w:spacing w:after="0"/>
              <w:rPr>
                <w:sz w:val="20"/>
                <w:szCs w:val="20"/>
                <w:color w:val="auto"/>
              </w:rPr>
            </w:pPr>
            <w:r>
              <w:rPr>
                <w:rFonts w:ascii="Arial" w:cs="Arial" w:eastAsia="Arial" w:hAnsi="Arial"/>
                <w:sz w:val="22"/>
                <w:szCs w:val="22"/>
                <w:color w:val="auto"/>
              </w:rPr>
              <w:t>Additional Amounts</w:t>
            </w:r>
          </w:p>
        </w:tc>
        <w:tc>
          <w:tcPr>
            <w:tcW w:w="80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40</w:t>
              </w:r>
            </w:hyperlink>
          </w:p>
        </w:tc>
      </w:tr>
      <w:tr>
        <w:trPr>
          <w:trHeight w:val="310"/>
        </w:trPr>
        <w:tc>
          <w:tcPr>
            <w:tcW w:w="10380" w:type="dxa"/>
            <w:vAlign w:val="bottom"/>
            <w:gridSpan w:val="2"/>
          </w:tcPr>
          <w:p>
            <w:pPr>
              <w:spacing w:after="0"/>
              <w:rPr>
                <w:sz w:val="20"/>
                <w:szCs w:val="20"/>
                <w:color w:val="auto"/>
              </w:rPr>
            </w:pPr>
            <w:r>
              <w:rPr>
                <w:rFonts w:ascii="Arial" w:cs="Arial" w:eastAsia="Arial" w:hAnsi="Arial"/>
                <w:sz w:val="22"/>
                <w:szCs w:val="22"/>
                <w:color w:val="auto"/>
              </w:rPr>
              <w:t>Section 4.10  Special Put Option.</w:t>
            </w:r>
          </w:p>
        </w:tc>
        <w:tc>
          <w:tcPr>
            <w:tcW w:w="80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44</w:t>
              </w:r>
            </w:hyperlink>
          </w:p>
        </w:tc>
      </w:tr>
      <w:tr>
        <w:trPr>
          <w:trHeight w:val="293"/>
        </w:trPr>
        <w:tc>
          <w:tcPr>
            <w:tcW w:w="1200" w:type="dxa"/>
            <w:vAlign w:val="bottom"/>
          </w:tcPr>
          <w:p>
            <w:pPr>
              <w:spacing w:after="0"/>
              <w:rPr>
                <w:sz w:val="24"/>
                <w:szCs w:val="24"/>
                <w:color w:val="auto"/>
              </w:rPr>
            </w:pPr>
          </w:p>
        </w:tc>
        <w:tc>
          <w:tcPr>
            <w:tcW w:w="9180" w:type="dxa"/>
            <w:vAlign w:val="bottom"/>
          </w:tcPr>
          <w:p>
            <w:pPr>
              <w:jc w:val="center"/>
              <w:ind w:right="292"/>
              <w:spacing w:after="0"/>
              <w:rPr>
                <w:sz w:val="20"/>
                <w:szCs w:val="20"/>
                <w:color w:val="auto"/>
              </w:rPr>
            </w:pPr>
            <w:r>
              <w:rPr>
                <w:rFonts w:ascii="Arial" w:cs="Arial" w:eastAsia="Arial" w:hAnsi="Arial"/>
                <w:sz w:val="22"/>
                <w:szCs w:val="22"/>
                <w:color w:val="auto"/>
                <w:w w:val="98"/>
              </w:rPr>
              <w:t>Article 5</w:t>
            </w:r>
          </w:p>
        </w:tc>
        <w:tc>
          <w:tcPr>
            <w:tcW w:w="800" w:type="dxa"/>
            <w:vAlign w:val="bottom"/>
          </w:tcPr>
          <w:p>
            <w:pPr>
              <w:spacing w:after="0"/>
              <w:rPr>
                <w:sz w:val="24"/>
                <w:szCs w:val="24"/>
                <w:color w:val="auto"/>
              </w:rPr>
            </w:pPr>
          </w:p>
        </w:tc>
      </w:tr>
      <w:tr>
        <w:trPr>
          <w:trHeight w:val="274"/>
        </w:trPr>
        <w:tc>
          <w:tcPr>
            <w:tcW w:w="1200" w:type="dxa"/>
            <w:vAlign w:val="bottom"/>
          </w:tcPr>
          <w:p>
            <w:pPr>
              <w:spacing w:after="0"/>
              <w:rPr>
                <w:sz w:val="23"/>
                <w:szCs w:val="23"/>
                <w:color w:val="auto"/>
              </w:rPr>
            </w:pPr>
          </w:p>
        </w:tc>
        <w:tc>
          <w:tcPr>
            <w:tcW w:w="9180" w:type="dxa"/>
            <w:vAlign w:val="bottom"/>
          </w:tcPr>
          <w:p>
            <w:pPr>
              <w:jc w:val="center"/>
              <w:ind w:right="292"/>
              <w:spacing w:after="0"/>
              <w:rPr>
                <w:sz w:val="20"/>
                <w:szCs w:val="20"/>
                <w:color w:val="auto"/>
              </w:rPr>
            </w:pPr>
            <w:r>
              <w:rPr>
                <w:rFonts w:ascii="Arial" w:cs="Arial" w:eastAsia="Arial" w:hAnsi="Arial"/>
                <w:sz w:val="22"/>
                <w:szCs w:val="22"/>
                <w:color w:val="auto"/>
                <w:w w:val="86"/>
              </w:rPr>
              <w:t>SUCCESSORS</w:t>
            </w:r>
          </w:p>
        </w:tc>
        <w:tc>
          <w:tcPr>
            <w:tcW w:w="800" w:type="dxa"/>
            <w:vAlign w:val="bottom"/>
          </w:tcPr>
          <w:p>
            <w:pPr>
              <w:spacing w:after="0"/>
              <w:rPr>
                <w:sz w:val="23"/>
                <w:szCs w:val="23"/>
                <w:color w:val="auto"/>
              </w:rPr>
            </w:pPr>
          </w:p>
        </w:tc>
      </w:tr>
      <w:tr>
        <w:trPr>
          <w:trHeight w:val="311"/>
        </w:trPr>
        <w:tc>
          <w:tcPr>
            <w:tcW w:w="10380" w:type="dxa"/>
            <w:vAlign w:val="bottom"/>
            <w:gridSpan w:val="2"/>
          </w:tcPr>
          <w:p>
            <w:pPr>
              <w:spacing w:after="0"/>
              <w:rPr>
                <w:sz w:val="20"/>
                <w:szCs w:val="20"/>
                <w:color w:val="auto"/>
              </w:rPr>
            </w:pPr>
            <w:r>
              <w:rPr>
                <w:rFonts w:ascii="Arial" w:cs="Arial" w:eastAsia="Arial" w:hAnsi="Arial"/>
                <w:sz w:val="22"/>
                <w:szCs w:val="22"/>
                <w:color w:val="auto"/>
              </w:rPr>
              <w:t>Section 5.01  Merger, Consolidation or Sale of Assets</w:t>
            </w:r>
          </w:p>
        </w:tc>
        <w:tc>
          <w:tcPr>
            <w:tcW w:w="80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45</w:t>
              </w:r>
            </w:hyperlink>
          </w:p>
        </w:tc>
      </w:tr>
      <w:tr>
        <w:trPr>
          <w:trHeight w:val="311"/>
        </w:trPr>
        <w:tc>
          <w:tcPr>
            <w:tcW w:w="10380" w:type="dxa"/>
            <w:vAlign w:val="bottom"/>
            <w:gridSpan w:val="2"/>
          </w:tcPr>
          <w:p>
            <w:pPr>
              <w:spacing w:after="0"/>
              <w:rPr>
                <w:sz w:val="20"/>
                <w:szCs w:val="20"/>
                <w:color w:val="auto"/>
              </w:rPr>
            </w:pPr>
            <w:r>
              <w:rPr>
                <w:rFonts w:ascii="Arial" w:cs="Arial" w:eastAsia="Arial" w:hAnsi="Arial"/>
                <w:sz w:val="22"/>
                <w:szCs w:val="22"/>
                <w:color w:val="auto"/>
              </w:rPr>
              <w:t>Section 5.02  Successor Corporation Substituted</w:t>
            </w:r>
          </w:p>
        </w:tc>
        <w:tc>
          <w:tcPr>
            <w:tcW w:w="80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46</w:t>
              </w:r>
            </w:hyperlink>
          </w:p>
        </w:tc>
      </w:tr>
      <w:tr>
        <w:trPr>
          <w:trHeight w:val="293"/>
        </w:trPr>
        <w:tc>
          <w:tcPr>
            <w:tcW w:w="1200" w:type="dxa"/>
            <w:vAlign w:val="bottom"/>
          </w:tcPr>
          <w:p>
            <w:pPr>
              <w:spacing w:after="0"/>
              <w:rPr>
                <w:sz w:val="24"/>
                <w:szCs w:val="24"/>
                <w:color w:val="auto"/>
              </w:rPr>
            </w:pPr>
          </w:p>
        </w:tc>
        <w:tc>
          <w:tcPr>
            <w:tcW w:w="9180" w:type="dxa"/>
            <w:vAlign w:val="bottom"/>
          </w:tcPr>
          <w:p>
            <w:pPr>
              <w:jc w:val="center"/>
              <w:ind w:right="292"/>
              <w:spacing w:after="0"/>
              <w:rPr>
                <w:sz w:val="20"/>
                <w:szCs w:val="20"/>
                <w:color w:val="auto"/>
              </w:rPr>
            </w:pPr>
            <w:r>
              <w:rPr>
                <w:rFonts w:ascii="Arial" w:cs="Arial" w:eastAsia="Arial" w:hAnsi="Arial"/>
                <w:sz w:val="22"/>
                <w:szCs w:val="22"/>
                <w:color w:val="auto"/>
                <w:w w:val="98"/>
              </w:rPr>
              <w:t>Article 6</w:t>
            </w:r>
          </w:p>
        </w:tc>
        <w:tc>
          <w:tcPr>
            <w:tcW w:w="800" w:type="dxa"/>
            <w:vAlign w:val="bottom"/>
          </w:tcPr>
          <w:p>
            <w:pPr>
              <w:spacing w:after="0"/>
              <w:rPr>
                <w:sz w:val="24"/>
                <w:szCs w:val="24"/>
                <w:color w:val="auto"/>
              </w:rPr>
            </w:pPr>
          </w:p>
        </w:tc>
      </w:tr>
      <w:tr>
        <w:trPr>
          <w:trHeight w:val="274"/>
        </w:trPr>
        <w:tc>
          <w:tcPr>
            <w:tcW w:w="1200" w:type="dxa"/>
            <w:vAlign w:val="bottom"/>
          </w:tcPr>
          <w:p>
            <w:pPr>
              <w:spacing w:after="0"/>
              <w:rPr>
                <w:sz w:val="23"/>
                <w:szCs w:val="23"/>
                <w:color w:val="auto"/>
              </w:rPr>
            </w:pPr>
          </w:p>
        </w:tc>
        <w:tc>
          <w:tcPr>
            <w:tcW w:w="9180" w:type="dxa"/>
            <w:vAlign w:val="bottom"/>
          </w:tcPr>
          <w:p>
            <w:pPr>
              <w:jc w:val="center"/>
              <w:ind w:right="292"/>
              <w:spacing w:after="0"/>
              <w:rPr>
                <w:sz w:val="20"/>
                <w:szCs w:val="20"/>
                <w:color w:val="auto"/>
              </w:rPr>
            </w:pPr>
            <w:r>
              <w:rPr>
                <w:rFonts w:ascii="Arial" w:cs="Arial" w:eastAsia="Arial" w:hAnsi="Arial"/>
                <w:sz w:val="22"/>
                <w:szCs w:val="22"/>
                <w:color w:val="auto"/>
                <w:w w:val="94"/>
              </w:rPr>
              <w:t>DEFAULTS AND REMEDIES</w:t>
            </w:r>
          </w:p>
        </w:tc>
        <w:tc>
          <w:tcPr>
            <w:tcW w:w="800" w:type="dxa"/>
            <w:vAlign w:val="bottom"/>
          </w:tcPr>
          <w:p>
            <w:pPr>
              <w:spacing w:after="0"/>
              <w:rPr>
                <w:sz w:val="23"/>
                <w:szCs w:val="23"/>
                <w:color w:val="auto"/>
              </w:rPr>
            </w:pPr>
          </w:p>
        </w:tc>
      </w:tr>
      <w:tr>
        <w:trPr>
          <w:trHeight w:val="311"/>
        </w:trPr>
        <w:tc>
          <w:tcPr>
            <w:tcW w:w="10380" w:type="dxa"/>
            <w:vAlign w:val="bottom"/>
            <w:gridSpan w:val="2"/>
          </w:tcPr>
          <w:p>
            <w:pPr>
              <w:spacing w:after="0"/>
              <w:rPr>
                <w:sz w:val="20"/>
                <w:szCs w:val="20"/>
                <w:color w:val="auto"/>
              </w:rPr>
            </w:pPr>
            <w:r>
              <w:rPr>
                <w:rFonts w:ascii="Arial" w:cs="Arial" w:eastAsia="Arial" w:hAnsi="Arial"/>
                <w:sz w:val="22"/>
                <w:szCs w:val="22"/>
                <w:color w:val="auto"/>
              </w:rPr>
              <w:t>Section 6.01  Events of Default</w:t>
            </w:r>
          </w:p>
        </w:tc>
        <w:tc>
          <w:tcPr>
            <w:tcW w:w="80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46</w:t>
              </w:r>
            </w:hyperlink>
          </w:p>
        </w:tc>
      </w:tr>
      <w:tr>
        <w:trPr>
          <w:trHeight w:val="310"/>
        </w:trPr>
        <w:tc>
          <w:tcPr>
            <w:tcW w:w="1200" w:type="dxa"/>
            <w:vAlign w:val="bottom"/>
          </w:tcPr>
          <w:p>
            <w:pPr>
              <w:spacing w:after="0"/>
              <w:rPr>
                <w:sz w:val="20"/>
                <w:szCs w:val="20"/>
                <w:color w:val="auto"/>
              </w:rPr>
            </w:pPr>
            <w:r>
              <w:rPr>
                <w:rFonts w:ascii="Arial" w:cs="Arial" w:eastAsia="Arial" w:hAnsi="Arial"/>
                <w:sz w:val="22"/>
                <w:szCs w:val="22"/>
                <w:color w:val="auto"/>
                <w:w w:val="96"/>
              </w:rPr>
              <w:t>Section 6.02</w:t>
            </w:r>
          </w:p>
        </w:tc>
        <w:tc>
          <w:tcPr>
            <w:tcW w:w="9180" w:type="dxa"/>
            <w:vAlign w:val="bottom"/>
          </w:tcPr>
          <w:p>
            <w:pPr>
              <w:ind w:left="100"/>
              <w:spacing w:after="0"/>
              <w:rPr>
                <w:sz w:val="20"/>
                <w:szCs w:val="20"/>
                <w:color w:val="auto"/>
              </w:rPr>
            </w:pPr>
            <w:r>
              <w:rPr>
                <w:rFonts w:ascii="Arial" w:cs="Arial" w:eastAsia="Arial" w:hAnsi="Arial"/>
                <w:sz w:val="22"/>
                <w:szCs w:val="22"/>
                <w:color w:val="auto"/>
              </w:rPr>
              <w:t>Acceleration</w:t>
            </w:r>
          </w:p>
        </w:tc>
        <w:tc>
          <w:tcPr>
            <w:tcW w:w="80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47</w:t>
              </w:r>
            </w:hyperlink>
          </w:p>
        </w:tc>
      </w:tr>
      <w:tr>
        <w:trPr>
          <w:trHeight w:val="311"/>
        </w:trPr>
        <w:tc>
          <w:tcPr>
            <w:tcW w:w="1200" w:type="dxa"/>
            <w:vAlign w:val="bottom"/>
          </w:tcPr>
          <w:p>
            <w:pPr>
              <w:spacing w:after="0"/>
              <w:rPr>
                <w:sz w:val="20"/>
                <w:szCs w:val="20"/>
                <w:color w:val="auto"/>
              </w:rPr>
            </w:pPr>
            <w:r>
              <w:rPr>
                <w:rFonts w:ascii="Arial" w:cs="Arial" w:eastAsia="Arial" w:hAnsi="Arial"/>
                <w:sz w:val="22"/>
                <w:szCs w:val="22"/>
                <w:color w:val="auto"/>
                <w:w w:val="96"/>
              </w:rPr>
              <w:t>Section 6.03</w:t>
            </w:r>
          </w:p>
        </w:tc>
        <w:tc>
          <w:tcPr>
            <w:tcW w:w="9180" w:type="dxa"/>
            <w:vAlign w:val="bottom"/>
          </w:tcPr>
          <w:p>
            <w:pPr>
              <w:ind w:left="100"/>
              <w:spacing w:after="0"/>
              <w:rPr>
                <w:sz w:val="20"/>
                <w:szCs w:val="20"/>
                <w:color w:val="auto"/>
              </w:rPr>
            </w:pPr>
            <w:r>
              <w:rPr>
                <w:rFonts w:ascii="Arial" w:cs="Arial" w:eastAsia="Arial" w:hAnsi="Arial"/>
                <w:sz w:val="22"/>
                <w:szCs w:val="22"/>
                <w:color w:val="auto"/>
              </w:rPr>
              <w:t>Other Remedies</w:t>
            </w:r>
          </w:p>
        </w:tc>
        <w:tc>
          <w:tcPr>
            <w:tcW w:w="80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48</w:t>
              </w:r>
            </w:hyperlink>
          </w:p>
        </w:tc>
      </w:tr>
      <w:tr>
        <w:trPr>
          <w:trHeight w:val="310"/>
        </w:trPr>
        <w:tc>
          <w:tcPr>
            <w:tcW w:w="10380" w:type="dxa"/>
            <w:vAlign w:val="bottom"/>
            <w:gridSpan w:val="2"/>
          </w:tcPr>
          <w:p>
            <w:pPr>
              <w:spacing w:after="0"/>
              <w:rPr>
                <w:sz w:val="20"/>
                <w:szCs w:val="20"/>
                <w:color w:val="auto"/>
              </w:rPr>
            </w:pPr>
            <w:r>
              <w:rPr>
                <w:rFonts w:ascii="Arial" w:cs="Arial" w:eastAsia="Arial" w:hAnsi="Arial"/>
                <w:sz w:val="22"/>
                <w:szCs w:val="22"/>
                <w:color w:val="auto"/>
              </w:rPr>
              <w:t>Section 6.04  Waiver of Defaults</w:t>
            </w:r>
          </w:p>
        </w:tc>
        <w:tc>
          <w:tcPr>
            <w:tcW w:w="80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48</w:t>
              </w:r>
            </w:hyperlink>
          </w:p>
        </w:tc>
      </w:tr>
      <w:tr>
        <w:trPr>
          <w:trHeight w:val="311"/>
        </w:trPr>
        <w:tc>
          <w:tcPr>
            <w:tcW w:w="10380" w:type="dxa"/>
            <w:vAlign w:val="bottom"/>
            <w:gridSpan w:val="2"/>
          </w:tcPr>
          <w:p>
            <w:pPr>
              <w:spacing w:after="0"/>
              <w:rPr>
                <w:sz w:val="20"/>
                <w:szCs w:val="20"/>
                <w:color w:val="auto"/>
              </w:rPr>
            </w:pPr>
            <w:r>
              <w:rPr>
                <w:rFonts w:ascii="Arial" w:cs="Arial" w:eastAsia="Arial" w:hAnsi="Arial"/>
                <w:sz w:val="22"/>
                <w:szCs w:val="22"/>
                <w:color w:val="auto"/>
              </w:rPr>
              <w:t>Section 6.05  Control by Majority</w:t>
            </w:r>
          </w:p>
        </w:tc>
        <w:tc>
          <w:tcPr>
            <w:tcW w:w="80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48</w:t>
              </w:r>
            </w:hyperlink>
          </w:p>
        </w:tc>
      </w:tr>
      <w:tr>
        <w:trPr>
          <w:trHeight w:val="310"/>
        </w:trPr>
        <w:tc>
          <w:tcPr>
            <w:tcW w:w="10380" w:type="dxa"/>
            <w:vAlign w:val="bottom"/>
            <w:gridSpan w:val="2"/>
          </w:tcPr>
          <w:p>
            <w:pPr>
              <w:spacing w:after="0"/>
              <w:rPr>
                <w:sz w:val="20"/>
                <w:szCs w:val="20"/>
                <w:color w:val="auto"/>
              </w:rPr>
            </w:pPr>
            <w:r>
              <w:rPr>
                <w:rFonts w:ascii="Arial" w:cs="Arial" w:eastAsia="Arial" w:hAnsi="Arial"/>
                <w:sz w:val="22"/>
                <w:szCs w:val="22"/>
                <w:color w:val="auto"/>
              </w:rPr>
              <w:t>Section 6.06  Limitation on Suits</w:t>
            </w:r>
          </w:p>
        </w:tc>
        <w:tc>
          <w:tcPr>
            <w:tcW w:w="80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49</w:t>
              </w:r>
            </w:hyperlink>
          </w:p>
        </w:tc>
      </w:tr>
      <w:tr>
        <w:trPr>
          <w:trHeight w:val="310"/>
        </w:trPr>
        <w:tc>
          <w:tcPr>
            <w:tcW w:w="10380" w:type="dxa"/>
            <w:vAlign w:val="bottom"/>
            <w:gridSpan w:val="2"/>
          </w:tcPr>
          <w:p>
            <w:pPr>
              <w:spacing w:after="0"/>
              <w:rPr>
                <w:sz w:val="20"/>
                <w:szCs w:val="20"/>
                <w:color w:val="auto"/>
              </w:rPr>
            </w:pPr>
            <w:r>
              <w:rPr>
                <w:rFonts w:ascii="Arial" w:cs="Arial" w:eastAsia="Arial" w:hAnsi="Arial"/>
                <w:sz w:val="22"/>
                <w:szCs w:val="22"/>
                <w:color w:val="auto"/>
              </w:rPr>
              <w:t>Section 6.07  Rights of Holders of Notes to Receive Payment</w:t>
            </w:r>
          </w:p>
        </w:tc>
        <w:tc>
          <w:tcPr>
            <w:tcW w:w="80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49</w:t>
              </w:r>
            </w:hyperlink>
          </w:p>
        </w:tc>
      </w:tr>
      <w:tr>
        <w:trPr>
          <w:trHeight w:val="310"/>
        </w:trPr>
        <w:tc>
          <w:tcPr>
            <w:tcW w:w="10380" w:type="dxa"/>
            <w:vAlign w:val="bottom"/>
            <w:gridSpan w:val="2"/>
          </w:tcPr>
          <w:p>
            <w:pPr>
              <w:spacing w:after="0"/>
              <w:rPr>
                <w:sz w:val="20"/>
                <w:szCs w:val="20"/>
                <w:color w:val="auto"/>
              </w:rPr>
            </w:pPr>
            <w:r>
              <w:rPr>
                <w:rFonts w:ascii="Arial" w:cs="Arial" w:eastAsia="Arial" w:hAnsi="Arial"/>
                <w:sz w:val="22"/>
                <w:szCs w:val="22"/>
                <w:color w:val="auto"/>
              </w:rPr>
              <w:t>Section 6.08  Collection Suit by Trustee</w:t>
            </w:r>
          </w:p>
        </w:tc>
        <w:tc>
          <w:tcPr>
            <w:tcW w:w="80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49</w:t>
              </w:r>
            </w:hyperlink>
          </w:p>
        </w:tc>
      </w:tr>
      <w:tr>
        <w:trPr>
          <w:trHeight w:val="310"/>
        </w:trPr>
        <w:tc>
          <w:tcPr>
            <w:tcW w:w="10380" w:type="dxa"/>
            <w:vAlign w:val="bottom"/>
            <w:gridSpan w:val="2"/>
          </w:tcPr>
          <w:p>
            <w:pPr>
              <w:spacing w:after="0"/>
              <w:rPr>
                <w:sz w:val="20"/>
                <w:szCs w:val="20"/>
                <w:color w:val="auto"/>
              </w:rPr>
            </w:pPr>
            <w:r>
              <w:rPr>
                <w:rFonts w:ascii="Arial" w:cs="Arial" w:eastAsia="Arial" w:hAnsi="Arial"/>
                <w:sz w:val="22"/>
                <w:szCs w:val="22"/>
                <w:color w:val="auto"/>
              </w:rPr>
              <w:t>Section 6.09  Trustee May File Proofs of Claim</w:t>
            </w:r>
          </w:p>
        </w:tc>
        <w:tc>
          <w:tcPr>
            <w:tcW w:w="80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49</w:t>
              </w:r>
            </w:hyperlink>
          </w:p>
        </w:tc>
      </w:tr>
      <w:tr>
        <w:trPr>
          <w:trHeight w:val="310"/>
        </w:trPr>
        <w:tc>
          <w:tcPr>
            <w:tcW w:w="1200" w:type="dxa"/>
            <w:vAlign w:val="bottom"/>
          </w:tcPr>
          <w:p>
            <w:pPr>
              <w:spacing w:after="0"/>
              <w:rPr>
                <w:sz w:val="20"/>
                <w:szCs w:val="20"/>
                <w:color w:val="auto"/>
              </w:rPr>
            </w:pPr>
            <w:r>
              <w:rPr>
                <w:rFonts w:ascii="Arial" w:cs="Arial" w:eastAsia="Arial" w:hAnsi="Arial"/>
                <w:sz w:val="22"/>
                <w:szCs w:val="22"/>
                <w:color w:val="auto"/>
                <w:w w:val="96"/>
              </w:rPr>
              <w:t>Section 6.10</w:t>
            </w:r>
          </w:p>
        </w:tc>
        <w:tc>
          <w:tcPr>
            <w:tcW w:w="9180" w:type="dxa"/>
            <w:vAlign w:val="bottom"/>
          </w:tcPr>
          <w:p>
            <w:pPr>
              <w:ind w:left="100"/>
              <w:spacing w:after="0"/>
              <w:rPr>
                <w:sz w:val="20"/>
                <w:szCs w:val="20"/>
                <w:color w:val="auto"/>
              </w:rPr>
            </w:pPr>
            <w:r>
              <w:rPr>
                <w:rFonts w:ascii="Arial" w:cs="Arial" w:eastAsia="Arial" w:hAnsi="Arial"/>
                <w:sz w:val="22"/>
                <w:szCs w:val="22"/>
                <w:color w:val="auto"/>
              </w:rPr>
              <w:t>Priorities</w:t>
            </w:r>
          </w:p>
        </w:tc>
        <w:tc>
          <w:tcPr>
            <w:tcW w:w="80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50</w:t>
              </w:r>
            </w:hyperlink>
          </w:p>
        </w:tc>
      </w:tr>
      <w:tr>
        <w:trPr>
          <w:trHeight w:val="311"/>
        </w:trPr>
        <w:tc>
          <w:tcPr>
            <w:tcW w:w="10380" w:type="dxa"/>
            <w:vAlign w:val="bottom"/>
            <w:gridSpan w:val="2"/>
          </w:tcPr>
          <w:p>
            <w:pPr>
              <w:spacing w:after="0"/>
              <w:rPr>
                <w:sz w:val="20"/>
                <w:szCs w:val="20"/>
                <w:color w:val="auto"/>
              </w:rPr>
            </w:pPr>
            <w:r>
              <w:rPr>
                <w:rFonts w:ascii="Arial" w:cs="Arial" w:eastAsia="Arial" w:hAnsi="Arial"/>
                <w:sz w:val="22"/>
                <w:szCs w:val="22"/>
                <w:color w:val="auto"/>
              </w:rPr>
              <w:t>Section 6.11  Undertaking for Costs</w:t>
            </w:r>
          </w:p>
        </w:tc>
        <w:tc>
          <w:tcPr>
            <w:tcW w:w="80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50</w:t>
              </w:r>
            </w:hyperlink>
          </w:p>
        </w:tc>
      </w:tr>
      <w:tr>
        <w:trPr>
          <w:trHeight w:val="293"/>
        </w:trPr>
        <w:tc>
          <w:tcPr>
            <w:tcW w:w="1200" w:type="dxa"/>
            <w:vAlign w:val="bottom"/>
          </w:tcPr>
          <w:p>
            <w:pPr>
              <w:spacing w:after="0"/>
              <w:rPr>
                <w:sz w:val="24"/>
                <w:szCs w:val="24"/>
                <w:color w:val="auto"/>
              </w:rPr>
            </w:pPr>
          </w:p>
        </w:tc>
        <w:tc>
          <w:tcPr>
            <w:tcW w:w="9180" w:type="dxa"/>
            <w:vAlign w:val="bottom"/>
          </w:tcPr>
          <w:p>
            <w:pPr>
              <w:jc w:val="center"/>
              <w:ind w:right="292"/>
              <w:spacing w:after="0"/>
              <w:rPr>
                <w:rFonts w:ascii="Arial" w:cs="Arial" w:eastAsia="Arial" w:hAnsi="Arial"/>
                <w:sz w:val="22"/>
                <w:szCs w:val="22"/>
                <w:color w:val="auto"/>
                <w:w w:val="98"/>
              </w:rPr>
            </w:pPr>
            <w:hyperlink w:anchor="page61">
              <w:r>
                <w:rPr>
                  <w:rFonts w:ascii="Arial" w:cs="Arial" w:eastAsia="Arial" w:hAnsi="Arial"/>
                  <w:sz w:val="22"/>
                  <w:szCs w:val="22"/>
                  <w:color w:val="auto"/>
                  <w:w w:val="98"/>
                </w:rPr>
                <w:t>Article 7</w:t>
              </w:r>
            </w:hyperlink>
          </w:p>
        </w:tc>
        <w:tc>
          <w:tcPr>
            <w:tcW w:w="800" w:type="dxa"/>
            <w:vAlign w:val="bottom"/>
          </w:tcPr>
          <w:p>
            <w:pPr>
              <w:spacing w:after="0"/>
              <w:rPr>
                <w:sz w:val="24"/>
                <w:szCs w:val="24"/>
                <w:color w:val="auto"/>
              </w:rPr>
            </w:pPr>
          </w:p>
        </w:tc>
      </w:tr>
      <w:tr>
        <w:trPr>
          <w:trHeight w:val="274"/>
        </w:trPr>
        <w:tc>
          <w:tcPr>
            <w:tcW w:w="1200" w:type="dxa"/>
            <w:vAlign w:val="bottom"/>
          </w:tcPr>
          <w:p>
            <w:pPr>
              <w:spacing w:after="0"/>
              <w:rPr>
                <w:sz w:val="23"/>
                <w:szCs w:val="23"/>
                <w:color w:val="auto"/>
              </w:rPr>
            </w:pPr>
          </w:p>
        </w:tc>
        <w:tc>
          <w:tcPr>
            <w:tcW w:w="9180" w:type="dxa"/>
            <w:vAlign w:val="bottom"/>
          </w:tcPr>
          <w:p>
            <w:pPr>
              <w:jc w:val="center"/>
              <w:ind w:right="292"/>
              <w:spacing w:after="0"/>
              <w:rPr>
                <w:rFonts w:ascii="Arial" w:cs="Arial" w:eastAsia="Arial" w:hAnsi="Arial"/>
                <w:sz w:val="22"/>
                <w:szCs w:val="22"/>
                <w:color w:val="auto"/>
                <w:w w:val="91"/>
              </w:rPr>
            </w:pPr>
            <w:hyperlink w:anchor="page61">
              <w:r>
                <w:rPr>
                  <w:rFonts w:ascii="Arial" w:cs="Arial" w:eastAsia="Arial" w:hAnsi="Arial"/>
                  <w:sz w:val="22"/>
                  <w:szCs w:val="22"/>
                  <w:color w:val="auto"/>
                  <w:w w:val="91"/>
                </w:rPr>
                <w:t>TRUSTEE</w:t>
              </w:r>
            </w:hyperlink>
          </w:p>
        </w:tc>
        <w:tc>
          <w:tcPr>
            <w:tcW w:w="800" w:type="dxa"/>
            <w:vAlign w:val="bottom"/>
          </w:tcPr>
          <w:p>
            <w:pPr>
              <w:spacing w:after="0"/>
              <w:rPr>
                <w:sz w:val="23"/>
                <w:szCs w:val="23"/>
                <w:color w:val="auto"/>
              </w:rPr>
            </w:pPr>
          </w:p>
        </w:tc>
      </w:tr>
      <w:tr>
        <w:trPr>
          <w:trHeight w:val="310"/>
        </w:trPr>
        <w:tc>
          <w:tcPr>
            <w:tcW w:w="10380" w:type="dxa"/>
            <w:vAlign w:val="bottom"/>
            <w:gridSpan w:val="2"/>
          </w:tcPr>
          <w:p>
            <w:pPr>
              <w:spacing w:after="0"/>
              <w:rPr>
                <w:sz w:val="20"/>
                <w:szCs w:val="20"/>
                <w:color w:val="auto"/>
              </w:rPr>
            </w:pPr>
            <w:r>
              <w:rPr>
                <w:rFonts w:ascii="Arial" w:cs="Arial" w:eastAsia="Arial" w:hAnsi="Arial"/>
                <w:sz w:val="22"/>
                <w:szCs w:val="22"/>
                <w:color w:val="auto"/>
              </w:rPr>
              <w:t>Section 7.01  Duties of Trustee</w:t>
            </w:r>
          </w:p>
        </w:tc>
        <w:tc>
          <w:tcPr>
            <w:tcW w:w="80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51</w:t>
              </w:r>
            </w:hyperlink>
          </w:p>
        </w:tc>
      </w:tr>
      <w:tr>
        <w:trPr>
          <w:trHeight w:val="310"/>
        </w:trPr>
        <w:tc>
          <w:tcPr>
            <w:tcW w:w="10380" w:type="dxa"/>
            <w:vAlign w:val="bottom"/>
            <w:gridSpan w:val="2"/>
          </w:tcPr>
          <w:p>
            <w:pPr>
              <w:spacing w:after="0"/>
              <w:rPr>
                <w:sz w:val="20"/>
                <w:szCs w:val="20"/>
                <w:color w:val="auto"/>
              </w:rPr>
            </w:pPr>
            <w:r>
              <w:rPr>
                <w:rFonts w:ascii="Arial" w:cs="Arial" w:eastAsia="Arial" w:hAnsi="Arial"/>
                <w:sz w:val="22"/>
                <w:szCs w:val="22"/>
                <w:color w:val="auto"/>
              </w:rPr>
              <w:t>Section 7.02  Rights of Trustee</w:t>
            </w:r>
          </w:p>
        </w:tc>
        <w:tc>
          <w:tcPr>
            <w:tcW w:w="80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311"/>
        </w:trPr>
        <w:tc>
          <w:tcPr>
            <w:tcW w:w="10380" w:type="dxa"/>
            <w:vAlign w:val="bottom"/>
            <w:gridSpan w:val="2"/>
          </w:tcPr>
          <w:p>
            <w:pPr>
              <w:spacing w:after="0"/>
              <w:rPr>
                <w:sz w:val="20"/>
                <w:szCs w:val="20"/>
                <w:color w:val="auto"/>
              </w:rPr>
            </w:pPr>
            <w:r>
              <w:rPr>
                <w:rFonts w:ascii="Arial" w:cs="Arial" w:eastAsia="Arial" w:hAnsi="Arial"/>
                <w:sz w:val="22"/>
                <w:szCs w:val="22"/>
                <w:color w:val="auto"/>
              </w:rPr>
              <w:t>Section 7.03  Individual Rights of Trustee</w:t>
            </w:r>
          </w:p>
        </w:tc>
        <w:tc>
          <w:tcPr>
            <w:tcW w:w="80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53</w:t>
              </w:r>
            </w:hyperlink>
          </w:p>
        </w:tc>
      </w:tr>
      <w:tr>
        <w:trPr>
          <w:trHeight w:val="310"/>
        </w:trPr>
        <w:tc>
          <w:tcPr>
            <w:tcW w:w="1200" w:type="dxa"/>
            <w:vAlign w:val="bottom"/>
          </w:tcPr>
          <w:p>
            <w:pPr>
              <w:spacing w:after="0"/>
              <w:rPr>
                <w:sz w:val="20"/>
                <w:szCs w:val="20"/>
                <w:color w:val="auto"/>
              </w:rPr>
            </w:pPr>
            <w:r>
              <w:rPr>
                <w:rFonts w:ascii="Arial" w:cs="Arial" w:eastAsia="Arial" w:hAnsi="Arial"/>
                <w:sz w:val="22"/>
                <w:szCs w:val="22"/>
                <w:color w:val="auto"/>
                <w:w w:val="96"/>
              </w:rPr>
              <w:t>Section 7.04</w:t>
            </w:r>
          </w:p>
        </w:tc>
        <w:tc>
          <w:tcPr>
            <w:tcW w:w="9180" w:type="dxa"/>
            <w:vAlign w:val="bottom"/>
          </w:tcPr>
          <w:p>
            <w:pPr>
              <w:ind w:left="100"/>
              <w:spacing w:after="0"/>
              <w:rPr>
                <w:sz w:val="20"/>
                <w:szCs w:val="20"/>
                <w:color w:val="auto"/>
              </w:rPr>
            </w:pPr>
            <w:r>
              <w:rPr>
                <w:rFonts w:ascii="Arial" w:cs="Arial" w:eastAsia="Arial" w:hAnsi="Arial"/>
                <w:sz w:val="22"/>
                <w:szCs w:val="22"/>
                <w:color w:val="auto"/>
              </w:rPr>
              <w:t>Trustee’s Disclaimer</w:t>
            </w:r>
          </w:p>
        </w:tc>
        <w:tc>
          <w:tcPr>
            <w:tcW w:w="80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310"/>
        </w:trPr>
        <w:tc>
          <w:tcPr>
            <w:tcW w:w="10380" w:type="dxa"/>
            <w:vAlign w:val="bottom"/>
            <w:gridSpan w:val="2"/>
          </w:tcPr>
          <w:p>
            <w:pPr>
              <w:spacing w:after="0"/>
              <w:rPr>
                <w:sz w:val="20"/>
                <w:szCs w:val="20"/>
                <w:color w:val="auto"/>
              </w:rPr>
            </w:pPr>
            <w:r>
              <w:rPr>
                <w:rFonts w:ascii="Arial" w:cs="Arial" w:eastAsia="Arial" w:hAnsi="Arial"/>
                <w:sz w:val="22"/>
                <w:szCs w:val="22"/>
                <w:color w:val="auto"/>
              </w:rPr>
              <w:t>Section 7.05  Notice of Defaults</w:t>
            </w:r>
          </w:p>
        </w:tc>
        <w:tc>
          <w:tcPr>
            <w:tcW w:w="80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310"/>
        </w:trPr>
        <w:tc>
          <w:tcPr>
            <w:tcW w:w="10380" w:type="dxa"/>
            <w:vAlign w:val="bottom"/>
            <w:gridSpan w:val="2"/>
          </w:tcPr>
          <w:p>
            <w:pPr>
              <w:spacing w:after="0"/>
              <w:rPr>
                <w:sz w:val="20"/>
                <w:szCs w:val="20"/>
                <w:color w:val="auto"/>
              </w:rPr>
            </w:pPr>
            <w:r>
              <w:rPr>
                <w:rFonts w:ascii="Arial" w:cs="Arial" w:eastAsia="Arial" w:hAnsi="Arial"/>
                <w:sz w:val="22"/>
                <w:szCs w:val="22"/>
                <w:color w:val="auto"/>
              </w:rPr>
              <w:t>Section 7.06  Compensation and Indemnity</w:t>
            </w:r>
          </w:p>
        </w:tc>
        <w:tc>
          <w:tcPr>
            <w:tcW w:w="80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310"/>
        </w:trPr>
        <w:tc>
          <w:tcPr>
            <w:tcW w:w="10380" w:type="dxa"/>
            <w:vAlign w:val="bottom"/>
            <w:gridSpan w:val="2"/>
          </w:tcPr>
          <w:p>
            <w:pPr>
              <w:spacing w:after="0"/>
              <w:rPr>
                <w:sz w:val="20"/>
                <w:szCs w:val="20"/>
                <w:color w:val="auto"/>
              </w:rPr>
            </w:pPr>
            <w:r>
              <w:rPr>
                <w:rFonts w:ascii="Arial" w:cs="Arial" w:eastAsia="Arial" w:hAnsi="Arial"/>
                <w:sz w:val="22"/>
                <w:szCs w:val="22"/>
                <w:color w:val="auto"/>
              </w:rPr>
              <w:t>Section 7.07  Replacement of Trustee</w:t>
            </w:r>
          </w:p>
        </w:tc>
        <w:tc>
          <w:tcPr>
            <w:tcW w:w="80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310"/>
        </w:trPr>
        <w:tc>
          <w:tcPr>
            <w:tcW w:w="10380" w:type="dxa"/>
            <w:vAlign w:val="bottom"/>
            <w:gridSpan w:val="2"/>
          </w:tcPr>
          <w:p>
            <w:pPr>
              <w:spacing w:after="0"/>
              <w:rPr>
                <w:sz w:val="20"/>
                <w:szCs w:val="20"/>
                <w:color w:val="auto"/>
              </w:rPr>
            </w:pPr>
            <w:r>
              <w:rPr>
                <w:rFonts w:ascii="Arial" w:cs="Arial" w:eastAsia="Arial" w:hAnsi="Arial"/>
                <w:sz w:val="22"/>
                <w:szCs w:val="22"/>
                <w:color w:val="auto"/>
              </w:rPr>
              <w:t>Section 7.08  Successor Trustee by Merger, etc.</w:t>
            </w:r>
          </w:p>
        </w:tc>
        <w:tc>
          <w:tcPr>
            <w:tcW w:w="80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310"/>
        </w:trPr>
        <w:tc>
          <w:tcPr>
            <w:tcW w:w="1200" w:type="dxa"/>
            <w:vAlign w:val="bottom"/>
          </w:tcPr>
          <w:p>
            <w:pPr>
              <w:spacing w:after="0"/>
              <w:rPr>
                <w:sz w:val="20"/>
                <w:szCs w:val="20"/>
                <w:color w:val="auto"/>
              </w:rPr>
            </w:pPr>
            <w:r>
              <w:rPr>
                <w:rFonts w:ascii="Arial" w:cs="Arial" w:eastAsia="Arial" w:hAnsi="Arial"/>
                <w:sz w:val="22"/>
                <w:szCs w:val="22"/>
                <w:color w:val="auto"/>
                <w:w w:val="96"/>
              </w:rPr>
              <w:t>Section 7.09</w:t>
            </w:r>
          </w:p>
        </w:tc>
        <w:tc>
          <w:tcPr>
            <w:tcW w:w="9180" w:type="dxa"/>
            <w:vAlign w:val="bottom"/>
          </w:tcPr>
          <w:p>
            <w:pPr>
              <w:ind w:left="100"/>
              <w:spacing w:after="0"/>
              <w:rPr>
                <w:sz w:val="20"/>
                <w:szCs w:val="20"/>
                <w:color w:val="auto"/>
              </w:rPr>
            </w:pPr>
            <w:r>
              <w:rPr>
                <w:rFonts w:ascii="Arial" w:cs="Arial" w:eastAsia="Arial" w:hAnsi="Arial"/>
                <w:sz w:val="22"/>
                <w:szCs w:val="22"/>
                <w:color w:val="auto"/>
              </w:rPr>
              <w:t>Eligibility; Disqualification</w:t>
            </w:r>
          </w:p>
        </w:tc>
        <w:tc>
          <w:tcPr>
            <w:tcW w:w="80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293"/>
        </w:trPr>
        <w:tc>
          <w:tcPr>
            <w:tcW w:w="1200" w:type="dxa"/>
            <w:vAlign w:val="bottom"/>
          </w:tcPr>
          <w:p>
            <w:pPr>
              <w:spacing w:after="0"/>
              <w:rPr>
                <w:sz w:val="24"/>
                <w:szCs w:val="24"/>
                <w:color w:val="auto"/>
              </w:rPr>
            </w:pPr>
          </w:p>
        </w:tc>
        <w:tc>
          <w:tcPr>
            <w:tcW w:w="9180" w:type="dxa"/>
            <w:vAlign w:val="bottom"/>
          </w:tcPr>
          <w:p>
            <w:pPr>
              <w:jc w:val="center"/>
              <w:ind w:right="292"/>
              <w:spacing w:after="0"/>
              <w:rPr>
                <w:sz w:val="20"/>
                <w:szCs w:val="20"/>
                <w:color w:val="auto"/>
              </w:rPr>
            </w:pPr>
            <w:r>
              <w:rPr>
                <w:rFonts w:ascii="Arial" w:cs="Arial" w:eastAsia="Arial" w:hAnsi="Arial"/>
                <w:sz w:val="22"/>
                <w:szCs w:val="22"/>
                <w:color w:val="auto"/>
                <w:w w:val="98"/>
              </w:rPr>
              <w:t>Article 8</w:t>
            </w:r>
          </w:p>
        </w:tc>
        <w:tc>
          <w:tcPr>
            <w:tcW w:w="800" w:type="dxa"/>
            <w:vAlign w:val="bottom"/>
          </w:tcPr>
          <w:p>
            <w:pPr>
              <w:spacing w:after="0"/>
              <w:rPr>
                <w:sz w:val="24"/>
                <w:szCs w:val="24"/>
                <w:color w:val="auto"/>
              </w:rPr>
            </w:pPr>
          </w:p>
        </w:tc>
      </w:tr>
      <w:tr>
        <w:trPr>
          <w:trHeight w:val="274"/>
        </w:trPr>
        <w:tc>
          <w:tcPr>
            <w:tcW w:w="1200" w:type="dxa"/>
            <w:vAlign w:val="bottom"/>
          </w:tcPr>
          <w:p>
            <w:pPr>
              <w:spacing w:after="0"/>
              <w:rPr>
                <w:sz w:val="23"/>
                <w:szCs w:val="23"/>
                <w:color w:val="auto"/>
              </w:rPr>
            </w:pPr>
          </w:p>
        </w:tc>
        <w:tc>
          <w:tcPr>
            <w:tcW w:w="9180" w:type="dxa"/>
            <w:vAlign w:val="bottom"/>
          </w:tcPr>
          <w:p>
            <w:pPr>
              <w:jc w:val="center"/>
              <w:ind w:right="292"/>
              <w:spacing w:after="0"/>
              <w:rPr>
                <w:sz w:val="20"/>
                <w:szCs w:val="20"/>
                <w:color w:val="auto"/>
              </w:rPr>
            </w:pPr>
            <w:r>
              <w:rPr>
                <w:rFonts w:ascii="Arial" w:cs="Arial" w:eastAsia="Arial" w:hAnsi="Arial"/>
                <w:sz w:val="22"/>
                <w:szCs w:val="22"/>
                <w:color w:val="auto"/>
                <w:w w:val="95"/>
              </w:rPr>
              <w:t>LEGAL DEFEASANCE AND COVENANT DEFEASANCE</w:t>
            </w:r>
          </w:p>
        </w:tc>
        <w:tc>
          <w:tcPr>
            <w:tcW w:w="800" w:type="dxa"/>
            <w:vAlign w:val="bottom"/>
          </w:tcPr>
          <w:p>
            <w:pPr>
              <w:spacing w:after="0"/>
              <w:rPr>
                <w:sz w:val="23"/>
                <w:szCs w:val="23"/>
                <w:color w:val="auto"/>
              </w:rPr>
            </w:pPr>
          </w:p>
        </w:tc>
      </w:tr>
      <w:tr>
        <w:trPr>
          <w:trHeight w:val="311"/>
        </w:trPr>
        <w:tc>
          <w:tcPr>
            <w:tcW w:w="10380" w:type="dxa"/>
            <w:vAlign w:val="bottom"/>
            <w:gridSpan w:val="2"/>
          </w:tcPr>
          <w:p>
            <w:pPr>
              <w:spacing w:after="0"/>
              <w:rPr>
                <w:sz w:val="20"/>
                <w:szCs w:val="20"/>
                <w:color w:val="auto"/>
              </w:rPr>
            </w:pPr>
            <w:r>
              <w:rPr>
                <w:rFonts w:ascii="Arial" w:cs="Arial" w:eastAsia="Arial" w:hAnsi="Arial"/>
                <w:sz w:val="22"/>
                <w:szCs w:val="22"/>
                <w:color w:val="auto"/>
              </w:rPr>
              <w:t>Section 8.01  Option to Effect Legal Defeasance or Covenant Defeasance</w:t>
            </w:r>
          </w:p>
        </w:tc>
        <w:tc>
          <w:tcPr>
            <w:tcW w:w="80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310"/>
        </w:trPr>
        <w:tc>
          <w:tcPr>
            <w:tcW w:w="10380" w:type="dxa"/>
            <w:vAlign w:val="bottom"/>
            <w:gridSpan w:val="2"/>
          </w:tcPr>
          <w:p>
            <w:pPr>
              <w:spacing w:after="0"/>
              <w:rPr>
                <w:sz w:val="20"/>
                <w:szCs w:val="20"/>
                <w:color w:val="auto"/>
              </w:rPr>
            </w:pPr>
            <w:r>
              <w:rPr>
                <w:rFonts w:ascii="Arial" w:cs="Arial" w:eastAsia="Arial" w:hAnsi="Arial"/>
                <w:sz w:val="22"/>
                <w:szCs w:val="22"/>
                <w:color w:val="auto"/>
              </w:rPr>
              <w:t>Section 8.02  Legal Defeasance and Discharge</w:t>
            </w:r>
          </w:p>
        </w:tc>
        <w:tc>
          <w:tcPr>
            <w:tcW w:w="80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310"/>
        </w:trPr>
        <w:tc>
          <w:tcPr>
            <w:tcW w:w="1200" w:type="dxa"/>
            <w:vAlign w:val="bottom"/>
          </w:tcPr>
          <w:p>
            <w:pPr>
              <w:spacing w:after="0"/>
              <w:rPr>
                <w:sz w:val="20"/>
                <w:szCs w:val="20"/>
                <w:color w:val="auto"/>
              </w:rPr>
            </w:pPr>
            <w:r>
              <w:rPr>
                <w:rFonts w:ascii="Arial" w:cs="Arial" w:eastAsia="Arial" w:hAnsi="Arial"/>
                <w:sz w:val="22"/>
                <w:szCs w:val="22"/>
                <w:color w:val="auto"/>
                <w:w w:val="96"/>
              </w:rPr>
              <w:t>Section 8.03</w:t>
            </w:r>
          </w:p>
        </w:tc>
        <w:tc>
          <w:tcPr>
            <w:tcW w:w="9180" w:type="dxa"/>
            <w:vAlign w:val="bottom"/>
          </w:tcPr>
          <w:p>
            <w:pPr>
              <w:ind w:left="100"/>
              <w:spacing w:after="0"/>
              <w:rPr>
                <w:sz w:val="20"/>
                <w:szCs w:val="20"/>
                <w:color w:val="auto"/>
              </w:rPr>
            </w:pPr>
            <w:r>
              <w:rPr>
                <w:rFonts w:ascii="Arial" w:cs="Arial" w:eastAsia="Arial" w:hAnsi="Arial"/>
                <w:sz w:val="22"/>
                <w:szCs w:val="22"/>
                <w:color w:val="auto"/>
              </w:rPr>
              <w:t>Covenant Defeasance</w:t>
            </w:r>
          </w:p>
        </w:tc>
        <w:tc>
          <w:tcPr>
            <w:tcW w:w="80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311"/>
        </w:trPr>
        <w:tc>
          <w:tcPr>
            <w:tcW w:w="10380" w:type="dxa"/>
            <w:vAlign w:val="bottom"/>
            <w:gridSpan w:val="2"/>
          </w:tcPr>
          <w:p>
            <w:pPr>
              <w:spacing w:after="0"/>
              <w:rPr>
                <w:sz w:val="20"/>
                <w:szCs w:val="20"/>
                <w:color w:val="auto"/>
              </w:rPr>
            </w:pPr>
            <w:r>
              <w:rPr>
                <w:rFonts w:ascii="Arial" w:cs="Arial" w:eastAsia="Arial" w:hAnsi="Arial"/>
                <w:sz w:val="22"/>
                <w:szCs w:val="22"/>
                <w:color w:val="auto"/>
              </w:rPr>
              <w:t>Section 8.04  Conditions to Legal or Covenant Defeasance</w:t>
            </w:r>
          </w:p>
        </w:tc>
        <w:tc>
          <w:tcPr>
            <w:tcW w:w="80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57</w:t>
              </w:r>
            </w:hyperlink>
          </w:p>
        </w:tc>
      </w:tr>
      <w:tr>
        <w:trPr>
          <w:trHeight w:val="310"/>
        </w:trPr>
        <w:tc>
          <w:tcPr>
            <w:tcW w:w="10380" w:type="dxa"/>
            <w:vAlign w:val="bottom"/>
            <w:gridSpan w:val="2"/>
          </w:tcPr>
          <w:p>
            <w:pPr>
              <w:spacing w:after="0"/>
              <w:rPr>
                <w:sz w:val="20"/>
                <w:szCs w:val="20"/>
                <w:color w:val="auto"/>
              </w:rPr>
            </w:pPr>
            <w:r>
              <w:rPr>
                <w:rFonts w:ascii="Arial" w:cs="Arial" w:eastAsia="Arial" w:hAnsi="Arial"/>
                <w:sz w:val="22"/>
                <w:szCs w:val="22"/>
                <w:color w:val="auto"/>
                <w:w w:val="95"/>
              </w:rPr>
              <w:t>Section 8.05  Deposited Money and Government Securities to be Held in Trust; Other Miscellaneous Provisions</w:t>
            </w:r>
          </w:p>
        </w:tc>
        <w:tc>
          <w:tcPr>
            <w:tcW w:w="80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310"/>
        </w:trPr>
        <w:tc>
          <w:tcPr>
            <w:tcW w:w="10380" w:type="dxa"/>
            <w:vAlign w:val="bottom"/>
            <w:gridSpan w:val="2"/>
          </w:tcPr>
          <w:p>
            <w:pPr>
              <w:spacing w:after="0"/>
              <w:rPr>
                <w:sz w:val="20"/>
                <w:szCs w:val="20"/>
                <w:color w:val="auto"/>
              </w:rPr>
            </w:pPr>
            <w:r>
              <w:rPr>
                <w:rFonts w:ascii="Arial" w:cs="Arial" w:eastAsia="Arial" w:hAnsi="Arial"/>
                <w:sz w:val="22"/>
                <w:szCs w:val="22"/>
                <w:color w:val="auto"/>
              </w:rPr>
              <w:t>Section 8.06  Repayment to Issuer</w:t>
            </w:r>
          </w:p>
        </w:tc>
        <w:tc>
          <w:tcPr>
            <w:tcW w:w="80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11"/>
        </w:trPr>
        <w:tc>
          <w:tcPr>
            <w:tcW w:w="1200" w:type="dxa"/>
            <w:vAlign w:val="bottom"/>
          </w:tcPr>
          <w:p>
            <w:pPr>
              <w:spacing w:after="0"/>
              <w:rPr>
                <w:sz w:val="20"/>
                <w:szCs w:val="20"/>
                <w:color w:val="auto"/>
              </w:rPr>
            </w:pPr>
            <w:r>
              <w:rPr>
                <w:rFonts w:ascii="Arial" w:cs="Arial" w:eastAsia="Arial" w:hAnsi="Arial"/>
                <w:sz w:val="22"/>
                <w:szCs w:val="22"/>
                <w:color w:val="auto"/>
                <w:w w:val="96"/>
              </w:rPr>
              <w:t>Section 8.07</w:t>
            </w:r>
          </w:p>
        </w:tc>
        <w:tc>
          <w:tcPr>
            <w:tcW w:w="9180" w:type="dxa"/>
            <w:vAlign w:val="bottom"/>
          </w:tcPr>
          <w:p>
            <w:pPr>
              <w:ind w:left="100"/>
              <w:spacing w:after="0"/>
              <w:rPr>
                <w:sz w:val="20"/>
                <w:szCs w:val="20"/>
                <w:color w:val="auto"/>
              </w:rPr>
            </w:pPr>
            <w:r>
              <w:rPr>
                <w:rFonts w:ascii="Arial" w:cs="Arial" w:eastAsia="Arial" w:hAnsi="Arial"/>
                <w:sz w:val="22"/>
                <w:szCs w:val="22"/>
                <w:color w:val="auto"/>
              </w:rPr>
              <w:t>Reinstatement</w:t>
            </w:r>
          </w:p>
        </w:tc>
        <w:tc>
          <w:tcPr>
            <w:tcW w:w="800" w:type="dxa"/>
            <w:vAlign w:val="bottom"/>
          </w:tcPr>
          <w:p>
            <w:pPr>
              <w:jc w:val="right"/>
              <w:spacing w:after="0"/>
              <w:rPr>
                <w:sz w:val="20"/>
                <w:szCs w:val="20"/>
                <w:color w:val="auto"/>
              </w:rPr>
            </w:pPr>
            <w:r>
              <w:rPr>
                <w:rFonts w:ascii="Arial" w:cs="Arial" w:eastAsia="Arial" w:hAnsi="Arial"/>
                <w:sz w:val="22"/>
                <w:szCs w:val="22"/>
                <w:color w:val="auto"/>
              </w:rPr>
              <w:t>59</w:t>
            </w:r>
          </w:p>
        </w:tc>
      </w:tr>
    </w:tbl>
    <w:p>
      <w:pPr>
        <w:spacing w:after="0" w:line="200" w:lineRule="exact"/>
        <w:rPr>
          <w:sz w:val="20"/>
          <w:szCs w:val="20"/>
          <w:color w:val="auto"/>
        </w:rPr>
      </w:pPr>
    </w:p>
    <w:p>
      <w:pPr>
        <w:sectPr>
          <w:pgSz w:w="11900" w:h="16838" w:orient="portrait"/>
          <w:cols w:equalWidth="0" w:num="1">
            <w:col w:w="11220"/>
          </w:cols>
          <w:pgMar w:left="340" w:top="132" w:right="339" w:bottom="813" w:gutter="0" w:footer="0" w:header="0"/>
        </w:sectPr>
      </w:pPr>
    </w:p>
    <w:p>
      <w:pPr>
        <w:spacing w:after="0" w:line="200" w:lineRule="exact"/>
        <w:rPr>
          <w:sz w:val="20"/>
          <w:szCs w:val="20"/>
          <w:color w:val="auto"/>
        </w:rPr>
      </w:pPr>
    </w:p>
    <w:p>
      <w:pPr>
        <w:spacing w:after="0" w:line="379" w:lineRule="exact"/>
        <w:rPr>
          <w:sz w:val="20"/>
          <w:szCs w:val="20"/>
          <w:color w:val="auto"/>
        </w:rPr>
      </w:pPr>
    </w:p>
    <w:p>
      <w:pPr>
        <w:spacing w:after="0"/>
        <w:tabs>
          <w:tab w:leader="none" w:pos="5460" w:val="left"/>
        </w:tabs>
        <w:rPr>
          <w:sz w:val="20"/>
          <w:szCs w:val="20"/>
          <w:color w:val="auto"/>
        </w:rPr>
      </w:pPr>
      <w:r>
        <w:rPr>
          <w:rFonts w:ascii="Arial" w:cs="Arial" w:eastAsia="Arial" w:hAnsi="Arial"/>
          <w:sz w:val="11"/>
          <w:szCs w:val="11"/>
          <w:color w:val="auto"/>
        </w:rPr>
        <w:t>ASIA 34064015</w:t>
      </w:r>
      <w:r>
        <w:rPr>
          <w:sz w:val="20"/>
          <w:szCs w:val="20"/>
          <w:color w:val="auto"/>
        </w:rPr>
        <w:tab/>
      </w:r>
      <w:r>
        <w:rPr>
          <w:rFonts w:ascii="Arial" w:cs="Arial" w:eastAsia="Arial" w:hAnsi="Arial"/>
          <w:sz w:val="17"/>
          <w:szCs w:val="17"/>
          <w:color w:val="auto"/>
        </w:rPr>
        <w:t>2</w:t>
      </w:r>
    </w:p>
    <w:p>
      <w:pPr>
        <w:sectPr>
          <w:pgSz w:w="11900" w:h="16838" w:orient="portrait"/>
          <w:cols w:equalWidth="0" w:num="1">
            <w:col w:w="11220"/>
          </w:cols>
          <w:pgMar w:left="340" w:top="132" w:right="339" w:bottom="813" w:gutter="0" w:footer="0" w:header="0"/>
          <w:type w:val="continuous"/>
        </w:sectPr>
      </w:pPr>
    </w:p>
    <w:bookmarkStart w:id="60" w:name="page61"/>
    <w:bookmarkEnd w:id="60"/>
    <w:p>
      <w:pPr>
        <w:jc w:val="right"/>
        <w:spacing w:after="0"/>
        <w:rPr>
          <w:sz w:val="20"/>
          <w:szCs w:val="20"/>
          <w:color w:val="auto"/>
        </w:rPr>
      </w:pPr>
      <w:r>
        <w:rPr>
          <w:rFonts w:ascii="Arial" w:cs="Arial" w:eastAsia="Arial" w:hAnsi="Arial"/>
          <w:sz w:val="22"/>
          <w:szCs w:val="22"/>
          <w:i w:val="1"/>
          <w:i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rFonts w:ascii="Arial" w:cs="Arial" w:eastAsia="Arial" w:hAnsi="Arial"/>
          <w:sz w:val="22"/>
          <w:szCs w:val="22"/>
          <w:color w:val="auto"/>
        </w:rPr>
      </w:pPr>
      <w:hyperlink w:anchor="page61">
        <w:r>
          <w:rPr>
            <w:rFonts w:ascii="Arial" w:cs="Arial" w:eastAsia="Arial" w:hAnsi="Arial"/>
            <w:sz w:val="22"/>
            <w:szCs w:val="22"/>
            <w:color w:val="auto"/>
          </w:rPr>
          <w:t>Article 9</w:t>
        </w:r>
      </w:hyperlink>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AMENDMENT, SUPPLEMENT AND WAIVER</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9720" w:type="dxa"/>
            <w:vAlign w:val="bottom"/>
            <w:gridSpan w:val="2"/>
          </w:tcPr>
          <w:p>
            <w:pPr>
              <w:spacing w:after="0"/>
              <w:rPr>
                <w:sz w:val="20"/>
                <w:szCs w:val="20"/>
                <w:color w:val="auto"/>
              </w:rPr>
            </w:pPr>
            <w:r>
              <w:rPr>
                <w:rFonts w:ascii="Arial" w:cs="Arial" w:eastAsia="Arial" w:hAnsi="Arial"/>
                <w:sz w:val="22"/>
                <w:szCs w:val="22"/>
                <w:color w:val="auto"/>
              </w:rPr>
              <w:t>Section 9.01  Without Consent of Holders of Notes</w:t>
            </w:r>
          </w:p>
        </w:tc>
        <w:tc>
          <w:tcPr>
            <w:tcW w:w="146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11"/>
        </w:trPr>
        <w:tc>
          <w:tcPr>
            <w:tcW w:w="9720" w:type="dxa"/>
            <w:vAlign w:val="bottom"/>
            <w:gridSpan w:val="2"/>
          </w:tcPr>
          <w:p>
            <w:pPr>
              <w:spacing w:after="0"/>
              <w:rPr>
                <w:sz w:val="20"/>
                <w:szCs w:val="20"/>
                <w:color w:val="auto"/>
              </w:rPr>
            </w:pPr>
            <w:r>
              <w:rPr>
                <w:rFonts w:ascii="Arial" w:cs="Arial" w:eastAsia="Arial" w:hAnsi="Arial"/>
                <w:sz w:val="22"/>
                <w:szCs w:val="22"/>
                <w:color w:val="auto"/>
              </w:rPr>
              <w:t>Section 9.02  With Consent of Holders of Notes</w:t>
            </w:r>
          </w:p>
        </w:tc>
        <w:tc>
          <w:tcPr>
            <w:tcW w:w="146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60</w:t>
              </w:r>
            </w:hyperlink>
          </w:p>
        </w:tc>
      </w:tr>
      <w:tr>
        <w:trPr>
          <w:trHeight w:val="310"/>
        </w:trPr>
        <w:tc>
          <w:tcPr>
            <w:tcW w:w="9720" w:type="dxa"/>
            <w:vAlign w:val="bottom"/>
            <w:gridSpan w:val="2"/>
          </w:tcPr>
          <w:p>
            <w:pPr>
              <w:spacing w:after="0"/>
              <w:rPr>
                <w:sz w:val="20"/>
                <w:szCs w:val="20"/>
                <w:color w:val="auto"/>
              </w:rPr>
            </w:pPr>
            <w:r>
              <w:rPr>
                <w:rFonts w:ascii="Arial" w:cs="Arial" w:eastAsia="Arial" w:hAnsi="Arial"/>
                <w:sz w:val="22"/>
                <w:szCs w:val="22"/>
                <w:color w:val="auto"/>
              </w:rPr>
              <w:t>Section 9.03  Revocation and Effect of Consents</w:t>
            </w:r>
          </w:p>
        </w:tc>
        <w:tc>
          <w:tcPr>
            <w:tcW w:w="146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311"/>
        </w:trPr>
        <w:tc>
          <w:tcPr>
            <w:tcW w:w="9720" w:type="dxa"/>
            <w:vAlign w:val="bottom"/>
            <w:gridSpan w:val="2"/>
          </w:tcPr>
          <w:p>
            <w:pPr>
              <w:spacing w:after="0"/>
              <w:rPr>
                <w:sz w:val="20"/>
                <w:szCs w:val="20"/>
                <w:color w:val="auto"/>
              </w:rPr>
            </w:pPr>
            <w:r>
              <w:rPr>
                <w:rFonts w:ascii="Arial" w:cs="Arial" w:eastAsia="Arial" w:hAnsi="Arial"/>
                <w:sz w:val="22"/>
                <w:szCs w:val="22"/>
                <w:color w:val="auto"/>
              </w:rPr>
              <w:t>Section 9.04  Notation on or Exchange of Notes</w:t>
            </w:r>
          </w:p>
        </w:tc>
        <w:tc>
          <w:tcPr>
            <w:tcW w:w="146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311"/>
        </w:trPr>
        <w:tc>
          <w:tcPr>
            <w:tcW w:w="9720" w:type="dxa"/>
            <w:vAlign w:val="bottom"/>
            <w:gridSpan w:val="2"/>
          </w:tcPr>
          <w:p>
            <w:pPr>
              <w:spacing w:after="0"/>
              <w:rPr>
                <w:sz w:val="20"/>
                <w:szCs w:val="20"/>
                <w:color w:val="auto"/>
              </w:rPr>
            </w:pPr>
            <w:r>
              <w:rPr>
                <w:rFonts w:ascii="Arial" w:cs="Arial" w:eastAsia="Arial" w:hAnsi="Arial"/>
                <w:sz w:val="22"/>
                <w:szCs w:val="22"/>
                <w:color w:val="auto"/>
              </w:rPr>
              <w:t>Section 9.05  Trustee to Sign Amendments, etc.</w:t>
            </w:r>
          </w:p>
        </w:tc>
        <w:tc>
          <w:tcPr>
            <w:tcW w:w="146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93"/>
        </w:trPr>
        <w:tc>
          <w:tcPr>
            <w:tcW w:w="1300" w:type="dxa"/>
            <w:vAlign w:val="bottom"/>
          </w:tcPr>
          <w:p>
            <w:pPr>
              <w:spacing w:after="0"/>
              <w:rPr>
                <w:sz w:val="24"/>
                <w:szCs w:val="24"/>
                <w:color w:val="auto"/>
              </w:rPr>
            </w:pPr>
          </w:p>
        </w:tc>
        <w:tc>
          <w:tcPr>
            <w:tcW w:w="8420" w:type="dxa"/>
            <w:vAlign w:val="bottom"/>
          </w:tcPr>
          <w:p>
            <w:pPr>
              <w:jc w:val="center"/>
              <w:ind w:left="52"/>
              <w:spacing w:after="0"/>
              <w:rPr>
                <w:rFonts w:ascii="Arial" w:cs="Arial" w:eastAsia="Arial" w:hAnsi="Arial"/>
                <w:sz w:val="22"/>
                <w:szCs w:val="22"/>
                <w:color w:val="auto"/>
                <w:w w:val="93"/>
              </w:rPr>
            </w:pPr>
            <w:hyperlink w:anchor="page61">
              <w:r>
                <w:rPr>
                  <w:rFonts w:ascii="Arial" w:cs="Arial" w:eastAsia="Arial" w:hAnsi="Arial"/>
                  <w:sz w:val="22"/>
                  <w:szCs w:val="22"/>
                  <w:color w:val="auto"/>
                  <w:w w:val="93"/>
                </w:rPr>
                <w:t>Article 10</w:t>
              </w:r>
            </w:hyperlink>
          </w:p>
        </w:tc>
        <w:tc>
          <w:tcPr>
            <w:tcW w:w="1460" w:type="dxa"/>
            <w:vAlign w:val="bottom"/>
          </w:tcPr>
          <w:p>
            <w:pPr>
              <w:spacing w:after="0"/>
              <w:rPr>
                <w:sz w:val="24"/>
                <w:szCs w:val="24"/>
                <w:color w:val="auto"/>
              </w:rPr>
            </w:pPr>
          </w:p>
        </w:tc>
      </w:tr>
      <w:tr>
        <w:trPr>
          <w:trHeight w:val="274"/>
        </w:trPr>
        <w:tc>
          <w:tcPr>
            <w:tcW w:w="1300" w:type="dxa"/>
            <w:vAlign w:val="bottom"/>
          </w:tcPr>
          <w:p>
            <w:pPr>
              <w:spacing w:after="0"/>
              <w:rPr>
                <w:sz w:val="23"/>
                <w:szCs w:val="23"/>
                <w:color w:val="auto"/>
              </w:rPr>
            </w:pPr>
          </w:p>
        </w:tc>
        <w:tc>
          <w:tcPr>
            <w:tcW w:w="8420" w:type="dxa"/>
            <w:vAlign w:val="bottom"/>
          </w:tcPr>
          <w:p>
            <w:pPr>
              <w:jc w:val="center"/>
              <w:ind w:left="52"/>
              <w:spacing w:after="0"/>
              <w:rPr>
                <w:rFonts w:ascii="Arial" w:cs="Arial" w:eastAsia="Arial" w:hAnsi="Arial"/>
                <w:sz w:val="22"/>
                <w:szCs w:val="22"/>
                <w:color w:val="auto"/>
                <w:w w:val="94"/>
              </w:rPr>
            </w:pPr>
            <w:hyperlink w:anchor="page61">
              <w:r>
                <w:rPr>
                  <w:rFonts w:ascii="Arial" w:cs="Arial" w:eastAsia="Arial" w:hAnsi="Arial"/>
                  <w:sz w:val="22"/>
                  <w:szCs w:val="22"/>
                  <w:color w:val="auto"/>
                  <w:w w:val="94"/>
                </w:rPr>
                <w:t>SATISFACTION AND DISCHARGE</w:t>
              </w:r>
            </w:hyperlink>
          </w:p>
        </w:tc>
        <w:tc>
          <w:tcPr>
            <w:tcW w:w="1460" w:type="dxa"/>
            <w:vAlign w:val="bottom"/>
          </w:tcPr>
          <w:p>
            <w:pPr>
              <w:spacing w:after="0"/>
              <w:rPr>
                <w:sz w:val="23"/>
                <w:szCs w:val="23"/>
                <w:color w:val="auto"/>
              </w:rPr>
            </w:pPr>
          </w:p>
        </w:tc>
      </w:tr>
      <w:tr>
        <w:trPr>
          <w:trHeight w:val="310"/>
        </w:trPr>
        <w:tc>
          <w:tcPr>
            <w:tcW w:w="9720" w:type="dxa"/>
            <w:vAlign w:val="bottom"/>
            <w:gridSpan w:val="2"/>
          </w:tcPr>
          <w:p>
            <w:pPr>
              <w:spacing w:after="0"/>
              <w:rPr>
                <w:sz w:val="20"/>
                <w:szCs w:val="20"/>
                <w:color w:val="auto"/>
              </w:rPr>
            </w:pPr>
            <w:r>
              <w:rPr>
                <w:rFonts w:ascii="Arial" w:cs="Arial" w:eastAsia="Arial" w:hAnsi="Arial"/>
                <w:sz w:val="22"/>
                <w:szCs w:val="22"/>
                <w:color w:val="auto"/>
              </w:rPr>
              <w:t>Section 10.01  Satisfaction and Discharge</w:t>
            </w:r>
          </w:p>
        </w:tc>
        <w:tc>
          <w:tcPr>
            <w:tcW w:w="146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311"/>
        </w:trPr>
        <w:tc>
          <w:tcPr>
            <w:tcW w:w="9720" w:type="dxa"/>
            <w:vAlign w:val="bottom"/>
            <w:gridSpan w:val="2"/>
          </w:tcPr>
          <w:p>
            <w:pPr>
              <w:spacing w:after="0"/>
              <w:rPr>
                <w:sz w:val="20"/>
                <w:szCs w:val="20"/>
                <w:color w:val="auto"/>
              </w:rPr>
            </w:pPr>
            <w:r>
              <w:rPr>
                <w:rFonts w:ascii="Arial" w:cs="Arial" w:eastAsia="Arial" w:hAnsi="Arial"/>
                <w:sz w:val="22"/>
                <w:szCs w:val="22"/>
                <w:color w:val="auto"/>
              </w:rPr>
              <w:t>Section 10.02  Application of Trust Money</w:t>
            </w:r>
          </w:p>
        </w:tc>
        <w:tc>
          <w:tcPr>
            <w:tcW w:w="146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93"/>
        </w:trPr>
        <w:tc>
          <w:tcPr>
            <w:tcW w:w="1300" w:type="dxa"/>
            <w:vAlign w:val="bottom"/>
          </w:tcPr>
          <w:p>
            <w:pPr>
              <w:spacing w:after="0"/>
              <w:rPr>
                <w:sz w:val="24"/>
                <w:szCs w:val="24"/>
                <w:color w:val="auto"/>
              </w:rPr>
            </w:pPr>
          </w:p>
        </w:tc>
        <w:tc>
          <w:tcPr>
            <w:tcW w:w="8420" w:type="dxa"/>
            <w:vAlign w:val="bottom"/>
          </w:tcPr>
          <w:p>
            <w:pPr>
              <w:jc w:val="center"/>
              <w:ind w:left="52"/>
              <w:spacing w:after="0"/>
              <w:rPr>
                <w:rFonts w:ascii="Arial" w:cs="Arial" w:eastAsia="Arial" w:hAnsi="Arial"/>
                <w:sz w:val="22"/>
                <w:szCs w:val="22"/>
                <w:color w:val="auto"/>
                <w:w w:val="93"/>
              </w:rPr>
            </w:pPr>
            <w:hyperlink w:anchor="page61">
              <w:r>
                <w:rPr>
                  <w:rFonts w:ascii="Arial" w:cs="Arial" w:eastAsia="Arial" w:hAnsi="Arial"/>
                  <w:sz w:val="22"/>
                  <w:szCs w:val="22"/>
                  <w:color w:val="auto"/>
                  <w:w w:val="93"/>
                </w:rPr>
                <w:t>Article 11</w:t>
              </w:r>
            </w:hyperlink>
          </w:p>
        </w:tc>
        <w:tc>
          <w:tcPr>
            <w:tcW w:w="1460" w:type="dxa"/>
            <w:vAlign w:val="bottom"/>
          </w:tcPr>
          <w:p>
            <w:pPr>
              <w:spacing w:after="0"/>
              <w:rPr>
                <w:sz w:val="24"/>
                <w:szCs w:val="24"/>
                <w:color w:val="auto"/>
              </w:rPr>
            </w:pPr>
          </w:p>
        </w:tc>
      </w:tr>
      <w:tr>
        <w:trPr>
          <w:trHeight w:val="274"/>
        </w:trPr>
        <w:tc>
          <w:tcPr>
            <w:tcW w:w="1300" w:type="dxa"/>
            <w:vAlign w:val="bottom"/>
          </w:tcPr>
          <w:p>
            <w:pPr>
              <w:spacing w:after="0"/>
              <w:rPr>
                <w:sz w:val="23"/>
                <w:szCs w:val="23"/>
                <w:color w:val="auto"/>
              </w:rPr>
            </w:pPr>
          </w:p>
        </w:tc>
        <w:tc>
          <w:tcPr>
            <w:tcW w:w="8420" w:type="dxa"/>
            <w:vAlign w:val="bottom"/>
          </w:tcPr>
          <w:p>
            <w:pPr>
              <w:jc w:val="center"/>
              <w:ind w:left="72"/>
              <w:spacing w:after="0"/>
              <w:rPr>
                <w:rFonts w:ascii="Arial" w:cs="Arial" w:eastAsia="Arial" w:hAnsi="Arial"/>
                <w:sz w:val="22"/>
                <w:szCs w:val="22"/>
                <w:color w:val="auto"/>
                <w:w w:val="96"/>
              </w:rPr>
            </w:pPr>
            <w:hyperlink w:anchor="page61">
              <w:r>
                <w:rPr>
                  <w:rFonts w:ascii="Arial" w:cs="Arial" w:eastAsia="Arial" w:hAnsi="Arial"/>
                  <w:sz w:val="22"/>
                  <w:szCs w:val="22"/>
                  <w:color w:val="auto"/>
                  <w:w w:val="96"/>
                </w:rPr>
                <w:t>MISCELLANEOUS</w:t>
              </w:r>
            </w:hyperlink>
          </w:p>
        </w:tc>
        <w:tc>
          <w:tcPr>
            <w:tcW w:w="1460" w:type="dxa"/>
            <w:vAlign w:val="bottom"/>
          </w:tcPr>
          <w:p>
            <w:pPr>
              <w:spacing w:after="0"/>
              <w:rPr>
                <w:sz w:val="23"/>
                <w:szCs w:val="23"/>
                <w:color w:val="auto"/>
              </w:rPr>
            </w:pPr>
          </w:p>
        </w:tc>
      </w:tr>
      <w:tr>
        <w:trPr>
          <w:trHeight w:val="311"/>
        </w:trPr>
        <w:tc>
          <w:tcPr>
            <w:tcW w:w="1300" w:type="dxa"/>
            <w:vAlign w:val="bottom"/>
          </w:tcPr>
          <w:p>
            <w:pPr>
              <w:spacing w:after="0"/>
              <w:rPr>
                <w:sz w:val="20"/>
                <w:szCs w:val="20"/>
                <w:color w:val="auto"/>
              </w:rPr>
            </w:pPr>
            <w:r>
              <w:rPr>
                <w:rFonts w:ascii="Arial" w:cs="Arial" w:eastAsia="Arial" w:hAnsi="Arial"/>
                <w:sz w:val="22"/>
                <w:szCs w:val="22"/>
                <w:color w:val="auto"/>
                <w:w w:val="95"/>
              </w:rPr>
              <w:t>Section 11.01</w:t>
            </w:r>
          </w:p>
        </w:tc>
        <w:tc>
          <w:tcPr>
            <w:tcW w:w="8420" w:type="dxa"/>
            <w:vAlign w:val="bottom"/>
          </w:tcPr>
          <w:p>
            <w:pPr>
              <w:ind w:left="100"/>
              <w:spacing w:after="0"/>
              <w:rPr>
                <w:sz w:val="20"/>
                <w:szCs w:val="20"/>
                <w:color w:val="auto"/>
              </w:rPr>
            </w:pPr>
            <w:r>
              <w:rPr>
                <w:rFonts w:ascii="Arial" w:cs="Arial" w:eastAsia="Arial" w:hAnsi="Arial"/>
                <w:sz w:val="22"/>
                <w:szCs w:val="22"/>
                <w:color w:val="auto"/>
              </w:rPr>
              <w:t>Notices</w:t>
            </w:r>
          </w:p>
        </w:tc>
        <w:tc>
          <w:tcPr>
            <w:tcW w:w="146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64</w:t>
              </w:r>
            </w:hyperlink>
          </w:p>
        </w:tc>
      </w:tr>
      <w:tr>
        <w:trPr>
          <w:trHeight w:val="310"/>
        </w:trPr>
        <w:tc>
          <w:tcPr>
            <w:tcW w:w="9720" w:type="dxa"/>
            <w:vAlign w:val="bottom"/>
            <w:gridSpan w:val="2"/>
          </w:tcPr>
          <w:p>
            <w:pPr>
              <w:spacing w:after="0"/>
              <w:rPr>
                <w:sz w:val="20"/>
                <w:szCs w:val="20"/>
                <w:color w:val="auto"/>
              </w:rPr>
            </w:pPr>
            <w:r>
              <w:rPr>
                <w:rFonts w:ascii="Arial" w:cs="Arial" w:eastAsia="Arial" w:hAnsi="Arial"/>
                <w:sz w:val="22"/>
                <w:szCs w:val="22"/>
                <w:color w:val="auto"/>
              </w:rPr>
              <w:t>Section 11.02  Certificate and Opinion as to Conditions Precedent</w:t>
            </w:r>
          </w:p>
        </w:tc>
        <w:tc>
          <w:tcPr>
            <w:tcW w:w="146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65</w:t>
              </w:r>
            </w:hyperlink>
          </w:p>
        </w:tc>
      </w:tr>
      <w:tr>
        <w:trPr>
          <w:trHeight w:val="311"/>
        </w:trPr>
        <w:tc>
          <w:tcPr>
            <w:tcW w:w="9720" w:type="dxa"/>
            <w:vAlign w:val="bottom"/>
            <w:gridSpan w:val="2"/>
          </w:tcPr>
          <w:p>
            <w:pPr>
              <w:spacing w:after="0"/>
              <w:rPr>
                <w:sz w:val="20"/>
                <w:szCs w:val="20"/>
                <w:color w:val="auto"/>
              </w:rPr>
            </w:pPr>
            <w:r>
              <w:rPr>
                <w:rFonts w:ascii="Arial" w:cs="Arial" w:eastAsia="Arial" w:hAnsi="Arial"/>
                <w:sz w:val="22"/>
                <w:szCs w:val="22"/>
                <w:color w:val="auto"/>
              </w:rPr>
              <w:t>Section 11.03  Statements Required in Certificate or Opinion</w:t>
            </w:r>
          </w:p>
        </w:tc>
        <w:tc>
          <w:tcPr>
            <w:tcW w:w="146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65</w:t>
              </w:r>
            </w:hyperlink>
          </w:p>
        </w:tc>
      </w:tr>
      <w:tr>
        <w:trPr>
          <w:trHeight w:val="310"/>
        </w:trPr>
        <w:tc>
          <w:tcPr>
            <w:tcW w:w="9720" w:type="dxa"/>
            <w:vAlign w:val="bottom"/>
            <w:gridSpan w:val="2"/>
          </w:tcPr>
          <w:p>
            <w:pPr>
              <w:spacing w:after="0"/>
              <w:rPr>
                <w:sz w:val="20"/>
                <w:szCs w:val="20"/>
                <w:color w:val="auto"/>
              </w:rPr>
            </w:pPr>
            <w:r>
              <w:rPr>
                <w:rFonts w:ascii="Arial" w:cs="Arial" w:eastAsia="Arial" w:hAnsi="Arial"/>
                <w:sz w:val="22"/>
                <w:szCs w:val="22"/>
                <w:color w:val="auto"/>
              </w:rPr>
              <w:t>Section 11.04  Rules by Trustee and Agents</w:t>
            </w:r>
          </w:p>
        </w:tc>
        <w:tc>
          <w:tcPr>
            <w:tcW w:w="146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66</w:t>
              </w:r>
            </w:hyperlink>
          </w:p>
        </w:tc>
      </w:tr>
      <w:tr>
        <w:trPr>
          <w:trHeight w:val="310"/>
        </w:trPr>
        <w:tc>
          <w:tcPr>
            <w:tcW w:w="9720" w:type="dxa"/>
            <w:vAlign w:val="bottom"/>
            <w:gridSpan w:val="2"/>
          </w:tcPr>
          <w:p>
            <w:pPr>
              <w:spacing w:after="0"/>
              <w:rPr>
                <w:sz w:val="20"/>
                <w:szCs w:val="20"/>
                <w:color w:val="auto"/>
              </w:rPr>
            </w:pPr>
            <w:r>
              <w:rPr>
                <w:rFonts w:ascii="Arial" w:cs="Arial" w:eastAsia="Arial" w:hAnsi="Arial"/>
                <w:sz w:val="22"/>
                <w:szCs w:val="22"/>
                <w:color w:val="auto"/>
              </w:rPr>
              <w:t>Section 11.05  No Personal Liability of Directors, Officers, Employees and Equity Holders</w:t>
            </w:r>
          </w:p>
        </w:tc>
        <w:tc>
          <w:tcPr>
            <w:tcW w:w="146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66</w:t>
              </w:r>
            </w:hyperlink>
          </w:p>
        </w:tc>
      </w:tr>
      <w:tr>
        <w:trPr>
          <w:trHeight w:val="311"/>
        </w:trPr>
        <w:tc>
          <w:tcPr>
            <w:tcW w:w="9720" w:type="dxa"/>
            <w:vAlign w:val="bottom"/>
            <w:gridSpan w:val="2"/>
          </w:tcPr>
          <w:p>
            <w:pPr>
              <w:spacing w:after="0"/>
              <w:rPr>
                <w:rFonts w:ascii="Arial" w:cs="Arial" w:eastAsia="Arial" w:hAnsi="Arial"/>
                <w:sz w:val="22"/>
                <w:szCs w:val="22"/>
                <w:color w:val="auto"/>
              </w:rPr>
            </w:pPr>
            <w:hyperlink w:anchor="page61">
              <w:r>
                <w:rPr>
                  <w:rFonts w:ascii="Arial" w:cs="Arial" w:eastAsia="Arial" w:hAnsi="Arial"/>
                  <w:sz w:val="22"/>
                  <w:szCs w:val="22"/>
                  <w:color w:val="auto"/>
                </w:rPr>
                <w:t>Section 11.06  Governing Law; Waiver of Jury Trial</w:t>
              </w:r>
            </w:hyperlink>
          </w:p>
        </w:tc>
        <w:tc>
          <w:tcPr>
            <w:tcW w:w="146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66</w:t>
              </w:r>
            </w:hyperlink>
          </w:p>
        </w:tc>
      </w:tr>
      <w:tr>
        <w:trPr>
          <w:trHeight w:val="310"/>
        </w:trPr>
        <w:tc>
          <w:tcPr>
            <w:tcW w:w="9720" w:type="dxa"/>
            <w:vAlign w:val="bottom"/>
            <w:gridSpan w:val="2"/>
          </w:tcPr>
          <w:p>
            <w:pPr>
              <w:spacing w:after="0"/>
              <w:rPr>
                <w:sz w:val="20"/>
                <w:szCs w:val="20"/>
                <w:color w:val="auto"/>
              </w:rPr>
            </w:pPr>
            <w:r>
              <w:rPr>
                <w:rFonts w:ascii="Arial" w:cs="Arial" w:eastAsia="Arial" w:hAnsi="Arial"/>
                <w:sz w:val="22"/>
                <w:szCs w:val="22"/>
                <w:color w:val="auto"/>
              </w:rPr>
              <w:t>Section 11.07  Submission to Jurisdiction; Waiver of Immunities; Agent for Service</w:t>
            </w:r>
          </w:p>
        </w:tc>
        <w:tc>
          <w:tcPr>
            <w:tcW w:w="146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66</w:t>
              </w:r>
            </w:hyperlink>
          </w:p>
        </w:tc>
      </w:tr>
      <w:tr>
        <w:trPr>
          <w:trHeight w:val="310"/>
        </w:trPr>
        <w:tc>
          <w:tcPr>
            <w:tcW w:w="9720" w:type="dxa"/>
            <w:vAlign w:val="bottom"/>
            <w:gridSpan w:val="2"/>
          </w:tcPr>
          <w:p>
            <w:pPr>
              <w:spacing w:after="0"/>
              <w:rPr>
                <w:sz w:val="20"/>
                <w:szCs w:val="20"/>
                <w:color w:val="auto"/>
              </w:rPr>
            </w:pPr>
            <w:r>
              <w:rPr>
                <w:rFonts w:ascii="Arial" w:cs="Arial" w:eastAsia="Arial" w:hAnsi="Arial"/>
                <w:sz w:val="22"/>
                <w:szCs w:val="22"/>
                <w:color w:val="auto"/>
              </w:rPr>
              <w:t>Section 11.08  Indemnification for Judgment Currency</w:t>
            </w:r>
          </w:p>
        </w:tc>
        <w:tc>
          <w:tcPr>
            <w:tcW w:w="146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67</w:t>
              </w:r>
            </w:hyperlink>
          </w:p>
        </w:tc>
      </w:tr>
      <w:tr>
        <w:trPr>
          <w:trHeight w:val="310"/>
        </w:trPr>
        <w:tc>
          <w:tcPr>
            <w:tcW w:w="9720" w:type="dxa"/>
            <w:vAlign w:val="bottom"/>
            <w:gridSpan w:val="2"/>
          </w:tcPr>
          <w:p>
            <w:pPr>
              <w:spacing w:after="0"/>
              <w:rPr>
                <w:sz w:val="20"/>
                <w:szCs w:val="20"/>
                <w:color w:val="auto"/>
              </w:rPr>
            </w:pPr>
            <w:r>
              <w:rPr>
                <w:rFonts w:ascii="Arial" w:cs="Arial" w:eastAsia="Arial" w:hAnsi="Arial"/>
                <w:sz w:val="22"/>
                <w:szCs w:val="22"/>
                <w:color w:val="auto"/>
              </w:rPr>
              <w:t>Section 11.09  No Adverse Interpretation of Other Agreements</w:t>
            </w:r>
          </w:p>
        </w:tc>
        <w:tc>
          <w:tcPr>
            <w:tcW w:w="146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67</w:t>
              </w:r>
            </w:hyperlink>
          </w:p>
        </w:tc>
      </w:tr>
      <w:tr>
        <w:trPr>
          <w:trHeight w:val="310"/>
        </w:trPr>
        <w:tc>
          <w:tcPr>
            <w:tcW w:w="1300" w:type="dxa"/>
            <w:vAlign w:val="bottom"/>
          </w:tcPr>
          <w:p>
            <w:pPr>
              <w:spacing w:after="0"/>
              <w:rPr>
                <w:sz w:val="20"/>
                <w:szCs w:val="20"/>
                <w:color w:val="auto"/>
              </w:rPr>
            </w:pPr>
            <w:r>
              <w:rPr>
                <w:rFonts w:ascii="Arial" w:cs="Arial" w:eastAsia="Arial" w:hAnsi="Arial"/>
                <w:sz w:val="22"/>
                <w:szCs w:val="22"/>
                <w:color w:val="auto"/>
                <w:w w:val="95"/>
              </w:rPr>
              <w:t>Section 11.10</w:t>
            </w:r>
          </w:p>
        </w:tc>
        <w:tc>
          <w:tcPr>
            <w:tcW w:w="8420" w:type="dxa"/>
            <w:vAlign w:val="bottom"/>
          </w:tcPr>
          <w:p>
            <w:pPr>
              <w:ind w:left="100"/>
              <w:spacing w:after="0"/>
              <w:rPr>
                <w:sz w:val="20"/>
                <w:szCs w:val="20"/>
                <w:color w:val="auto"/>
              </w:rPr>
            </w:pPr>
            <w:r>
              <w:rPr>
                <w:rFonts w:ascii="Arial" w:cs="Arial" w:eastAsia="Arial" w:hAnsi="Arial"/>
                <w:sz w:val="22"/>
                <w:szCs w:val="22"/>
                <w:color w:val="auto"/>
              </w:rPr>
              <w:t>Successors</w:t>
            </w:r>
          </w:p>
        </w:tc>
        <w:tc>
          <w:tcPr>
            <w:tcW w:w="146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67</w:t>
              </w:r>
            </w:hyperlink>
          </w:p>
        </w:tc>
      </w:tr>
      <w:tr>
        <w:trPr>
          <w:trHeight w:val="310"/>
        </w:trPr>
        <w:tc>
          <w:tcPr>
            <w:tcW w:w="1300" w:type="dxa"/>
            <w:vAlign w:val="bottom"/>
          </w:tcPr>
          <w:p>
            <w:pPr>
              <w:spacing w:after="0"/>
              <w:rPr>
                <w:sz w:val="20"/>
                <w:szCs w:val="20"/>
                <w:color w:val="auto"/>
              </w:rPr>
            </w:pPr>
            <w:r>
              <w:rPr>
                <w:rFonts w:ascii="Arial" w:cs="Arial" w:eastAsia="Arial" w:hAnsi="Arial"/>
                <w:sz w:val="22"/>
                <w:szCs w:val="22"/>
                <w:color w:val="auto"/>
                <w:w w:val="95"/>
              </w:rPr>
              <w:t>Section 11.11</w:t>
            </w:r>
          </w:p>
        </w:tc>
        <w:tc>
          <w:tcPr>
            <w:tcW w:w="8420" w:type="dxa"/>
            <w:vAlign w:val="bottom"/>
          </w:tcPr>
          <w:p>
            <w:pPr>
              <w:ind w:left="100"/>
              <w:spacing w:after="0"/>
              <w:rPr>
                <w:sz w:val="20"/>
                <w:szCs w:val="20"/>
                <w:color w:val="auto"/>
              </w:rPr>
            </w:pPr>
            <w:r>
              <w:rPr>
                <w:rFonts w:ascii="Arial" w:cs="Arial" w:eastAsia="Arial" w:hAnsi="Arial"/>
                <w:sz w:val="22"/>
                <w:szCs w:val="22"/>
                <w:color w:val="auto"/>
              </w:rPr>
              <w:t>Severability</w:t>
            </w:r>
          </w:p>
        </w:tc>
        <w:tc>
          <w:tcPr>
            <w:tcW w:w="146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67</w:t>
              </w:r>
            </w:hyperlink>
          </w:p>
        </w:tc>
      </w:tr>
      <w:tr>
        <w:trPr>
          <w:trHeight w:val="310"/>
        </w:trPr>
        <w:tc>
          <w:tcPr>
            <w:tcW w:w="1300" w:type="dxa"/>
            <w:vAlign w:val="bottom"/>
          </w:tcPr>
          <w:p>
            <w:pPr>
              <w:spacing w:after="0"/>
              <w:rPr>
                <w:sz w:val="20"/>
                <w:szCs w:val="20"/>
                <w:color w:val="auto"/>
              </w:rPr>
            </w:pPr>
            <w:r>
              <w:rPr>
                <w:rFonts w:ascii="Arial" w:cs="Arial" w:eastAsia="Arial" w:hAnsi="Arial"/>
                <w:sz w:val="22"/>
                <w:szCs w:val="22"/>
                <w:color w:val="auto"/>
                <w:w w:val="95"/>
              </w:rPr>
              <w:t>Section 11.12</w:t>
            </w:r>
          </w:p>
        </w:tc>
        <w:tc>
          <w:tcPr>
            <w:tcW w:w="8420" w:type="dxa"/>
            <w:vAlign w:val="bottom"/>
          </w:tcPr>
          <w:p>
            <w:pPr>
              <w:ind w:left="100"/>
              <w:spacing w:after="0"/>
              <w:rPr>
                <w:sz w:val="20"/>
                <w:szCs w:val="20"/>
                <w:color w:val="auto"/>
              </w:rPr>
            </w:pPr>
            <w:r>
              <w:rPr>
                <w:rFonts w:ascii="Arial" w:cs="Arial" w:eastAsia="Arial" w:hAnsi="Arial"/>
                <w:sz w:val="22"/>
                <w:szCs w:val="22"/>
                <w:color w:val="auto"/>
              </w:rPr>
              <w:t>Counterpart Originals</w:t>
            </w:r>
          </w:p>
        </w:tc>
        <w:tc>
          <w:tcPr>
            <w:tcW w:w="146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67</w:t>
              </w:r>
            </w:hyperlink>
          </w:p>
        </w:tc>
      </w:tr>
      <w:tr>
        <w:trPr>
          <w:trHeight w:val="311"/>
        </w:trPr>
        <w:tc>
          <w:tcPr>
            <w:tcW w:w="9720" w:type="dxa"/>
            <w:vAlign w:val="bottom"/>
            <w:gridSpan w:val="2"/>
          </w:tcPr>
          <w:p>
            <w:pPr>
              <w:spacing w:after="0"/>
              <w:rPr>
                <w:sz w:val="20"/>
                <w:szCs w:val="20"/>
                <w:color w:val="auto"/>
              </w:rPr>
            </w:pPr>
            <w:r>
              <w:rPr>
                <w:rFonts w:ascii="Arial" w:cs="Arial" w:eastAsia="Arial" w:hAnsi="Arial"/>
                <w:sz w:val="22"/>
                <w:szCs w:val="22"/>
                <w:color w:val="auto"/>
              </w:rPr>
              <w:t>Section 11.13  Table of Contents, Headings, etc.</w:t>
            </w:r>
          </w:p>
        </w:tc>
        <w:tc>
          <w:tcPr>
            <w:tcW w:w="146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68</w:t>
              </w:r>
            </w:hyperlink>
          </w:p>
        </w:tc>
      </w:tr>
      <w:tr>
        <w:trPr>
          <w:trHeight w:val="310"/>
        </w:trPr>
        <w:tc>
          <w:tcPr>
            <w:tcW w:w="9720" w:type="dxa"/>
            <w:vAlign w:val="bottom"/>
            <w:gridSpan w:val="2"/>
          </w:tcPr>
          <w:p>
            <w:pPr>
              <w:spacing w:after="0"/>
              <w:rPr>
                <w:sz w:val="20"/>
                <w:szCs w:val="20"/>
                <w:color w:val="auto"/>
              </w:rPr>
            </w:pPr>
            <w:r>
              <w:rPr>
                <w:rFonts w:ascii="Arial" w:cs="Arial" w:eastAsia="Arial" w:hAnsi="Arial"/>
                <w:sz w:val="22"/>
                <w:szCs w:val="22"/>
                <w:color w:val="auto"/>
              </w:rPr>
              <w:t>Section 11.14  Compliance with Applicable Anti-Terrorism and Money Laundering Regulations.</w:t>
            </w:r>
          </w:p>
        </w:tc>
        <w:tc>
          <w:tcPr>
            <w:tcW w:w="1460" w:type="dxa"/>
            <w:vAlign w:val="bottom"/>
          </w:tcPr>
          <w:p>
            <w:pPr>
              <w:jc w:val="right"/>
              <w:spacing w:after="0"/>
              <w:rPr>
                <w:rFonts w:ascii="Arial" w:cs="Arial" w:eastAsia="Arial" w:hAnsi="Arial"/>
                <w:sz w:val="22"/>
                <w:szCs w:val="22"/>
                <w:color w:val="auto"/>
              </w:rPr>
            </w:pPr>
            <w:hyperlink w:anchor="page61">
              <w:r>
                <w:rPr>
                  <w:rFonts w:ascii="Arial" w:cs="Arial" w:eastAsia="Arial" w:hAnsi="Arial"/>
                  <w:sz w:val="22"/>
                  <w:szCs w:val="22"/>
                  <w:color w:val="auto"/>
                </w:rPr>
                <w:t>68</w:t>
              </w:r>
            </w:hyperlink>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EXHIBITS</w:t>
      </w:r>
    </w:p>
    <w:p>
      <w:pPr>
        <w:spacing w:after="0" w:line="220"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FORM OF NOTE</w:t>
      </w:r>
    </w:p>
    <w:p>
      <w:pPr>
        <w:spacing w:after="0" w:line="21"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9"/>
          <w:szCs w:val="19"/>
          <w:color w:val="auto"/>
        </w:rPr>
        <w:t>FORM OF CERTIFICATE OF TRANSFER</w:t>
      </w:r>
    </w:p>
    <w:p>
      <w:pPr>
        <w:spacing w:after="0" w:line="4"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C</w:t>
      </w:r>
      <w:r>
        <w:rPr>
          <w:sz w:val="20"/>
          <w:szCs w:val="20"/>
          <w:color w:val="auto"/>
        </w:rPr>
        <w:tab/>
      </w:r>
      <w:r>
        <w:rPr>
          <w:rFonts w:ascii="Arial" w:cs="Arial" w:eastAsia="Arial" w:hAnsi="Arial"/>
          <w:sz w:val="19"/>
          <w:szCs w:val="19"/>
          <w:color w:val="auto"/>
        </w:rPr>
        <w:t>FORM OF CERTIFICATE OF EXCHANGE</w:t>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tabs>
          <w:tab w:leader="none" w:pos="5480" w:val="left"/>
        </w:tabs>
        <w:rPr>
          <w:sz w:val="20"/>
          <w:szCs w:val="20"/>
          <w:color w:val="auto"/>
        </w:rPr>
      </w:pPr>
      <w:r>
        <w:rPr>
          <w:rFonts w:ascii="Arial" w:cs="Arial" w:eastAsia="Arial" w:hAnsi="Arial"/>
          <w:sz w:val="11"/>
          <w:szCs w:val="11"/>
          <w:color w:val="auto"/>
        </w:rPr>
        <w:t>ASIA 34064015</w:t>
      </w:r>
      <w:r>
        <w:rPr>
          <w:sz w:val="20"/>
          <w:szCs w:val="20"/>
          <w:color w:val="auto"/>
        </w:rPr>
        <w:tab/>
      </w:r>
      <w:r>
        <w:rPr>
          <w:rFonts w:ascii="Arial" w:cs="Arial" w:eastAsia="Arial" w:hAnsi="Arial"/>
          <w:sz w:val="17"/>
          <w:szCs w:val="17"/>
          <w:color w:val="auto"/>
        </w:rPr>
        <w:t>3</w:t>
      </w:r>
    </w:p>
    <w:p>
      <w:pPr>
        <w:sectPr>
          <w:pgSz w:w="11900" w:h="16838" w:orient="portrait"/>
          <w:cols w:equalWidth="0" w:num="1">
            <w:col w:w="11240"/>
          </w:cols>
          <w:pgMar w:left="320" w:top="132" w:right="339" w:bottom="1440" w:gutter="0" w:footer="0" w:header="0"/>
          <w:type w:val="continuous"/>
        </w:sectPr>
      </w:pPr>
    </w:p>
    <w:bookmarkStart w:id="61" w:name="page62"/>
    <w:bookmarkEnd w:id="61"/>
    <w:p>
      <w:pPr>
        <w:jc w:val="both"/>
        <w:ind w:firstLine="648"/>
        <w:spacing w:after="0" w:line="253" w:lineRule="auto"/>
        <w:rPr>
          <w:sz w:val="20"/>
          <w:szCs w:val="20"/>
          <w:color w:val="auto"/>
        </w:rPr>
      </w:pPr>
      <w:r>
        <w:rPr>
          <w:rFonts w:ascii="Arial" w:cs="Arial" w:eastAsia="Arial" w:hAnsi="Arial"/>
          <w:sz w:val="22"/>
          <w:szCs w:val="22"/>
          <w:color w:val="auto"/>
        </w:rPr>
        <w:t>INDENTURE, dated as of August 26, 2020, between Wynn Macau, Limited, a company incorporated with limited liability under the laws of the Cayman Islands (the “</w:t>
      </w:r>
      <w:r>
        <w:rPr>
          <w:rFonts w:ascii="Arial" w:cs="Arial" w:eastAsia="Arial" w:hAnsi="Arial"/>
          <w:sz w:val="22"/>
          <w:szCs w:val="22"/>
          <w:i w:val="1"/>
          <w:iCs w:val="1"/>
          <w:color w:val="auto"/>
        </w:rPr>
        <w:t>Issuer</w:t>
      </w:r>
      <w:r>
        <w:rPr>
          <w:rFonts w:ascii="Arial" w:cs="Arial" w:eastAsia="Arial" w:hAnsi="Arial"/>
          <w:sz w:val="22"/>
          <w:szCs w:val="22"/>
          <w:color w:val="auto"/>
        </w:rPr>
        <w:t>”), and Deutsche Bank Trust Company Americas, a New York banking corporation, as trustee (the “</w:t>
      </w:r>
      <w:r>
        <w:rPr>
          <w:rFonts w:ascii="Arial" w:cs="Arial" w:eastAsia="Arial" w:hAnsi="Arial"/>
          <w:sz w:val="22"/>
          <w:szCs w:val="22"/>
          <w:i w:val="1"/>
          <w:iCs w:val="1"/>
          <w:color w:val="auto"/>
        </w:rPr>
        <w:t>Trustee</w:t>
      </w:r>
      <w:r>
        <w:rPr>
          <w:rFonts w:ascii="Arial" w:cs="Arial" w:eastAsia="Arial" w:hAnsi="Arial"/>
          <w:sz w:val="22"/>
          <w:szCs w:val="22"/>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Issuer and the Trustee agree as follows for the benefit of each other and for the equal and ratable benefit of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Holders (as defined below) of the 5.625% Senior Notes due 2028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2"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1</w:t>
      </w:r>
    </w:p>
    <w:p>
      <w:pPr>
        <w:spacing w:after="0" w:line="220"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DEFINITIONS AND INCORPORATION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BY REFERENCE</w:t>
      </w:r>
    </w:p>
    <w:p>
      <w:pPr>
        <w:spacing w:after="0" w:line="4"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1.01</w:t>
      </w:r>
      <w:r>
        <w:rPr>
          <w:sz w:val="20"/>
          <w:szCs w:val="20"/>
          <w:color w:val="auto"/>
        </w:rPr>
        <w:tab/>
      </w:r>
      <w:r>
        <w:rPr>
          <w:rFonts w:ascii="Arial" w:cs="Arial" w:eastAsia="Arial" w:hAnsi="Arial"/>
          <w:sz w:val="19"/>
          <w:szCs w:val="19"/>
          <w:i w:val="1"/>
          <w:iCs w:val="1"/>
          <w:color w:val="auto"/>
        </w:rPr>
        <w:t>Definitions</w:t>
      </w:r>
    </w:p>
    <w:p>
      <w:pPr>
        <w:spacing w:after="0" w:line="20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144A Global Note</w:t>
      </w:r>
      <w:r>
        <w:rPr>
          <w:rFonts w:ascii="Arial" w:cs="Arial" w:eastAsia="Arial" w:hAnsi="Arial"/>
          <w:sz w:val="19"/>
          <w:szCs w:val="19"/>
          <w:color w:val="auto"/>
        </w:rPr>
        <w:t>” means a Global Note substantially in the form of Exhibit A hereto bearing the Global Note Legend and the Private Placement Legend and deposited with or on behalf of, and registered in the name of, the Depositary or its nominee that shall be issued in a denomination equal to the outstanding principal amount of the Notes sold in reliance on Rule 144A.</w:t>
      </w:r>
    </w:p>
    <w:p>
      <w:pPr>
        <w:spacing w:after="0" w:line="13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Additional Notes</w:t>
      </w:r>
      <w:r>
        <w:rPr>
          <w:rFonts w:ascii="Arial" w:cs="Arial" w:eastAsia="Arial" w:hAnsi="Arial"/>
          <w:sz w:val="22"/>
          <w:szCs w:val="22"/>
          <w:color w:val="auto"/>
        </w:rPr>
        <w:t>” means Additional Notes issued under this Indenture in accordance with Section 2.13 hereof, as part of the same series as the Initial Notes. Any Additional Notes shall vote on all matters as one class with the Initial Notes, including, without limitation, waivers, amendments and redemptions.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Adjusted Treasury Rate</w:t>
      </w:r>
      <w:r>
        <w:rPr>
          <w:rFonts w:ascii="Arial" w:cs="Arial" w:eastAsia="Arial" w:hAnsi="Arial"/>
          <w:sz w:val="22"/>
          <w:szCs w:val="22"/>
          <w:color w:val="auto"/>
        </w:rPr>
        <w:t>” means, with respect to any redemption date:</w:t>
      </w:r>
    </w:p>
    <w:p>
      <w:pPr>
        <w:spacing w:after="0" w:line="220" w:lineRule="exact"/>
        <w:rPr>
          <w:sz w:val="20"/>
          <w:szCs w:val="20"/>
          <w:color w:val="auto"/>
        </w:rPr>
      </w:pPr>
    </w:p>
    <w:p>
      <w:pPr>
        <w:jc w:val="both"/>
        <w:ind w:firstLine="332"/>
        <w:spacing w:after="0" w:line="292" w:lineRule="auto"/>
        <w:tabs>
          <w:tab w:leader="none" w:pos="854"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United States Treasury securities adjusted to constant maturity under the caption “Treasury Constant Maturities,” for the maturity corresponding to the Comparable Treasury Issue (if no maturity is within three months before or after the Remaining Life, yields for the two published maturities most closely corresponding to the Comparable Treasury Issue shall be determined and the Adjusted Treasury Rate shall be interpolated or extrapolated from such yields on a straight line basis, rounding to the nearest month); or</w:t>
      </w:r>
    </w:p>
    <w:p>
      <w:pPr>
        <w:spacing w:after="0" w:line="150" w:lineRule="exact"/>
        <w:rPr>
          <w:rFonts w:ascii="Arial" w:cs="Arial" w:eastAsia="Arial" w:hAnsi="Arial"/>
          <w:sz w:val="19"/>
          <w:szCs w:val="19"/>
          <w:color w:val="auto"/>
        </w:rPr>
      </w:pPr>
    </w:p>
    <w:p>
      <w:pPr>
        <w:jc w:val="both"/>
        <w:ind w:firstLine="332"/>
        <w:spacing w:after="0" w:line="250" w:lineRule="auto"/>
        <w:tabs>
          <w:tab w:leader="none" w:pos="862" w:val="left"/>
        </w:tabs>
        <w:numPr>
          <w:ilvl w:val="0"/>
          <w:numId w:val="21"/>
        </w:numPr>
        <w:rPr>
          <w:rFonts w:ascii="Arial" w:cs="Arial" w:eastAsia="Arial" w:hAnsi="Arial"/>
          <w:sz w:val="22"/>
          <w:szCs w:val="22"/>
          <w:color w:val="auto"/>
        </w:rPr>
      </w:pPr>
      <w:r>
        <w:rPr>
          <w:rFonts w:ascii="Arial" w:cs="Arial" w:eastAsia="Arial" w:hAnsi="Arial"/>
          <w:sz w:val="22"/>
          <w:szCs w:val="22"/>
          <w:color w:val="auto"/>
        </w:rPr>
        <w:t>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such redemption date.</w:t>
      </w:r>
    </w:p>
    <w:p>
      <w:pPr>
        <w:spacing w:after="0" w:line="18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The Adjusted Treasury Rate shall be calculated on the third Business Day preceding the redemption date or, in the case of a satisfaction and discharge or a defeasance, on the third Business Day prior to the date on which the Issuer deposits the amount required under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28" w:right="339" w:bottom="1440" w:gutter="0" w:footer="0" w:header="0"/>
        </w:sectPr>
      </w:pPr>
    </w:p>
    <w:bookmarkStart w:id="62" w:name="page63"/>
    <w:bookmarkEnd w:id="62"/>
    <w:p>
      <w:pPr>
        <w:jc w:val="both"/>
        <w:ind w:firstLine="324"/>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Affiliate</w:t>
      </w:r>
      <w:r>
        <w:rPr>
          <w:rFonts w:ascii="Arial" w:cs="Arial" w:eastAsia="Arial" w:hAnsi="Arial"/>
          <w:sz w:val="21"/>
          <w:szCs w:val="21"/>
          <w:color w:val="auto"/>
        </w:rPr>
        <w:t xml:space="preserve">”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Ms. Chen Chih Ling, Linda shall not, by virtue of meeting any of the foregoing criteria as a result of the shares held by her in the Concessionaire as of the date of this Indenture or as a result of her role as executive director of the Issuer, be an Affiliate of the Issuer, Wynn Resorts or any of their respective Subsidiaries. For purposes of this definition, the terms “controlling,” “controlled by” and “under common control with” have correlative meanings.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Agent</w:t>
      </w:r>
      <w:r>
        <w:rPr>
          <w:rFonts w:ascii="Arial" w:cs="Arial" w:eastAsia="Arial" w:hAnsi="Arial"/>
          <w:sz w:val="22"/>
          <w:szCs w:val="22"/>
          <w:color w:val="auto"/>
        </w:rPr>
        <w:t>” means any Registrar, Paying Agent or additional paying agent.</w:t>
      </w:r>
    </w:p>
    <w:p>
      <w:pPr>
        <w:spacing w:after="0" w:line="22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Applicable Procedures</w:t>
      </w:r>
      <w:r>
        <w:rPr>
          <w:rFonts w:ascii="Arial" w:cs="Arial" w:eastAsia="Arial" w:hAnsi="Arial"/>
          <w:sz w:val="21"/>
          <w:szCs w:val="21"/>
          <w:color w:val="auto"/>
        </w:rPr>
        <w:t>” means, with respect to any transfer or exchange of or for beneficial interests in any Global Note, the rules and procedures of the Depositary, Euroclear and Clearstream that apply to such transfer or exchange.</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Bankruptcy Law</w:t>
      </w:r>
      <w:r>
        <w:rPr>
          <w:rFonts w:ascii="Arial" w:cs="Arial" w:eastAsia="Arial" w:hAnsi="Arial"/>
          <w:sz w:val="22"/>
          <w:szCs w:val="22"/>
          <w:color w:val="auto"/>
        </w:rPr>
        <w:t>” means Title 11, U.S. Code or any similar federal, state or foreign law for the relief of debtors.</w:t>
      </w:r>
    </w:p>
    <w:p>
      <w:pPr>
        <w:spacing w:after="0" w:line="22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Beneficial Owner</w:t>
      </w:r>
      <w:r>
        <w:rPr>
          <w:rFonts w:ascii="Arial" w:cs="Arial" w:eastAsia="Arial" w:hAnsi="Arial"/>
          <w:sz w:val="19"/>
          <w:szCs w:val="19"/>
          <w:color w:val="auto"/>
        </w:rPr>
        <w:t>” has the meaning assigned to such term in Rule 13d-3 and Rule 13d-5 under the Exchange Act, except that in calculating the beneficial ownership of any particular “person” (as that term is used in Section 13(d)(3) of the Exchange Act),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Board of Directors</w:t>
      </w:r>
      <w:r>
        <w:rPr>
          <w:rFonts w:ascii="Arial" w:cs="Arial" w:eastAsia="Arial" w:hAnsi="Arial"/>
          <w:sz w:val="22"/>
          <w:szCs w:val="22"/>
          <w:color w:val="auto"/>
        </w:rPr>
        <w:t>” means:</w:t>
      </w:r>
    </w:p>
    <w:p>
      <w:pPr>
        <w:spacing w:after="0" w:line="220" w:lineRule="exact"/>
        <w:rPr>
          <w:sz w:val="20"/>
          <w:szCs w:val="20"/>
          <w:color w:val="auto"/>
        </w:rPr>
      </w:pPr>
    </w:p>
    <w:p>
      <w:pPr>
        <w:ind w:firstLine="332"/>
        <w:spacing w:after="0" w:line="263" w:lineRule="auto"/>
        <w:tabs>
          <w:tab w:leader="none" w:pos="834" w:val="left"/>
        </w:tabs>
        <w:numPr>
          <w:ilvl w:val="0"/>
          <w:numId w:val="22"/>
        </w:numPr>
        <w:rPr>
          <w:rFonts w:ascii="Arial" w:cs="Arial" w:eastAsia="Arial" w:hAnsi="Arial"/>
          <w:sz w:val="22"/>
          <w:szCs w:val="22"/>
          <w:color w:val="auto"/>
        </w:rPr>
      </w:pPr>
      <w:r>
        <w:rPr>
          <w:rFonts w:ascii="Arial" w:cs="Arial" w:eastAsia="Arial" w:hAnsi="Arial"/>
          <w:sz w:val="22"/>
          <w:szCs w:val="22"/>
          <w:color w:val="auto"/>
        </w:rPr>
        <w:t>with respect to a corporation, the board of directors of the corporation or any committee thereof duly authorized to act on behalf of such board;</w:t>
      </w:r>
    </w:p>
    <w:p>
      <w:pPr>
        <w:spacing w:after="0" w:line="174" w:lineRule="exact"/>
        <w:rPr>
          <w:rFonts w:ascii="Arial" w:cs="Arial" w:eastAsia="Arial" w:hAnsi="Arial"/>
          <w:sz w:val="22"/>
          <w:szCs w:val="22"/>
          <w:color w:val="auto"/>
        </w:rPr>
      </w:pPr>
    </w:p>
    <w:p>
      <w:pPr>
        <w:ind w:left="800" w:hanging="468"/>
        <w:spacing w:after="0"/>
        <w:tabs>
          <w:tab w:leader="none" w:pos="8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with respect to a partnership, the board of directors of the general partner of the partnership;</w:t>
      </w:r>
    </w:p>
    <w:p>
      <w:pPr>
        <w:spacing w:after="0" w:line="219" w:lineRule="exact"/>
        <w:rPr>
          <w:rFonts w:ascii="Arial" w:cs="Arial" w:eastAsia="Arial" w:hAnsi="Arial"/>
          <w:sz w:val="22"/>
          <w:szCs w:val="22"/>
          <w:color w:val="auto"/>
        </w:rPr>
      </w:pPr>
    </w:p>
    <w:p>
      <w:pPr>
        <w:ind w:firstLine="332"/>
        <w:spacing w:after="0" w:line="263" w:lineRule="auto"/>
        <w:tabs>
          <w:tab w:leader="none" w:pos="807" w:val="left"/>
        </w:tabs>
        <w:numPr>
          <w:ilvl w:val="0"/>
          <w:numId w:val="22"/>
        </w:numPr>
        <w:rPr>
          <w:rFonts w:ascii="Arial" w:cs="Arial" w:eastAsia="Arial" w:hAnsi="Arial"/>
          <w:sz w:val="22"/>
          <w:szCs w:val="22"/>
          <w:color w:val="auto"/>
        </w:rPr>
      </w:pPr>
      <w:r>
        <w:rPr>
          <w:rFonts w:ascii="Arial" w:cs="Arial" w:eastAsia="Arial" w:hAnsi="Arial"/>
          <w:sz w:val="22"/>
          <w:szCs w:val="22"/>
          <w:color w:val="auto"/>
        </w:rPr>
        <w:t>with respect to a limited liability company, the Person or Persons who are the managing member, members or managers or any controlling committee or managing members or managers thereof; and</w:t>
      </w:r>
    </w:p>
    <w:p>
      <w:pPr>
        <w:spacing w:after="0" w:line="174" w:lineRule="exact"/>
        <w:rPr>
          <w:rFonts w:ascii="Arial" w:cs="Arial" w:eastAsia="Arial" w:hAnsi="Arial"/>
          <w:sz w:val="22"/>
          <w:szCs w:val="22"/>
          <w:color w:val="auto"/>
        </w:rPr>
      </w:pPr>
    </w:p>
    <w:p>
      <w:pPr>
        <w:ind w:left="800" w:hanging="468"/>
        <w:spacing w:after="0"/>
        <w:tabs>
          <w:tab w:leader="none" w:pos="8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with respect to any other Person, the board or committee of such Person serving a similar function.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Business Day</w:t>
      </w:r>
      <w:r>
        <w:rPr>
          <w:rFonts w:ascii="Arial" w:cs="Arial" w:eastAsia="Arial" w:hAnsi="Arial"/>
          <w:sz w:val="22"/>
          <w:szCs w:val="22"/>
          <w:color w:val="auto"/>
        </w:rPr>
        <w:t>” means any day other than a Legal Holiday.</w:t>
      </w:r>
    </w:p>
    <w:p>
      <w:pPr>
        <w:spacing w:after="0" w:line="220"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Capital Lease Obligation</w:t>
      </w:r>
      <w:r>
        <w:rPr>
          <w:rFonts w:ascii="Arial" w:cs="Arial" w:eastAsia="Arial" w:hAnsi="Arial"/>
          <w:sz w:val="19"/>
          <w:szCs w:val="19"/>
          <w:color w:val="auto"/>
        </w:rPr>
        <w:t xml:space="preserve">” means, at the time any determination is to be made, the amount of the liability in respect of a capital lease that would at that time be required to be capitalized on a balance sheet in </w:t>
      </w:r>
      <w:r>
        <w:rPr>
          <w:rFonts w:ascii="Arial" w:cs="Arial" w:eastAsia="Arial" w:hAnsi="Arial"/>
          <w:sz w:val="19"/>
          <w:szCs w:val="19"/>
          <w:i w:val="1"/>
          <w:iCs w:val="1"/>
          <w:color w:val="auto"/>
        </w:rPr>
        <w:t>accordance</w:t>
      </w:r>
      <w:r>
        <w:rPr>
          <w:rFonts w:ascii="Arial" w:cs="Arial" w:eastAsia="Arial" w:hAnsi="Arial"/>
          <w:sz w:val="19"/>
          <w:szCs w:val="19"/>
          <w:color w:val="auto"/>
        </w:rPr>
        <w:t xml:space="preserve"> with IFRS as in effect as of December 31, 2018, and the Stated Maturity thereof shall be the date of the last payment of rent or any other amount due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63" w:name="page64"/>
    <w:bookmarkEnd w:id="63"/>
    <w:p>
      <w:pPr>
        <w:spacing w:after="0"/>
        <w:rPr>
          <w:sz w:val="20"/>
          <w:szCs w:val="20"/>
          <w:color w:val="auto"/>
        </w:rPr>
      </w:pPr>
      <w:r>
        <w:rPr>
          <w:rFonts w:ascii="Arial" w:cs="Arial" w:eastAsia="Arial" w:hAnsi="Arial"/>
          <w:sz w:val="19"/>
          <w:szCs w:val="19"/>
          <w:color w:val="auto"/>
        </w:rPr>
        <w:t>under such lease prior to the first date upon which such lease may be prepaid by the lessee without payment of a penalty.</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Capital Stock</w:t>
      </w:r>
      <w:r>
        <w:rPr>
          <w:rFonts w:ascii="Arial" w:cs="Arial" w:eastAsia="Arial" w:hAnsi="Arial"/>
          <w:sz w:val="22"/>
          <w:szCs w:val="22"/>
          <w:color w:val="auto"/>
        </w:rPr>
        <w:t>” means:</w:t>
      </w:r>
    </w:p>
    <w:p>
      <w:pPr>
        <w:spacing w:after="0" w:line="220" w:lineRule="exact"/>
        <w:rPr>
          <w:sz w:val="20"/>
          <w:szCs w:val="20"/>
          <w:color w:val="auto"/>
        </w:rPr>
      </w:pPr>
    </w:p>
    <w:p>
      <w:pPr>
        <w:ind w:left="800" w:hanging="468"/>
        <w:spacing w:after="0"/>
        <w:tabs>
          <w:tab w:leader="none" w:pos="8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in the case of a corporation, corporate stock;</w:t>
      </w:r>
    </w:p>
    <w:p>
      <w:pPr>
        <w:spacing w:after="0" w:line="219" w:lineRule="exact"/>
        <w:rPr>
          <w:rFonts w:ascii="Arial" w:cs="Arial" w:eastAsia="Arial" w:hAnsi="Arial"/>
          <w:sz w:val="22"/>
          <w:szCs w:val="22"/>
          <w:color w:val="auto"/>
        </w:rPr>
      </w:pPr>
    </w:p>
    <w:p>
      <w:pPr>
        <w:ind w:firstLine="332"/>
        <w:spacing w:after="0" w:line="263" w:lineRule="auto"/>
        <w:tabs>
          <w:tab w:leader="none" w:pos="853" w:val="left"/>
        </w:tabs>
        <w:numPr>
          <w:ilvl w:val="0"/>
          <w:numId w:val="23"/>
        </w:numPr>
        <w:rPr>
          <w:rFonts w:ascii="Arial" w:cs="Arial" w:eastAsia="Arial" w:hAnsi="Arial"/>
          <w:sz w:val="22"/>
          <w:szCs w:val="22"/>
          <w:color w:val="auto"/>
        </w:rPr>
      </w:pPr>
      <w:r>
        <w:rPr>
          <w:rFonts w:ascii="Arial" w:cs="Arial" w:eastAsia="Arial" w:hAnsi="Arial"/>
          <w:sz w:val="22"/>
          <w:szCs w:val="22"/>
          <w:color w:val="auto"/>
        </w:rPr>
        <w:t>in the case of an association or business entity, any and all shares, interests, participations, rights or other equivalents (however designated) of corporate stock;</w:t>
      </w:r>
    </w:p>
    <w:p>
      <w:pPr>
        <w:spacing w:after="0" w:line="174" w:lineRule="exact"/>
        <w:rPr>
          <w:rFonts w:ascii="Arial" w:cs="Arial" w:eastAsia="Arial" w:hAnsi="Arial"/>
          <w:sz w:val="22"/>
          <w:szCs w:val="22"/>
          <w:color w:val="auto"/>
        </w:rPr>
      </w:pPr>
    </w:p>
    <w:p>
      <w:pPr>
        <w:ind w:right="20" w:firstLine="332"/>
        <w:spacing w:after="0" w:line="263" w:lineRule="auto"/>
        <w:tabs>
          <w:tab w:leader="none" w:pos="1008" w:val="left"/>
        </w:tabs>
        <w:numPr>
          <w:ilvl w:val="0"/>
          <w:numId w:val="23"/>
        </w:numPr>
        <w:rPr>
          <w:rFonts w:ascii="Arial" w:cs="Arial" w:eastAsia="Arial" w:hAnsi="Arial"/>
          <w:sz w:val="22"/>
          <w:szCs w:val="22"/>
          <w:color w:val="auto"/>
        </w:rPr>
      </w:pPr>
      <w:r>
        <w:rPr>
          <w:rFonts w:ascii="Arial" w:cs="Arial" w:eastAsia="Arial" w:hAnsi="Arial"/>
          <w:sz w:val="22"/>
          <w:szCs w:val="22"/>
          <w:color w:val="auto"/>
        </w:rPr>
        <w:t>in the case of a partnership or limited liability company, partnership interests (whether general or limited) or membership interests (whether general or limited); and</w:t>
      </w:r>
    </w:p>
    <w:p>
      <w:pPr>
        <w:spacing w:after="0" w:line="174" w:lineRule="exact"/>
        <w:rPr>
          <w:rFonts w:ascii="Arial" w:cs="Arial" w:eastAsia="Arial" w:hAnsi="Arial"/>
          <w:sz w:val="22"/>
          <w:szCs w:val="22"/>
          <w:color w:val="auto"/>
        </w:rPr>
      </w:pPr>
    </w:p>
    <w:p>
      <w:pPr>
        <w:jc w:val="both"/>
        <w:ind w:firstLine="332"/>
        <w:spacing w:after="0" w:line="271" w:lineRule="auto"/>
        <w:tabs>
          <w:tab w:leader="none" w:pos="850" w:val="left"/>
        </w:tabs>
        <w:numPr>
          <w:ilvl w:val="0"/>
          <w:numId w:val="23"/>
        </w:numPr>
        <w:rPr>
          <w:rFonts w:ascii="Arial" w:cs="Arial" w:eastAsia="Arial" w:hAnsi="Arial"/>
          <w:sz w:val="21"/>
          <w:szCs w:val="21"/>
          <w:color w:val="auto"/>
        </w:rPr>
      </w:pPr>
      <w:r>
        <w:rPr>
          <w:rFonts w:ascii="Arial" w:cs="Arial" w:eastAsia="Arial" w:hAnsi="Arial"/>
          <w:sz w:val="21"/>
          <w:szCs w:val="21"/>
          <w:color w:val="auto"/>
        </w:rPr>
        <w:t>any other interests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w:t>
      </w:r>
      <w:r>
        <w:rPr>
          <w:rFonts w:ascii="Arial" w:cs="Arial" w:eastAsia="Arial" w:hAnsi="Arial"/>
          <w:sz w:val="22"/>
          <w:szCs w:val="22"/>
          <w:color w:val="auto"/>
        </w:rPr>
        <w:t>” means the occurrence of any of the following:</w:t>
      </w:r>
    </w:p>
    <w:p>
      <w:pPr>
        <w:spacing w:after="0" w:line="220" w:lineRule="exact"/>
        <w:rPr>
          <w:sz w:val="20"/>
          <w:szCs w:val="20"/>
          <w:color w:val="auto"/>
        </w:rPr>
      </w:pPr>
    </w:p>
    <w:p>
      <w:pPr>
        <w:jc w:val="both"/>
        <w:ind w:firstLine="332"/>
        <w:spacing w:after="0" w:line="250" w:lineRule="auto"/>
        <w:tabs>
          <w:tab w:leader="none" w:pos="846"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direct or indirect sale, transfer, conveyance or other disposition (other than by way of merger or consolidation), in one or a series of related transactions, of all or substantially all of the properties or assets of the Issuer and its Subsidiaries, taken as a whole, to any “person” (as that term is used in Section 13(d)(3) of the Exchange Act), other than to Wynn Resorts or any of its Affiliates;</w:t>
      </w:r>
    </w:p>
    <w:p>
      <w:pPr>
        <w:spacing w:after="0" w:line="187" w:lineRule="exact"/>
        <w:rPr>
          <w:rFonts w:ascii="Arial" w:cs="Arial" w:eastAsia="Arial" w:hAnsi="Arial"/>
          <w:sz w:val="22"/>
          <w:szCs w:val="22"/>
          <w:color w:val="auto"/>
        </w:rPr>
      </w:pPr>
    </w:p>
    <w:p>
      <w:pPr>
        <w:ind w:left="800" w:hanging="468"/>
        <w:spacing w:after="0"/>
        <w:tabs>
          <w:tab w:leader="none" w:pos="8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adoption of a plan relating to the liquidation or dissolution of the Issuer or any successor thereto;</w:t>
      </w:r>
    </w:p>
    <w:p>
      <w:pPr>
        <w:spacing w:after="0" w:line="219" w:lineRule="exact"/>
        <w:rPr>
          <w:rFonts w:ascii="Arial" w:cs="Arial" w:eastAsia="Arial" w:hAnsi="Arial"/>
          <w:sz w:val="22"/>
          <w:szCs w:val="22"/>
          <w:color w:val="auto"/>
        </w:rPr>
      </w:pPr>
    </w:p>
    <w:p>
      <w:pPr>
        <w:jc w:val="both"/>
        <w:ind w:firstLine="332"/>
        <w:spacing w:after="0" w:line="250" w:lineRule="auto"/>
        <w:tabs>
          <w:tab w:leader="none" w:pos="824"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consummation of any transaction (including, without limitation, any merger or consolidation) the result of which is that any “person” (as defined in clause (1) above), other than Wynn Resorts or any Affiliate of Wynn Resorts becomes the Beneficial Owner, directly or indirectly, of more than 50% of the outstanding Voting Stock of Wynn Macau, measured by voting power rather than number of Equity Interests;</w:t>
      </w:r>
    </w:p>
    <w:p>
      <w:pPr>
        <w:spacing w:after="0" w:line="187" w:lineRule="exact"/>
        <w:rPr>
          <w:rFonts w:ascii="Arial" w:cs="Arial" w:eastAsia="Arial" w:hAnsi="Arial"/>
          <w:sz w:val="22"/>
          <w:szCs w:val="22"/>
          <w:color w:val="auto"/>
        </w:rPr>
      </w:pPr>
    </w:p>
    <w:p>
      <w:pPr>
        <w:ind w:left="800" w:hanging="468"/>
        <w:spacing w:after="0"/>
        <w:tabs>
          <w:tab w:leader="none" w:pos="8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first day on which a majority of the members of the Board of Directors of the Issuer are not Continuing Directors;</w:t>
      </w:r>
    </w:p>
    <w:p>
      <w:pPr>
        <w:spacing w:after="0" w:line="254" w:lineRule="exact"/>
        <w:rPr>
          <w:rFonts w:ascii="Arial" w:cs="Arial" w:eastAsia="Arial" w:hAnsi="Arial"/>
          <w:sz w:val="19"/>
          <w:szCs w:val="19"/>
          <w:color w:val="auto"/>
        </w:rPr>
      </w:pPr>
    </w:p>
    <w:p>
      <w:pPr>
        <w:ind w:right="20" w:firstLine="332"/>
        <w:spacing w:after="0" w:line="263" w:lineRule="auto"/>
        <w:tabs>
          <w:tab w:leader="none" w:pos="809"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first day on which the Issuer ceases to own, directly or indirectly, at least 60% of the outstanding Equity Interests of (and at least a 60% economic interest in) the Concessionaire; or</w:t>
      </w:r>
    </w:p>
    <w:p>
      <w:pPr>
        <w:spacing w:after="0" w:line="174" w:lineRule="exact"/>
        <w:rPr>
          <w:rFonts w:ascii="Arial" w:cs="Arial" w:eastAsia="Arial" w:hAnsi="Arial"/>
          <w:sz w:val="22"/>
          <w:szCs w:val="22"/>
          <w:color w:val="auto"/>
        </w:rPr>
      </w:pPr>
    </w:p>
    <w:p>
      <w:pPr>
        <w:ind w:left="800" w:hanging="468"/>
        <w:spacing w:after="0"/>
        <w:tabs>
          <w:tab w:leader="none" w:pos="8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30th day following the date on which the Issuer ceases to be entitled to use the “WYNN” trademark.</w:t>
      </w:r>
    </w:p>
    <w:p>
      <w:pPr>
        <w:spacing w:after="0" w:line="22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9"/>
          <w:szCs w:val="19"/>
          <w:color w:val="auto"/>
        </w:rPr>
        <w:t>Notwithstanding the preceding or any provision of Section 13(d)(3) of the Exchange Act, a Person or group shall not be deemed to beneficially own Voting Stock subject to a stock or asset purchase agreement, merger agreement, option agreement, warrant agreement or similar agreement (or voting or option or similar agreement related thereto) until the consummation of</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64" w:name="page65"/>
    <w:bookmarkEnd w:id="64"/>
    <w:p>
      <w:pPr>
        <w:spacing w:after="0"/>
        <w:rPr>
          <w:sz w:val="20"/>
          <w:szCs w:val="20"/>
          <w:color w:val="auto"/>
        </w:rPr>
      </w:pPr>
      <w:r>
        <w:rPr>
          <w:rFonts w:ascii="Arial" w:cs="Arial" w:eastAsia="Arial" w:hAnsi="Arial"/>
          <w:sz w:val="22"/>
          <w:szCs w:val="22"/>
          <w:color w:val="auto"/>
        </w:rPr>
        <w:t>the acquisition of the Voting Stock in connection with the transactions contemplated by such agreement.</w:t>
      </w:r>
    </w:p>
    <w:p>
      <w:pPr>
        <w:spacing w:after="0" w:line="22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 Triggering Event</w:t>
      </w:r>
      <w:r>
        <w:rPr>
          <w:rFonts w:ascii="Arial" w:cs="Arial" w:eastAsia="Arial" w:hAnsi="Arial"/>
          <w:sz w:val="22"/>
          <w:szCs w:val="22"/>
          <w:color w:val="auto"/>
        </w:rPr>
        <w:t>” means the occurrence of a Change of Control and, if the Notes are rated by both Rating Agencies, a Ratings Event.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Clearstream</w:t>
      </w:r>
      <w:r>
        <w:rPr>
          <w:rFonts w:ascii="Arial" w:cs="Arial" w:eastAsia="Arial" w:hAnsi="Arial"/>
          <w:sz w:val="22"/>
          <w:szCs w:val="22"/>
          <w:color w:val="auto"/>
        </w:rPr>
        <w:t>” means Clearstream Banking S.A.</w:t>
      </w:r>
    </w:p>
    <w:p>
      <w:pPr>
        <w:spacing w:after="0" w:line="22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Comparable Treasury Issue</w:t>
      </w:r>
      <w:r>
        <w:rPr>
          <w:rFonts w:ascii="Arial" w:cs="Arial" w:eastAsia="Arial" w:hAnsi="Arial"/>
          <w:sz w:val="22"/>
          <w:szCs w:val="22"/>
          <w:color w:val="auto"/>
        </w:rPr>
        <w:t>” means the United States Treasury security selected by an Independent Investment Banker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securities (“Remaining Life”).</w:t>
      </w:r>
    </w:p>
    <w:p>
      <w:pPr>
        <w:spacing w:after="0" w:line="18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Comparable Treasury Price</w:t>
      </w:r>
      <w:r>
        <w:rPr>
          <w:rFonts w:ascii="Arial" w:cs="Arial" w:eastAsia="Arial" w:hAnsi="Arial"/>
          <w:sz w:val="19"/>
          <w:szCs w:val="19"/>
          <w:color w:val="auto"/>
        </w:rPr>
        <w:t>” means (1) the average of four Reference Treasury Dealer Quotations for such redemption date, after excluding the highest and lowest Reference Treasury Dealer Quotations or (2) if the Independent Investment Banker obtains fewer than four such Reference Treasury Dealer Quotations, the average of all such quotations.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Concessionaire</w:t>
      </w:r>
      <w:r>
        <w:rPr>
          <w:rFonts w:ascii="Arial" w:cs="Arial" w:eastAsia="Arial" w:hAnsi="Arial"/>
          <w:sz w:val="22"/>
          <w:szCs w:val="22"/>
          <w:color w:val="auto"/>
        </w:rPr>
        <w:t>” means Wynn Resorts (Macau) S.A., a company incorporated under the laws of Macau.</w:t>
      </w:r>
    </w:p>
    <w:p>
      <w:pPr>
        <w:spacing w:after="0" w:line="22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continuing</w:t>
      </w:r>
      <w:r>
        <w:rPr>
          <w:rFonts w:ascii="Arial" w:cs="Arial" w:eastAsia="Arial" w:hAnsi="Arial"/>
          <w:sz w:val="22"/>
          <w:szCs w:val="22"/>
          <w:color w:val="auto"/>
        </w:rPr>
        <w:t>” means, with respect to any Default or Event of Default, that such Default or Event of Default has not been cured or waived.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Continuing Directors</w:t>
      </w:r>
      <w:r>
        <w:rPr>
          <w:rFonts w:ascii="Arial" w:cs="Arial" w:eastAsia="Arial" w:hAnsi="Arial"/>
          <w:sz w:val="19"/>
          <w:szCs w:val="19"/>
          <w:color w:val="auto"/>
        </w:rPr>
        <w:t>” means, as of any date of determination, with respect to any Person, any member of the Board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Directors of such Person who:</w:t>
      </w:r>
    </w:p>
    <w:p>
      <w:pPr>
        <w:spacing w:after="0" w:line="202" w:lineRule="exact"/>
        <w:rPr>
          <w:sz w:val="20"/>
          <w:szCs w:val="20"/>
          <w:color w:val="auto"/>
        </w:rPr>
      </w:pPr>
    </w:p>
    <w:p>
      <w:pPr>
        <w:ind w:left="800" w:hanging="468"/>
        <w:spacing w:after="0"/>
        <w:tabs>
          <w:tab w:leader="none" w:pos="8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was a member of such Board of Directors on the date hereof; or</w:t>
      </w:r>
    </w:p>
    <w:p>
      <w:pPr>
        <w:spacing w:after="0" w:line="219" w:lineRule="exact"/>
        <w:rPr>
          <w:rFonts w:ascii="Arial" w:cs="Arial" w:eastAsia="Arial" w:hAnsi="Arial"/>
          <w:sz w:val="22"/>
          <w:szCs w:val="22"/>
          <w:color w:val="auto"/>
        </w:rPr>
      </w:pPr>
    </w:p>
    <w:p>
      <w:pPr>
        <w:ind w:firstLine="332"/>
        <w:spacing w:after="0" w:line="343" w:lineRule="auto"/>
        <w:tabs>
          <w:tab w:leader="none" w:pos="832" w:val="left"/>
        </w:tabs>
        <w:numPr>
          <w:ilvl w:val="0"/>
          <w:numId w:val="25"/>
        </w:numPr>
        <w:rPr>
          <w:rFonts w:ascii="Arial" w:cs="Arial" w:eastAsia="Arial" w:hAnsi="Arial"/>
          <w:sz w:val="19"/>
          <w:szCs w:val="19"/>
          <w:color w:val="auto"/>
        </w:rPr>
      </w:pPr>
      <w:r>
        <w:rPr>
          <w:rFonts w:ascii="Arial" w:cs="Arial" w:eastAsia="Arial" w:hAnsi="Arial"/>
          <w:sz w:val="19"/>
          <w:szCs w:val="19"/>
          <w:color w:val="auto"/>
        </w:rPr>
        <w:t>was nominated for election, or was elected or appointed, to such Board of Directors with the approval of a majority of the Continuing Directors who were members of such Board of Directors at the time of such nomination, election or appointment.</w:t>
      </w:r>
    </w:p>
    <w:p>
      <w:pPr>
        <w:spacing w:after="0" w:line="1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Corporate Trust Office of the Trustee</w:t>
      </w:r>
      <w:r>
        <w:rPr>
          <w:rFonts w:ascii="Arial" w:cs="Arial" w:eastAsia="Arial" w:hAnsi="Arial"/>
          <w:sz w:val="22"/>
          <w:szCs w:val="22"/>
          <w:color w:val="auto"/>
        </w:rPr>
        <w:t>” means the address of the Trustee specified in Section 11.01 hereof or such other address as to which the Trustee may give notice to the Issuer.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Custodian</w:t>
      </w:r>
      <w:r>
        <w:rPr>
          <w:rFonts w:ascii="Arial" w:cs="Arial" w:eastAsia="Arial" w:hAnsi="Arial"/>
          <w:sz w:val="19"/>
          <w:szCs w:val="19"/>
          <w:color w:val="auto"/>
        </w:rPr>
        <w:t>” means the Trustee, as custodian with respect to the Notes in global form, or any successor entity thereto.</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Default</w:t>
      </w:r>
      <w:r>
        <w:rPr>
          <w:rFonts w:ascii="Arial" w:cs="Arial" w:eastAsia="Arial" w:hAnsi="Arial"/>
          <w:sz w:val="19"/>
          <w:szCs w:val="19"/>
          <w:color w:val="auto"/>
        </w:rPr>
        <w:t>” means any event that is, or with the passage of time or the giving of notice or both would be, an Event of Default.</w:t>
      </w:r>
    </w:p>
    <w:p>
      <w:pPr>
        <w:spacing w:after="0" w:line="25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Definitive Note</w:t>
      </w:r>
      <w:r>
        <w:rPr>
          <w:rFonts w:ascii="Arial" w:cs="Arial" w:eastAsia="Arial" w:hAnsi="Arial"/>
          <w:sz w:val="21"/>
          <w:szCs w:val="21"/>
          <w:color w:val="auto"/>
        </w:rPr>
        <w:t>” means a certificated Note registered in the name of the Holder thereof and issued in accordance with Section 2.06 hereof, substantially in the form of Exhibit A hereto except that such Note shall not bear the Global Note Legend and shall not have the “Schedule of Exchanges of Interests in the Global Note” attached thereto.</w:t>
      </w:r>
    </w:p>
    <w:p>
      <w:pPr>
        <w:spacing w:after="0" w:line="16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Depositary</w:t>
      </w:r>
      <w:r>
        <w:rPr>
          <w:rFonts w:ascii="Arial" w:cs="Arial" w:eastAsia="Arial" w:hAnsi="Arial"/>
          <w:sz w:val="22"/>
          <w:szCs w:val="22"/>
          <w:color w:val="auto"/>
        </w:rPr>
        <w:t>” means, with respect to the Notes issuable or issued in whole or in part in global form, the Person specified in Section 2.03 hereof as the Depositary with respect to the Notes, and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65" w:name="page66"/>
    <w:bookmarkEnd w:id="65"/>
    <w:p>
      <w:pPr>
        <w:jc w:val="both"/>
        <w:spacing w:after="0" w:line="263" w:lineRule="auto"/>
        <w:rPr>
          <w:sz w:val="20"/>
          <w:szCs w:val="20"/>
          <w:color w:val="auto"/>
        </w:rPr>
      </w:pPr>
      <w:r>
        <w:rPr>
          <w:rFonts w:ascii="Arial" w:cs="Arial" w:eastAsia="Arial" w:hAnsi="Arial"/>
          <w:sz w:val="22"/>
          <w:szCs w:val="22"/>
          <w:color w:val="auto"/>
        </w:rPr>
        <w:t>any and all successors thereto appointed as depositary hereunder and having become such pursuant to the applicable provision of this Indenture.</w:t>
      </w:r>
    </w:p>
    <w:p>
      <w:pPr>
        <w:spacing w:after="0" w:line="20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Designated Officer</w:t>
      </w:r>
      <w:r>
        <w:rPr>
          <w:rFonts w:ascii="Arial" w:cs="Arial" w:eastAsia="Arial" w:hAnsi="Arial"/>
          <w:sz w:val="22"/>
          <w:szCs w:val="22"/>
          <w:color w:val="auto"/>
        </w:rPr>
        <w:t>” means, with respect to any Person, the Chairman of the Board, the Chief Executive Officer, the President, the Chief Operating Officer, the Chief Financial Officer, the Treasurer, the Controller, the Secretary, the Assistant Secretary or any Vice President of such Person.</w:t>
      </w:r>
    </w:p>
    <w:p>
      <w:pPr>
        <w:spacing w:after="0" w:line="18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Disqualified Stock</w:t>
      </w:r>
      <w:r>
        <w:rPr>
          <w:rFonts w:ascii="Arial" w:cs="Arial" w:eastAsia="Arial" w:hAnsi="Arial"/>
          <w:sz w:val="19"/>
          <w:szCs w:val="19"/>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any Capital Stock that would constitute Disqualified Stock solely because the holders of the Capital Stock have the right to require the issuer thereof to repurchase such Capital Stock upon the occurrence of a change of control or an asset sale will not constitute Disqualified Stock.</w:t>
      </w:r>
    </w:p>
    <w:p>
      <w:pPr>
        <w:spacing w:after="0" w:line="15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Dollar Equivalent</w:t>
      </w:r>
      <w:r>
        <w:rPr>
          <w:rFonts w:ascii="Arial" w:cs="Arial" w:eastAsia="Arial" w:hAnsi="Arial"/>
          <w:sz w:val="22"/>
          <w:szCs w:val="22"/>
          <w:color w:val="auto"/>
        </w:rPr>
        <w:t>” means, with respect to any monetary amount in a currency other than U.S. dollars, at any time for the determination thereof, the amount of U.S. dollars obtained by converting such foreign currency involved in such computation into U.S. dollars at the base rate for the purchase of U.S. dollars with the applicable foreign currency as quoted by the Federal Reserve Bank of New York on the date of determination.</w:t>
      </w:r>
    </w:p>
    <w:p>
      <w:pPr>
        <w:spacing w:after="0" w:line="18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Equity Interests</w:t>
      </w:r>
      <w:r>
        <w:rPr>
          <w:rFonts w:ascii="Arial" w:cs="Arial" w:eastAsia="Arial" w:hAnsi="Arial"/>
          <w:sz w:val="22"/>
          <w:szCs w:val="22"/>
          <w:color w:val="auto"/>
        </w:rPr>
        <w:t>” means Capital Stock and all warrants, options or other rights to acquire Capital Stock (but excluding any debt security that is convertible into, or exchangeable for, Capital Stock).</w:t>
      </w:r>
    </w:p>
    <w:p>
      <w:pPr>
        <w:spacing w:after="0" w:line="175"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Equity Offering</w:t>
      </w:r>
      <w:r>
        <w:rPr>
          <w:rFonts w:ascii="Arial" w:cs="Arial" w:eastAsia="Arial" w:hAnsi="Arial"/>
          <w:sz w:val="21"/>
          <w:szCs w:val="21"/>
          <w:color w:val="auto"/>
        </w:rPr>
        <w:t>” means any public sale or private issuance of Capital Stock (other than Disqualified Stock) of (1) the Issuer or (2) a direct or indirect parent of the Issuer to the extent the net proceeds from such sale or issuance are contributed in cash to the common equity capital of the Issuer (in each case other than pursuant to a registration statement on Form S-8 or otherwise relating to equity securities issuable under any employee benefit plan of the Issuer).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Euroclear</w:t>
      </w:r>
      <w:r>
        <w:rPr>
          <w:rFonts w:ascii="Arial" w:cs="Arial" w:eastAsia="Arial" w:hAnsi="Arial"/>
          <w:sz w:val="22"/>
          <w:szCs w:val="22"/>
          <w:color w:val="auto"/>
        </w:rPr>
        <w:t>” means Euroclear Bank, SA/NV, as operator of the Euroclear system.</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Exchange Act</w:t>
      </w:r>
      <w:r>
        <w:rPr>
          <w:rFonts w:ascii="Arial" w:cs="Arial" w:eastAsia="Arial" w:hAnsi="Arial"/>
          <w:sz w:val="22"/>
          <w:szCs w:val="22"/>
          <w:color w:val="auto"/>
        </w:rPr>
        <w:t>” means the United States Securities Exchange Act of 1934, as amended.</w:t>
      </w:r>
    </w:p>
    <w:p>
      <w:pPr>
        <w:spacing w:after="0" w:line="220"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Fair Market Value</w:t>
      </w:r>
      <w:r>
        <w:rPr>
          <w:rFonts w:ascii="Arial" w:cs="Arial" w:eastAsia="Arial" w:hAnsi="Arial"/>
          <w:sz w:val="22"/>
          <w:szCs w:val="22"/>
          <w:color w:val="auto"/>
        </w:rPr>
        <w:t>” means the value that would be paid by a willing buyer to an unaffiliated willing seller in a transaction not involving distress or necessity of either party, determined in good faith by (1) an appropriate officer of the Issuer, in the case of any value equal to or less than US$25.0 million (or the Dollar Equivalent thereof) or (2) the Board of Directors of the Issuer, in the event of any value greater than US$25.0 million (or the Dollar Equivalent thereof), in each case, unless otherwise provided in this Indenture.</w:t>
      </w:r>
    </w:p>
    <w:p>
      <w:pPr>
        <w:spacing w:after="0" w:line="192"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Gaming Authority</w:t>
      </w:r>
      <w:r>
        <w:rPr>
          <w:rFonts w:ascii="Arial" w:cs="Arial" w:eastAsia="Arial" w:hAnsi="Arial"/>
          <w:sz w:val="21"/>
          <w:szCs w:val="21"/>
          <w:color w:val="auto"/>
        </w:rPr>
        <w:t>” means any agency, authority, board, bureau, commission, department, office or instrumentality of any nature whatsoever of any national or foreign government, any state, province or city or other political subdivision or otherwise, whether on the date of this Indenture or thereafter in existence, including the Government of the Macau Special Administrative Region and any other applicable gaming regulatory authority or agency, in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66" w:name="page67"/>
    <w:bookmarkEnd w:id="66"/>
    <w:p>
      <w:pPr>
        <w:jc w:val="both"/>
        <w:spacing w:after="0" w:line="287" w:lineRule="auto"/>
        <w:rPr>
          <w:sz w:val="20"/>
          <w:szCs w:val="20"/>
          <w:color w:val="auto"/>
        </w:rPr>
      </w:pPr>
      <w:r>
        <w:rPr>
          <w:rFonts w:ascii="Arial" w:cs="Arial" w:eastAsia="Arial" w:hAnsi="Arial"/>
          <w:sz w:val="21"/>
          <w:szCs w:val="21"/>
          <w:color w:val="auto"/>
        </w:rPr>
        <w:t>case, with authority to regulate the sale or distribution of liquor or any gaming operation (or proposed gaming operation) owned, managed or operated by the Issuer or any of its respective Affiliates, including the Concessionaire.</w:t>
      </w:r>
    </w:p>
    <w:p>
      <w:pPr>
        <w:spacing w:after="0" w:line="151" w:lineRule="exact"/>
        <w:rPr>
          <w:sz w:val="20"/>
          <w:szCs w:val="20"/>
          <w:color w:val="auto"/>
        </w:rPr>
      </w:pPr>
    </w:p>
    <w:p>
      <w:pPr>
        <w:jc w:val="both"/>
        <w:ind w:firstLine="324"/>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Gaming Law</w:t>
      </w:r>
      <w:r>
        <w:rPr>
          <w:rFonts w:ascii="Arial" w:cs="Arial" w:eastAsia="Arial" w:hAnsi="Arial"/>
          <w:sz w:val="19"/>
          <w:szCs w:val="19"/>
          <w:color w:val="auto"/>
        </w:rPr>
        <w:t>” means the gaming laws, rules, regulations or ordinances of any jurisdiction or jurisdictions to which Wynn Resorts, the Issuer or any of their respective Affiliates, including the Concessionaire, is, or may be, at any time subject.</w:t>
      </w:r>
    </w:p>
    <w:p>
      <w:pPr>
        <w:spacing w:after="0" w:line="10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Gaming License</w:t>
      </w:r>
      <w:r>
        <w:rPr>
          <w:rFonts w:ascii="Arial" w:cs="Arial" w:eastAsia="Arial" w:hAnsi="Arial"/>
          <w:sz w:val="22"/>
          <w:szCs w:val="22"/>
          <w:color w:val="auto"/>
        </w:rPr>
        <w:t>” means the license, concession, subconcession or other authorization from any Government Authority which authorizes, permits, concedes or allows Wynn Macau or any of its Subsidiaries, at the relevant time, to own or manage casino or gaming areas or operate casino games of fortune and chance.</w:t>
      </w:r>
    </w:p>
    <w:p>
      <w:pPr>
        <w:spacing w:after="0" w:line="1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22"/>
          <w:szCs w:val="22"/>
          <w:color w:val="auto"/>
        </w:rPr>
        <w:t xml:space="preserve">“Global </w:t>
      </w:r>
      <w:r>
        <w:rPr>
          <w:rFonts w:ascii="Arial" w:cs="Arial" w:eastAsia="Arial" w:hAnsi="Arial"/>
          <w:sz w:val="22"/>
          <w:szCs w:val="22"/>
          <w:i w:val="1"/>
          <w:iCs w:val="1"/>
          <w:color w:val="auto"/>
        </w:rPr>
        <w:t>Note Legend</w:t>
      </w:r>
      <w:r>
        <w:rPr>
          <w:rFonts w:ascii="Arial" w:cs="Arial" w:eastAsia="Arial" w:hAnsi="Arial"/>
          <w:sz w:val="22"/>
          <w:szCs w:val="22"/>
          <w:color w:val="auto"/>
        </w:rPr>
        <w:t>” means the legend set forth in Section 2.06(f)(2) hereof, which is required to be placed on all Global Notes issued under this Indenture.</w:t>
      </w:r>
    </w:p>
    <w:p>
      <w:pPr>
        <w:spacing w:after="0" w:line="17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Global Notes</w:t>
      </w:r>
      <w:r>
        <w:rPr>
          <w:rFonts w:ascii="Arial" w:cs="Arial" w:eastAsia="Arial" w:hAnsi="Arial"/>
          <w:sz w:val="22"/>
          <w:szCs w:val="22"/>
          <w:color w:val="auto"/>
        </w:rPr>
        <w:t>” means each of the global Notes issued in accordance with Section 2.01 hereof and substantially in the form of Exhibit A hereto that, except as otherwise provided in Section 2.01(b) hereof, bear the Global Note Legend and that have the “Schedule of Exchanges of Interests in the Global Note” attached thereto, and that are deposited with or on behalf of and registered in the name of the Depositary or its nominee.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Government</w:t>
      </w:r>
      <w:r>
        <w:rPr>
          <w:rFonts w:ascii="Arial" w:cs="Arial" w:eastAsia="Arial" w:hAnsi="Arial"/>
          <w:sz w:val="22"/>
          <w:szCs w:val="22"/>
          <w:color w:val="auto"/>
        </w:rPr>
        <w:t xml:space="preserve"> Securities” means securities that are:</w:t>
      </w:r>
    </w:p>
    <w:p>
      <w:pPr>
        <w:spacing w:after="0" w:line="220" w:lineRule="exact"/>
        <w:rPr>
          <w:sz w:val="20"/>
          <w:szCs w:val="20"/>
          <w:color w:val="auto"/>
        </w:rPr>
      </w:pPr>
    </w:p>
    <w:p>
      <w:pPr>
        <w:ind w:left="800" w:hanging="468"/>
        <w:spacing w:after="0"/>
        <w:tabs>
          <w:tab w:leader="none" w:pos="8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direct obligations of the United States of America for the timely payment of which its full faith and credit is pledged; or</w:t>
      </w:r>
    </w:p>
    <w:p>
      <w:pPr>
        <w:spacing w:after="0" w:line="254" w:lineRule="exact"/>
        <w:rPr>
          <w:rFonts w:ascii="Arial" w:cs="Arial" w:eastAsia="Arial" w:hAnsi="Arial"/>
          <w:sz w:val="19"/>
          <w:szCs w:val="19"/>
          <w:color w:val="auto"/>
        </w:rPr>
      </w:pPr>
    </w:p>
    <w:p>
      <w:pPr>
        <w:jc w:val="both"/>
        <w:ind w:firstLine="332"/>
        <w:spacing w:after="0" w:line="253" w:lineRule="auto"/>
        <w:tabs>
          <w:tab w:leader="none" w:pos="851" w:val="left"/>
        </w:tabs>
        <w:numPr>
          <w:ilvl w:val="0"/>
          <w:numId w:val="26"/>
        </w:numPr>
        <w:rPr>
          <w:rFonts w:ascii="Arial" w:cs="Arial" w:eastAsia="Arial" w:hAnsi="Arial"/>
          <w:sz w:val="22"/>
          <w:szCs w:val="22"/>
          <w:color w:val="auto"/>
        </w:rPr>
      </w:pPr>
      <w:r>
        <w:rPr>
          <w:rFonts w:ascii="Arial" w:cs="Arial" w:eastAsia="Arial" w:hAnsi="Arial"/>
          <w:sz w:val="22"/>
          <w:szCs w:val="22"/>
          <w:color w:val="auto"/>
        </w:rPr>
        <w:t>obligations of a Person controlled or supervised by and acting as an agency or instrumentality of the United States of America the timely payment of which is unconditionally guaranteed as a full faith and credit obligation by the United States of America;</w:t>
      </w:r>
    </w:p>
    <w:p>
      <w:pPr>
        <w:spacing w:after="0" w:line="18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2"/>
          <w:szCs w:val="22"/>
          <w:color w:val="auto"/>
        </w:rPr>
        <w:t>which, in either case, are not callable or redeemable at the option of the issuer thereof, and will include a depository receipt issued by a bank (as defined in Section 3(a)(2) of the Securities Act), as custodian with respect to any such Government Security or a specific payment of principal of or interest on any such Government Security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Government Security or the specific payment of principal of or interest on the Government Security evidenced by such depository receipt.</w:t>
      </w:r>
    </w:p>
    <w:p>
      <w:pPr>
        <w:spacing w:after="0" w:line="196"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Guarantee</w:t>
      </w:r>
      <w:r>
        <w:rPr>
          <w:rFonts w:ascii="Arial" w:cs="Arial" w:eastAsia="Arial" w:hAnsi="Arial"/>
          <w:sz w:val="22"/>
          <w:szCs w:val="22"/>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67" w:name="page68"/>
    <w:bookmarkEnd w:id="67"/>
    <w:p>
      <w:pPr>
        <w:ind w:left="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Hedging Obligations</w:t>
      </w:r>
      <w:r>
        <w:rPr>
          <w:rFonts w:ascii="Arial" w:cs="Arial" w:eastAsia="Arial" w:hAnsi="Arial"/>
          <w:sz w:val="22"/>
          <w:szCs w:val="22"/>
          <w:color w:val="auto"/>
        </w:rPr>
        <w:t>” means, with respect to any specified Person, the obligations of such Person under:</w:t>
      </w:r>
    </w:p>
    <w:p>
      <w:pPr>
        <w:spacing w:after="0" w:line="220" w:lineRule="exact"/>
        <w:rPr>
          <w:sz w:val="20"/>
          <w:szCs w:val="20"/>
          <w:color w:val="auto"/>
        </w:rPr>
      </w:pPr>
    </w:p>
    <w:p>
      <w:pPr>
        <w:ind w:firstLine="332"/>
        <w:spacing w:after="0" w:line="263" w:lineRule="auto"/>
        <w:tabs>
          <w:tab w:leader="none" w:pos="799" w:val="left"/>
        </w:tabs>
        <w:numPr>
          <w:ilvl w:val="0"/>
          <w:numId w:val="27"/>
        </w:numPr>
        <w:rPr>
          <w:rFonts w:ascii="Arial" w:cs="Arial" w:eastAsia="Arial" w:hAnsi="Arial"/>
          <w:sz w:val="22"/>
          <w:szCs w:val="22"/>
          <w:color w:val="auto"/>
        </w:rPr>
      </w:pPr>
      <w:r>
        <w:rPr>
          <w:rFonts w:ascii="Arial" w:cs="Arial" w:eastAsia="Arial" w:hAnsi="Arial"/>
          <w:sz w:val="22"/>
          <w:szCs w:val="22"/>
          <w:color w:val="auto"/>
        </w:rPr>
        <w:t>interest rate swap agreements (whether from fixed to floating or from floating to fixed), interest rate cap agreements and interest rate collar agreements;</w:t>
      </w:r>
    </w:p>
    <w:p>
      <w:pPr>
        <w:spacing w:after="0" w:line="174" w:lineRule="exact"/>
        <w:rPr>
          <w:rFonts w:ascii="Arial" w:cs="Arial" w:eastAsia="Arial" w:hAnsi="Arial"/>
          <w:sz w:val="22"/>
          <w:szCs w:val="22"/>
          <w:color w:val="auto"/>
        </w:rPr>
      </w:pPr>
    </w:p>
    <w:p>
      <w:pPr>
        <w:ind w:left="800" w:hanging="468"/>
        <w:spacing w:after="0"/>
        <w:tabs>
          <w:tab w:leader="none" w:pos="8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other agreements or arrangements designed to manage interest rates or interest rate risk; and</w:t>
      </w:r>
    </w:p>
    <w:p>
      <w:pPr>
        <w:spacing w:after="0" w:line="219" w:lineRule="exact"/>
        <w:rPr>
          <w:rFonts w:ascii="Arial" w:cs="Arial" w:eastAsia="Arial" w:hAnsi="Arial"/>
          <w:sz w:val="22"/>
          <w:szCs w:val="22"/>
          <w:color w:val="auto"/>
        </w:rPr>
      </w:pPr>
    </w:p>
    <w:p>
      <w:pPr>
        <w:ind w:firstLine="332"/>
        <w:spacing w:after="0" w:line="263" w:lineRule="auto"/>
        <w:tabs>
          <w:tab w:leader="none" w:pos="792" w:val="left"/>
        </w:tabs>
        <w:numPr>
          <w:ilvl w:val="0"/>
          <w:numId w:val="27"/>
        </w:numPr>
        <w:rPr>
          <w:rFonts w:ascii="Arial" w:cs="Arial" w:eastAsia="Arial" w:hAnsi="Arial"/>
          <w:sz w:val="22"/>
          <w:szCs w:val="22"/>
          <w:color w:val="auto"/>
        </w:rPr>
      </w:pPr>
      <w:r>
        <w:rPr>
          <w:rFonts w:ascii="Arial" w:cs="Arial" w:eastAsia="Arial" w:hAnsi="Arial"/>
          <w:sz w:val="22"/>
          <w:szCs w:val="22"/>
          <w:color w:val="auto"/>
        </w:rPr>
        <w:t>other agreements or arrangements designed to protect such Person against fluctuations in currency exchange rates and/or commodity prices.</w:t>
      </w:r>
    </w:p>
    <w:p>
      <w:pPr>
        <w:spacing w:after="0" w:line="175" w:lineRule="exact"/>
        <w:rPr>
          <w:sz w:val="20"/>
          <w:szCs w:val="20"/>
          <w:color w:val="auto"/>
        </w:rPr>
      </w:pPr>
    </w:p>
    <w:p>
      <w:pPr>
        <w:ind w:right="20" w:firstLine="324"/>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Holder</w:t>
      </w:r>
      <w:r>
        <w:rPr>
          <w:rFonts w:ascii="Arial" w:cs="Arial" w:eastAsia="Arial" w:hAnsi="Arial"/>
          <w:sz w:val="22"/>
          <w:szCs w:val="22"/>
          <w:color w:val="auto"/>
        </w:rPr>
        <w:t>” means any registered holder, from time to time, of the Notes. Only registered holders shall have any rights under this Indenture.</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IFRS</w:t>
      </w:r>
      <w:r>
        <w:rPr>
          <w:rFonts w:ascii="Arial" w:cs="Arial" w:eastAsia="Arial" w:hAnsi="Arial"/>
          <w:sz w:val="22"/>
          <w:szCs w:val="22"/>
          <w:color w:val="auto"/>
        </w:rPr>
        <w:t>” means International Financial Reporting Standards as in effect from time to time.</w:t>
      </w:r>
    </w:p>
    <w:p>
      <w:pPr>
        <w:spacing w:after="0" w:line="200" w:lineRule="exact"/>
        <w:rPr>
          <w:sz w:val="20"/>
          <w:szCs w:val="20"/>
          <w:color w:val="auto"/>
        </w:rPr>
      </w:pPr>
    </w:p>
    <w:p>
      <w:pPr>
        <w:spacing w:after="0" w:line="263" w:lineRule="exact"/>
        <w:rPr>
          <w:sz w:val="20"/>
          <w:szCs w:val="20"/>
          <w:color w:val="auto"/>
        </w:rPr>
      </w:pPr>
    </w:p>
    <w:p>
      <w:pPr>
        <w:ind w:right="20" w:firstLine="324"/>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Indebtedness</w:t>
      </w:r>
      <w:r>
        <w:rPr>
          <w:rFonts w:ascii="Arial" w:cs="Arial" w:eastAsia="Arial" w:hAnsi="Arial"/>
          <w:sz w:val="22"/>
          <w:szCs w:val="22"/>
          <w:color w:val="auto"/>
        </w:rPr>
        <w:t>” means, with respect to any specified Person, any indebtedness of such Person (excluding accrued expenses and trade payables), whether or not contingent:</w:t>
      </w:r>
    </w:p>
    <w:p>
      <w:pPr>
        <w:spacing w:after="0" w:line="202" w:lineRule="exact"/>
        <w:rPr>
          <w:sz w:val="20"/>
          <w:szCs w:val="20"/>
          <w:color w:val="auto"/>
        </w:rPr>
      </w:pPr>
    </w:p>
    <w:p>
      <w:pPr>
        <w:ind w:left="800" w:hanging="468"/>
        <w:spacing w:after="0"/>
        <w:tabs>
          <w:tab w:leader="none" w:pos="800" w:val="left"/>
        </w:tabs>
        <w:numPr>
          <w:ilvl w:val="0"/>
          <w:numId w:val="28"/>
        </w:numPr>
        <w:rPr>
          <w:rFonts w:ascii="Arial" w:cs="Arial" w:eastAsia="Arial" w:hAnsi="Arial"/>
          <w:sz w:val="22"/>
          <w:szCs w:val="22"/>
          <w:color w:val="auto"/>
        </w:rPr>
      </w:pPr>
      <w:r>
        <w:rPr>
          <w:rFonts w:ascii="Arial" w:cs="Arial" w:eastAsia="Arial" w:hAnsi="Arial"/>
          <w:sz w:val="22"/>
          <w:szCs w:val="22"/>
          <w:color w:val="auto"/>
        </w:rPr>
        <w:t>in respect of borrowed money;</w:t>
      </w:r>
    </w:p>
    <w:p>
      <w:pPr>
        <w:spacing w:after="0" w:line="260" w:lineRule="exact"/>
        <w:rPr>
          <w:rFonts w:ascii="Arial" w:cs="Arial" w:eastAsia="Arial" w:hAnsi="Arial"/>
          <w:sz w:val="22"/>
          <w:szCs w:val="22"/>
          <w:color w:val="auto"/>
        </w:rPr>
      </w:pPr>
    </w:p>
    <w:p>
      <w:pPr>
        <w:ind w:firstLine="332"/>
        <w:spacing w:after="0" w:line="263" w:lineRule="auto"/>
        <w:tabs>
          <w:tab w:leader="none" w:pos="928" w:val="left"/>
        </w:tabs>
        <w:numPr>
          <w:ilvl w:val="0"/>
          <w:numId w:val="28"/>
        </w:numPr>
        <w:rPr>
          <w:rFonts w:ascii="Arial" w:cs="Arial" w:eastAsia="Arial" w:hAnsi="Arial"/>
          <w:sz w:val="22"/>
          <w:szCs w:val="22"/>
          <w:color w:val="auto"/>
        </w:rPr>
      </w:pPr>
      <w:r>
        <w:rPr>
          <w:rFonts w:ascii="Arial" w:cs="Arial" w:eastAsia="Arial" w:hAnsi="Arial"/>
          <w:sz w:val="22"/>
          <w:szCs w:val="22"/>
          <w:color w:val="auto"/>
        </w:rPr>
        <w:t>evidenced by bonds, notes, debentures or similar instruments or letters of credit (or reimbursement agreements in respect thereof);</w:t>
      </w:r>
    </w:p>
    <w:p>
      <w:pPr>
        <w:spacing w:after="0" w:line="201" w:lineRule="exact"/>
        <w:rPr>
          <w:rFonts w:ascii="Arial" w:cs="Arial" w:eastAsia="Arial" w:hAnsi="Arial"/>
          <w:sz w:val="22"/>
          <w:szCs w:val="22"/>
          <w:color w:val="auto"/>
        </w:rPr>
      </w:pPr>
    </w:p>
    <w:p>
      <w:pPr>
        <w:ind w:left="800" w:hanging="468"/>
        <w:spacing w:after="0"/>
        <w:tabs>
          <w:tab w:leader="none" w:pos="800" w:val="left"/>
        </w:tabs>
        <w:numPr>
          <w:ilvl w:val="0"/>
          <w:numId w:val="28"/>
        </w:numPr>
        <w:rPr>
          <w:rFonts w:ascii="Arial" w:cs="Arial" w:eastAsia="Arial" w:hAnsi="Arial"/>
          <w:sz w:val="22"/>
          <w:szCs w:val="22"/>
          <w:color w:val="auto"/>
        </w:rPr>
      </w:pPr>
      <w:r>
        <w:rPr>
          <w:rFonts w:ascii="Arial" w:cs="Arial" w:eastAsia="Arial" w:hAnsi="Arial"/>
          <w:sz w:val="22"/>
          <w:szCs w:val="22"/>
          <w:color w:val="auto"/>
        </w:rPr>
        <w:t>in respect of banker’s acceptances;</w:t>
      </w:r>
    </w:p>
    <w:p>
      <w:pPr>
        <w:spacing w:after="0" w:line="246" w:lineRule="exact"/>
        <w:rPr>
          <w:rFonts w:ascii="Arial" w:cs="Arial" w:eastAsia="Arial" w:hAnsi="Arial"/>
          <w:sz w:val="22"/>
          <w:szCs w:val="22"/>
          <w:color w:val="auto"/>
        </w:rPr>
      </w:pPr>
    </w:p>
    <w:p>
      <w:pPr>
        <w:ind w:left="800" w:hanging="468"/>
        <w:spacing w:after="0"/>
        <w:tabs>
          <w:tab w:leader="none" w:pos="800" w:val="left"/>
        </w:tabs>
        <w:numPr>
          <w:ilvl w:val="0"/>
          <w:numId w:val="28"/>
        </w:numPr>
        <w:rPr>
          <w:rFonts w:ascii="Arial" w:cs="Arial" w:eastAsia="Arial" w:hAnsi="Arial"/>
          <w:sz w:val="22"/>
          <w:szCs w:val="22"/>
          <w:color w:val="auto"/>
        </w:rPr>
      </w:pPr>
      <w:r>
        <w:rPr>
          <w:rFonts w:ascii="Arial" w:cs="Arial" w:eastAsia="Arial" w:hAnsi="Arial"/>
          <w:sz w:val="22"/>
          <w:szCs w:val="22"/>
          <w:color w:val="auto"/>
        </w:rPr>
        <w:t>representing Capital Lease Obligations;</w:t>
      </w:r>
    </w:p>
    <w:p>
      <w:pPr>
        <w:spacing w:after="0" w:line="246" w:lineRule="exact"/>
        <w:rPr>
          <w:rFonts w:ascii="Arial" w:cs="Arial" w:eastAsia="Arial" w:hAnsi="Arial"/>
          <w:sz w:val="22"/>
          <w:szCs w:val="22"/>
          <w:color w:val="auto"/>
        </w:rPr>
      </w:pPr>
    </w:p>
    <w:p>
      <w:pPr>
        <w:ind w:firstLine="332"/>
        <w:spacing w:after="0" w:line="263" w:lineRule="auto"/>
        <w:tabs>
          <w:tab w:leader="none" w:pos="799" w:val="left"/>
        </w:tabs>
        <w:numPr>
          <w:ilvl w:val="0"/>
          <w:numId w:val="28"/>
        </w:numPr>
        <w:rPr>
          <w:rFonts w:ascii="Arial" w:cs="Arial" w:eastAsia="Arial" w:hAnsi="Arial"/>
          <w:sz w:val="22"/>
          <w:szCs w:val="22"/>
          <w:color w:val="auto"/>
        </w:rPr>
      </w:pPr>
      <w:r>
        <w:rPr>
          <w:rFonts w:ascii="Arial" w:cs="Arial" w:eastAsia="Arial" w:hAnsi="Arial"/>
          <w:sz w:val="22"/>
          <w:szCs w:val="22"/>
          <w:color w:val="auto"/>
        </w:rPr>
        <w:t>representing the balance deferred and unpaid of the purchase price of any property or services due more than six months after such property is acquired or such services are completed; or</w:t>
      </w:r>
    </w:p>
    <w:p>
      <w:pPr>
        <w:spacing w:after="0" w:line="201" w:lineRule="exact"/>
        <w:rPr>
          <w:rFonts w:ascii="Arial" w:cs="Arial" w:eastAsia="Arial" w:hAnsi="Arial"/>
          <w:sz w:val="22"/>
          <w:szCs w:val="22"/>
          <w:color w:val="auto"/>
        </w:rPr>
      </w:pPr>
    </w:p>
    <w:p>
      <w:pPr>
        <w:ind w:left="800" w:hanging="468"/>
        <w:spacing w:after="0"/>
        <w:tabs>
          <w:tab w:leader="none" w:pos="800" w:val="left"/>
        </w:tabs>
        <w:numPr>
          <w:ilvl w:val="0"/>
          <w:numId w:val="28"/>
        </w:numPr>
        <w:rPr>
          <w:rFonts w:ascii="Arial" w:cs="Arial" w:eastAsia="Arial" w:hAnsi="Arial"/>
          <w:sz w:val="22"/>
          <w:szCs w:val="22"/>
          <w:color w:val="auto"/>
        </w:rPr>
      </w:pPr>
      <w:r>
        <w:rPr>
          <w:rFonts w:ascii="Arial" w:cs="Arial" w:eastAsia="Arial" w:hAnsi="Arial"/>
          <w:sz w:val="22"/>
          <w:szCs w:val="22"/>
          <w:color w:val="auto"/>
        </w:rPr>
        <w:t>representing any Hedging Obligations,</w:t>
      </w:r>
    </w:p>
    <w:p>
      <w:pPr>
        <w:spacing w:after="0" w:line="260"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2"/>
          <w:szCs w:val="22"/>
          <w:color w:val="auto"/>
        </w:rPr>
        <w:t>if and to the extent any of the preceding items (other than letters of credit and Hedging Obligations) would appear as a liability upon a balance sheet of the specified Person prepared in accordance with IFRS.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amount of any Indebtedness outstanding as of any date shall be:</w:t>
      </w:r>
    </w:p>
    <w:p>
      <w:pPr>
        <w:spacing w:after="0" w:line="247" w:lineRule="exact"/>
        <w:rPr>
          <w:sz w:val="20"/>
          <w:szCs w:val="20"/>
          <w:color w:val="auto"/>
        </w:rPr>
      </w:pPr>
    </w:p>
    <w:p>
      <w:pPr>
        <w:ind w:left="800" w:hanging="468"/>
        <w:spacing w:after="0"/>
        <w:tabs>
          <w:tab w:leader="none" w:pos="800" w:val="left"/>
        </w:tabs>
        <w:numPr>
          <w:ilvl w:val="0"/>
          <w:numId w:val="29"/>
        </w:numPr>
        <w:rPr>
          <w:rFonts w:ascii="Arial" w:cs="Arial" w:eastAsia="Arial" w:hAnsi="Arial"/>
          <w:sz w:val="21"/>
          <w:szCs w:val="21"/>
          <w:color w:val="auto"/>
        </w:rPr>
      </w:pPr>
      <w:r>
        <w:rPr>
          <w:rFonts w:ascii="Arial" w:cs="Arial" w:eastAsia="Arial" w:hAnsi="Arial"/>
          <w:sz w:val="21"/>
          <w:szCs w:val="21"/>
          <w:color w:val="auto"/>
        </w:rPr>
        <w:t>the accreted value of the Indebtedness, in the case of any Indebtedness issued with original issue discount;</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19" w:lineRule="exact"/>
        <w:rPr>
          <w:rFonts w:ascii="Arial" w:cs="Arial" w:eastAsia="Arial" w:hAnsi="Arial"/>
          <w:sz w:val="21"/>
          <w:szCs w:val="21"/>
          <w:color w:val="auto"/>
        </w:rPr>
      </w:pPr>
    </w:p>
    <w:p>
      <w:pPr>
        <w:ind w:left="5500"/>
        <w:spacing w:after="0"/>
        <w:rPr>
          <w:rFonts w:ascii="Arial" w:cs="Arial" w:eastAsia="Arial" w:hAnsi="Arial"/>
          <w:sz w:val="21"/>
          <w:szCs w:val="21"/>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68" w:name="page69"/>
    <w:bookmarkEnd w:id="68"/>
    <w:p>
      <w:pPr>
        <w:ind w:firstLine="332"/>
        <w:spacing w:after="0" w:line="263" w:lineRule="auto"/>
        <w:tabs>
          <w:tab w:leader="none" w:pos="829"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principal amount of the Indebtedness, together with any interest on the Indebtedness that is more than 30 days past due, in the case of any other Indebtedness;</w:t>
      </w:r>
    </w:p>
    <w:p>
      <w:pPr>
        <w:spacing w:after="0" w:line="201" w:lineRule="exact"/>
        <w:rPr>
          <w:rFonts w:ascii="Arial" w:cs="Arial" w:eastAsia="Arial" w:hAnsi="Arial"/>
          <w:sz w:val="22"/>
          <w:szCs w:val="22"/>
          <w:color w:val="auto"/>
        </w:rPr>
      </w:pPr>
    </w:p>
    <w:p>
      <w:pPr>
        <w:ind w:left="800" w:hanging="468"/>
        <w:spacing w:after="0"/>
        <w:tabs>
          <w:tab w:leader="none" w:pos="8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in the case of a Guarantee of Indebtedness, the maximum amount of the Indebtedness guaranteed under such Guarantee;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228" w:lineRule="exact"/>
        <w:rPr>
          <w:rFonts w:ascii="Arial" w:cs="Arial" w:eastAsia="Arial" w:hAnsi="Arial"/>
          <w:sz w:val="19"/>
          <w:szCs w:val="19"/>
          <w:color w:val="auto"/>
        </w:rPr>
      </w:pPr>
    </w:p>
    <w:p>
      <w:pPr>
        <w:ind w:left="800" w:hanging="468"/>
        <w:spacing w:after="0"/>
        <w:tabs>
          <w:tab w:leader="none" w:pos="800" w:val="left"/>
        </w:tabs>
        <w:numPr>
          <w:ilvl w:val="0"/>
          <w:numId w:val="30"/>
        </w:numPr>
        <w:rPr>
          <w:rFonts w:ascii="Arial" w:cs="Arial" w:eastAsia="Arial" w:hAnsi="Arial"/>
          <w:sz w:val="22"/>
          <w:szCs w:val="22"/>
          <w:color w:val="auto"/>
        </w:rPr>
      </w:pPr>
      <w:r>
        <w:rPr>
          <w:rFonts w:ascii="Arial" w:cs="Arial" w:eastAsia="Arial" w:hAnsi="Arial"/>
          <w:sz w:val="22"/>
          <w:szCs w:val="22"/>
          <w:color w:val="auto"/>
        </w:rPr>
        <w:t>in the case of Indebtedness of others secured by a Lien on any asset of the specified Person, the lesser of:</w:t>
      </w:r>
    </w:p>
    <w:p>
      <w:pPr>
        <w:spacing w:after="0" w:line="247" w:lineRule="exact"/>
        <w:rPr>
          <w:sz w:val="20"/>
          <w:szCs w:val="20"/>
          <w:color w:val="auto"/>
        </w:rPr>
      </w:pPr>
    </w:p>
    <w:p>
      <w:pPr>
        <w:ind w:firstLine="332"/>
        <w:spacing w:after="0" w:line="263" w:lineRule="auto"/>
        <w:tabs>
          <w:tab w:leader="none" w:pos="825"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face amount of such Indebtedness (plus, in the case of any letter of credit or similar instrument, the amount of any reimbursement obligations in respect thereof), and</w:t>
      </w:r>
    </w:p>
    <w:p>
      <w:pPr>
        <w:spacing w:after="0" w:line="215" w:lineRule="exact"/>
        <w:rPr>
          <w:rFonts w:ascii="Arial" w:cs="Arial" w:eastAsia="Arial" w:hAnsi="Arial"/>
          <w:sz w:val="22"/>
          <w:szCs w:val="22"/>
          <w:color w:val="auto"/>
        </w:rPr>
      </w:pPr>
    </w:p>
    <w:p>
      <w:pPr>
        <w:ind w:left="800" w:hanging="468"/>
        <w:spacing w:after="0"/>
        <w:tabs>
          <w:tab w:leader="none" w:pos="80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Fair Market Value of the asset(s) subject to such Lien.</w:t>
      </w:r>
    </w:p>
    <w:p>
      <w:pPr>
        <w:spacing w:after="0" w:line="24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Notwithstanding anything contained in this Indenture to the contrary, any obligation of the Issuer incurred in the ordinary course of business in respect of casino chips or similar instruments shall not constitute “Indebtedness” for any purpose under this Indenture.</w:t>
      </w:r>
    </w:p>
    <w:p>
      <w:pPr>
        <w:spacing w:after="0" w:line="21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w:t>
      </w:r>
      <w:r>
        <w:rPr>
          <w:rFonts w:ascii="Arial" w:cs="Arial" w:eastAsia="Arial" w:hAnsi="Arial"/>
          <w:sz w:val="22"/>
          <w:szCs w:val="22"/>
          <w:color w:val="auto"/>
        </w:rPr>
        <w:t>” means this Indenture, as amended or supplemented from time to time.</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Independent Investment Banker</w:t>
      </w:r>
      <w:r>
        <w:rPr>
          <w:rFonts w:ascii="Arial" w:cs="Arial" w:eastAsia="Arial" w:hAnsi="Arial"/>
          <w:sz w:val="22"/>
          <w:szCs w:val="22"/>
          <w:color w:val="auto"/>
        </w:rPr>
        <w:t>” means one of the Reference Treasury Dealers appointed by the Issuer.</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Indirect Participant</w:t>
      </w:r>
      <w:r>
        <w:rPr>
          <w:rFonts w:ascii="Arial" w:cs="Arial" w:eastAsia="Arial" w:hAnsi="Arial"/>
          <w:sz w:val="22"/>
          <w:szCs w:val="22"/>
          <w:color w:val="auto"/>
        </w:rPr>
        <w:t>” means a Person who holds a beneficial interest in a Global Note through a Participant.</w:t>
      </w:r>
    </w:p>
    <w:p>
      <w:pPr>
        <w:spacing w:after="0" w:line="22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Initial Notes</w:t>
      </w:r>
      <w:r>
        <w:rPr>
          <w:rFonts w:ascii="Arial" w:cs="Arial" w:eastAsia="Arial" w:hAnsi="Arial"/>
          <w:sz w:val="22"/>
          <w:szCs w:val="22"/>
          <w:color w:val="auto"/>
        </w:rPr>
        <w:t>” means the first US$600,000,000 aggregate principal amount of Notes issued under this Indenture on the date of this Indenture.</w:t>
      </w:r>
    </w:p>
    <w:p>
      <w:pPr>
        <w:spacing w:after="0" w:line="17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Initial Purchasers</w:t>
      </w:r>
      <w:r>
        <w:rPr>
          <w:rFonts w:ascii="Arial" w:cs="Arial" w:eastAsia="Arial" w:hAnsi="Arial"/>
          <w:sz w:val="19"/>
          <w:szCs w:val="19"/>
          <w:color w:val="auto"/>
        </w:rPr>
        <w:t>” means Deutsche Bank AG, Singapore Branch, Banco Nacional Ultramarino, S.A., Bank of China Limited, Macau Branch, Bank of Communications Co., Ltd. Macau Branch, BNP Paribas, BOCI Asia Limited, BofA Securities, Inc., DBS Bank Ltd. (incorporated in the Republic of Singapore with limited liability), Industrial and Commercial Bank of China (Macau) Limited, J.P. Morgan Securities plc, Scotia Capital (USA) Inc., SMBC Nikko Securities America, Inc. and United Overseas Bank Limited, Hong Kong Branch (incorporated in Singapore with limited liability).</w:t>
      </w:r>
    </w:p>
    <w:p>
      <w:pPr>
        <w:spacing w:after="0" w:line="14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Investment Grade</w:t>
      </w:r>
      <w:r>
        <w:rPr>
          <w:rFonts w:ascii="Arial" w:cs="Arial" w:eastAsia="Arial" w:hAnsi="Arial"/>
          <w:sz w:val="19"/>
          <w:szCs w:val="19"/>
          <w:color w:val="auto"/>
        </w:rPr>
        <w:t>” means a rating of Baa3 or better by Moody’s (or its equivalent under any successor rating categories of Moody’s), a rating of BBB-or better by S&amp;P (or its equivalent under any successor rating categories of S&amp;P) or the equivalent Investment Grade credit rating from any additional Rating Agency or Rating Agencies selected by the Issuer, as applicable.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Issue Date</w:t>
      </w:r>
      <w:r>
        <w:rPr>
          <w:rFonts w:ascii="Arial" w:cs="Arial" w:eastAsia="Arial" w:hAnsi="Arial"/>
          <w:sz w:val="22"/>
          <w:szCs w:val="22"/>
          <w:color w:val="auto"/>
        </w:rPr>
        <w:t>” means the date on which the Notes (other than Additional Notes) are originally issued.</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Issuer</w:t>
      </w:r>
      <w:r>
        <w:rPr>
          <w:rFonts w:ascii="Arial" w:cs="Arial" w:eastAsia="Arial" w:hAnsi="Arial"/>
          <w:sz w:val="22"/>
          <w:szCs w:val="22"/>
          <w:color w:val="auto"/>
        </w:rPr>
        <w:t>” means Wynn Macau, Limited, and any and all successors thereto.</w:t>
      </w:r>
    </w:p>
    <w:p>
      <w:pPr>
        <w:spacing w:after="0" w:line="22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Legal Holiday</w:t>
      </w:r>
      <w:r>
        <w:rPr>
          <w:rFonts w:ascii="Arial" w:cs="Arial" w:eastAsia="Arial" w:hAnsi="Arial"/>
          <w:sz w:val="22"/>
          <w:szCs w:val="22"/>
          <w:color w:val="auto"/>
        </w:rPr>
        <w:t>” means a Saturday, a Sunday or a day on which banking institutions in New York, New York, Hong Kong, Macau or at a place of payment are authorized by law,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69" w:name="page70"/>
    <w:bookmarkEnd w:id="69"/>
    <w:p>
      <w:pPr>
        <w:jc w:val="both"/>
        <w:spacing w:after="0" w:line="253" w:lineRule="auto"/>
        <w:rPr>
          <w:sz w:val="20"/>
          <w:szCs w:val="20"/>
          <w:color w:val="auto"/>
        </w:rPr>
      </w:pPr>
      <w:r>
        <w:rPr>
          <w:rFonts w:ascii="Arial" w:cs="Arial" w:eastAsia="Arial" w:hAnsi="Arial"/>
          <w:sz w:val="22"/>
          <w:szCs w:val="22"/>
          <w:color w:val="auto"/>
        </w:rPr>
        <w:t>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8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Lien</w:t>
      </w:r>
      <w:r>
        <w:rPr>
          <w:rFonts w:ascii="Arial" w:cs="Arial" w:eastAsia="Arial" w:hAnsi="Arial"/>
          <w:sz w:val="22"/>
          <w:szCs w:val="22"/>
          <w:color w:val="auto"/>
        </w:rPr>
        <w:t>” means, with respect to any asset, (1) any mortgage, lien, pledge, charge, security interest or encumbrance of any kind in respect of such asset, whether or not filed, recorded or otherwise perfected under applicable law, including any conditional sale or other title retention agreement, (2) any lease in the nature thereof or (3) any agreement to deliver a security interest in any asset.</w:t>
      </w:r>
    </w:p>
    <w:p>
      <w:pPr>
        <w:spacing w:after="0" w:line="188" w:lineRule="exact"/>
        <w:rPr>
          <w:sz w:val="20"/>
          <w:szCs w:val="20"/>
          <w:color w:val="auto"/>
        </w:rPr>
      </w:pPr>
    </w:p>
    <w:p>
      <w:pPr>
        <w:jc w:val="both"/>
        <w:ind w:firstLine="324"/>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Moody’s</w:t>
      </w:r>
      <w:r>
        <w:rPr>
          <w:rFonts w:ascii="Arial" w:cs="Arial" w:eastAsia="Arial" w:hAnsi="Arial"/>
          <w:sz w:val="19"/>
          <w:szCs w:val="19"/>
          <w:color w:val="auto"/>
        </w:rPr>
        <w:t>” means Moody’s Investors Service, Inc., or any successor to its statistical rating business, except that any reference to a particular rating by Moody’s shall be deemed to be a reference to the corresponding rating by any such successor.</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Non-U.S. Person</w:t>
      </w:r>
      <w:r>
        <w:rPr>
          <w:rFonts w:ascii="Arial" w:cs="Arial" w:eastAsia="Arial" w:hAnsi="Arial"/>
          <w:sz w:val="22"/>
          <w:szCs w:val="22"/>
          <w:color w:val="auto"/>
        </w:rPr>
        <w:t>” means a Person who is not a U.S. Person.</w:t>
      </w:r>
    </w:p>
    <w:p>
      <w:pPr>
        <w:spacing w:after="0" w:line="22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Notes</w:t>
      </w:r>
      <w:r>
        <w:rPr>
          <w:rFonts w:ascii="Arial" w:cs="Arial" w:eastAsia="Arial" w:hAnsi="Arial"/>
          <w:sz w:val="22"/>
          <w:szCs w:val="22"/>
          <w:color w:val="auto"/>
        </w:rPr>
        <w:t>” has the meaning assigned to it in the preamble to this Indenture. The Initial Notes and the Additional Notes shall be treated as a single class for all purposes under this Indenture, and unless the context otherwise requires, all references to the Notes shall include the Initial Notes and any Additional Notes.</w:t>
      </w:r>
    </w:p>
    <w:p>
      <w:pPr>
        <w:spacing w:after="0" w:line="18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Obligations</w:t>
      </w:r>
      <w:r>
        <w:rPr>
          <w:rFonts w:ascii="Arial" w:cs="Arial" w:eastAsia="Arial" w:hAnsi="Arial"/>
          <w:sz w:val="21"/>
          <w:szCs w:val="21"/>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17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9"/>
          <w:szCs w:val="19"/>
          <w:i w:val="1"/>
          <w:iCs w:val="1"/>
          <w:color w:val="auto"/>
        </w:rPr>
        <w:t xml:space="preserve">“Officer” </w:t>
      </w:r>
      <w:r>
        <w:rPr>
          <w:rFonts w:ascii="Arial" w:cs="Arial" w:eastAsia="Arial" w:hAnsi="Arial"/>
          <w:sz w:val="19"/>
          <w:szCs w:val="19"/>
          <w:color w:val="auto"/>
        </w:rPr>
        <w:t>means the Chairman of the Board, Chief Executive Officer, Chief Financial Officer, President, any Executive Vice</w:t>
      </w:r>
      <w:r>
        <w:rPr>
          <w:rFonts w:ascii="Arial" w:cs="Arial" w:eastAsia="Arial" w:hAnsi="Arial"/>
          <w:sz w:val="19"/>
          <w:szCs w:val="19"/>
          <w:i w:val="1"/>
          <w:iCs w:val="1"/>
          <w:color w:val="auto"/>
        </w:rPr>
        <w:t xml:space="preserve"> </w:t>
      </w:r>
      <w:r>
        <w:rPr>
          <w:rFonts w:ascii="Arial" w:cs="Arial" w:eastAsia="Arial" w:hAnsi="Arial"/>
          <w:sz w:val="19"/>
          <w:szCs w:val="19"/>
          <w:color w:val="auto"/>
        </w:rPr>
        <w:t>President, Senior Vice President or Vice President, Treasurer or Secretary of the Issuer, or the Surviving Person, as the case may be, or any Director of the Board of the Issuer, or the Surviving Person, as the case may be, or any Person acting in that capacity.</w:t>
      </w:r>
    </w:p>
    <w:p>
      <w:pPr>
        <w:spacing w:after="0" w:line="133" w:lineRule="exact"/>
        <w:rPr>
          <w:sz w:val="20"/>
          <w:szCs w:val="20"/>
          <w:color w:val="auto"/>
        </w:rPr>
      </w:pPr>
    </w:p>
    <w:p>
      <w:pPr>
        <w:jc w:val="both"/>
        <w:ind w:right="20" w:firstLine="324"/>
        <w:spacing w:after="0" w:line="343" w:lineRule="auto"/>
        <w:rPr>
          <w:sz w:val="20"/>
          <w:szCs w:val="20"/>
          <w:color w:val="auto"/>
        </w:rPr>
      </w:pPr>
      <w:r>
        <w:rPr>
          <w:rFonts w:ascii="Arial" w:cs="Arial" w:eastAsia="Arial" w:hAnsi="Arial"/>
          <w:sz w:val="19"/>
          <w:szCs w:val="19"/>
          <w:i w:val="1"/>
          <w:iCs w:val="1"/>
          <w:color w:val="auto"/>
        </w:rPr>
        <w:t xml:space="preserve">“Officer’s Certificate” </w:t>
      </w:r>
      <w:r>
        <w:rPr>
          <w:rFonts w:ascii="Arial" w:cs="Arial" w:eastAsia="Arial" w:hAnsi="Arial"/>
          <w:sz w:val="19"/>
          <w:szCs w:val="19"/>
          <w:color w:val="auto"/>
        </w:rPr>
        <w:t>means a certificate signed on behalf of the Issuer , or the Surviving Person, as the case may be, by an</w:t>
      </w:r>
      <w:r>
        <w:rPr>
          <w:rFonts w:ascii="Arial" w:cs="Arial" w:eastAsia="Arial" w:hAnsi="Arial"/>
          <w:sz w:val="19"/>
          <w:szCs w:val="19"/>
          <w:i w:val="1"/>
          <w:iCs w:val="1"/>
          <w:color w:val="auto"/>
        </w:rPr>
        <w:t xml:space="preserve"> </w:t>
      </w:r>
      <w:r>
        <w:rPr>
          <w:rFonts w:ascii="Arial" w:cs="Arial" w:eastAsia="Arial" w:hAnsi="Arial"/>
          <w:sz w:val="19"/>
          <w:szCs w:val="19"/>
          <w:color w:val="auto"/>
        </w:rPr>
        <w:t>Officer of the Issuer, or the Surviving Person, as the case may be, that meets the requirements of Section 11.03 hereof.</w:t>
      </w:r>
    </w:p>
    <w:p>
      <w:pPr>
        <w:spacing w:after="0" w:line="1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22"/>
          <w:szCs w:val="22"/>
          <w:i w:val="1"/>
          <w:iCs w:val="1"/>
          <w:color w:val="auto"/>
        </w:rPr>
        <w:t xml:space="preserve">“Opinion of Counsel” </w:t>
      </w:r>
      <w:r>
        <w:rPr>
          <w:rFonts w:ascii="Arial" w:cs="Arial" w:eastAsia="Arial" w:hAnsi="Arial"/>
          <w:sz w:val="22"/>
          <w:szCs w:val="22"/>
          <w:color w:val="auto"/>
        </w:rPr>
        <w:t>means an opinion from legal counsel who is reasonably acceptable to the Trustee, that meets the</w:t>
      </w:r>
      <w:r>
        <w:rPr>
          <w:rFonts w:ascii="Arial" w:cs="Arial" w:eastAsia="Arial" w:hAnsi="Arial"/>
          <w:sz w:val="22"/>
          <w:szCs w:val="22"/>
          <w:i w:val="1"/>
          <w:iCs w:val="1"/>
          <w:color w:val="auto"/>
        </w:rPr>
        <w:t xml:space="preserve"> </w:t>
      </w:r>
      <w:r>
        <w:rPr>
          <w:rFonts w:ascii="Arial" w:cs="Arial" w:eastAsia="Arial" w:hAnsi="Arial"/>
          <w:sz w:val="22"/>
          <w:szCs w:val="22"/>
          <w:color w:val="auto"/>
        </w:rPr>
        <w:t>requirements of Section 11.03 hereof. The counsel may be an employee of or counsel to the Issuer.</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21"/>
          <w:szCs w:val="21"/>
          <w:i w:val="1"/>
          <w:iCs w:val="1"/>
          <w:color w:val="auto"/>
        </w:rPr>
        <w:t xml:space="preserve">“Participant” </w:t>
      </w:r>
      <w:r>
        <w:rPr>
          <w:rFonts w:ascii="Arial" w:cs="Arial" w:eastAsia="Arial" w:hAnsi="Arial"/>
          <w:sz w:val="21"/>
          <w:szCs w:val="21"/>
          <w:color w:val="auto"/>
        </w:rPr>
        <w:t>means, with respect to the Depositary, Euroclear or Clearstream, a Person who has an account with the</w:t>
      </w:r>
      <w:r>
        <w:rPr>
          <w:rFonts w:ascii="Arial" w:cs="Arial" w:eastAsia="Arial" w:hAnsi="Arial"/>
          <w:sz w:val="21"/>
          <w:szCs w:val="21"/>
          <w:i w:val="1"/>
          <w:iCs w:val="1"/>
          <w:color w:val="auto"/>
        </w:rPr>
        <w:t xml:space="preserve"> </w:t>
      </w:r>
      <w:r>
        <w:rPr>
          <w:rFonts w:ascii="Arial" w:cs="Arial" w:eastAsia="Arial" w:hAnsi="Arial"/>
          <w:sz w:val="21"/>
          <w:szCs w:val="21"/>
          <w:color w:val="auto"/>
        </w:rPr>
        <w:t>Depositary, Euroclear or Clearstream, respectively (and, with respect to DTC, shall include Euroclear and Clearstream).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70" w:name="page71"/>
    <w:bookmarkEnd w:id="70"/>
    <w:p>
      <w:pPr>
        <w:jc w:val="both"/>
        <w:ind w:firstLine="324"/>
        <w:spacing w:after="0" w:line="263" w:lineRule="auto"/>
        <w:rPr>
          <w:sz w:val="20"/>
          <w:szCs w:val="20"/>
          <w:color w:val="auto"/>
        </w:rPr>
      </w:pPr>
      <w:r>
        <w:rPr>
          <w:rFonts w:ascii="Arial" w:cs="Arial" w:eastAsia="Arial" w:hAnsi="Arial"/>
          <w:sz w:val="22"/>
          <w:szCs w:val="22"/>
          <w:i w:val="1"/>
          <w:iCs w:val="1"/>
          <w:color w:val="auto"/>
        </w:rPr>
        <w:t xml:space="preserve">“Person” </w:t>
      </w:r>
      <w:r>
        <w:rPr>
          <w:rFonts w:ascii="Arial" w:cs="Arial" w:eastAsia="Arial" w:hAnsi="Arial"/>
          <w:sz w:val="22"/>
          <w:szCs w:val="22"/>
          <w:color w:val="auto"/>
        </w:rPr>
        <w:t>means any individual, corporation, partnership, joint venture, association, joint-stock company, trust,</w:t>
      </w:r>
      <w:r>
        <w:rPr>
          <w:rFonts w:ascii="Arial" w:cs="Arial" w:eastAsia="Arial" w:hAnsi="Arial"/>
          <w:sz w:val="22"/>
          <w:szCs w:val="22"/>
          <w:i w:val="1"/>
          <w:iCs w:val="1"/>
          <w:color w:val="auto"/>
        </w:rPr>
        <w:t xml:space="preserve"> </w:t>
      </w:r>
      <w:r>
        <w:rPr>
          <w:rFonts w:ascii="Arial" w:cs="Arial" w:eastAsia="Arial" w:hAnsi="Arial"/>
          <w:sz w:val="22"/>
          <w:szCs w:val="22"/>
          <w:color w:val="auto"/>
        </w:rPr>
        <w:t>unincorporated organization, limited liability company or government or other entity.</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22"/>
          <w:szCs w:val="22"/>
          <w:i w:val="1"/>
          <w:iCs w:val="1"/>
          <w:color w:val="auto"/>
        </w:rPr>
        <w:t xml:space="preserve">“Private Placement Legend” </w:t>
      </w:r>
      <w:r>
        <w:rPr>
          <w:rFonts w:ascii="Arial" w:cs="Arial" w:eastAsia="Arial" w:hAnsi="Arial"/>
          <w:sz w:val="22"/>
          <w:szCs w:val="22"/>
          <w:color w:val="auto"/>
        </w:rPr>
        <w:t>means the legend set forth in Section 2.06(f)(1) hereof to be placed on all Notes issued under</w:t>
      </w:r>
      <w:r>
        <w:rPr>
          <w:rFonts w:ascii="Arial" w:cs="Arial" w:eastAsia="Arial" w:hAnsi="Arial"/>
          <w:sz w:val="22"/>
          <w:szCs w:val="22"/>
          <w:i w:val="1"/>
          <w:iCs w:val="1"/>
          <w:color w:val="auto"/>
        </w:rPr>
        <w:t xml:space="preserve"> </w:t>
      </w:r>
      <w:r>
        <w:rPr>
          <w:rFonts w:ascii="Arial" w:cs="Arial" w:eastAsia="Arial" w:hAnsi="Arial"/>
          <w:sz w:val="22"/>
          <w:szCs w:val="22"/>
          <w:color w:val="auto"/>
        </w:rPr>
        <w:t>this Indenture except where otherwise permitted by the provisions of this Indenture.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 xml:space="preserve">“QIB” </w:t>
      </w:r>
      <w:r>
        <w:rPr>
          <w:rFonts w:ascii="Arial" w:cs="Arial" w:eastAsia="Arial" w:hAnsi="Arial"/>
          <w:sz w:val="22"/>
          <w:szCs w:val="22"/>
          <w:color w:val="auto"/>
        </w:rPr>
        <w:t>means a “qualified institutional buyer” as defined in Rule 144A.</w:t>
      </w:r>
    </w:p>
    <w:p>
      <w:pPr>
        <w:spacing w:after="0" w:line="22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9"/>
          <w:szCs w:val="19"/>
          <w:i w:val="1"/>
          <w:iCs w:val="1"/>
          <w:color w:val="auto"/>
        </w:rPr>
        <w:t xml:space="preserve">“Rating Agencies” </w:t>
      </w:r>
      <w:r>
        <w:rPr>
          <w:rFonts w:ascii="Arial" w:cs="Arial" w:eastAsia="Arial" w:hAnsi="Arial"/>
          <w:sz w:val="19"/>
          <w:szCs w:val="19"/>
          <w:color w:val="auto"/>
        </w:rPr>
        <w:t>means (a) each of Moody’s and S&amp;P and (b) if either Moody’s or S&amp;P ceases to rate the Notes or fails to</w:t>
      </w:r>
      <w:r>
        <w:rPr>
          <w:rFonts w:ascii="Arial" w:cs="Arial" w:eastAsia="Arial" w:hAnsi="Arial"/>
          <w:sz w:val="19"/>
          <w:szCs w:val="19"/>
          <w:i w:val="1"/>
          <w:iCs w:val="1"/>
          <w:color w:val="auto"/>
        </w:rPr>
        <w:t xml:space="preserve"> </w:t>
      </w:r>
      <w:r>
        <w:rPr>
          <w:rFonts w:ascii="Arial" w:cs="Arial" w:eastAsia="Arial" w:hAnsi="Arial"/>
          <w:sz w:val="19"/>
          <w:szCs w:val="19"/>
          <w:color w:val="auto"/>
        </w:rPr>
        <w:t>make a rating of the Notes publicly available for reasons outside of the Issuer’s control, a “nationally recognized statistical rating organization” within the meaning of Section 3(a)(62) of the Exchange Act selected by the Issuer (as certified by a resolution of the Issuer’s Board of Directors) as a replacement agency for Moody’s or S&amp;P, or each of them, as the case may be.</w:t>
      </w:r>
    </w:p>
    <w:p>
      <w:pPr>
        <w:spacing w:after="0" w:line="14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2"/>
          <w:szCs w:val="22"/>
          <w:i w:val="1"/>
          <w:iCs w:val="1"/>
          <w:color w:val="auto"/>
        </w:rPr>
        <w:t xml:space="preserve">“Rating Category” </w:t>
      </w:r>
      <w:r>
        <w:rPr>
          <w:rFonts w:ascii="Arial" w:cs="Arial" w:eastAsia="Arial" w:hAnsi="Arial"/>
          <w:sz w:val="22"/>
          <w:szCs w:val="22"/>
          <w:color w:val="auto"/>
        </w:rPr>
        <w:t>means (1) with respect to S&amp;P, any of the following categories: “BB,” “B,” “CCC,” “CC,” “C” and “D”</w:t>
      </w:r>
      <w:r>
        <w:rPr>
          <w:rFonts w:ascii="Arial" w:cs="Arial" w:eastAsia="Arial" w:hAnsi="Arial"/>
          <w:sz w:val="22"/>
          <w:szCs w:val="22"/>
          <w:i w:val="1"/>
          <w:iCs w:val="1"/>
          <w:color w:val="auto"/>
        </w:rPr>
        <w:t xml:space="preserve"> </w:t>
      </w:r>
      <w:r>
        <w:rPr>
          <w:rFonts w:ascii="Arial" w:cs="Arial" w:eastAsia="Arial" w:hAnsi="Arial"/>
          <w:sz w:val="22"/>
          <w:szCs w:val="22"/>
          <w:color w:val="auto"/>
        </w:rPr>
        <w:t>(or equivalent successor categories), (2) with respect to Moody’s, any of the following categories: “Ba,” “B,” “Caa,” “Ca,” “C” and “D” (or equivalent successor categories) and (3) the equivalent of any such category of S&amp;P or Moody’s used by another Rating Agency. In determining whether the rating of the Notes has decreased by one or more gradations, gradations within Rating Categories (“+” and “–” for S&amp;P; “1,” “2” and “3” for Moody’s; or the equivalent gradations for another Rating Agency) shall be taken into account (e.g., with respect to S&amp;P, a decline in a rating from “BB+” to “BB,” or from “BB” to “BB–,” shall constitute a decrease of one gradation).</w:t>
      </w:r>
    </w:p>
    <w:p>
      <w:pPr>
        <w:spacing w:after="0" w:line="19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22"/>
          <w:szCs w:val="22"/>
          <w:i w:val="1"/>
          <w:iCs w:val="1"/>
          <w:color w:val="auto"/>
        </w:rPr>
        <w:t xml:space="preserve">“Rating Date” </w:t>
      </w:r>
      <w:r>
        <w:rPr>
          <w:rFonts w:ascii="Arial" w:cs="Arial" w:eastAsia="Arial" w:hAnsi="Arial"/>
          <w:sz w:val="22"/>
          <w:szCs w:val="22"/>
          <w:color w:val="auto"/>
        </w:rPr>
        <w:t>means the date that is 60 days prior to the earlier of (a) a Change of Control or (b) public notice of the</w:t>
      </w:r>
      <w:r>
        <w:rPr>
          <w:rFonts w:ascii="Arial" w:cs="Arial" w:eastAsia="Arial" w:hAnsi="Arial"/>
          <w:sz w:val="22"/>
          <w:szCs w:val="22"/>
          <w:i w:val="1"/>
          <w:iCs w:val="1"/>
          <w:color w:val="auto"/>
        </w:rPr>
        <w:t xml:space="preserve"> </w:t>
      </w:r>
      <w:r>
        <w:rPr>
          <w:rFonts w:ascii="Arial" w:cs="Arial" w:eastAsia="Arial" w:hAnsi="Arial"/>
          <w:sz w:val="22"/>
          <w:szCs w:val="22"/>
          <w:color w:val="auto"/>
        </w:rPr>
        <w:t>occurrence of a Change of Control or the intention by the Issuer to affect a Change of Control.</w:t>
      </w:r>
    </w:p>
    <w:p>
      <w:pPr>
        <w:spacing w:after="0" w:line="175"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21"/>
          <w:szCs w:val="21"/>
          <w:i w:val="1"/>
          <w:iCs w:val="1"/>
          <w:color w:val="auto"/>
        </w:rPr>
        <w:t xml:space="preserve">“Ratings Event” </w:t>
      </w:r>
      <w:r>
        <w:rPr>
          <w:rFonts w:ascii="Arial" w:cs="Arial" w:eastAsia="Arial" w:hAnsi="Arial"/>
          <w:sz w:val="21"/>
          <w:szCs w:val="21"/>
          <w:color w:val="auto"/>
        </w:rPr>
        <w:t>means the occurrence of the events described in (1) or (2) of this definition on, or within 60 days after the</w:t>
      </w:r>
      <w:r>
        <w:rPr>
          <w:rFonts w:ascii="Arial" w:cs="Arial" w:eastAsia="Arial" w:hAnsi="Arial"/>
          <w:sz w:val="21"/>
          <w:szCs w:val="21"/>
          <w:i w:val="1"/>
          <w:iCs w:val="1"/>
          <w:color w:val="auto"/>
        </w:rPr>
        <w:t xml:space="preserve"> </w:t>
      </w:r>
      <w:r>
        <w:rPr>
          <w:rFonts w:ascii="Arial" w:cs="Arial" w:eastAsia="Arial" w:hAnsi="Arial"/>
          <w:sz w:val="21"/>
          <w:szCs w:val="21"/>
          <w:color w:val="auto"/>
        </w:rPr>
        <w:t>earlier of (i) the occurrence of a Change of Control or (ii) public notice of the occurrence of a Change of Control or the intention by the Issuer to effect a Change of Control (which period shall be extended so long as the rating of the Notes is under publicly announced consideration for a possible downgrade by any of the Rating Agencies):</w:t>
      </w:r>
    </w:p>
    <w:p>
      <w:pPr>
        <w:spacing w:after="0" w:line="175" w:lineRule="exact"/>
        <w:rPr>
          <w:sz w:val="20"/>
          <w:szCs w:val="20"/>
          <w:color w:val="auto"/>
        </w:rPr>
      </w:pPr>
    </w:p>
    <w:p>
      <w:pPr>
        <w:ind w:firstLine="332"/>
        <w:spacing w:after="0" w:line="263" w:lineRule="auto"/>
        <w:tabs>
          <w:tab w:leader="none" w:pos="835" w:val="left"/>
        </w:tabs>
        <w:numPr>
          <w:ilvl w:val="0"/>
          <w:numId w:val="32"/>
        </w:numPr>
        <w:rPr>
          <w:rFonts w:ascii="Arial" w:cs="Arial" w:eastAsia="Arial" w:hAnsi="Arial"/>
          <w:sz w:val="22"/>
          <w:szCs w:val="22"/>
          <w:color w:val="auto"/>
        </w:rPr>
      </w:pPr>
      <w:r>
        <w:rPr>
          <w:rFonts w:ascii="Arial" w:cs="Arial" w:eastAsia="Arial" w:hAnsi="Arial"/>
          <w:sz w:val="22"/>
          <w:szCs w:val="22"/>
          <w:color w:val="auto"/>
        </w:rPr>
        <w:t>if the Notes are rated by one or both Rating Agencies on the Rating Date as Investment Grade, the rating of the Notes shall be reduced so that the Notes are rated below Investment Grade by both Rating Agencies; or</w:t>
      </w:r>
    </w:p>
    <w:p>
      <w:pPr>
        <w:spacing w:after="0" w:line="174" w:lineRule="exact"/>
        <w:rPr>
          <w:rFonts w:ascii="Arial" w:cs="Arial" w:eastAsia="Arial" w:hAnsi="Arial"/>
          <w:sz w:val="22"/>
          <w:szCs w:val="22"/>
          <w:color w:val="auto"/>
        </w:rPr>
      </w:pPr>
    </w:p>
    <w:p>
      <w:pPr>
        <w:jc w:val="both"/>
        <w:ind w:firstLine="332"/>
        <w:spacing w:after="0" w:line="253" w:lineRule="auto"/>
        <w:tabs>
          <w:tab w:leader="none" w:pos="833" w:val="left"/>
        </w:tabs>
        <w:numPr>
          <w:ilvl w:val="0"/>
          <w:numId w:val="32"/>
        </w:numPr>
        <w:rPr>
          <w:rFonts w:ascii="Arial" w:cs="Arial" w:eastAsia="Arial" w:hAnsi="Arial"/>
          <w:sz w:val="22"/>
          <w:szCs w:val="22"/>
          <w:color w:val="auto"/>
        </w:rPr>
      </w:pPr>
      <w:r>
        <w:rPr>
          <w:rFonts w:ascii="Arial" w:cs="Arial" w:eastAsia="Arial" w:hAnsi="Arial"/>
          <w:sz w:val="22"/>
          <w:szCs w:val="22"/>
          <w:color w:val="auto"/>
        </w:rPr>
        <w:t>if the Notes are rated below Investment Grade by both Rating Agencies on the Rating Date, the rating of the Notes by either Rating Agency shall decrease by one or more gradations (including gradations within Rating Categories as well as between Rating Categories).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Reference Treasury Dealer</w:t>
      </w:r>
      <w:r>
        <w:rPr>
          <w:rFonts w:ascii="Arial" w:cs="Arial" w:eastAsia="Arial" w:hAnsi="Arial"/>
          <w:sz w:val="19"/>
          <w:szCs w:val="19"/>
          <w:color w:val="auto"/>
        </w:rPr>
        <w:t>” means any primary U.S. Government securities dealer in New York City selected by the Issuer.</w:t>
      </w:r>
    </w:p>
    <w:p>
      <w:pPr>
        <w:spacing w:after="0" w:line="281" w:lineRule="exact"/>
        <w:rPr>
          <w:sz w:val="20"/>
          <w:szCs w:val="20"/>
          <w:color w:val="auto"/>
        </w:rPr>
      </w:pPr>
    </w:p>
    <w:p>
      <w:pPr>
        <w:ind w:firstLine="324"/>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Reference Treasury Dealer Quotations</w:t>
      </w:r>
      <w:r>
        <w:rPr>
          <w:rFonts w:ascii="Arial" w:cs="Arial" w:eastAsia="Arial" w:hAnsi="Arial"/>
          <w:sz w:val="22"/>
          <w:szCs w:val="22"/>
          <w:color w:val="auto"/>
        </w:rPr>
        <w:t>” means, with respect to each Reference Treasury Dealer and any redemption date, the average, as determined by the Independent Investment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71" w:name="page72"/>
    <w:bookmarkEnd w:id="71"/>
    <w:p>
      <w:pPr>
        <w:jc w:val="both"/>
        <w:spacing w:after="0" w:line="265" w:lineRule="auto"/>
        <w:rPr>
          <w:sz w:val="20"/>
          <w:szCs w:val="20"/>
          <w:color w:val="auto"/>
        </w:rPr>
      </w:pPr>
      <w:r>
        <w:rPr>
          <w:rFonts w:ascii="Arial" w:cs="Arial" w:eastAsia="Arial" w:hAnsi="Arial"/>
          <w:sz w:val="21"/>
          <w:szCs w:val="21"/>
          <w:color w:val="auto"/>
        </w:rPr>
        <w:t>Banker, of the bid and asked prices for the Comparable Treasury Issue (expressed in each case as a percentage of its principal amount) quoted in writing to the Independent Investment Banker at 5:00 p.m., New York City time, on the third Business Day preceding such redemption date or, in the case of a satisfaction and discharge or a defeasance, on the third Business Day prior to the date on which the Issuer deposits the amount required under this Indenture.</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 xml:space="preserve">“Regulation S” </w:t>
      </w:r>
      <w:r>
        <w:rPr>
          <w:rFonts w:ascii="Arial" w:cs="Arial" w:eastAsia="Arial" w:hAnsi="Arial"/>
          <w:sz w:val="22"/>
          <w:szCs w:val="22"/>
          <w:color w:val="auto"/>
        </w:rPr>
        <w:t>means Regulation S promulgated under the Securities Act.</w:t>
      </w:r>
    </w:p>
    <w:p>
      <w:pPr>
        <w:spacing w:after="0" w:line="24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9"/>
          <w:szCs w:val="19"/>
          <w:i w:val="1"/>
          <w:iCs w:val="1"/>
          <w:color w:val="auto"/>
        </w:rPr>
        <w:t xml:space="preserve">“Regulation S Global Note” </w:t>
      </w:r>
      <w:r>
        <w:rPr>
          <w:rFonts w:ascii="Arial" w:cs="Arial" w:eastAsia="Arial" w:hAnsi="Arial"/>
          <w:sz w:val="19"/>
          <w:szCs w:val="19"/>
          <w:color w:val="auto"/>
        </w:rPr>
        <w:t>means a Global Note in the form of Exhibit A hereto bearing the Global Note Legend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Private Placement Legend and deposited with or on behalf of and registered in the name of the Depositary or its nominee, issued in a denomination equal to the outstanding principal amount of the Notes sold in reliance on Rule 903 of Regulation S.</w:t>
      </w:r>
    </w:p>
    <w:p>
      <w:pPr>
        <w:spacing w:after="0" w:line="17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22"/>
          <w:szCs w:val="22"/>
          <w:i w:val="1"/>
          <w:iCs w:val="1"/>
          <w:color w:val="auto"/>
        </w:rPr>
        <w:t xml:space="preserve">“Responsible Officer,” </w:t>
      </w:r>
      <w:r>
        <w:rPr>
          <w:rFonts w:ascii="Arial" w:cs="Arial" w:eastAsia="Arial" w:hAnsi="Arial"/>
          <w:sz w:val="22"/>
          <w:szCs w:val="22"/>
          <w:color w:val="auto"/>
        </w:rPr>
        <w:t>means when used with respect to the Trustee, means any officer of the Trustee with direct</w:t>
      </w:r>
      <w:r>
        <w:rPr>
          <w:rFonts w:ascii="Arial" w:cs="Arial" w:eastAsia="Arial" w:hAnsi="Arial"/>
          <w:sz w:val="22"/>
          <w:szCs w:val="22"/>
          <w:i w:val="1"/>
          <w:iCs w:val="1"/>
          <w:color w:val="auto"/>
        </w:rPr>
        <w:t xml:space="preserve"> </w:t>
      </w:r>
      <w:r>
        <w:rPr>
          <w:rFonts w:ascii="Arial" w:cs="Arial" w:eastAsia="Arial" w:hAnsi="Arial"/>
          <w:sz w:val="22"/>
          <w:szCs w:val="22"/>
          <w:color w:val="auto"/>
        </w:rPr>
        <w:t>responsibility for the administration of this Indenture.</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 xml:space="preserve">“Restricted Definitive Note” </w:t>
      </w:r>
      <w:r>
        <w:rPr>
          <w:rFonts w:ascii="Arial" w:cs="Arial" w:eastAsia="Arial" w:hAnsi="Arial"/>
          <w:sz w:val="22"/>
          <w:szCs w:val="22"/>
          <w:color w:val="auto"/>
        </w:rPr>
        <w:t>means a Definitive Note bearing the Private Placement Legend.</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 xml:space="preserve">“Restricted Global Note” </w:t>
      </w:r>
      <w:r>
        <w:rPr>
          <w:rFonts w:ascii="Arial" w:cs="Arial" w:eastAsia="Arial" w:hAnsi="Arial"/>
          <w:sz w:val="22"/>
          <w:szCs w:val="22"/>
          <w:color w:val="auto"/>
        </w:rPr>
        <w:t>means a Global Note bearing the Private Placement Legend.</w:t>
      </w:r>
    </w:p>
    <w:p>
      <w:pPr>
        <w:spacing w:after="0" w:line="260"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 xml:space="preserve">“Rule 144” </w:t>
      </w:r>
      <w:r>
        <w:rPr>
          <w:rFonts w:ascii="Arial" w:cs="Arial" w:eastAsia="Arial" w:hAnsi="Arial"/>
          <w:sz w:val="22"/>
          <w:szCs w:val="22"/>
          <w:color w:val="auto"/>
        </w:rPr>
        <w:t>means Rule 144 promulgated under the Securities Act.</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 xml:space="preserve">“Rule 144A” </w:t>
      </w:r>
      <w:r>
        <w:rPr>
          <w:rFonts w:ascii="Arial" w:cs="Arial" w:eastAsia="Arial" w:hAnsi="Arial"/>
          <w:sz w:val="22"/>
          <w:szCs w:val="22"/>
          <w:color w:val="auto"/>
        </w:rPr>
        <w:t>means Rule 144A promulgated under the Securities Act.</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 xml:space="preserve">“Rule 903” </w:t>
      </w:r>
      <w:r>
        <w:rPr>
          <w:rFonts w:ascii="Arial" w:cs="Arial" w:eastAsia="Arial" w:hAnsi="Arial"/>
          <w:sz w:val="22"/>
          <w:szCs w:val="22"/>
          <w:color w:val="auto"/>
        </w:rPr>
        <w:t>means Rule 903 promulgated under the Securities Act.</w:t>
      </w:r>
    </w:p>
    <w:p>
      <w:pPr>
        <w:spacing w:after="0" w:line="260"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 xml:space="preserve">“Rule 904” </w:t>
      </w:r>
      <w:r>
        <w:rPr>
          <w:rFonts w:ascii="Arial" w:cs="Arial" w:eastAsia="Arial" w:hAnsi="Arial"/>
          <w:sz w:val="22"/>
          <w:szCs w:val="22"/>
          <w:color w:val="auto"/>
        </w:rPr>
        <w:t>means Rule 904 promulgated under the Securities Act.</w:t>
      </w:r>
    </w:p>
    <w:p>
      <w:pPr>
        <w:spacing w:after="0" w:line="247" w:lineRule="exact"/>
        <w:rPr>
          <w:sz w:val="20"/>
          <w:szCs w:val="20"/>
          <w:color w:val="auto"/>
        </w:rPr>
      </w:pPr>
    </w:p>
    <w:p>
      <w:pPr>
        <w:jc w:val="both"/>
        <w:ind w:firstLine="324"/>
        <w:spacing w:after="0" w:line="343" w:lineRule="auto"/>
        <w:rPr>
          <w:sz w:val="20"/>
          <w:szCs w:val="20"/>
          <w:color w:val="auto"/>
        </w:rPr>
      </w:pPr>
      <w:r>
        <w:rPr>
          <w:rFonts w:ascii="Arial" w:cs="Arial" w:eastAsia="Arial" w:hAnsi="Arial"/>
          <w:sz w:val="19"/>
          <w:szCs w:val="19"/>
          <w:i w:val="1"/>
          <w:iCs w:val="1"/>
          <w:color w:val="auto"/>
        </w:rPr>
        <w:t xml:space="preserve">“S&amp;P” </w:t>
      </w:r>
      <w:r>
        <w:rPr>
          <w:rFonts w:ascii="Arial" w:cs="Arial" w:eastAsia="Arial" w:hAnsi="Arial"/>
          <w:sz w:val="19"/>
          <w:szCs w:val="19"/>
          <w:color w:val="auto"/>
        </w:rPr>
        <w:t>means Standard &amp; Poor’s Rating Group or any successor to its statistical rating business, except that any reference to</w:t>
      </w:r>
      <w:r>
        <w:rPr>
          <w:rFonts w:ascii="Arial" w:cs="Arial" w:eastAsia="Arial" w:hAnsi="Arial"/>
          <w:sz w:val="19"/>
          <w:szCs w:val="19"/>
          <w:i w:val="1"/>
          <w:iCs w:val="1"/>
          <w:color w:val="auto"/>
        </w:rPr>
        <w:t xml:space="preserve"> </w:t>
      </w:r>
      <w:r>
        <w:rPr>
          <w:rFonts w:ascii="Arial" w:cs="Arial" w:eastAsia="Arial" w:hAnsi="Arial"/>
          <w:sz w:val="19"/>
          <w:szCs w:val="19"/>
          <w:color w:val="auto"/>
        </w:rPr>
        <w:t>a particular rating by S&amp;P shall be deemed to be a reference to the corresponding rating by any such successor.</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 xml:space="preserve">“SEC” </w:t>
      </w:r>
      <w:r>
        <w:rPr>
          <w:rFonts w:ascii="Arial" w:cs="Arial" w:eastAsia="Arial" w:hAnsi="Arial"/>
          <w:sz w:val="22"/>
          <w:szCs w:val="22"/>
          <w:color w:val="auto"/>
        </w:rPr>
        <w:t>means the United States Securities and Exchange Commission.</w:t>
      </w:r>
    </w:p>
    <w:p>
      <w:pPr>
        <w:spacing w:after="0" w:line="260"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 xml:space="preserve">“Securities Act” </w:t>
      </w:r>
      <w:r>
        <w:rPr>
          <w:rFonts w:ascii="Arial" w:cs="Arial" w:eastAsia="Arial" w:hAnsi="Arial"/>
          <w:sz w:val="22"/>
          <w:szCs w:val="22"/>
          <w:color w:val="auto"/>
        </w:rPr>
        <w:t>means the United States Securities Act of 1933, as amended.</w:t>
      </w:r>
    </w:p>
    <w:p>
      <w:pPr>
        <w:spacing w:after="0" w:line="24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9"/>
          <w:szCs w:val="19"/>
          <w:i w:val="1"/>
          <w:iCs w:val="1"/>
          <w:color w:val="auto"/>
        </w:rPr>
        <w:t xml:space="preserve">“Significant Subsidiary” </w:t>
      </w:r>
      <w:r>
        <w:rPr>
          <w:rFonts w:ascii="Arial" w:cs="Arial" w:eastAsia="Arial" w:hAnsi="Arial"/>
          <w:sz w:val="19"/>
          <w:szCs w:val="19"/>
          <w:color w:val="auto"/>
        </w:rPr>
        <w:t>means any Subsidiary that (a) contributed at least 10% of the Issuer’s and its Subsidiaries’ total</w:t>
      </w:r>
      <w:r>
        <w:rPr>
          <w:rFonts w:ascii="Arial" w:cs="Arial" w:eastAsia="Arial" w:hAnsi="Arial"/>
          <w:sz w:val="19"/>
          <w:szCs w:val="19"/>
          <w:i w:val="1"/>
          <w:iCs w:val="1"/>
          <w:color w:val="auto"/>
        </w:rPr>
        <w:t xml:space="preserve"> </w:t>
      </w:r>
      <w:r>
        <w:rPr>
          <w:rFonts w:ascii="Arial" w:cs="Arial" w:eastAsia="Arial" w:hAnsi="Arial"/>
          <w:sz w:val="19"/>
          <w:szCs w:val="19"/>
          <w:color w:val="auto"/>
        </w:rPr>
        <w:t>consolidated income from continuing operations before income taxes and extraordinary items for the most recently ended fiscal year of the Issuer or (b) owned at least 10% of Total Assets as of the last day of the most recently ended fiscal year of the Issuer.</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 xml:space="preserve">“Special Put </w:t>
      </w:r>
      <w:r>
        <w:rPr>
          <w:rFonts w:ascii="Arial" w:cs="Arial" w:eastAsia="Arial" w:hAnsi="Arial"/>
          <w:sz w:val="22"/>
          <w:szCs w:val="22"/>
          <w:color w:val="auto"/>
        </w:rPr>
        <w:t>Option</w:t>
      </w:r>
      <w:r>
        <w:rPr>
          <w:rFonts w:ascii="Arial" w:cs="Arial" w:eastAsia="Arial" w:hAnsi="Arial"/>
          <w:sz w:val="22"/>
          <w:szCs w:val="22"/>
          <w:i w:val="1"/>
          <w:iCs w:val="1"/>
          <w:color w:val="auto"/>
        </w:rPr>
        <w:t xml:space="preserve"> Triggering Event” </w:t>
      </w:r>
      <w:r>
        <w:rPr>
          <w:rFonts w:ascii="Arial" w:cs="Arial" w:eastAsia="Arial" w:hAnsi="Arial"/>
          <w:sz w:val="22"/>
          <w:szCs w:val="22"/>
          <w:color w:val="auto"/>
        </w:rPr>
        <w:t>means:</w:t>
      </w:r>
    </w:p>
    <w:p>
      <w:pPr>
        <w:spacing w:after="0" w:line="260" w:lineRule="exact"/>
        <w:rPr>
          <w:sz w:val="20"/>
          <w:szCs w:val="20"/>
          <w:color w:val="auto"/>
        </w:rPr>
      </w:pPr>
    </w:p>
    <w:p>
      <w:pPr>
        <w:jc w:val="both"/>
        <w:ind w:firstLine="332"/>
        <w:spacing w:after="0" w:line="302" w:lineRule="auto"/>
        <w:tabs>
          <w:tab w:leader="none" w:pos="635" w:val="left"/>
        </w:tabs>
        <w:numPr>
          <w:ilvl w:val="0"/>
          <w:numId w:val="33"/>
        </w:numPr>
        <w:rPr>
          <w:rFonts w:ascii="Arial" w:cs="Arial" w:eastAsia="Arial" w:hAnsi="Arial"/>
          <w:sz w:val="19"/>
          <w:szCs w:val="19"/>
          <w:color w:val="auto"/>
        </w:rPr>
      </w:pPr>
      <w:r>
        <w:rPr>
          <w:rFonts w:ascii="Arial" w:cs="Arial" w:eastAsia="Arial" w:hAnsi="Arial"/>
          <w:sz w:val="19"/>
          <w:szCs w:val="19"/>
          <w:color w:val="auto"/>
        </w:rPr>
        <w:t>any event after which none of the Issuer or any Subsidiary of the Issuer has such licenses, concessions, subconcessions or other permits or authorizations as are necessary for the Issuer and its Subsidiaries to own or manage casino or gaming areas or operate casino games of fortune and chance in Macau in substantially the same manner and scope as the Issuer and its Subsidiaries are entitled to at the Issue Date, for a period of ten consecutive days or more, and such event has a</w:t>
      </w:r>
    </w:p>
    <w:p>
      <w:pPr>
        <w:spacing w:after="0" w:line="200" w:lineRule="exact"/>
        <w:rPr>
          <w:sz w:val="20"/>
          <w:szCs w:val="20"/>
          <w:color w:val="auto"/>
        </w:rPr>
      </w:pPr>
    </w:p>
    <w:p>
      <w:pPr>
        <w:spacing w:after="0" w:line="388"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72" w:name="page73"/>
    <w:bookmarkEnd w:id="72"/>
    <w:p>
      <w:pPr>
        <w:ind w:right="20"/>
        <w:spacing w:after="0" w:line="263" w:lineRule="auto"/>
        <w:rPr>
          <w:sz w:val="20"/>
          <w:szCs w:val="20"/>
          <w:color w:val="auto"/>
        </w:rPr>
      </w:pPr>
      <w:r>
        <w:rPr>
          <w:rFonts w:ascii="Arial" w:cs="Arial" w:eastAsia="Arial" w:hAnsi="Arial"/>
          <w:sz w:val="22"/>
          <w:szCs w:val="22"/>
          <w:color w:val="auto"/>
        </w:rPr>
        <w:t>material adverse effect on the financial condition, business, properties, or results of operations of the Issuer and its Subsidiaries, taken as a whole; or</w:t>
      </w:r>
    </w:p>
    <w:p>
      <w:pPr>
        <w:spacing w:after="0" w:line="202" w:lineRule="exact"/>
        <w:rPr>
          <w:sz w:val="20"/>
          <w:szCs w:val="20"/>
          <w:color w:val="auto"/>
        </w:rPr>
      </w:pPr>
    </w:p>
    <w:p>
      <w:pPr>
        <w:ind w:firstLine="332"/>
        <w:spacing w:after="0" w:line="343" w:lineRule="auto"/>
        <w:tabs>
          <w:tab w:leader="none" w:pos="636"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termination, rescission, revocation or modification of any Gaming License which has had a material adverse effect on the financial condition, business, properties, or results of operations of Wynn Macau and its Subsidiaries, taken as a whole.</w:t>
      </w:r>
    </w:p>
    <w:p>
      <w:pPr>
        <w:spacing w:after="0" w:line="13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Stated Maturity</w:t>
      </w:r>
      <w:r>
        <w:rPr>
          <w:rFonts w:ascii="Arial" w:cs="Arial" w:eastAsia="Arial" w:hAnsi="Arial"/>
          <w:sz w:val="19"/>
          <w:szCs w:val="19"/>
          <w:color w:val="auto"/>
        </w:rPr>
        <w:t>” means, with respect to any installment of interest or principal on any series of Indebtedness, the date on which the payment of interest or principal was scheduled to be paid in the documentation governing such Indebtedness as of the first date it was incurred in compliance with this Indenture, and shall not include any contingent obligations to repay, redeem or repurchase any such interest or principal prior to the date originally scheduled for the payment thereof.</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Subsidiary</w:t>
      </w:r>
      <w:r>
        <w:rPr>
          <w:rFonts w:ascii="Arial" w:cs="Arial" w:eastAsia="Arial" w:hAnsi="Arial"/>
          <w:sz w:val="22"/>
          <w:szCs w:val="22"/>
          <w:color w:val="auto"/>
        </w:rPr>
        <w:t>” means, with respect to any specified Person:</w:t>
      </w:r>
    </w:p>
    <w:p>
      <w:pPr>
        <w:spacing w:after="0" w:line="260" w:lineRule="exact"/>
        <w:rPr>
          <w:sz w:val="20"/>
          <w:szCs w:val="20"/>
          <w:color w:val="auto"/>
        </w:rPr>
      </w:pPr>
    </w:p>
    <w:p>
      <w:pPr>
        <w:jc w:val="both"/>
        <w:ind w:firstLine="332"/>
        <w:spacing w:after="0" w:line="263" w:lineRule="auto"/>
        <w:tabs>
          <w:tab w:leader="none" w:pos="879" w:val="left"/>
        </w:tabs>
        <w:numPr>
          <w:ilvl w:val="0"/>
          <w:numId w:val="35"/>
        </w:numPr>
        <w:rPr>
          <w:rFonts w:ascii="Arial" w:cs="Arial" w:eastAsia="Arial" w:hAnsi="Arial"/>
          <w:sz w:val="21"/>
          <w:szCs w:val="21"/>
          <w:color w:val="auto"/>
        </w:rPr>
      </w:pPr>
      <w:r>
        <w:rPr>
          <w:rFonts w:ascii="Arial" w:cs="Arial" w:eastAsia="Arial" w:hAnsi="Arial"/>
          <w:sz w:val="21"/>
          <w:szCs w:val="21"/>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202" w:lineRule="exact"/>
        <w:rPr>
          <w:rFonts w:ascii="Arial" w:cs="Arial" w:eastAsia="Arial" w:hAnsi="Arial"/>
          <w:sz w:val="21"/>
          <w:szCs w:val="21"/>
          <w:color w:val="auto"/>
        </w:rPr>
      </w:pPr>
    </w:p>
    <w:p>
      <w:pPr>
        <w:jc w:val="both"/>
        <w:ind w:firstLine="332"/>
        <w:spacing w:after="0" w:line="253" w:lineRule="auto"/>
        <w:tabs>
          <w:tab w:leader="none" w:pos="828" w:val="left"/>
        </w:tabs>
        <w:numPr>
          <w:ilvl w:val="0"/>
          <w:numId w:val="35"/>
        </w:numPr>
        <w:rPr>
          <w:rFonts w:ascii="Arial" w:cs="Arial" w:eastAsia="Arial" w:hAnsi="Arial"/>
          <w:sz w:val="22"/>
          <w:szCs w:val="22"/>
          <w:color w:val="auto"/>
        </w:rPr>
      </w:pPr>
      <w:r>
        <w:rPr>
          <w:rFonts w:ascii="Arial" w:cs="Arial" w:eastAsia="Arial" w:hAnsi="Arial"/>
          <w:sz w:val="22"/>
          <w:szCs w:val="22"/>
          <w:color w:val="auto"/>
        </w:rPr>
        <w:t>any partnership (a) the sole general partner or the managing general partner of which is such Person or a Subsidiary of such Person or (b) the only general partners of which are that Person or one or more Subsidiaries of that Person (or any combination thereof); or</w:t>
      </w:r>
    </w:p>
    <w:p>
      <w:pPr>
        <w:spacing w:after="0" w:line="212" w:lineRule="exact"/>
        <w:rPr>
          <w:rFonts w:ascii="Arial" w:cs="Arial" w:eastAsia="Arial" w:hAnsi="Arial"/>
          <w:sz w:val="22"/>
          <w:szCs w:val="22"/>
          <w:color w:val="auto"/>
        </w:rPr>
      </w:pPr>
    </w:p>
    <w:p>
      <w:pPr>
        <w:jc w:val="both"/>
        <w:ind w:right="20" w:firstLine="332"/>
        <w:spacing w:after="0" w:line="343" w:lineRule="auto"/>
        <w:tabs>
          <w:tab w:leader="none" w:pos="865" w:val="left"/>
        </w:tabs>
        <w:numPr>
          <w:ilvl w:val="0"/>
          <w:numId w:val="35"/>
        </w:numPr>
        <w:rPr>
          <w:rFonts w:ascii="Arial" w:cs="Arial" w:eastAsia="Arial" w:hAnsi="Arial"/>
          <w:sz w:val="19"/>
          <w:szCs w:val="19"/>
          <w:color w:val="auto"/>
        </w:rPr>
      </w:pPr>
      <w:r>
        <w:rPr>
          <w:rFonts w:ascii="Arial" w:cs="Arial" w:eastAsia="Arial" w:hAnsi="Arial"/>
          <w:sz w:val="19"/>
          <w:szCs w:val="19"/>
          <w:color w:val="auto"/>
        </w:rPr>
        <w:t>any limited liability company (a) the manager or managing member of which is such Person or a Subsidiary of such Person or (b) the only members of which are that Person or one or more Subsidiaries of that Person (or any combination thereof).</w:t>
      </w:r>
    </w:p>
    <w:p>
      <w:pPr>
        <w:spacing w:after="0" w:line="131" w:lineRule="exact"/>
        <w:rPr>
          <w:sz w:val="20"/>
          <w:szCs w:val="20"/>
          <w:color w:val="auto"/>
        </w:rPr>
      </w:pPr>
    </w:p>
    <w:p>
      <w:pPr>
        <w:ind w:firstLine="324"/>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Total Assets</w:t>
      </w:r>
      <w:r>
        <w:rPr>
          <w:rFonts w:ascii="Arial" w:cs="Arial" w:eastAsia="Arial" w:hAnsi="Arial"/>
          <w:sz w:val="22"/>
          <w:szCs w:val="22"/>
          <w:color w:val="auto"/>
        </w:rPr>
        <w:t>” means at any date, the total assets of the Issuer and its Subsidiaries at such date, determined on a consolidated basis in accordance with IFRS.</w:t>
      </w:r>
    </w:p>
    <w:p>
      <w:pPr>
        <w:spacing w:after="0" w:line="202" w:lineRule="exact"/>
        <w:rPr>
          <w:sz w:val="20"/>
          <w:szCs w:val="20"/>
          <w:color w:val="auto"/>
        </w:rPr>
      </w:pPr>
    </w:p>
    <w:p>
      <w:pPr>
        <w:ind w:firstLine="324"/>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Trustee</w:t>
      </w:r>
      <w:r>
        <w:rPr>
          <w:rFonts w:ascii="Arial" w:cs="Arial" w:eastAsia="Arial" w:hAnsi="Arial"/>
          <w:sz w:val="22"/>
          <w:szCs w:val="22"/>
          <w:color w:val="auto"/>
        </w:rPr>
        <w:t>” means the party named as such in the preamble to this Indenture until a successor replaces it in accordance with the applicable provisions of this Indenture and thereafter means the successor serving hereunder.</w:t>
      </w:r>
    </w:p>
    <w:p>
      <w:pPr>
        <w:spacing w:after="0" w:line="202" w:lineRule="exact"/>
        <w:rPr>
          <w:sz w:val="20"/>
          <w:szCs w:val="20"/>
          <w:color w:val="auto"/>
        </w:rPr>
      </w:pPr>
    </w:p>
    <w:p>
      <w:pPr>
        <w:ind w:right="20" w:firstLine="324"/>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Unrestricted Definitive Note</w:t>
      </w:r>
      <w:r>
        <w:rPr>
          <w:rFonts w:ascii="Arial" w:cs="Arial" w:eastAsia="Arial" w:hAnsi="Arial"/>
          <w:sz w:val="22"/>
          <w:szCs w:val="22"/>
          <w:color w:val="auto"/>
        </w:rPr>
        <w:t>” means a Definitive Note that does not bear and is not required to bear the Private Placement Legend.</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Unrestricted Global Note</w:t>
      </w:r>
      <w:r>
        <w:rPr>
          <w:rFonts w:ascii="Arial" w:cs="Arial" w:eastAsia="Arial" w:hAnsi="Arial"/>
          <w:sz w:val="19"/>
          <w:szCs w:val="19"/>
          <w:color w:val="auto"/>
        </w:rPr>
        <w:t>” means a Global Note that does not bear and is not required to bear the Private Placement Legend.</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U.S. Person</w:t>
      </w:r>
      <w:r>
        <w:rPr>
          <w:rFonts w:ascii="Arial" w:cs="Arial" w:eastAsia="Arial" w:hAnsi="Arial"/>
          <w:sz w:val="22"/>
          <w:szCs w:val="22"/>
          <w:color w:val="auto"/>
        </w:rPr>
        <w:t>” means a U.S. Person as defined in Rule 902(k) promulgated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73" w:name="page74"/>
    <w:bookmarkEnd w:id="73"/>
    <w:p>
      <w:pPr>
        <w:ind w:firstLine="324"/>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Voting Stock</w:t>
      </w:r>
      <w:r>
        <w:rPr>
          <w:rFonts w:ascii="Arial" w:cs="Arial" w:eastAsia="Arial" w:hAnsi="Arial"/>
          <w:sz w:val="22"/>
          <w:szCs w:val="22"/>
          <w:color w:val="auto"/>
        </w:rPr>
        <w:t>” of any Person as of any date means the Capital Stock of such Person that is at the time entitled to vote in the election of the Board of Directors of such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640" w:type="dxa"/>
            <w:vAlign w:val="bottom"/>
            <w:gridSpan w:val="3"/>
          </w:tcPr>
          <w:p>
            <w:pPr>
              <w:spacing w:after="0"/>
              <w:rPr>
                <w:sz w:val="20"/>
                <w:szCs w:val="20"/>
                <w:color w:val="auto"/>
              </w:rPr>
            </w:pPr>
            <w:r>
              <w:rPr>
                <w:rFonts w:ascii="Arial" w:cs="Arial" w:eastAsia="Arial" w:hAnsi="Arial"/>
                <w:sz w:val="22"/>
                <w:szCs w:val="22"/>
                <w:color w:val="auto"/>
                <w:w w:val="98"/>
              </w:rPr>
              <w:t>“</w:t>
            </w:r>
            <w:r>
              <w:rPr>
                <w:rFonts w:ascii="Arial" w:cs="Arial" w:eastAsia="Arial" w:hAnsi="Arial"/>
                <w:sz w:val="22"/>
                <w:szCs w:val="22"/>
                <w:i w:val="1"/>
                <w:iCs w:val="1"/>
                <w:color w:val="auto"/>
                <w:w w:val="98"/>
              </w:rPr>
              <w:t>Wynn Resorts</w:t>
            </w:r>
            <w:r>
              <w:rPr>
                <w:rFonts w:ascii="Arial" w:cs="Arial" w:eastAsia="Arial" w:hAnsi="Arial"/>
                <w:sz w:val="22"/>
                <w:szCs w:val="22"/>
                <w:color w:val="auto"/>
                <w:w w:val="98"/>
              </w:rPr>
              <w:t>” means Wynn Resorts, Limited, a Nevada corporation, and its successors.</w:t>
            </w:r>
          </w:p>
        </w:tc>
        <w:tc>
          <w:tcPr>
            <w:tcW w:w="1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8620" w:type="dxa"/>
            <w:vAlign w:val="bottom"/>
            <w:gridSpan w:val="2"/>
          </w:tcPr>
          <w:p>
            <w:pPr>
              <w:ind w:left="320"/>
              <w:spacing w:after="0"/>
              <w:rPr>
                <w:sz w:val="20"/>
                <w:szCs w:val="20"/>
                <w:color w:val="auto"/>
              </w:rPr>
            </w:pPr>
            <w:r>
              <w:rPr>
                <w:rFonts w:ascii="Arial" w:cs="Arial" w:eastAsia="Arial" w:hAnsi="Arial"/>
                <w:sz w:val="22"/>
                <w:szCs w:val="22"/>
                <w:i w:val="1"/>
                <w:iCs w:val="1"/>
                <w:color w:val="auto"/>
              </w:rPr>
              <w:t>Section 1.02 Other Definitions</w:t>
            </w: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20" w:type="dxa"/>
            <w:vAlign w:val="bottom"/>
          </w:tcPr>
          <w:p>
            <w:pPr>
              <w:spacing w:after="0"/>
              <w:rPr>
                <w:sz w:val="24"/>
                <w:szCs w:val="24"/>
                <w:color w:val="auto"/>
              </w:rPr>
            </w:pPr>
          </w:p>
        </w:tc>
        <w:tc>
          <w:tcPr>
            <w:tcW w:w="460" w:type="dxa"/>
            <w:vAlign w:val="bottom"/>
            <w:vMerge w:val="restart"/>
          </w:tcPr>
          <w:p>
            <w:pPr>
              <w:spacing w:after="0"/>
              <w:rPr>
                <w:sz w:val="20"/>
                <w:szCs w:val="20"/>
                <w:color w:val="auto"/>
              </w:rPr>
            </w:pPr>
            <w:r>
              <w:rPr>
                <w:rFonts w:ascii="Arial" w:cs="Arial" w:eastAsia="Arial" w:hAnsi="Arial"/>
                <w:sz w:val="22"/>
                <w:szCs w:val="22"/>
                <w:color w:val="auto"/>
                <w:w w:val="85"/>
              </w:rPr>
              <w:t>Term</w:t>
            </w:r>
          </w:p>
        </w:tc>
        <w:tc>
          <w:tcPr>
            <w:tcW w:w="8160" w:type="dxa"/>
            <w:vAlign w:val="bottom"/>
            <w:vMerge w:val="restart"/>
          </w:tcPr>
          <w:p>
            <w:pPr>
              <w:spacing w:after="0"/>
              <w:rPr>
                <w:sz w:val="24"/>
                <w:szCs w:val="24"/>
                <w:color w:val="auto"/>
              </w:rPr>
            </w:pPr>
          </w:p>
        </w:tc>
        <w:tc>
          <w:tcPr>
            <w:tcW w:w="2560" w:type="dxa"/>
            <w:vAlign w:val="bottom"/>
            <w:gridSpan w:val="2"/>
          </w:tcPr>
          <w:p>
            <w:pPr>
              <w:jc w:val="right"/>
              <w:spacing w:after="0"/>
              <w:rPr>
                <w:sz w:val="20"/>
                <w:szCs w:val="20"/>
                <w:color w:val="auto"/>
              </w:rPr>
            </w:pPr>
            <w:r>
              <w:rPr>
                <w:rFonts w:ascii="Arial" w:cs="Arial" w:eastAsia="Arial" w:hAnsi="Arial"/>
                <w:sz w:val="22"/>
                <w:szCs w:val="22"/>
                <w:color w:val="auto"/>
              </w:rPr>
              <w:t>Defined in Section</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8160" w:type="dxa"/>
            <w:vAlign w:val="bottom"/>
            <w:vMerge w:val="continue"/>
          </w:tcPr>
          <w:p>
            <w:pPr>
              <w:spacing w:after="0"/>
              <w:rPr>
                <w:sz w:val="6"/>
                <w:szCs w:val="6"/>
                <w:color w:val="auto"/>
              </w:rPr>
            </w:pPr>
          </w:p>
        </w:tc>
        <w:tc>
          <w:tcPr>
            <w:tcW w:w="190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862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Additional Amounts</w:t>
            </w:r>
            <w:r>
              <w:rPr>
                <w:rFonts w:ascii="Arial" w:cs="Arial" w:eastAsia="Arial" w:hAnsi="Arial"/>
                <w:sz w:val="22"/>
                <w:szCs w:val="22"/>
                <w:color w:val="auto"/>
              </w:rPr>
              <w:t>”</w:t>
            </w:r>
          </w:p>
        </w:tc>
        <w:tc>
          <w:tcPr>
            <w:tcW w:w="2560" w:type="dxa"/>
            <w:vAlign w:val="bottom"/>
            <w:gridSpan w:val="2"/>
          </w:tcPr>
          <w:p>
            <w:pPr>
              <w:jc w:val="right"/>
              <w:spacing w:after="0"/>
              <w:rPr>
                <w:sz w:val="20"/>
                <w:szCs w:val="20"/>
                <w:color w:val="auto"/>
              </w:rPr>
            </w:pPr>
            <w:r>
              <w:rPr>
                <w:rFonts w:ascii="Arial" w:cs="Arial" w:eastAsia="Arial" w:hAnsi="Arial"/>
                <w:sz w:val="22"/>
                <w:szCs w:val="22"/>
                <w:color w:val="auto"/>
              </w:rPr>
              <w:t>4.09</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62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Applicable AML Law</w:t>
            </w:r>
            <w:r>
              <w:rPr>
                <w:rFonts w:ascii="Arial" w:cs="Arial" w:eastAsia="Arial" w:hAnsi="Arial"/>
                <w:sz w:val="22"/>
                <w:szCs w:val="22"/>
                <w:color w:val="auto"/>
              </w:rPr>
              <w:t>”</w:t>
            </w:r>
          </w:p>
        </w:tc>
        <w:tc>
          <w:tcPr>
            <w:tcW w:w="2560" w:type="dxa"/>
            <w:vAlign w:val="bottom"/>
            <w:gridSpan w:val="2"/>
          </w:tcPr>
          <w:p>
            <w:pPr>
              <w:jc w:val="right"/>
              <w:spacing w:after="0"/>
              <w:rPr>
                <w:sz w:val="20"/>
                <w:szCs w:val="20"/>
                <w:color w:val="auto"/>
              </w:rPr>
            </w:pPr>
            <w:r>
              <w:rPr>
                <w:rFonts w:ascii="Arial" w:cs="Arial" w:eastAsia="Arial" w:hAnsi="Arial"/>
                <w:sz w:val="22"/>
                <w:szCs w:val="22"/>
                <w:color w:val="auto"/>
              </w:rPr>
              <w:t>11.14</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62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Authentication Order</w:t>
            </w:r>
            <w:r>
              <w:rPr>
                <w:rFonts w:ascii="Arial" w:cs="Arial" w:eastAsia="Arial" w:hAnsi="Arial"/>
                <w:sz w:val="22"/>
                <w:szCs w:val="22"/>
                <w:color w:val="auto"/>
              </w:rPr>
              <w:t>”</w:t>
            </w:r>
          </w:p>
        </w:tc>
        <w:tc>
          <w:tcPr>
            <w:tcW w:w="2560" w:type="dxa"/>
            <w:vAlign w:val="bottom"/>
            <w:gridSpan w:val="2"/>
          </w:tcPr>
          <w:p>
            <w:pPr>
              <w:jc w:val="right"/>
              <w:spacing w:after="0"/>
              <w:rPr>
                <w:sz w:val="20"/>
                <w:szCs w:val="20"/>
                <w:color w:val="auto"/>
              </w:rPr>
            </w:pPr>
            <w:r>
              <w:rPr>
                <w:rFonts w:ascii="Arial" w:cs="Arial" w:eastAsia="Arial" w:hAnsi="Arial"/>
                <w:sz w:val="22"/>
                <w:szCs w:val="22"/>
                <w:color w:val="auto"/>
              </w:rPr>
              <w:t>2.02</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862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 Offer</w:t>
            </w:r>
            <w:r>
              <w:rPr>
                <w:rFonts w:ascii="Arial" w:cs="Arial" w:eastAsia="Arial" w:hAnsi="Arial"/>
                <w:sz w:val="22"/>
                <w:szCs w:val="22"/>
                <w:color w:val="auto"/>
              </w:rPr>
              <w:t>”</w:t>
            </w:r>
          </w:p>
        </w:tc>
        <w:tc>
          <w:tcPr>
            <w:tcW w:w="2560" w:type="dxa"/>
            <w:vAlign w:val="bottom"/>
            <w:gridSpan w:val="2"/>
          </w:tcPr>
          <w:p>
            <w:pPr>
              <w:jc w:val="right"/>
              <w:spacing w:after="0"/>
              <w:rPr>
                <w:sz w:val="20"/>
                <w:szCs w:val="20"/>
                <w:color w:val="auto"/>
              </w:rPr>
            </w:pPr>
            <w:r>
              <w:rPr>
                <w:rFonts w:ascii="Arial" w:cs="Arial" w:eastAsia="Arial" w:hAnsi="Arial"/>
                <w:sz w:val="22"/>
                <w:szCs w:val="22"/>
                <w:color w:val="auto"/>
              </w:rPr>
              <w:t>4.08</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62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 Payment</w:t>
            </w:r>
            <w:r>
              <w:rPr>
                <w:rFonts w:ascii="Arial" w:cs="Arial" w:eastAsia="Arial" w:hAnsi="Arial"/>
                <w:sz w:val="22"/>
                <w:szCs w:val="22"/>
                <w:color w:val="auto"/>
              </w:rPr>
              <w:t>”</w:t>
            </w:r>
          </w:p>
        </w:tc>
        <w:tc>
          <w:tcPr>
            <w:tcW w:w="2560" w:type="dxa"/>
            <w:vAlign w:val="bottom"/>
            <w:gridSpan w:val="2"/>
          </w:tcPr>
          <w:p>
            <w:pPr>
              <w:jc w:val="right"/>
              <w:spacing w:after="0"/>
              <w:rPr>
                <w:sz w:val="20"/>
                <w:szCs w:val="20"/>
                <w:color w:val="auto"/>
              </w:rPr>
            </w:pPr>
            <w:r>
              <w:rPr>
                <w:rFonts w:ascii="Arial" w:cs="Arial" w:eastAsia="Arial" w:hAnsi="Arial"/>
                <w:sz w:val="22"/>
                <w:szCs w:val="22"/>
                <w:color w:val="auto"/>
              </w:rPr>
              <w:t>4.08</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862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 Payment Date</w:t>
            </w:r>
            <w:r>
              <w:rPr>
                <w:rFonts w:ascii="Arial" w:cs="Arial" w:eastAsia="Arial" w:hAnsi="Arial"/>
                <w:sz w:val="22"/>
                <w:szCs w:val="22"/>
                <w:color w:val="auto"/>
              </w:rPr>
              <w:t>”</w:t>
            </w:r>
          </w:p>
        </w:tc>
        <w:tc>
          <w:tcPr>
            <w:tcW w:w="2560" w:type="dxa"/>
            <w:vAlign w:val="bottom"/>
            <w:gridSpan w:val="2"/>
          </w:tcPr>
          <w:p>
            <w:pPr>
              <w:jc w:val="right"/>
              <w:spacing w:after="0"/>
              <w:rPr>
                <w:sz w:val="20"/>
                <w:szCs w:val="20"/>
                <w:color w:val="auto"/>
              </w:rPr>
            </w:pPr>
            <w:r>
              <w:rPr>
                <w:rFonts w:ascii="Arial" w:cs="Arial" w:eastAsia="Arial" w:hAnsi="Arial"/>
                <w:sz w:val="22"/>
                <w:szCs w:val="22"/>
                <w:color w:val="auto"/>
              </w:rPr>
              <w:t>4.08</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862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Covenant Defeasance</w:t>
            </w:r>
            <w:r>
              <w:rPr>
                <w:rFonts w:ascii="Arial" w:cs="Arial" w:eastAsia="Arial" w:hAnsi="Arial"/>
                <w:sz w:val="22"/>
                <w:szCs w:val="22"/>
                <w:color w:val="auto"/>
              </w:rPr>
              <w:t>”</w:t>
            </w:r>
          </w:p>
        </w:tc>
        <w:tc>
          <w:tcPr>
            <w:tcW w:w="2560" w:type="dxa"/>
            <w:vAlign w:val="bottom"/>
            <w:gridSpan w:val="2"/>
          </w:tcPr>
          <w:p>
            <w:pPr>
              <w:jc w:val="right"/>
              <w:spacing w:after="0"/>
              <w:rPr>
                <w:sz w:val="20"/>
                <w:szCs w:val="20"/>
                <w:color w:val="auto"/>
              </w:rPr>
            </w:pPr>
            <w:r>
              <w:rPr>
                <w:rFonts w:ascii="Arial" w:cs="Arial" w:eastAsia="Arial" w:hAnsi="Arial"/>
                <w:sz w:val="22"/>
                <w:szCs w:val="22"/>
                <w:color w:val="auto"/>
              </w:rPr>
              <w:t>8.03</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62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DTC</w:t>
            </w:r>
            <w:r>
              <w:rPr>
                <w:rFonts w:ascii="Arial" w:cs="Arial" w:eastAsia="Arial" w:hAnsi="Arial"/>
                <w:sz w:val="22"/>
                <w:szCs w:val="22"/>
                <w:color w:val="auto"/>
              </w:rPr>
              <w:t>”</w:t>
            </w:r>
          </w:p>
        </w:tc>
        <w:tc>
          <w:tcPr>
            <w:tcW w:w="2560" w:type="dxa"/>
            <w:vAlign w:val="bottom"/>
            <w:gridSpan w:val="2"/>
          </w:tcPr>
          <w:p>
            <w:pPr>
              <w:jc w:val="right"/>
              <w:spacing w:after="0"/>
              <w:rPr>
                <w:sz w:val="20"/>
                <w:szCs w:val="20"/>
                <w:color w:val="auto"/>
              </w:rPr>
            </w:pPr>
            <w:r>
              <w:rPr>
                <w:rFonts w:ascii="Arial" w:cs="Arial" w:eastAsia="Arial" w:hAnsi="Arial"/>
                <w:sz w:val="22"/>
                <w:szCs w:val="22"/>
                <w:color w:val="auto"/>
              </w:rPr>
              <w:t>2.03</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862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Event of Default</w:t>
            </w:r>
            <w:r>
              <w:rPr>
                <w:rFonts w:ascii="Arial" w:cs="Arial" w:eastAsia="Arial" w:hAnsi="Arial"/>
                <w:sz w:val="22"/>
                <w:szCs w:val="22"/>
                <w:color w:val="auto"/>
              </w:rPr>
              <w:t>”</w:t>
            </w:r>
          </w:p>
        </w:tc>
        <w:tc>
          <w:tcPr>
            <w:tcW w:w="2560" w:type="dxa"/>
            <w:vAlign w:val="bottom"/>
            <w:gridSpan w:val="2"/>
          </w:tcPr>
          <w:p>
            <w:pPr>
              <w:jc w:val="right"/>
              <w:spacing w:after="0"/>
              <w:rPr>
                <w:sz w:val="20"/>
                <w:szCs w:val="20"/>
                <w:color w:val="auto"/>
              </w:rPr>
            </w:pPr>
            <w:r>
              <w:rPr>
                <w:rFonts w:ascii="Arial" w:cs="Arial" w:eastAsia="Arial" w:hAnsi="Arial"/>
                <w:sz w:val="22"/>
                <w:szCs w:val="22"/>
                <w:color w:val="auto"/>
              </w:rPr>
              <w:t>6.01</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620" w:type="dxa"/>
            <w:vAlign w:val="bottom"/>
            <w:gridSpan w:val="2"/>
          </w:tcPr>
          <w:p>
            <w:pPr>
              <w:spacing w:after="0"/>
              <w:rPr>
                <w:sz w:val="20"/>
                <w:szCs w:val="20"/>
                <w:color w:val="auto"/>
              </w:rPr>
            </w:pPr>
            <w:r>
              <w:rPr>
                <w:rFonts w:ascii="Arial" w:cs="Arial" w:eastAsia="Arial" w:hAnsi="Arial"/>
                <w:sz w:val="22"/>
                <w:szCs w:val="22"/>
                <w:i w:val="1"/>
                <w:iCs w:val="1"/>
                <w:color w:val="auto"/>
              </w:rPr>
              <w:t>“FATCA”</w:t>
            </w:r>
          </w:p>
        </w:tc>
        <w:tc>
          <w:tcPr>
            <w:tcW w:w="2560" w:type="dxa"/>
            <w:vAlign w:val="bottom"/>
            <w:gridSpan w:val="2"/>
          </w:tcPr>
          <w:p>
            <w:pPr>
              <w:jc w:val="right"/>
              <w:spacing w:after="0"/>
              <w:rPr>
                <w:sz w:val="20"/>
                <w:szCs w:val="20"/>
                <w:color w:val="auto"/>
              </w:rPr>
            </w:pPr>
            <w:r>
              <w:rPr>
                <w:rFonts w:ascii="Arial" w:cs="Arial" w:eastAsia="Arial" w:hAnsi="Arial"/>
                <w:sz w:val="22"/>
                <w:szCs w:val="22"/>
                <w:color w:val="auto"/>
              </w:rPr>
              <w:t>4.09</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62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HKSE</w:t>
            </w:r>
            <w:r>
              <w:rPr>
                <w:rFonts w:ascii="Arial" w:cs="Arial" w:eastAsia="Arial" w:hAnsi="Arial"/>
                <w:sz w:val="22"/>
                <w:szCs w:val="22"/>
                <w:color w:val="auto"/>
              </w:rPr>
              <w:t>”</w:t>
            </w:r>
          </w:p>
        </w:tc>
        <w:tc>
          <w:tcPr>
            <w:tcW w:w="2560" w:type="dxa"/>
            <w:vAlign w:val="bottom"/>
            <w:gridSpan w:val="2"/>
          </w:tcPr>
          <w:p>
            <w:pPr>
              <w:jc w:val="right"/>
              <w:spacing w:after="0"/>
              <w:rPr>
                <w:sz w:val="20"/>
                <w:szCs w:val="20"/>
                <w:color w:val="auto"/>
              </w:rPr>
            </w:pPr>
            <w:r>
              <w:rPr>
                <w:rFonts w:ascii="Arial" w:cs="Arial" w:eastAsia="Arial" w:hAnsi="Arial"/>
                <w:sz w:val="22"/>
                <w:szCs w:val="22"/>
                <w:color w:val="auto"/>
              </w:rPr>
              <w:t>4.03</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62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Judgment Currency</w:t>
            </w:r>
            <w:r>
              <w:rPr>
                <w:rFonts w:ascii="Arial" w:cs="Arial" w:eastAsia="Arial" w:hAnsi="Arial"/>
                <w:sz w:val="22"/>
                <w:szCs w:val="22"/>
                <w:color w:val="auto"/>
              </w:rPr>
              <w:t>”</w:t>
            </w:r>
          </w:p>
        </w:tc>
        <w:tc>
          <w:tcPr>
            <w:tcW w:w="2560" w:type="dxa"/>
            <w:vAlign w:val="bottom"/>
            <w:gridSpan w:val="2"/>
          </w:tcPr>
          <w:p>
            <w:pPr>
              <w:jc w:val="right"/>
              <w:spacing w:after="0"/>
              <w:rPr>
                <w:sz w:val="20"/>
                <w:szCs w:val="20"/>
                <w:color w:val="auto"/>
              </w:rPr>
            </w:pPr>
            <w:r>
              <w:rPr>
                <w:rFonts w:ascii="Arial" w:cs="Arial" w:eastAsia="Arial" w:hAnsi="Arial"/>
                <w:sz w:val="22"/>
                <w:szCs w:val="22"/>
                <w:color w:val="auto"/>
              </w:rPr>
              <w:t>11.08</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62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Legal Defeasance</w:t>
            </w:r>
            <w:r>
              <w:rPr>
                <w:rFonts w:ascii="Arial" w:cs="Arial" w:eastAsia="Arial" w:hAnsi="Arial"/>
                <w:sz w:val="22"/>
                <w:szCs w:val="22"/>
                <w:color w:val="auto"/>
              </w:rPr>
              <w:t>”</w:t>
            </w:r>
          </w:p>
        </w:tc>
        <w:tc>
          <w:tcPr>
            <w:tcW w:w="2560" w:type="dxa"/>
            <w:vAlign w:val="bottom"/>
            <w:gridSpan w:val="2"/>
          </w:tcPr>
          <w:p>
            <w:pPr>
              <w:jc w:val="right"/>
              <w:spacing w:after="0"/>
              <w:rPr>
                <w:sz w:val="20"/>
                <w:szCs w:val="20"/>
                <w:color w:val="auto"/>
              </w:rPr>
            </w:pPr>
            <w:r>
              <w:rPr>
                <w:rFonts w:ascii="Arial" w:cs="Arial" w:eastAsia="Arial" w:hAnsi="Arial"/>
                <w:sz w:val="22"/>
                <w:szCs w:val="22"/>
                <w:color w:val="auto"/>
              </w:rPr>
              <w:t>8.02</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62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Paying Agent</w:t>
            </w:r>
            <w:r>
              <w:rPr>
                <w:rFonts w:ascii="Arial" w:cs="Arial" w:eastAsia="Arial" w:hAnsi="Arial"/>
                <w:sz w:val="22"/>
                <w:szCs w:val="22"/>
                <w:color w:val="auto"/>
              </w:rPr>
              <w:t>”</w:t>
            </w:r>
          </w:p>
        </w:tc>
        <w:tc>
          <w:tcPr>
            <w:tcW w:w="2560" w:type="dxa"/>
            <w:vAlign w:val="bottom"/>
            <w:gridSpan w:val="2"/>
          </w:tcPr>
          <w:p>
            <w:pPr>
              <w:jc w:val="right"/>
              <w:spacing w:after="0"/>
              <w:rPr>
                <w:sz w:val="20"/>
                <w:szCs w:val="20"/>
                <w:color w:val="auto"/>
              </w:rPr>
            </w:pPr>
            <w:r>
              <w:rPr>
                <w:rFonts w:ascii="Arial" w:cs="Arial" w:eastAsia="Arial" w:hAnsi="Arial"/>
                <w:sz w:val="22"/>
                <w:szCs w:val="22"/>
                <w:color w:val="auto"/>
              </w:rPr>
              <w:t>2.03</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62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Relevant Jurisdiction</w:t>
            </w:r>
            <w:r>
              <w:rPr>
                <w:rFonts w:ascii="Arial" w:cs="Arial" w:eastAsia="Arial" w:hAnsi="Arial"/>
                <w:sz w:val="22"/>
                <w:szCs w:val="22"/>
                <w:color w:val="auto"/>
              </w:rPr>
              <w:t>”</w:t>
            </w:r>
          </w:p>
        </w:tc>
        <w:tc>
          <w:tcPr>
            <w:tcW w:w="2560" w:type="dxa"/>
            <w:vAlign w:val="bottom"/>
            <w:gridSpan w:val="2"/>
          </w:tcPr>
          <w:p>
            <w:pPr>
              <w:jc w:val="right"/>
              <w:spacing w:after="0"/>
              <w:rPr>
                <w:sz w:val="20"/>
                <w:szCs w:val="20"/>
                <w:color w:val="auto"/>
              </w:rPr>
            </w:pPr>
            <w:r>
              <w:rPr>
                <w:rFonts w:ascii="Arial" w:cs="Arial" w:eastAsia="Arial" w:hAnsi="Arial"/>
                <w:sz w:val="22"/>
                <w:szCs w:val="22"/>
                <w:color w:val="auto"/>
              </w:rPr>
              <w:t>4.09</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62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Registrar</w:t>
            </w:r>
            <w:r>
              <w:rPr>
                <w:rFonts w:ascii="Arial" w:cs="Arial" w:eastAsia="Arial" w:hAnsi="Arial"/>
                <w:sz w:val="22"/>
                <w:szCs w:val="22"/>
                <w:color w:val="auto"/>
              </w:rPr>
              <w:t>”</w:t>
            </w:r>
          </w:p>
        </w:tc>
        <w:tc>
          <w:tcPr>
            <w:tcW w:w="2560" w:type="dxa"/>
            <w:vAlign w:val="bottom"/>
            <w:gridSpan w:val="2"/>
          </w:tcPr>
          <w:p>
            <w:pPr>
              <w:jc w:val="right"/>
              <w:spacing w:after="0"/>
              <w:rPr>
                <w:sz w:val="20"/>
                <w:szCs w:val="20"/>
                <w:color w:val="auto"/>
              </w:rPr>
            </w:pPr>
            <w:r>
              <w:rPr>
                <w:rFonts w:ascii="Arial" w:cs="Arial" w:eastAsia="Arial" w:hAnsi="Arial"/>
                <w:sz w:val="22"/>
                <w:szCs w:val="22"/>
                <w:color w:val="auto"/>
              </w:rPr>
              <w:t>2.03</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62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Special Put Option Offer</w:t>
            </w:r>
            <w:r>
              <w:rPr>
                <w:rFonts w:ascii="Arial" w:cs="Arial" w:eastAsia="Arial" w:hAnsi="Arial"/>
                <w:sz w:val="22"/>
                <w:szCs w:val="22"/>
                <w:color w:val="auto"/>
              </w:rPr>
              <w:t>”</w:t>
            </w:r>
          </w:p>
        </w:tc>
        <w:tc>
          <w:tcPr>
            <w:tcW w:w="2560" w:type="dxa"/>
            <w:vAlign w:val="bottom"/>
            <w:gridSpan w:val="2"/>
          </w:tcPr>
          <w:p>
            <w:pPr>
              <w:jc w:val="right"/>
              <w:spacing w:after="0"/>
              <w:rPr>
                <w:sz w:val="20"/>
                <w:szCs w:val="20"/>
                <w:color w:val="auto"/>
              </w:rPr>
            </w:pPr>
            <w:r>
              <w:rPr>
                <w:rFonts w:ascii="Arial" w:cs="Arial" w:eastAsia="Arial" w:hAnsi="Arial"/>
                <w:sz w:val="22"/>
                <w:szCs w:val="22"/>
                <w:color w:val="auto"/>
              </w:rPr>
              <w:t>4.10</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862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Special Put Option Payment</w:t>
            </w:r>
            <w:r>
              <w:rPr>
                <w:rFonts w:ascii="Arial" w:cs="Arial" w:eastAsia="Arial" w:hAnsi="Arial"/>
                <w:sz w:val="22"/>
                <w:szCs w:val="22"/>
                <w:color w:val="auto"/>
              </w:rPr>
              <w:t>”</w:t>
            </w:r>
          </w:p>
        </w:tc>
        <w:tc>
          <w:tcPr>
            <w:tcW w:w="2560" w:type="dxa"/>
            <w:vAlign w:val="bottom"/>
            <w:gridSpan w:val="2"/>
          </w:tcPr>
          <w:p>
            <w:pPr>
              <w:jc w:val="right"/>
              <w:spacing w:after="0"/>
              <w:rPr>
                <w:sz w:val="20"/>
                <w:szCs w:val="20"/>
                <w:color w:val="auto"/>
              </w:rPr>
            </w:pPr>
            <w:r>
              <w:rPr>
                <w:rFonts w:ascii="Arial" w:cs="Arial" w:eastAsia="Arial" w:hAnsi="Arial"/>
                <w:sz w:val="22"/>
                <w:szCs w:val="22"/>
                <w:color w:val="auto"/>
              </w:rPr>
              <w:t>4.10</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62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Surviving Person</w:t>
            </w:r>
            <w:r>
              <w:rPr>
                <w:rFonts w:ascii="Arial" w:cs="Arial" w:eastAsia="Arial" w:hAnsi="Arial"/>
                <w:sz w:val="22"/>
                <w:szCs w:val="22"/>
                <w:color w:val="auto"/>
              </w:rPr>
              <w:t>”</w:t>
            </w:r>
          </w:p>
        </w:tc>
        <w:tc>
          <w:tcPr>
            <w:tcW w:w="2560" w:type="dxa"/>
            <w:vAlign w:val="bottom"/>
            <w:gridSpan w:val="2"/>
          </w:tcPr>
          <w:p>
            <w:pPr>
              <w:jc w:val="right"/>
              <w:spacing w:after="0"/>
              <w:rPr>
                <w:sz w:val="20"/>
                <w:szCs w:val="20"/>
                <w:color w:val="auto"/>
              </w:rPr>
            </w:pPr>
            <w:r>
              <w:rPr>
                <w:rFonts w:ascii="Arial" w:cs="Arial" w:eastAsia="Arial" w:hAnsi="Arial"/>
                <w:sz w:val="22"/>
                <w:szCs w:val="22"/>
                <w:color w:val="auto"/>
              </w:rPr>
              <w:t>4.09</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62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Taxes</w:t>
            </w:r>
            <w:r>
              <w:rPr>
                <w:rFonts w:ascii="Arial" w:cs="Arial" w:eastAsia="Arial" w:hAnsi="Arial"/>
                <w:sz w:val="22"/>
                <w:szCs w:val="22"/>
                <w:color w:val="auto"/>
              </w:rPr>
              <w:t>”</w:t>
            </w:r>
          </w:p>
        </w:tc>
        <w:tc>
          <w:tcPr>
            <w:tcW w:w="2560" w:type="dxa"/>
            <w:vAlign w:val="bottom"/>
            <w:gridSpan w:val="2"/>
          </w:tcPr>
          <w:p>
            <w:pPr>
              <w:jc w:val="right"/>
              <w:spacing w:after="0"/>
              <w:rPr>
                <w:sz w:val="20"/>
                <w:szCs w:val="20"/>
                <w:color w:val="auto"/>
              </w:rPr>
            </w:pPr>
            <w:r>
              <w:rPr>
                <w:rFonts w:ascii="Arial" w:cs="Arial" w:eastAsia="Arial" w:hAnsi="Arial"/>
                <w:sz w:val="22"/>
                <w:szCs w:val="22"/>
                <w:color w:val="auto"/>
              </w:rPr>
              <w:t>4.09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Section 1.03 Rules of Construction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Unless the context otherwise requires:</w:t>
      </w:r>
    </w:p>
    <w:p>
      <w:pPr>
        <w:spacing w:after="0" w:line="220" w:lineRule="exact"/>
        <w:rPr>
          <w:sz w:val="20"/>
          <w:szCs w:val="20"/>
          <w:color w:val="auto"/>
        </w:rPr>
      </w:pPr>
    </w:p>
    <w:p>
      <w:pPr>
        <w:ind w:left="1960" w:hanging="656"/>
        <w:spacing w:after="0"/>
        <w:tabs>
          <w:tab w:leader="none" w:pos="19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a term has the meaning assigned to it;</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0"/>
          <w:numId w:val="36"/>
        </w:numPr>
        <w:rPr>
          <w:rFonts w:ascii="Arial" w:cs="Arial" w:eastAsia="Arial" w:hAnsi="Arial"/>
          <w:sz w:val="21"/>
          <w:szCs w:val="21"/>
          <w:color w:val="auto"/>
        </w:rPr>
      </w:pPr>
      <w:r>
        <w:rPr>
          <w:rFonts w:ascii="Arial" w:cs="Arial" w:eastAsia="Arial" w:hAnsi="Arial"/>
          <w:sz w:val="21"/>
          <w:szCs w:val="21"/>
          <w:color w:val="auto"/>
        </w:rPr>
        <w:t>an accounting term not otherwise defined has the meaning assigned to it in accordance with IFRS;</w:t>
      </w:r>
    </w:p>
    <w:p>
      <w:pPr>
        <w:spacing w:after="0" w:line="231" w:lineRule="exact"/>
        <w:rPr>
          <w:rFonts w:ascii="Arial" w:cs="Arial" w:eastAsia="Arial" w:hAnsi="Arial"/>
          <w:sz w:val="21"/>
          <w:szCs w:val="21"/>
          <w:color w:val="auto"/>
        </w:rPr>
      </w:pPr>
    </w:p>
    <w:p>
      <w:pPr>
        <w:ind w:left="1960" w:hanging="656"/>
        <w:spacing w:after="0"/>
        <w:tabs>
          <w:tab w:leader="none" w:pos="19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“or” is not exclusive;</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“including” is not limiting;</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40"/>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240"/>
          </w:cols>
          <w:pgMar w:left="320" w:top="1428" w:right="339" w:bottom="1440" w:gutter="0" w:footer="0" w:header="0"/>
          <w:type w:val="continuous"/>
        </w:sectPr>
      </w:pPr>
    </w:p>
    <w:bookmarkStart w:id="74" w:name="page75"/>
    <w:bookmarkEnd w:id="74"/>
    <w:p>
      <w:pPr>
        <w:ind w:left="1960" w:hanging="656"/>
        <w:spacing w:after="0"/>
        <w:tabs>
          <w:tab w:leader="none" w:pos="19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words in the singular include the plural, and in the plural include the singular;</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“will” and “shall” shall be interpreted to express a command;</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provisions apply to successive events and transactions;</w:t>
      </w:r>
    </w:p>
    <w:p>
      <w:pPr>
        <w:spacing w:after="0" w:line="219" w:lineRule="exact"/>
        <w:rPr>
          <w:rFonts w:ascii="Arial" w:cs="Arial" w:eastAsia="Arial" w:hAnsi="Arial"/>
          <w:sz w:val="22"/>
          <w:szCs w:val="22"/>
          <w:color w:val="auto"/>
        </w:rPr>
      </w:pPr>
    </w:p>
    <w:p>
      <w:pPr>
        <w:ind w:left="660" w:firstLine="644"/>
        <w:spacing w:after="0" w:line="263" w:lineRule="auto"/>
        <w:tabs>
          <w:tab w:leader="none" w:pos="1956" w:val="left"/>
        </w:tabs>
        <w:numPr>
          <w:ilvl w:val="0"/>
          <w:numId w:val="37"/>
        </w:numPr>
        <w:rPr>
          <w:rFonts w:ascii="Arial" w:cs="Arial" w:eastAsia="Arial" w:hAnsi="Arial"/>
          <w:sz w:val="22"/>
          <w:szCs w:val="22"/>
          <w:color w:val="auto"/>
        </w:rPr>
      </w:pPr>
      <w:r>
        <w:rPr>
          <w:rFonts w:ascii="Arial" w:cs="Arial" w:eastAsia="Arial" w:hAnsi="Arial"/>
          <w:sz w:val="22"/>
          <w:szCs w:val="22"/>
          <w:color w:val="auto"/>
        </w:rPr>
        <w:t>references to sections of or rules under the Securities Act shall be deemed to include substitute, replacement of successor sections or rules adopted by the SEC from time to time;</w:t>
      </w:r>
    </w:p>
    <w:p>
      <w:pPr>
        <w:spacing w:after="0" w:line="174" w:lineRule="exact"/>
        <w:rPr>
          <w:rFonts w:ascii="Arial" w:cs="Arial" w:eastAsia="Arial" w:hAnsi="Arial"/>
          <w:sz w:val="22"/>
          <w:szCs w:val="22"/>
          <w:color w:val="auto"/>
        </w:rPr>
      </w:pPr>
    </w:p>
    <w:p>
      <w:pPr>
        <w:ind w:left="660" w:firstLine="644"/>
        <w:spacing w:after="0" w:line="263" w:lineRule="auto"/>
        <w:tabs>
          <w:tab w:leader="none" w:pos="1956" w:val="left"/>
        </w:tabs>
        <w:numPr>
          <w:ilvl w:val="0"/>
          <w:numId w:val="37"/>
        </w:numPr>
        <w:rPr>
          <w:rFonts w:ascii="Arial" w:cs="Arial" w:eastAsia="Arial" w:hAnsi="Arial"/>
          <w:sz w:val="22"/>
          <w:szCs w:val="22"/>
          <w:color w:val="auto"/>
        </w:rPr>
      </w:pPr>
      <w:r>
        <w:rPr>
          <w:rFonts w:ascii="Arial" w:cs="Arial" w:eastAsia="Arial" w:hAnsi="Arial"/>
          <w:sz w:val="22"/>
          <w:szCs w:val="22"/>
          <w:color w:val="auto"/>
        </w:rPr>
        <w:t>references to any statute, law, rule or regulation shall be deemed to refer to the same as from time to time amended and in effect and to any successor statute, law, rule or regulation;</w:t>
      </w:r>
    </w:p>
    <w:p>
      <w:pPr>
        <w:spacing w:after="0" w:line="174" w:lineRule="exact"/>
        <w:rPr>
          <w:rFonts w:ascii="Arial" w:cs="Arial" w:eastAsia="Arial" w:hAnsi="Arial"/>
          <w:sz w:val="22"/>
          <w:szCs w:val="22"/>
          <w:color w:val="auto"/>
        </w:rPr>
      </w:pPr>
    </w:p>
    <w:p>
      <w:pPr>
        <w:jc w:val="both"/>
        <w:ind w:left="660" w:firstLine="644"/>
        <w:spacing w:after="0" w:line="253" w:lineRule="auto"/>
        <w:tabs>
          <w:tab w:leader="none" w:pos="1956" w:val="left"/>
        </w:tabs>
        <w:numPr>
          <w:ilvl w:val="0"/>
          <w:numId w:val="37"/>
        </w:numPr>
        <w:rPr>
          <w:rFonts w:ascii="Arial" w:cs="Arial" w:eastAsia="Arial" w:hAnsi="Arial"/>
          <w:sz w:val="22"/>
          <w:szCs w:val="22"/>
          <w:color w:val="auto"/>
        </w:rPr>
      </w:pPr>
      <w:r>
        <w:rPr>
          <w:rFonts w:ascii="Arial" w:cs="Arial" w:eastAsia="Arial" w:hAnsi="Arial"/>
          <w:sz w:val="22"/>
          <w:szCs w:val="22"/>
          <w:color w:val="auto"/>
        </w:rPr>
        <w:t>references to any contract, agreement or instrument shall mean the same as amended, modified, supplemented or amended and restated from time to time, in each case, in accordance with any applicable restrictions contained therein and in this Indenture; and</w:t>
      </w:r>
    </w:p>
    <w:p>
      <w:pPr>
        <w:spacing w:after="0" w:line="185" w:lineRule="exact"/>
        <w:rPr>
          <w:rFonts w:ascii="Arial" w:cs="Arial" w:eastAsia="Arial" w:hAnsi="Arial"/>
          <w:sz w:val="22"/>
          <w:szCs w:val="22"/>
          <w:color w:val="auto"/>
        </w:rPr>
      </w:pPr>
    </w:p>
    <w:p>
      <w:pPr>
        <w:jc w:val="both"/>
        <w:ind w:left="660" w:firstLine="644"/>
        <w:spacing w:after="0" w:line="253" w:lineRule="auto"/>
        <w:tabs>
          <w:tab w:leader="none" w:pos="1948"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consummation by the Issuer on the date of this Indenture of the transactions described in the Issuer’s offering memorandum, dated as of August 19, 2020, relating to the offering of the Initial Notes, shall be deemed to occur concurrently.</w:t>
      </w:r>
    </w:p>
    <w:p>
      <w:pPr>
        <w:spacing w:after="0" w:line="185"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2</w:t>
      </w:r>
    </w:p>
    <w:p>
      <w:pPr>
        <w:spacing w:after="0" w:line="220"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THE NOTES</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Section 2.01 Form and Dating</w:t>
      </w:r>
    </w:p>
    <w:p>
      <w:pPr>
        <w:spacing w:after="0" w:line="202" w:lineRule="exact"/>
        <w:rPr>
          <w:sz w:val="20"/>
          <w:szCs w:val="20"/>
          <w:color w:val="auto"/>
        </w:rPr>
      </w:pPr>
    </w:p>
    <w:p>
      <w:pPr>
        <w:jc w:val="both"/>
        <w:ind w:firstLine="332"/>
        <w:spacing w:after="0" w:line="250" w:lineRule="auto"/>
        <w:tabs>
          <w:tab w:leader="none" w:pos="805" w:val="left"/>
        </w:tabs>
        <w:numPr>
          <w:ilvl w:val="0"/>
          <w:numId w:val="38"/>
        </w:numPr>
        <w:rPr>
          <w:rFonts w:ascii="Arial" w:cs="Arial" w:eastAsia="Arial" w:hAnsi="Arial"/>
          <w:sz w:val="22"/>
          <w:szCs w:val="22"/>
          <w:i w:val="1"/>
          <w:iCs w:val="1"/>
          <w:color w:val="auto"/>
        </w:rPr>
      </w:pPr>
      <w:r>
        <w:rPr>
          <w:rFonts w:ascii="Arial" w:cs="Arial" w:eastAsia="Arial" w:hAnsi="Arial"/>
          <w:sz w:val="22"/>
          <w:szCs w:val="22"/>
          <w:i w:val="1"/>
          <w:iCs w:val="1"/>
          <w:color w:val="auto"/>
        </w:rPr>
        <w:t>General</w:t>
      </w:r>
      <w:r>
        <w:rPr>
          <w:rFonts w:ascii="Arial" w:cs="Arial" w:eastAsia="Arial" w:hAnsi="Arial"/>
          <w:sz w:val="22"/>
          <w:szCs w:val="22"/>
          <w:color w:val="auto"/>
        </w:rPr>
        <w:t>. The Notes and the Trustee’s certificate of authentication shall be substantially in the form of Exhibit A hereto.</w:t>
      </w:r>
      <w:r>
        <w:rPr>
          <w:rFonts w:ascii="Arial" w:cs="Arial" w:eastAsia="Arial" w:hAnsi="Arial"/>
          <w:sz w:val="22"/>
          <w:szCs w:val="22"/>
          <w:i w:val="1"/>
          <w:iCs w:val="1"/>
          <w:color w:val="auto"/>
        </w:rPr>
        <w:t xml:space="preserve"> </w:t>
      </w:r>
      <w:r>
        <w:rPr>
          <w:rFonts w:ascii="Arial" w:cs="Arial" w:eastAsia="Arial" w:hAnsi="Arial"/>
          <w:sz w:val="22"/>
          <w:szCs w:val="22"/>
          <w:color w:val="auto"/>
        </w:rPr>
        <w:t>The Notes may have notations, legends or endorsements required by law, stock exchange rule or usage. Each Note shall be dated the date of its authentication. The Notes shall be in denominations of US$200,000 or an integral multiple of US$1,000 in excess of US$200,000.</w:t>
      </w:r>
    </w:p>
    <w:p>
      <w:pPr>
        <w:spacing w:after="0" w:line="21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The terms and provisions contained in the Notes shall constitute, and are hereby expressly made, a part of this Indenture and the Issuer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215" w:lineRule="exact"/>
        <w:rPr>
          <w:sz w:val="20"/>
          <w:szCs w:val="20"/>
          <w:color w:val="auto"/>
        </w:rPr>
      </w:pPr>
    </w:p>
    <w:p>
      <w:pPr>
        <w:jc w:val="both"/>
        <w:ind w:firstLine="332"/>
        <w:spacing w:after="0" w:line="246" w:lineRule="auto"/>
        <w:tabs>
          <w:tab w:leader="none" w:pos="835" w:val="left"/>
        </w:tabs>
        <w:numPr>
          <w:ilvl w:val="0"/>
          <w:numId w:val="39"/>
        </w:numPr>
        <w:rPr>
          <w:rFonts w:ascii="Arial" w:cs="Arial" w:eastAsia="Arial" w:hAnsi="Arial"/>
          <w:sz w:val="22"/>
          <w:szCs w:val="22"/>
          <w:i w:val="1"/>
          <w:iCs w:val="1"/>
          <w:color w:val="auto"/>
        </w:rPr>
      </w:pPr>
      <w:r>
        <w:rPr>
          <w:rFonts w:ascii="Arial" w:cs="Arial" w:eastAsia="Arial" w:hAnsi="Arial"/>
          <w:sz w:val="22"/>
          <w:szCs w:val="22"/>
          <w:i w:val="1"/>
          <w:iCs w:val="1"/>
          <w:color w:val="auto"/>
        </w:rPr>
        <w:t>Global Notes</w:t>
      </w:r>
      <w:r>
        <w:rPr>
          <w:rFonts w:ascii="Arial" w:cs="Arial" w:eastAsia="Arial" w:hAnsi="Arial"/>
          <w:sz w:val="22"/>
          <w:szCs w:val="22"/>
          <w:color w:val="auto"/>
        </w:rPr>
        <w:t>. Notes issued in global form shall be substantially in the form of Exhibit A hereto (including the Global</w:t>
      </w:r>
      <w:r>
        <w:rPr>
          <w:rFonts w:ascii="Arial" w:cs="Arial" w:eastAsia="Arial" w:hAnsi="Arial"/>
          <w:sz w:val="22"/>
          <w:szCs w:val="22"/>
          <w:i w:val="1"/>
          <w:iCs w:val="1"/>
          <w:color w:val="auto"/>
        </w:rPr>
        <w:t xml:space="preserve"> </w:t>
      </w:r>
      <w:r>
        <w:rPr>
          <w:rFonts w:ascii="Arial" w:cs="Arial" w:eastAsia="Arial" w:hAnsi="Arial"/>
          <w:sz w:val="22"/>
          <w:szCs w:val="22"/>
          <w:color w:val="auto"/>
        </w:rPr>
        <w:t>Note Legend thereon and the “Schedule of Exchanges of Interests in the Global Note” attached thereto), which Notes shall be deposited on behalf of the holders of the Notes represented thereby with the Trustee, as Custodian for the Depositary, and registered in the name of the Depositary or the nominee of the Depositary. Notes issued in definitive form shall also be substantially in the form of Exhibit A attached hereto (but without the Global Note Legend thereon and without the “Schedule of Exchanges of Interests in the Global Note” attached thereto). Any Notes issued in global form and definitive form shall be duly executed by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75" w:name="page76"/>
    <w:bookmarkEnd w:id="75"/>
    <w:p>
      <w:pPr>
        <w:jc w:val="both"/>
        <w:spacing w:after="0" w:line="260" w:lineRule="auto"/>
        <w:rPr>
          <w:sz w:val="20"/>
          <w:szCs w:val="20"/>
          <w:color w:val="auto"/>
        </w:rPr>
      </w:pPr>
      <w:r>
        <w:rPr>
          <w:rFonts w:ascii="Arial" w:cs="Arial" w:eastAsia="Arial" w:hAnsi="Arial"/>
          <w:sz w:val="21"/>
          <w:szCs w:val="21"/>
          <w:color w:val="auto"/>
        </w:rPr>
        <w:t>the Issuer and authenticated by the Trustee as hereinafter provided. Each Global Note shall represent such of the outstanding Notes as shall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 hereof.</w:t>
      </w:r>
    </w:p>
    <w:p>
      <w:pPr>
        <w:spacing w:after="0" w:line="207" w:lineRule="exact"/>
        <w:rPr>
          <w:sz w:val="20"/>
          <w:szCs w:val="20"/>
          <w:color w:val="auto"/>
        </w:rPr>
      </w:pPr>
    </w:p>
    <w:p>
      <w:pPr>
        <w:jc w:val="both"/>
        <w:ind w:firstLine="332"/>
        <w:spacing w:after="0" w:line="250" w:lineRule="auto"/>
        <w:tabs>
          <w:tab w:leader="none" w:pos="924" w:val="left"/>
        </w:tabs>
        <w:numPr>
          <w:ilvl w:val="0"/>
          <w:numId w:val="40"/>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Euroclear and Clearstream Procedures Applicable. </w:t>
      </w:r>
      <w:r>
        <w:rPr>
          <w:rFonts w:ascii="Arial" w:cs="Arial" w:eastAsia="Arial" w:hAnsi="Arial"/>
          <w:sz w:val="22"/>
          <w:szCs w:val="22"/>
          <w:color w:val="auto"/>
        </w:rPr>
        <w:t>The provisions of the “Operating Procedures of the Euroclear</w:t>
      </w:r>
      <w:r>
        <w:rPr>
          <w:rFonts w:ascii="Arial" w:cs="Arial" w:eastAsia="Arial" w:hAnsi="Arial"/>
          <w:sz w:val="22"/>
          <w:szCs w:val="22"/>
          <w:i w:val="1"/>
          <w:iCs w:val="1"/>
          <w:color w:val="auto"/>
        </w:rPr>
        <w:t xml:space="preserve"> </w:t>
      </w:r>
      <w:r>
        <w:rPr>
          <w:rFonts w:ascii="Arial" w:cs="Arial" w:eastAsia="Arial" w:hAnsi="Arial"/>
          <w:sz w:val="22"/>
          <w:szCs w:val="22"/>
          <w:color w:val="auto"/>
        </w:rPr>
        <w:t>System” and “Terms and Conditions Governing Use of Euroclear” and the “General Terms and Conditions of Clearstream Banking” and “Customer Handbook” of Clearstream shall be applicable to transfers of beneficial interests in the Regulation S Global Note that are held by Participants through Euroclear or Clearstream.</w:t>
      </w:r>
    </w:p>
    <w:p>
      <w:pPr>
        <w:spacing w:after="0" w:line="215"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2.02</w:t>
      </w:r>
      <w:r>
        <w:rPr>
          <w:sz w:val="20"/>
          <w:szCs w:val="20"/>
          <w:color w:val="auto"/>
        </w:rPr>
        <w:tab/>
      </w:r>
      <w:r>
        <w:rPr>
          <w:rFonts w:ascii="Arial" w:cs="Arial" w:eastAsia="Arial" w:hAnsi="Arial"/>
          <w:sz w:val="19"/>
          <w:szCs w:val="19"/>
          <w:i w:val="1"/>
          <w:iCs w:val="1"/>
          <w:color w:val="auto"/>
        </w:rPr>
        <w:t>Execution and Authentication</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 Designated Officer must sign the Notes for the Issuer by manual or facsimile signature.</w:t>
      </w:r>
    </w:p>
    <w:p>
      <w:pPr>
        <w:spacing w:after="0" w:line="24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22"/>
          <w:szCs w:val="22"/>
          <w:color w:val="auto"/>
        </w:rPr>
        <w:t>If a Designated Officer whose signature is on a Note no longer holds that office at the time a Note is authenticated, the Note shall nevertheless be valid.</w:t>
      </w:r>
    </w:p>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22"/>
          <w:szCs w:val="22"/>
          <w:color w:val="auto"/>
        </w:rPr>
        <w:t>A Note shall not be valid until authenticated by the electronic or manual signature of the Trustee. The signature shall be conclusive evidence that the Note has been authenticated under this Indenture.</w:t>
      </w:r>
    </w:p>
    <w:p>
      <w:pPr>
        <w:spacing w:after="0" w:line="202"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22"/>
          <w:szCs w:val="22"/>
          <w:color w:val="auto"/>
        </w:rPr>
        <w:t>The Trustee shall, upon receipt of a written order of the Issuer signed by a Designated Officer of the Issuer (an “</w:t>
      </w:r>
      <w:r>
        <w:rPr>
          <w:rFonts w:ascii="Arial" w:cs="Arial" w:eastAsia="Arial" w:hAnsi="Arial"/>
          <w:sz w:val="22"/>
          <w:szCs w:val="22"/>
          <w:i w:val="1"/>
          <w:iCs w:val="1"/>
          <w:color w:val="auto"/>
        </w:rPr>
        <w:t>Authentication Order</w:t>
      </w:r>
      <w:r>
        <w:rPr>
          <w:rFonts w:ascii="Arial" w:cs="Arial" w:eastAsia="Arial" w:hAnsi="Arial"/>
          <w:sz w:val="22"/>
          <w:szCs w:val="22"/>
          <w:color w:val="auto"/>
        </w:rPr>
        <w:t>”), authenticate Notes for original issue that may be validly issued under this Indenture, including any Additional Notes (including Notes to be issued in substitution for outstanding Notes to reflect any name change of the Issuer, by succession permitted hereunder or otherwise). The aggregate principal amount of Notes outstanding at any time may not exceed the aggregate principal amount of Notes authorized for issuance by the Issuer pursuant to one or more Authentication Orders, except as provided in Section 2.07 hereof.</w:t>
      </w:r>
    </w:p>
    <w:p>
      <w:pPr>
        <w:spacing w:after="0" w:line="22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The Trustee may appoint an authenticating agent acceptable to the Issuer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w:t>
      </w:r>
    </w:p>
    <w:p>
      <w:pPr>
        <w:spacing w:after="0" w:line="215"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2.03</w:t>
      </w:r>
      <w:r>
        <w:rPr>
          <w:sz w:val="20"/>
          <w:szCs w:val="20"/>
          <w:color w:val="auto"/>
        </w:rPr>
        <w:tab/>
      </w:r>
      <w:r>
        <w:rPr>
          <w:rFonts w:ascii="Arial" w:cs="Arial" w:eastAsia="Arial" w:hAnsi="Arial"/>
          <w:sz w:val="19"/>
          <w:szCs w:val="19"/>
          <w:i w:val="1"/>
          <w:iCs w:val="1"/>
          <w:color w:val="auto"/>
        </w:rPr>
        <w:t>Registrar and Paying Agent</w:t>
      </w:r>
    </w:p>
    <w:p>
      <w:pPr>
        <w:spacing w:after="0" w:line="220"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21"/>
          <w:szCs w:val="21"/>
          <w:color w:val="auto"/>
        </w:rPr>
        <w:t>The Issuer shall maintain an office or agency where Notes may be presented for registration of transfer or for exchange (“</w:t>
      </w:r>
      <w:r>
        <w:rPr>
          <w:rFonts w:ascii="Arial" w:cs="Arial" w:eastAsia="Arial" w:hAnsi="Arial"/>
          <w:sz w:val="21"/>
          <w:szCs w:val="21"/>
          <w:i w:val="1"/>
          <w:iCs w:val="1"/>
          <w:color w:val="auto"/>
        </w:rPr>
        <w:t>Registrar</w:t>
      </w:r>
      <w:r>
        <w:rPr>
          <w:rFonts w:ascii="Arial" w:cs="Arial" w:eastAsia="Arial" w:hAnsi="Arial"/>
          <w:sz w:val="21"/>
          <w:szCs w:val="21"/>
          <w:color w:val="auto"/>
        </w:rPr>
        <w:t>”) and an office or agency where Notes may be presented for payment (“</w:t>
      </w:r>
      <w:r>
        <w:rPr>
          <w:rFonts w:ascii="Arial" w:cs="Arial" w:eastAsia="Arial" w:hAnsi="Arial"/>
          <w:sz w:val="21"/>
          <w:szCs w:val="21"/>
          <w:i w:val="1"/>
          <w:iCs w:val="1"/>
          <w:color w:val="auto"/>
        </w:rPr>
        <w:t>Paying Agent</w:t>
      </w:r>
      <w:r>
        <w:rPr>
          <w:rFonts w:ascii="Arial" w:cs="Arial" w:eastAsia="Arial" w:hAnsi="Arial"/>
          <w:sz w:val="21"/>
          <w:szCs w:val="21"/>
          <w:color w:val="auto"/>
        </w:rPr>
        <w:t>”). The Registrar shall keep a register of the Notes and of their transfer and exchange. The Issuer may appoint one or more co-registrars and one or more additional paying agents. The term “Registrar” includes any co-registrar and the term “Paying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76" w:name="page77"/>
    <w:bookmarkEnd w:id="76"/>
    <w:p>
      <w:pPr>
        <w:jc w:val="both"/>
        <w:spacing w:after="0" w:line="247" w:lineRule="auto"/>
        <w:rPr>
          <w:sz w:val="20"/>
          <w:szCs w:val="20"/>
          <w:color w:val="auto"/>
        </w:rPr>
      </w:pPr>
      <w:r>
        <w:rPr>
          <w:rFonts w:ascii="Arial" w:cs="Arial" w:eastAsia="Arial" w:hAnsi="Arial"/>
          <w:sz w:val="22"/>
          <w:szCs w:val="22"/>
          <w:color w:val="auto"/>
        </w:rPr>
        <w:t>Agent” includes any additional paying agent. The Issuer may change any Paying Agent or Registrar without notice to any Holder. The Issuer shall notify the Trustee in writing of the name and address of any Agent not a party to this Indenture. If the Issuer fails to appoint or maintain another entity as Registrar or Paying Agent, the Trustee shall act as such. The Issuer or any of its Subsidiaries may act as Paying Agent or Registrar.</w:t>
      </w:r>
    </w:p>
    <w:p>
      <w:pPr>
        <w:spacing w:after="0" w:line="3"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9"/>
          <w:szCs w:val="19"/>
          <w:color w:val="auto"/>
        </w:rPr>
        <w:t>The Issuer initially appoints The Depository Trust Company (“</w:t>
      </w:r>
      <w:r>
        <w:rPr>
          <w:rFonts w:ascii="Arial" w:cs="Arial" w:eastAsia="Arial" w:hAnsi="Arial"/>
          <w:sz w:val="19"/>
          <w:szCs w:val="19"/>
          <w:i w:val="1"/>
          <w:iCs w:val="1"/>
          <w:color w:val="auto"/>
        </w:rPr>
        <w:t>DTC</w:t>
      </w:r>
      <w:r>
        <w:rPr>
          <w:rFonts w:ascii="Arial" w:cs="Arial" w:eastAsia="Arial" w:hAnsi="Arial"/>
          <w:sz w:val="19"/>
          <w:szCs w:val="19"/>
          <w:color w:val="auto"/>
        </w:rPr>
        <w:t>”) to act as Depositary with respect to the Global Notes. None of the Trustee or Agents shall have any responsibility or obligation to any beneficial owner of an interest in a global note, any agent member or other member of, or a participant in, DTC or other person with respect to the accuracy of the records of DTC or any nominee or participant or member thereof, with respect to any ownership interest in the notes or with respect to the delivery to any agent member or other participant, member, beneficial owner or other person (other than DTC) of any notice or the payment of any amount or delivery of any notes (or other security or property) under or with respect to such notes. All notices and communications to be given to the holders and all payments to be made to holders in respect of the notes shall be given or made only to or upon the order of the registered holders (which shall be DTC or its nominee in the case of a global note). The rights of beneficial owners in any global note shall be exercised only through DTC, subject to its applicable rules and procedures. The Trustee and Agents may rely and shall be fully protected in relying upon information furnished by DTC with respect to its agent members and other members, participants and any beneficial owners.</w:t>
      </w:r>
    </w:p>
    <w:p>
      <w:pPr>
        <w:spacing w:after="0" w:line="19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22"/>
          <w:szCs w:val="22"/>
          <w:color w:val="auto"/>
        </w:rPr>
        <w:t>The Issuer initially appoints the Trustee to act as the Registrar and Paying Agent and to act as Custodian with respect to the Global Notes.</w:t>
      </w:r>
    </w:p>
    <w:p>
      <w:pPr>
        <w:spacing w:after="0" w:line="202"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2.04</w:t>
      </w:r>
      <w:r>
        <w:rPr>
          <w:sz w:val="20"/>
          <w:szCs w:val="20"/>
          <w:color w:val="auto"/>
        </w:rPr>
        <w:tab/>
      </w:r>
      <w:r>
        <w:rPr>
          <w:rFonts w:ascii="Arial" w:cs="Arial" w:eastAsia="Arial" w:hAnsi="Arial"/>
          <w:sz w:val="19"/>
          <w:szCs w:val="19"/>
          <w:i w:val="1"/>
          <w:iCs w:val="1"/>
          <w:color w:val="auto"/>
        </w:rPr>
        <w:t>Paying Agent to Hold Money in Trust</w:t>
      </w:r>
    </w:p>
    <w:p>
      <w:pPr>
        <w:spacing w:after="0" w:line="22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21"/>
          <w:szCs w:val="21"/>
          <w:color w:val="auto"/>
        </w:rPr>
        <w:t>The Issuer shall require each Paying Agent other than the Trustee to agree in writing that the Paying Agent shall hold in trust for the benefit of Holders or the Trustee all money held by the Paying Agent for the payment of principal, premium, if any, or interest on the Notes, and shall notify the Trustee (if the Trustee is not serving as Paying Agent) of any default by the Issuer in making any such payment. While any such default continues, the Trustee may require a Paying Agent to pay all money held by it to the Trustee. The Issuer at any time may require a Paying Agent to pay all money held by it to the Trustee. Upon payment over to the Trustee, the Paying Agent (if other than the Issuer or a Subsidiary thereof) shall have no further liability for the money. If the Issuer or a Subsidiary acts as Paying Agent, it shall segregate and hold in a separate trust fund for the benefit of the Holders all money held by it as Paying Agent. Upon any bankruptcy or reorganization proceedings relating to the Issuer, the Trustee shall serve as Paying Agent for the Notes.</w:t>
      </w:r>
    </w:p>
    <w:p>
      <w:pPr>
        <w:spacing w:after="0" w:line="220"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2.05</w:t>
      </w:r>
      <w:r>
        <w:rPr>
          <w:sz w:val="20"/>
          <w:szCs w:val="20"/>
          <w:color w:val="auto"/>
        </w:rPr>
        <w:tab/>
      </w:r>
      <w:r>
        <w:rPr>
          <w:rFonts w:ascii="Arial" w:cs="Arial" w:eastAsia="Arial" w:hAnsi="Arial"/>
          <w:sz w:val="19"/>
          <w:szCs w:val="19"/>
          <w:i w:val="1"/>
          <w:iCs w:val="1"/>
          <w:color w:val="auto"/>
        </w:rPr>
        <w:t>Holder Lists</w:t>
      </w:r>
    </w:p>
    <w:p>
      <w:pPr>
        <w:spacing w:after="0" w:line="22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9"/>
          <w:szCs w:val="19"/>
          <w:color w:val="auto"/>
        </w:rPr>
        <w:t>The Trustee shall preserve in as current a form as is reasonably practicable the most recent list available to it of the names and addresses of all Holders. If the Trustee is not the Registrar, the Issuer shall furnish to the Trustee at least seven Business Days before each interest payment date and at such other times as the Trustee may request in writing, a list in such form and as of such date as the Trustee may reasonably require of the names and addresses of the Holders of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77" w:name="page78"/>
    <w:bookmarkEnd w:id="77"/>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2.06</w:t>
      </w:r>
      <w:r>
        <w:rPr>
          <w:sz w:val="20"/>
          <w:szCs w:val="20"/>
          <w:color w:val="auto"/>
        </w:rPr>
        <w:tab/>
      </w:r>
      <w:r>
        <w:rPr>
          <w:rFonts w:ascii="Arial" w:cs="Arial" w:eastAsia="Arial" w:hAnsi="Arial"/>
          <w:sz w:val="19"/>
          <w:szCs w:val="19"/>
          <w:i w:val="1"/>
          <w:iCs w:val="1"/>
          <w:color w:val="auto"/>
        </w:rPr>
        <w:t>Transfer and Exchange</w:t>
      </w:r>
    </w:p>
    <w:p>
      <w:pPr>
        <w:spacing w:after="0" w:line="220" w:lineRule="exact"/>
        <w:rPr>
          <w:sz w:val="20"/>
          <w:szCs w:val="20"/>
          <w:color w:val="auto"/>
        </w:rPr>
      </w:pPr>
    </w:p>
    <w:p>
      <w:pPr>
        <w:jc w:val="both"/>
        <w:ind w:firstLine="332"/>
        <w:spacing w:after="0" w:line="250" w:lineRule="auto"/>
        <w:tabs>
          <w:tab w:leader="none" w:pos="798" w:val="left"/>
        </w:tabs>
        <w:numPr>
          <w:ilvl w:val="0"/>
          <w:numId w:val="41"/>
        </w:numPr>
        <w:rPr>
          <w:rFonts w:ascii="Arial" w:cs="Arial" w:eastAsia="Arial" w:hAnsi="Arial"/>
          <w:sz w:val="22"/>
          <w:szCs w:val="22"/>
          <w:i w:val="1"/>
          <w:iCs w:val="1"/>
          <w:color w:val="auto"/>
        </w:rPr>
      </w:pPr>
      <w:r>
        <w:rPr>
          <w:rFonts w:ascii="Arial" w:cs="Arial" w:eastAsia="Arial" w:hAnsi="Arial"/>
          <w:sz w:val="22"/>
          <w:szCs w:val="22"/>
          <w:i w:val="1"/>
          <w:iCs w:val="1"/>
          <w:color w:val="auto"/>
        </w:rPr>
        <w:t>Transfer and Exchange of Global Notes</w:t>
      </w:r>
      <w:r>
        <w:rPr>
          <w:rFonts w:ascii="Arial" w:cs="Arial" w:eastAsia="Arial" w:hAnsi="Arial"/>
          <w:sz w:val="22"/>
          <w:szCs w:val="22"/>
          <w:color w:val="auto"/>
        </w:rPr>
        <w:t>. A Global Note may not be transferred except as a whole by the Depositary to a</w:t>
      </w:r>
      <w:r>
        <w:rPr>
          <w:rFonts w:ascii="Arial" w:cs="Arial" w:eastAsia="Arial" w:hAnsi="Arial"/>
          <w:sz w:val="22"/>
          <w:szCs w:val="22"/>
          <w:i w:val="1"/>
          <w:iCs w:val="1"/>
          <w:color w:val="auto"/>
        </w:rPr>
        <w:t xml:space="preserve"> </w:t>
      </w:r>
      <w:r>
        <w:rPr>
          <w:rFonts w:ascii="Arial" w:cs="Arial" w:eastAsia="Arial" w:hAnsi="Arial"/>
          <w:sz w:val="22"/>
          <w:szCs w:val="22"/>
          <w:color w:val="auto"/>
        </w:rPr>
        <w:t>nominee of the Depositary, by a nominee of the Depositary to the Depositary or to another nominee of the Depositary, or by the Depositary or any such nominee to a successor Depositary or a nominee of such successor Depositary. All Global Notes shall be exchanged by the Issuer for Definitive Notes if:</w:t>
      </w:r>
    </w:p>
    <w:p>
      <w:pPr>
        <w:spacing w:after="0" w:line="215" w:lineRule="exact"/>
        <w:rPr>
          <w:sz w:val="20"/>
          <w:szCs w:val="20"/>
          <w:color w:val="auto"/>
        </w:rPr>
      </w:pPr>
    </w:p>
    <w:p>
      <w:pPr>
        <w:jc w:val="both"/>
        <w:ind w:firstLine="332"/>
        <w:spacing w:after="0" w:line="271" w:lineRule="auto"/>
        <w:tabs>
          <w:tab w:leader="none" w:pos="842"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the Issuer delivers to the Trustee written notice from the Depositary that it is unwilling or unable to continue to act as Depositary or that it is no longer a clearing agency registered under the Exchange Act and, in either case, a successor Depositary is not appointed by the Issuer within 120 days after the date of such notice from the Depositary;</w:t>
      </w:r>
    </w:p>
    <w:p>
      <w:pPr>
        <w:spacing w:after="0" w:line="194" w:lineRule="exact"/>
        <w:rPr>
          <w:rFonts w:ascii="Arial" w:cs="Arial" w:eastAsia="Arial" w:hAnsi="Arial"/>
          <w:sz w:val="21"/>
          <w:szCs w:val="21"/>
          <w:color w:val="auto"/>
        </w:rPr>
      </w:pPr>
    </w:p>
    <w:p>
      <w:pPr>
        <w:ind w:firstLine="332"/>
        <w:spacing w:after="0" w:line="263" w:lineRule="auto"/>
        <w:tabs>
          <w:tab w:leader="none" w:pos="88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Issuer in its sole discretion determines that the Global Notes (in whole but not in part) should be exchanged for Definitive Notes and delivers a written notice to such effect to the Trustee; or</w:t>
      </w:r>
    </w:p>
    <w:p>
      <w:pPr>
        <w:spacing w:after="0" w:line="201" w:lineRule="exact"/>
        <w:rPr>
          <w:rFonts w:ascii="Arial" w:cs="Arial" w:eastAsia="Arial" w:hAnsi="Arial"/>
          <w:sz w:val="22"/>
          <w:szCs w:val="22"/>
          <w:color w:val="auto"/>
        </w:rPr>
      </w:pPr>
    </w:p>
    <w:p>
      <w:pPr>
        <w:jc w:val="both"/>
        <w:ind w:firstLine="332"/>
        <w:spacing w:after="0" w:line="253" w:lineRule="auto"/>
        <w:tabs>
          <w:tab w:leader="none" w:pos="841" w:val="left"/>
        </w:tabs>
        <w:numPr>
          <w:ilvl w:val="0"/>
          <w:numId w:val="42"/>
        </w:numPr>
        <w:rPr>
          <w:rFonts w:ascii="Arial" w:cs="Arial" w:eastAsia="Arial" w:hAnsi="Arial"/>
          <w:sz w:val="22"/>
          <w:szCs w:val="22"/>
          <w:color w:val="auto"/>
        </w:rPr>
      </w:pPr>
      <w:r>
        <w:rPr>
          <w:rFonts w:ascii="Arial" w:cs="Arial" w:eastAsia="Arial" w:hAnsi="Arial"/>
          <w:sz w:val="22"/>
          <w:szCs w:val="22"/>
          <w:color w:val="auto"/>
        </w:rPr>
        <w:t>following the occurrence and during the continuation of a Default or Event of Default, any Person having a beneficial interest in a Global Note requests that the Global Notes should be exchanged for Definitive Notes and delivers a written notice to such effect to the Trustee.</w:t>
      </w:r>
    </w:p>
    <w:p>
      <w:pPr>
        <w:spacing w:after="0" w:line="226"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9"/>
          <w:szCs w:val="19"/>
          <w:color w:val="auto"/>
        </w:rPr>
        <w:t>Upon the occurrence of either of the preceding events in (1) or (2) above, Definitive Notes shall be issued in such names as the Depositary shall instruct the Trustee. Global Notes also may be exchanged or replaced, in whole or in part, as provided in Sections 2.07 and 2.10 hereof. Every Note authenticated and delivered in exchange for, or in lieu of, a Global Note or any portion thereof, pursuant to this Section 2.06, or Section 2.07 or Section 2.10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or (c) hereof.</w:t>
      </w:r>
    </w:p>
    <w:p>
      <w:pPr>
        <w:spacing w:after="0" w:line="176" w:lineRule="exact"/>
        <w:rPr>
          <w:sz w:val="20"/>
          <w:szCs w:val="20"/>
          <w:color w:val="auto"/>
        </w:rPr>
      </w:pPr>
    </w:p>
    <w:p>
      <w:pPr>
        <w:jc w:val="both"/>
        <w:ind w:firstLine="332"/>
        <w:spacing w:after="0" w:line="247" w:lineRule="auto"/>
        <w:tabs>
          <w:tab w:leader="none" w:pos="829" w:val="left"/>
        </w:tabs>
        <w:numPr>
          <w:ilvl w:val="0"/>
          <w:numId w:val="43"/>
        </w:numPr>
        <w:rPr>
          <w:rFonts w:ascii="Arial" w:cs="Arial" w:eastAsia="Arial" w:hAnsi="Arial"/>
          <w:sz w:val="22"/>
          <w:szCs w:val="22"/>
          <w:i w:val="1"/>
          <w:iCs w:val="1"/>
          <w:color w:val="auto"/>
        </w:rPr>
      </w:pPr>
      <w:r>
        <w:rPr>
          <w:rFonts w:ascii="Arial" w:cs="Arial" w:eastAsia="Arial" w:hAnsi="Arial"/>
          <w:sz w:val="22"/>
          <w:szCs w:val="22"/>
          <w:i w:val="1"/>
          <w:iCs w:val="1"/>
          <w:color w:val="auto"/>
        </w:rPr>
        <w:t>Transfer and Exchange of Beneficial Interests in the Global Notes</w:t>
      </w:r>
      <w:r>
        <w:rPr>
          <w:rFonts w:ascii="Arial" w:cs="Arial" w:eastAsia="Arial" w:hAnsi="Arial"/>
          <w:sz w:val="22"/>
          <w:szCs w:val="22"/>
          <w:color w:val="auto"/>
        </w:rPr>
        <w:t>. The transfer and exchange of beneficial interests in</w:t>
      </w:r>
      <w:r>
        <w:rPr>
          <w:rFonts w:ascii="Arial" w:cs="Arial" w:eastAsia="Arial" w:hAnsi="Arial"/>
          <w:sz w:val="22"/>
          <w:szCs w:val="22"/>
          <w:i w:val="1"/>
          <w:iCs w:val="1"/>
          <w:color w:val="auto"/>
        </w:rPr>
        <w:t xml:space="preserve"> </w:t>
      </w:r>
      <w:r>
        <w:rPr>
          <w:rFonts w:ascii="Arial" w:cs="Arial" w:eastAsia="Arial" w:hAnsi="Arial"/>
          <w:sz w:val="22"/>
          <w:szCs w:val="22"/>
          <w:color w:val="auto"/>
        </w:rPr>
        <w:t>the Global Notes shall be 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subparagraph (1) or (2) below, as applicable, as well as one or more of the other following subparagraphs, as applicable:</w:t>
      </w:r>
    </w:p>
    <w:p>
      <w:pPr>
        <w:spacing w:after="0" w:line="220" w:lineRule="exact"/>
        <w:rPr>
          <w:sz w:val="20"/>
          <w:szCs w:val="20"/>
          <w:color w:val="auto"/>
        </w:rPr>
      </w:pPr>
    </w:p>
    <w:p>
      <w:pPr>
        <w:jc w:val="both"/>
        <w:ind w:firstLine="332"/>
        <w:spacing w:after="0" w:line="294" w:lineRule="auto"/>
        <w:tabs>
          <w:tab w:leader="none" w:pos="886" w:val="left"/>
        </w:tabs>
        <w:numPr>
          <w:ilvl w:val="0"/>
          <w:numId w:val="44"/>
        </w:numPr>
        <w:rPr>
          <w:rFonts w:ascii="Arial" w:cs="Arial" w:eastAsia="Arial" w:hAnsi="Arial"/>
          <w:sz w:val="19"/>
          <w:szCs w:val="19"/>
          <w:i w:val="1"/>
          <w:iCs w:val="1"/>
          <w:color w:val="auto"/>
        </w:rPr>
      </w:pPr>
      <w:r>
        <w:rPr>
          <w:rFonts w:ascii="Arial" w:cs="Arial" w:eastAsia="Arial" w:hAnsi="Arial"/>
          <w:sz w:val="19"/>
          <w:szCs w:val="19"/>
          <w:i w:val="1"/>
          <w:iCs w:val="1"/>
          <w:color w:val="auto"/>
        </w:rPr>
        <w:t>Transfer of Beneficial Interests in the Same Global Note</w:t>
      </w:r>
      <w:r>
        <w:rPr>
          <w:rFonts w:ascii="Arial" w:cs="Arial" w:eastAsia="Arial" w:hAnsi="Arial"/>
          <w:sz w:val="19"/>
          <w:szCs w:val="19"/>
          <w:color w:val="auto"/>
        </w:rPr>
        <w:t>. Beneficial interests in any Restricted Global Note may be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transferred to Persons who take delivery thereof in the form of a beneficial interest in the same Restricted Global Note in accordance with the transfer restrictions set forth in the Private Placement Legend; </w:t>
      </w:r>
      <w:r>
        <w:rPr>
          <w:rFonts w:ascii="Arial" w:cs="Arial" w:eastAsia="Arial" w:hAnsi="Arial"/>
          <w:sz w:val="19"/>
          <w:szCs w:val="19"/>
          <w:i w:val="1"/>
          <w:iCs w:val="1"/>
          <w:color w:val="auto"/>
        </w:rPr>
        <w:t>provided, however</w:t>
      </w:r>
      <w:r>
        <w:rPr>
          <w:rFonts w:ascii="Arial" w:cs="Arial" w:eastAsia="Arial" w:hAnsi="Arial"/>
          <w:sz w:val="19"/>
          <w:szCs w:val="19"/>
          <w:color w:val="auto"/>
        </w:rPr>
        <w:t>, that prior to the expiration of the Restricted Period, transfers of beneficial interests in the Regulation S Global Note may not be made to a U.S. Person or for the account or benefit of a U.S. Person (other than by the Issuer to an Initial Purchaser). Beneficial interests in any Unrestricted Global Note may be transferred to Persons who take delivery thereof in the form of a beneficial interest in an Unrestricted Global</w:t>
      </w:r>
    </w:p>
    <w:p>
      <w:pPr>
        <w:spacing w:after="0" w:line="200" w:lineRule="exact"/>
        <w:rPr>
          <w:sz w:val="20"/>
          <w:szCs w:val="20"/>
          <w:color w:val="auto"/>
        </w:rPr>
      </w:pPr>
    </w:p>
    <w:p>
      <w:pPr>
        <w:spacing w:after="0" w:line="395"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78" w:name="page79"/>
    <w:bookmarkEnd w:id="78"/>
    <w:p>
      <w:pPr>
        <w:spacing w:after="0" w:line="263" w:lineRule="auto"/>
        <w:rPr>
          <w:sz w:val="20"/>
          <w:szCs w:val="20"/>
          <w:color w:val="auto"/>
        </w:rPr>
      </w:pPr>
      <w:r>
        <w:rPr>
          <w:rFonts w:ascii="Arial" w:cs="Arial" w:eastAsia="Arial" w:hAnsi="Arial"/>
          <w:sz w:val="22"/>
          <w:szCs w:val="22"/>
          <w:color w:val="auto"/>
        </w:rPr>
        <w:t>Note. No written orders or instructions shall be required to be delivered to the Registrar to effect the transfers described in this Section 2.06(b)(1).</w:t>
      </w:r>
    </w:p>
    <w:p>
      <w:pPr>
        <w:spacing w:after="0" w:line="202" w:lineRule="exact"/>
        <w:rPr>
          <w:sz w:val="20"/>
          <w:szCs w:val="20"/>
          <w:color w:val="auto"/>
        </w:rPr>
      </w:pPr>
    </w:p>
    <w:p>
      <w:pPr>
        <w:jc w:val="both"/>
        <w:ind w:firstLine="332"/>
        <w:spacing w:after="0" w:line="253" w:lineRule="auto"/>
        <w:tabs>
          <w:tab w:leader="none" w:pos="961" w:val="left"/>
        </w:tabs>
        <w:numPr>
          <w:ilvl w:val="0"/>
          <w:numId w:val="45"/>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All Other Transfers and Exchanges of Beneficial Interests in Global Notes. </w:t>
      </w:r>
      <w:r>
        <w:rPr>
          <w:rFonts w:ascii="Arial" w:cs="Arial" w:eastAsia="Arial" w:hAnsi="Arial"/>
          <w:sz w:val="22"/>
          <w:szCs w:val="22"/>
          <w:color w:val="auto"/>
        </w:rPr>
        <w:t>In connection with all transfers and</w:t>
      </w:r>
      <w:r>
        <w:rPr>
          <w:rFonts w:ascii="Arial" w:cs="Arial" w:eastAsia="Arial" w:hAnsi="Arial"/>
          <w:sz w:val="22"/>
          <w:szCs w:val="22"/>
          <w:i w:val="1"/>
          <w:iCs w:val="1"/>
          <w:color w:val="auto"/>
        </w:rPr>
        <w:t xml:space="preserve"> </w:t>
      </w:r>
      <w:r>
        <w:rPr>
          <w:rFonts w:ascii="Arial" w:cs="Arial" w:eastAsia="Arial" w:hAnsi="Arial"/>
          <w:sz w:val="22"/>
          <w:szCs w:val="22"/>
          <w:color w:val="auto"/>
        </w:rPr>
        <w:t>exchanges of beneficial interests that are not subject to Section 2.06(b)(1) above, the transferor of such beneficial interest must deliver to the Registrar either:</w:t>
      </w:r>
    </w:p>
    <w:p>
      <w:pPr>
        <w:spacing w:after="0" w:line="212" w:lineRule="exact"/>
        <w:rPr>
          <w:rFonts w:ascii="Arial" w:cs="Arial" w:eastAsia="Arial" w:hAnsi="Arial"/>
          <w:sz w:val="22"/>
          <w:szCs w:val="22"/>
          <w:i w:val="1"/>
          <w:iCs w:val="1"/>
          <w:color w:val="auto"/>
        </w:rPr>
      </w:pPr>
    </w:p>
    <w:p>
      <w:pPr>
        <w:ind w:left="1440" w:hanging="460"/>
        <w:spacing w:after="0"/>
        <w:tabs>
          <w:tab w:leader="none" w:pos="1440" w:val="left"/>
        </w:tabs>
        <w:numPr>
          <w:ilvl w:val="1"/>
          <w:numId w:val="45"/>
        </w:numPr>
        <w:rPr>
          <w:rFonts w:ascii="Arial" w:cs="Arial" w:eastAsia="Arial" w:hAnsi="Arial"/>
          <w:sz w:val="22"/>
          <w:szCs w:val="22"/>
          <w:color w:val="auto"/>
        </w:rPr>
      </w:pPr>
      <w:r>
        <w:rPr>
          <w:rFonts w:ascii="Arial" w:cs="Arial" w:eastAsia="Arial" w:hAnsi="Arial"/>
          <w:sz w:val="22"/>
          <w:szCs w:val="22"/>
          <w:color w:val="auto"/>
        </w:rPr>
        <w:t>both:</w:t>
      </w:r>
    </w:p>
    <w:p>
      <w:pPr>
        <w:spacing w:after="0" w:line="246" w:lineRule="exact"/>
        <w:rPr>
          <w:rFonts w:ascii="Arial" w:cs="Arial" w:eastAsia="Arial" w:hAnsi="Arial"/>
          <w:sz w:val="22"/>
          <w:szCs w:val="22"/>
          <w:color w:val="auto"/>
        </w:rPr>
      </w:pPr>
    </w:p>
    <w:p>
      <w:pPr>
        <w:jc w:val="both"/>
        <w:ind w:left="980" w:firstLine="729"/>
        <w:spacing w:after="0" w:line="271" w:lineRule="auto"/>
        <w:tabs>
          <w:tab w:leader="none" w:pos="2180" w:val="left"/>
        </w:tabs>
        <w:numPr>
          <w:ilvl w:val="2"/>
          <w:numId w:val="45"/>
        </w:numPr>
        <w:rPr>
          <w:rFonts w:ascii="Arial" w:cs="Arial" w:eastAsia="Arial" w:hAnsi="Arial"/>
          <w:sz w:val="21"/>
          <w:szCs w:val="21"/>
          <w:color w:val="auto"/>
        </w:rPr>
      </w:pPr>
      <w:r>
        <w:rPr>
          <w:rFonts w:ascii="Arial" w:cs="Arial" w:eastAsia="Arial" w:hAnsi="Arial"/>
          <w:sz w:val="21"/>
          <w:szCs w:val="21"/>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67" w:lineRule="exact"/>
        <w:rPr>
          <w:rFonts w:ascii="Arial" w:cs="Arial" w:eastAsia="Arial" w:hAnsi="Arial"/>
          <w:sz w:val="21"/>
          <w:szCs w:val="21"/>
          <w:color w:val="auto"/>
        </w:rPr>
      </w:pPr>
    </w:p>
    <w:p>
      <w:pPr>
        <w:ind w:left="980" w:firstLine="729"/>
        <w:spacing w:after="0" w:line="263" w:lineRule="auto"/>
        <w:tabs>
          <w:tab w:leader="none" w:pos="2254" w:val="left"/>
        </w:tabs>
        <w:numPr>
          <w:ilvl w:val="2"/>
          <w:numId w:val="45"/>
        </w:numPr>
        <w:rPr>
          <w:rFonts w:ascii="Arial" w:cs="Arial" w:eastAsia="Arial" w:hAnsi="Arial"/>
          <w:sz w:val="22"/>
          <w:szCs w:val="22"/>
          <w:color w:val="auto"/>
        </w:rPr>
      </w:pPr>
      <w:r>
        <w:rPr>
          <w:rFonts w:ascii="Arial" w:cs="Arial" w:eastAsia="Arial" w:hAnsi="Arial"/>
          <w:sz w:val="22"/>
          <w:szCs w:val="22"/>
          <w:color w:val="auto"/>
        </w:rPr>
        <w:t>instructions given in accordance with the Applicable Procedures containing information regarding the Participant account to be credited with such increase; or</w:t>
      </w:r>
    </w:p>
    <w:p>
      <w:pPr>
        <w:spacing w:after="0" w:line="174" w:lineRule="exact"/>
        <w:rPr>
          <w:rFonts w:ascii="Arial" w:cs="Arial" w:eastAsia="Arial" w:hAnsi="Arial"/>
          <w:sz w:val="22"/>
          <w:szCs w:val="22"/>
          <w:color w:val="auto"/>
        </w:rPr>
      </w:pPr>
    </w:p>
    <w:p>
      <w:pPr>
        <w:ind w:left="1440" w:hanging="460"/>
        <w:spacing w:after="0"/>
        <w:tabs>
          <w:tab w:leader="none" w:pos="1440" w:val="left"/>
        </w:tabs>
        <w:numPr>
          <w:ilvl w:val="1"/>
          <w:numId w:val="45"/>
        </w:numPr>
        <w:rPr>
          <w:rFonts w:ascii="Arial" w:cs="Arial" w:eastAsia="Arial" w:hAnsi="Arial"/>
          <w:sz w:val="22"/>
          <w:szCs w:val="22"/>
          <w:color w:val="auto"/>
        </w:rPr>
      </w:pPr>
      <w:r>
        <w:rPr>
          <w:rFonts w:ascii="Arial" w:cs="Arial" w:eastAsia="Arial" w:hAnsi="Arial"/>
          <w:sz w:val="22"/>
          <w:szCs w:val="22"/>
          <w:color w:val="auto"/>
        </w:rPr>
        <w:t>both:</w:t>
      </w:r>
    </w:p>
    <w:p>
      <w:pPr>
        <w:spacing w:after="0" w:line="260" w:lineRule="exact"/>
        <w:rPr>
          <w:rFonts w:ascii="Arial" w:cs="Arial" w:eastAsia="Arial" w:hAnsi="Arial"/>
          <w:sz w:val="22"/>
          <w:szCs w:val="22"/>
          <w:color w:val="auto"/>
        </w:rPr>
      </w:pPr>
    </w:p>
    <w:p>
      <w:pPr>
        <w:jc w:val="both"/>
        <w:ind w:left="980" w:firstLine="729"/>
        <w:spacing w:after="0" w:line="253" w:lineRule="auto"/>
        <w:tabs>
          <w:tab w:leader="none" w:pos="2180" w:val="left"/>
        </w:tabs>
        <w:numPr>
          <w:ilvl w:val="2"/>
          <w:numId w:val="45"/>
        </w:numPr>
        <w:rPr>
          <w:rFonts w:ascii="Arial" w:cs="Arial" w:eastAsia="Arial" w:hAnsi="Arial"/>
          <w:sz w:val="22"/>
          <w:szCs w:val="22"/>
          <w:color w:val="auto"/>
        </w:rPr>
      </w:pPr>
      <w:r>
        <w:rPr>
          <w:rFonts w:ascii="Arial" w:cs="Arial" w:eastAsia="Arial" w:hAnsi="Arial"/>
          <w:sz w:val="22"/>
          <w:szCs w:val="22"/>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185" w:lineRule="exact"/>
        <w:rPr>
          <w:rFonts w:ascii="Arial" w:cs="Arial" w:eastAsia="Arial" w:hAnsi="Arial"/>
          <w:sz w:val="22"/>
          <w:szCs w:val="22"/>
          <w:color w:val="auto"/>
        </w:rPr>
      </w:pPr>
    </w:p>
    <w:p>
      <w:pPr>
        <w:ind w:left="980" w:right="20" w:firstLine="729"/>
        <w:spacing w:after="0" w:line="343" w:lineRule="auto"/>
        <w:tabs>
          <w:tab w:leader="none" w:pos="2287" w:val="left"/>
        </w:tabs>
        <w:numPr>
          <w:ilvl w:val="2"/>
          <w:numId w:val="45"/>
        </w:numPr>
        <w:rPr>
          <w:rFonts w:ascii="Arial" w:cs="Arial" w:eastAsia="Arial" w:hAnsi="Arial"/>
          <w:sz w:val="19"/>
          <w:szCs w:val="19"/>
          <w:color w:val="auto"/>
        </w:rPr>
      </w:pPr>
      <w:r>
        <w:rPr>
          <w:rFonts w:ascii="Arial" w:cs="Arial" w:eastAsia="Arial" w:hAnsi="Arial"/>
          <w:sz w:val="19"/>
          <w:szCs w:val="19"/>
          <w:color w:val="auto"/>
        </w:rPr>
        <w:t>instructions given by the Depositary to the Registrar containing information regarding the Person in whose name such Definitive Note shall be registered to effect the transfer or exchange referred to in (1) above.</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2.06(g) hereof.</w:t>
      </w:r>
    </w:p>
    <w:p>
      <w:pPr>
        <w:spacing w:after="0" w:line="185" w:lineRule="exact"/>
        <w:rPr>
          <w:sz w:val="20"/>
          <w:szCs w:val="20"/>
          <w:color w:val="auto"/>
        </w:rPr>
      </w:pPr>
    </w:p>
    <w:p>
      <w:pPr>
        <w:jc w:val="both"/>
        <w:ind w:firstLine="332"/>
        <w:spacing w:after="0" w:line="312" w:lineRule="auto"/>
        <w:tabs>
          <w:tab w:leader="none" w:pos="842" w:val="left"/>
        </w:tabs>
        <w:numPr>
          <w:ilvl w:val="0"/>
          <w:numId w:val="46"/>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Transfer of Beneficial Interests to Another Restricted Global Note. </w:t>
      </w:r>
      <w:r>
        <w:rPr>
          <w:rFonts w:ascii="Arial" w:cs="Arial" w:eastAsia="Arial" w:hAnsi="Arial"/>
          <w:sz w:val="19"/>
          <w:szCs w:val="19"/>
          <w:color w:val="auto"/>
        </w:rPr>
        <w:t>A beneficial interest in any Restricted Global Note</w:t>
      </w:r>
      <w:r>
        <w:rPr>
          <w:rFonts w:ascii="Arial" w:cs="Arial" w:eastAsia="Arial" w:hAnsi="Arial"/>
          <w:sz w:val="19"/>
          <w:szCs w:val="19"/>
          <w:i w:val="1"/>
          <w:iCs w:val="1"/>
          <w:color w:val="auto"/>
        </w:rPr>
        <w:t xml:space="preserve"> </w:t>
      </w:r>
      <w:r>
        <w:rPr>
          <w:rFonts w:ascii="Arial" w:cs="Arial" w:eastAsia="Arial" w:hAnsi="Arial"/>
          <w:sz w:val="19"/>
          <w:szCs w:val="19"/>
          <w:color w:val="auto"/>
        </w:rPr>
        <w:t>may be transferred to a Person who takes delivery thereof in the form of a beneficial interest in another Restricted Global Note if the transfer complies with the requirements of Section 2.06(b)(2) above and the Registrar receives the following:</w:t>
      </w:r>
    </w:p>
    <w:p>
      <w:pPr>
        <w:spacing w:after="0" w:line="160" w:lineRule="exact"/>
        <w:rPr>
          <w:rFonts w:ascii="Arial" w:cs="Arial" w:eastAsia="Arial" w:hAnsi="Arial"/>
          <w:sz w:val="19"/>
          <w:szCs w:val="19"/>
          <w:i w:val="1"/>
          <w:iCs w:val="1"/>
          <w:color w:val="auto"/>
        </w:rPr>
      </w:pPr>
    </w:p>
    <w:p>
      <w:pPr>
        <w:ind w:left="660" w:firstLine="320"/>
        <w:spacing w:after="0" w:line="343" w:lineRule="auto"/>
        <w:tabs>
          <w:tab w:leader="none" w:pos="1634" w:val="left"/>
        </w:tabs>
        <w:numPr>
          <w:ilvl w:val="1"/>
          <w:numId w:val="46"/>
        </w:numPr>
        <w:rPr>
          <w:rFonts w:ascii="Arial" w:cs="Arial" w:eastAsia="Arial" w:hAnsi="Arial"/>
          <w:sz w:val="19"/>
          <w:szCs w:val="19"/>
          <w:color w:val="auto"/>
        </w:rPr>
      </w:pPr>
      <w:r>
        <w:rPr>
          <w:rFonts w:ascii="Arial" w:cs="Arial" w:eastAsia="Arial" w:hAnsi="Arial"/>
          <w:sz w:val="19"/>
          <w:szCs w:val="19"/>
          <w:color w:val="auto"/>
        </w:rPr>
        <w:t>if the transferee shall take delivery in the form of a beneficial interest in the 144A Global Note, then the transferor must deliver a certificate in the form of Exhibit B hereto, including the certifications in item (1) thereof; and</w:t>
      </w:r>
    </w:p>
    <w:p>
      <w:pPr>
        <w:spacing w:after="0" w:line="131" w:lineRule="exact"/>
        <w:rPr>
          <w:rFonts w:ascii="Arial" w:cs="Arial" w:eastAsia="Arial" w:hAnsi="Arial"/>
          <w:sz w:val="19"/>
          <w:szCs w:val="19"/>
          <w:color w:val="auto"/>
        </w:rPr>
      </w:pPr>
    </w:p>
    <w:p>
      <w:pPr>
        <w:ind w:left="660" w:firstLine="320"/>
        <w:spacing w:after="0" w:line="343" w:lineRule="auto"/>
        <w:tabs>
          <w:tab w:leader="none" w:pos="1510" w:val="left"/>
        </w:tabs>
        <w:numPr>
          <w:ilvl w:val="1"/>
          <w:numId w:val="46"/>
        </w:numPr>
        <w:rPr>
          <w:rFonts w:ascii="Arial" w:cs="Arial" w:eastAsia="Arial" w:hAnsi="Arial"/>
          <w:sz w:val="19"/>
          <w:szCs w:val="19"/>
          <w:color w:val="auto"/>
        </w:rPr>
      </w:pPr>
      <w:r>
        <w:rPr>
          <w:rFonts w:ascii="Arial" w:cs="Arial" w:eastAsia="Arial" w:hAnsi="Arial"/>
          <w:sz w:val="19"/>
          <w:szCs w:val="19"/>
          <w:color w:val="auto"/>
        </w:rPr>
        <w:t>if the transferee shall take delivery in the form of a beneficial interest in the Regulation S Global Note, then the transferor must deliver a certificate in the form of Exhibit B hereto, including the certifications in item (2) thereof.</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8" w:right="339" w:bottom="1440" w:gutter="0" w:footer="0" w:header="0"/>
        </w:sectPr>
      </w:pPr>
    </w:p>
    <w:bookmarkStart w:id="79" w:name="page80"/>
    <w:bookmarkEnd w:id="79"/>
    <w:p>
      <w:pPr>
        <w:jc w:val="both"/>
        <w:ind w:firstLine="332"/>
        <w:spacing w:after="0" w:line="248" w:lineRule="auto"/>
        <w:tabs>
          <w:tab w:leader="none" w:pos="870" w:val="left"/>
        </w:tabs>
        <w:numPr>
          <w:ilvl w:val="0"/>
          <w:numId w:val="47"/>
        </w:numPr>
        <w:rPr>
          <w:rFonts w:ascii="Arial" w:cs="Arial" w:eastAsia="Arial" w:hAnsi="Arial"/>
          <w:sz w:val="22"/>
          <w:szCs w:val="22"/>
          <w:i w:val="1"/>
          <w:iCs w:val="1"/>
          <w:color w:val="auto"/>
        </w:rPr>
      </w:pPr>
      <w:r>
        <w:rPr>
          <w:rFonts w:ascii="Arial" w:cs="Arial" w:eastAsia="Arial" w:hAnsi="Arial"/>
          <w:sz w:val="22"/>
          <w:szCs w:val="22"/>
          <w:i w:val="1"/>
          <w:iCs w:val="1"/>
          <w:color w:val="auto"/>
        </w:rPr>
        <w:t>Transfer and Exchange of Beneficial Interests in a Restricted Global Note for Beneficial Interests in an Unrestricted Global Note</w:t>
      </w:r>
      <w:r>
        <w:rPr>
          <w:rFonts w:ascii="Arial" w:cs="Arial" w:eastAsia="Arial" w:hAnsi="Arial"/>
          <w:sz w:val="22"/>
          <w:szCs w:val="22"/>
          <w:color w:val="auto"/>
        </w:rPr>
        <w:t>. A beneficial interest in any Restricted Global Note may be exchanged by any holder thereof for a beneficial interest</w:t>
      </w:r>
      <w:r>
        <w:rPr>
          <w:rFonts w:ascii="Arial" w:cs="Arial" w:eastAsia="Arial" w:hAnsi="Arial"/>
          <w:sz w:val="22"/>
          <w:szCs w:val="22"/>
          <w:i w:val="1"/>
          <w:iCs w:val="1"/>
          <w:color w:val="auto"/>
        </w:rPr>
        <w:t xml:space="preserve"> </w:t>
      </w:r>
      <w:r>
        <w:rPr>
          <w:rFonts w:ascii="Arial" w:cs="Arial" w:eastAsia="Arial" w:hAnsi="Arial"/>
          <w:sz w:val="22"/>
          <w:szCs w:val="22"/>
          <w:color w:val="auto"/>
        </w:rPr>
        <w:t>in an Unrestricted Global Note or transferred to a Person who takes delivery thereof in the form of a beneficial interest in an Unrestricted Global Note if the exchange or transfer complies with the requirements of Section 2.06(b)(2) above and the Registrar receives the following:</w:t>
      </w:r>
    </w:p>
    <w:p>
      <w:pPr>
        <w:spacing w:after="0" w:line="218" w:lineRule="exact"/>
        <w:rPr>
          <w:rFonts w:ascii="Arial" w:cs="Arial" w:eastAsia="Arial" w:hAnsi="Arial"/>
          <w:sz w:val="22"/>
          <w:szCs w:val="22"/>
          <w:i w:val="1"/>
          <w:iCs w:val="1"/>
          <w:color w:val="auto"/>
        </w:rPr>
      </w:pPr>
    </w:p>
    <w:p>
      <w:pPr>
        <w:jc w:val="both"/>
        <w:ind w:left="660" w:firstLine="320"/>
        <w:spacing w:after="0" w:line="253" w:lineRule="auto"/>
        <w:tabs>
          <w:tab w:leader="none" w:pos="1505" w:val="left"/>
        </w:tabs>
        <w:numPr>
          <w:ilvl w:val="1"/>
          <w:numId w:val="47"/>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exchange such beneficial interest for a beneficial interest in an Unrestricted Global Note, a certificate from such holder in the form of Exhibit C hereto, including the certifications in item (1)(a) thereof; or</w:t>
      </w:r>
    </w:p>
    <w:p>
      <w:pPr>
        <w:spacing w:after="0" w:line="212" w:lineRule="exact"/>
        <w:rPr>
          <w:rFonts w:ascii="Arial" w:cs="Arial" w:eastAsia="Arial" w:hAnsi="Arial"/>
          <w:sz w:val="22"/>
          <w:szCs w:val="22"/>
          <w:color w:val="auto"/>
        </w:rPr>
      </w:pPr>
    </w:p>
    <w:p>
      <w:pPr>
        <w:jc w:val="both"/>
        <w:ind w:left="660" w:firstLine="320"/>
        <w:spacing w:after="0" w:line="271" w:lineRule="auto"/>
        <w:tabs>
          <w:tab w:leader="none" w:pos="1524" w:val="left"/>
        </w:tabs>
        <w:numPr>
          <w:ilvl w:val="1"/>
          <w:numId w:val="47"/>
        </w:numPr>
        <w:rPr>
          <w:rFonts w:ascii="Arial" w:cs="Arial" w:eastAsia="Arial" w:hAnsi="Arial"/>
          <w:sz w:val="21"/>
          <w:szCs w:val="21"/>
          <w:color w:val="auto"/>
        </w:rPr>
      </w:pPr>
      <w:r>
        <w:rPr>
          <w:rFonts w:ascii="Arial" w:cs="Arial" w:eastAsia="Arial" w:hAnsi="Arial"/>
          <w:sz w:val="21"/>
          <w:szCs w:val="21"/>
          <w:color w:val="auto"/>
        </w:rPr>
        <w:t>if the holder of such beneficial interest in a Restricted Global Note proposes to transfer such beneficial interest to a Person who shall take delivery thereof in the form of a beneficial interest in an Unrestricted Global Note, a certificate from such holder in the form of Exhibit B hereto, including the certifications in item (4) thereof;</w:t>
      </w:r>
    </w:p>
    <w:p>
      <w:pPr>
        <w:spacing w:after="0" w:line="194"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22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If any such transfer is effected pursuant to paragraph (4) above at a time when an Unrestricted Global Note has not yet been issued, the Issuer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paragraph (4) above.</w:t>
      </w:r>
    </w:p>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22"/>
          <w:szCs w:val="22"/>
          <w:color w:val="auto"/>
        </w:rPr>
        <w:t>Beneficial interests in an Unrestricted Global Note cannot be exchanged for, or transferred to Persons who take delivery thereof in the form of, a beneficial interest in a Restricted Global Note.</w:t>
      </w:r>
    </w:p>
    <w:p>
      <w:pPr>
        <w:spacing w:after="0" w:line="202" w:lineRule="exact"/>
        <w:rPr>
          <w:sz w:val="20"/>
          <w:szCs w:val="20"/>
          <w:color w:val="auto"/>
        </w:rPr>
      </w:pPr>
    </w:p>
    <w:p>
      <w:pPr>
        <w:ind w:left="780" w:hanging="448"/>
        <w:spacing w:after="0"/>
        <w:tabs>
          <w:tab w:leader="none" w:pos="780" w:val="left"/>
        </w:tabs>
        <w:numPr>
          <w:ilvl w:val="0"/>
          <w:numId w:val="48"/>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Transfer or </w:t>
      </w:r>
      <w:r>
        <w:rPr>
          <w:rFonts w:ascii="Arial" w:cs="Arial" w:eastAsia="Arial" w:hAnsi="Arial"/>
          <w:sz w:val="22"/>
          <w:szCs w:val="22"/>
          <w:color w:val="auto"/>
        </w:rPr>
        <w:t>Exchange</w:t>
      </w:r>
      <w:r>
        <w:rPr>
          <w:rFonts w:ascii="Arial" w:cs="Arial" w:eastAsia="Arial" w:hAnsi="Arial"/>
          <w:sz w:val="22"/>
          <w:szCs w:val="22"/>
          <w:i w:val="1"/>
          <w:iCs w:val="1"/>
          <w:color w:val="auto"/>
        </w:rPr>
        <w:t xml:space="preserve"> of Beneficial Interests for Definitive Notes</w:t>
      </w:r>
      <w:r>
        <w:rPr>
          <w:rFonts w:ascii="Arial" w:cs="Arial" w:eastAsia="Arial" w:hAnsi="Arial"/>
          <w:sz w:val="22"/>
          <w:szCs w:val="22"/>
          <w:color w:val="auto"/>
        </w:rPr>
        <w:t>.</w:t>
      </w:r>
    </w:p>
    <w:p>
      <w:pPr>
        <w:spacing w:after="0" w:line="246" w:lineRule="exact"/>
        <w:rPr>
          <w:rFonts w:ascii="Arial" w:cs="Arial" w:eastAsia="Arial" w:hAnsi="Arial"/>
          <w:sz w:val="22"/>
          <w:szCs w:val="22"/>
          <w:i w:val="1"/>
          <w:iCs w:val="1"/>
          <w:color w:val="auto"/>
        </w:rPr>
      </w:pPr>
    </w:p>
    <w:p>
      <w:pPr>
        <w:jc w:val="both"/>
        <w:ind w:left="660" w:firstLine="320"/>
        <w:spacing w:after="0" w:line="250" w:lineRule="auto"/>
        <w:tabs>
          <w:tab w:leader="none" w:pos="1587" w:val="left"/>
        </w:tabs>
        <w:numPr>
          <w:ilvl w:val="1"/>
          <w:numId w:val="48"/>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Beneficial Interests in Restricted Global Notes to Restricted Definitive Notes. </w:t>
      </w:r>
      <w:r>
        <w:rPr>
          <w:rFonts w:ascii="Arial" w:cs="Arial" w:eastAsia="Arial" w:hAnsi="Arial"/>
          <w:sz w:val="22"/>
          <w:szCs w:val="22"/>
          <w:color w:val="auto"/>
        </w:rPr>
        <w:t>If any holder of a beneficial</w:t>
      </w:r>
      <w:r>
        <w:rPr>
          <w:rFonts w:ascii="Arial" w:cs="Arial" w:eastAsia="Arial" w:hAnsi="Arial"/>
          <w:sz w:val="22"/>
          <w:szCs w:val="22"/>
          <w:i w:val="1"/>
          <w:iCs w:val="1"/>
          <w:color w:val="auto"/>
        </w:rPr>
        <w:t xml:space="preserve"> </w:t>
      </w:r>
      <w:r>
        <w:rPr>
          <w:rFonts w:ascii="Arial" w:cs="Arial" w:eastAsia="Arial" w:hAnsi="Arial"/>
          <w:sz w:val="22"/>
          <w:szCs w:val="22"/>
          <w:color w:val="auto"/>
        </w:rPr>
        <w:t>interest in a 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215" w:lineRule="exact"/>
        <w:rPr>
          <w:sz w:val="20"/>
          <w:szCs w:val="20"/>
          <w:color w:val="auto"/>
        </w:rPr>
      </w:pPr>
    </w:p>
    <w:p>
      <w:pPr>
        <w:jc w:val="both"/>
        <w:ind w:left="660" w:firstLine="320"/>
        <w:spacing w:after="0" w:line="253" w:lineRule="auto"/>
        <w:tabs>
          <w:tab w:leader="none" w:pos="1505" w:val="left"/>
        </w:tabs>
        <w:numPr>
          <w:ilvl w:val="0"/>
          <w:numId w:val="49"/>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exchange such beneficial interest for a Restricted Definitive Note, a certificate from such holder in the form of Exhibit C hereto, including the certifications in item (2)(a)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8" w:right="339" w:bottom="1440" w:gutter="0" w:footer="0" w:header="0"/>
        </w:sectPr>
      </w:pPr>
    </w:p>
    <w:bookmarkStart w:id="80" w:name="page81"/>
    <w:bookmarkEnd w:id="80"/>
    <w:p>
      <w:pPr>
        <w:ind w:left="660" w:firstLine="320"/>
        <w:spacing w:after="0" w:line="263" w:lineRule="auto"/>
        <w:tabs>
          <w:tab w:leader="none" w:pos="1518" w:val="left"/>
        </w:tabs>
        <w:numPr>
          <w:ilvl w:val="1"/>
          <w:numId w:val="50"/>
        </w:numPr>
        <w:rPr>
          <w:rFonts w:ascii="Arial" w:cs="Arial" w:eastAsia="Arial" w:hAnsi="Arial"/>
          <w:sz w:val="22"/>
          <w:szCs w:val="22"/>
          <w:color w:val="auto"/>
        </w:rPr>
      </w:pPr>
      <w:r>
        <w:rPr>
          <w:rFonts w:ascii="Arial" w:cs="Arial" w:eastAsia="Arial" w:hAnsi="Arial"/>
          <w:sz w:val="22"/>
          <w:szCs w:val="22"/>
          <w:color w:val="auto"/>
        </w:rPr>
        <w:t>if such beneficial interest is being transferred to a QIB in accordance with Rule 144A, a certificate to the effect set forth in Exhibit B hereto, including the certifications in item (1) thereof;</w:t>
      </w:r>
    </w:p>
    <w:p>
      <w:pPr>
        <w:spacing w:after="0" w:line="201" w:lineRule="exact"/>
        <w:rPr>
          <w:rFonts w:ascii="Arial" w:cs="Arial" w:eastAsia="Arial" w:hAnsi="Arial"/>
          <w:sz w:val="22"/>
          <w:szCs w:val="22"/>
          <w:color w:val="auto"/>
        </w:rPr>
      </w:pPr>
    </w:p>
    <w:p>
      <w:pPr>
        <w:jc w:val="both"/>
        <w:ind w:left="660" w:firstLine="320"/>
        <w:spacing w:after="0" w:line="291" w:lineRule="auto"/>
        <w:tabs>
          <w:tab w:leader="none" w:pos="1491" w:val="left"/>
        </w:tabs>
        <w:numPr>
          <w:ilvl w:val="1"/>
          <w:numId w:val="50"/>
        </w:numPr>
        <w:rPr>
          <w:rFonts w:ascii="Arial" w:cs="Arial" w:eastAsia="Arial" w:hAnsi="Arial"/>
          <w:sz w:val="19"/>
          <w:szCs w:val="19"/>
          <w:color w:val="auto"/>
        </w:rPr>
      </w:pPr>
      <w:r>
        <w:rPr>
          <w:rFonts w:ascii="Arial" w:cs="Arial" w:eastAsia="Arial" w:hAnsi="Arial"/>
          <w:sz w:val="19"/>
          <w:szCs w:val="19"/>
          <w:color w:val="auto"/>
        </w:rPr>
        <w:t>if such beneficial interest is being transferred to a Non-U.S. Person in an offshore transaction in accordance with Rule 903 or Rule 904, a certificate to the effect set forth in Exhibit B hereto, including the certifications in item</w:t>
      </w:r>
    </w:p>
    <w:p>
      <w:pPr>
        <w:spacing w:after="0" w:line="1" w:lineRule="exact"/>
        <w:rPr>
          <w:rFonts w:ascii="Arial" w:cs="Arial" w:eastAsia="Arial" w:hAnsi="Arial"/>
          <w:sz w:val="19"/>
          <w:szCs w:val="19"/>
          <w:color w:val="auto"/>
        </w:rPr>
      </w:pPr>
    </w:p>
    <w:p>
      <w:pPr>
        <w:ind w:left="960" w:hanging="304"/>
        <w:spacing w:after="0"/>
        <w:tabs>
          <w:tab w:leader="none" w:pos="9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thereof;</w:t>
      </w:r>
    </w:p>
    <w:p>
      <w:pPr>
        <w:spacing w:after="0" w:line="228" w:lineRule="exact"/>
        <w:rPr>
          <w:rFonts w:ascii="Arial" w:cs="Arial" w:eastAsia="Arial" w:hAnsi="Arial"/>
          <w:sz w:val="22"/>
          <w:szCs w:val="22"/>
          <w:color w:val="auto"/>
        </w:rPr>
      </w:pPr>
    </w:p>
    <w:p>
      <w:pPr>
        <w:jc w:val="both"/>
        <w:ind w:left="660" w:firstLine="320"/>
        <w:spacing w:after="0" w:line="253" w:lineRule="auto"/>
        <w:tabs>
          <w:tab w:leader="none" w:pos="1505" w:val="left"/>
        </w:tabs>
        <w:numPr>
          <w:ilvl w:val="1"/>
          <w:numId w:val="51"/>
        </w:numPr>
        <w:rPr>
          <w:rFonts w:ascii="Arial" w:cs="Arial" w:eastAsia="Arial" w:hAnsi="Arial"/>
          <w:sz w:val="22"/>
          <w:szCs w:val="22"/>
          <w:color w:val="auto"/>
        </w:rPr>
      </w:pPr>
      <w:r>
        <w:rPr>
          <w:rFonts w:ascii="Arial" w:cs="Arial" w:eastAsia="Arial" w:hAnsi="Arial"/>
          <w:sz w:val="22"/>
          <w:szCs w:val="22"/>
          <w:color w:val="auto"/>
        </w:rPr>
        <w:t>if such beneficial interest is being transferred pursuant to an exemption from the registration requirements of the Securities Act in accordance with Rule 144, a certificate to the effect set forth in Exhibit B hereto, including the certifications in item (3)(a) thereof;</w:t>
      </w:r>
    </w:p>
    <w:p>
      <w:pPr>
        <w:spacing w:after="0" w:line="212" w:lineRule="exact"/>
        <w:rPr>
          <w:rFonts w:ascii="Arial" w:cs="Arial" w:eastAsia="Arial" w:hAnsi="Arial"/>
          <w:sz w:val="22"/>
          <w:szCs w:val="22"/>
          <w:color w:val="auto"/>
        </w:rPr>
      </w:pPr>
    </w:p>
    <w:p>
      <w:pPr>
        <w:ind w:left="660" w:firstLine="320"/>
        <w:spacing w:after="0" w:line="263" w:lineRule="auto"/>
        <w:tabs>
          <w:tab w:leader="none" w:pos="1485" w:val="left"/>
        </w:tabs>
        <w:numPr>
          <w:ilvl w:val="1"/>
          <w:numId w:val="51"/>
        </w:numPr>
        <w:rPr>
          <w:rFonts w:ascii="Arial" w:cs="Arial" w:eastAsia="Arial" w:hAnsi="Arial"/>
          <w:sz w:val="22"/>
          <w:szCs w:val="22"/>
          <w:color w:val="auto"/>
        </w:rPr>
      </w:pPr>
      <w:r>
        <w:rPr>
          <w:rFonts w:ascii="Arial" w:cs="Arial" w:eastAsia="Arial" w:hAnsi="Arial"/>
          <w:sz w:val="22"/>
          <w:szCs w:val="22"/>
          <w:color w:val="auto"/>
        </w:rPr>
        <w:t>if such beneficial interest is being transferred to the Issuer or any of its Subsidiaries, a certificate to the effect set forth in Exhibit B hereto, including the certifications in item (3)(b) thereof; or</w:t>
      </w:r>
    </w:p>
    <w:p>
      <w:pPr>
        <w:spacing w:after="0" w:line="215" w:lineRule="exact"/>
        <w:rPr>
          <w:rFonts w:ascii="Arial" w:cs="Arial" w:eastAsia="Arial" w:hAnsi="Arial"/>
          <w:sz w:val="22"/>
          <w:szCs w:val="22"/>
          <w:color w:val="auto"/>
        </w:rPr>
      </w:pPr>
    </w:p>
    <w:p>
      <w:pPr>
        <w:ind w:left="660" w:firstLine="320"/>
        <w:spacing w:after="0" w:line="343" w:lineRule="auto"/>
        <w:tabs>
          <w:tab w:leader="none" w:pos="1487" w:val="left"/>
        </w:tabs>
        <w:numPr>
          <w:ilvl w:val="1"/>
          <w:numId w:val="51"/>
        </w:numPr>
        <w:rPr>
          <w:rFonts w:ascii="Arial" w:cs="Arial" w:eastAsia="Arial" w:hAnsi="Arial"/>
          <w:sz w:val="19"/>
          <w:szCs w:val="19"/>
          <w:color w:val="auto"/>
        </w:rPr>
      </w:pPr>
      <w:r>
        <w:rPr>
          <w:rFonts w:ascii="Arial" w:cs="Arial" w:eastAsia="Arial" w:hAnsi="Arial"/>
          <w:sz w:val="19"/>
          <w:szCs w:val="19"/>
          <w:color w:val="auto"/>
        </w:rPr>
        <w:t>if such beneficial interest is being transferred pursuant to an effective registration statement under the Securities Act, a certificate to the effect set forth in Exhibit B hereto, including the certifications in item (3)(c) thereof,</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Trustee shall cause the aggregate principal amount of the applicable Global Note to be reduced accordingly pursuant to Section 2.06(g) hereof, and the Issuer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206" w:lineRule="exact"/>
        <w:rPr>
          <w:sz w:val="20"/>
          <w:szCs w:val="20"/>
          <w:color w:val="auto"/>
        </w:rPr>
      </w:pPr>
    </w:p>
    <w:p>
      <w:pPr>
        <w:jc w:val="both"/>
        <w:ind w:left="660" w:firstLine="320"/>
        <w:spacing w:after="0" w:line="250" w:lineRule="auto"/>
        <w:tabs>
          <w:tab w:leader="none" w:pos="1475" w:val="left"/>
        </w:tabs>
        <w:numPr>
          <w:ilvl w:val="0"/>
          <w:numId w:val="52"/>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Beneficial Interests in Restricted Global Notes to Unrestricted Definitive Notes. </w:t>
      </w:r>
      <w:r>
        <w:rPr>
          <w:rFonts w:ascii="Arial" w:cs="Arial" w:eastAsia="Arial" w:hAnsi="Arial"/>
          <w:sz w:val="22"/>
          <w:szCs w:val="22"/>
          <w:color w:val="auto"/>
        </w:rPr>
        <w:t>A holder of a beneficial interest</w:t>
      </w:r>
      <w:r>
        <w:rPr>
          <w:rFonts w:ascii="Arial" w:cs="Arial" w:eastAsia="Arial" w:hAnsi="Arial"/>
          <w:sz w:val="22"/>
          <w:szCs w:val="22"/>
          <w:i w:val="1"/>
          <w:iCs w:val="1"/>
          <w:color w:val="auto"/>
        </w:rPr>
        <w:t xml:space="preserve"> </w:t>
      </w:r>
      <w:r>
        <w:rPr>
          <w:rFonts w:ascii="Arial" w:cs="Arial" w:eastAsia="Arial" w:hAnsi="Arial"/>
          <w:sz w:val="22"/>
          <w:szCs w:val="22"/>
          <w:color w:val="auto"/>
        </w:rPr>
        <w:t>in a Restricted Global Note may exchange such beneficial interest for an Unrestricted Definitive Note or may transfer such beneficial interest to a Person who takes delivery thereof in the form of an Unrestricted Definitive Note only if the Registrar receives the following:</w:t>
      </w:r>
    </w:p>
    <w:p>
      <w:pPr>
        <w:spacing w:after="0" w:line="215" w:lineRule="exact"/>
        <w:rPr>
          <w:sz w:val="20"/>
          <w:szCs w:val="20"/>
          <w:color w:val="auto"/>
        </w:rPr>
      </w:pPr>
    </w:p>
    <w:p>
      <w:pPr>
        <w:jc w:val="both"/>
        <w:ind w:left="660" w:firstLine="320"/>
        <w:spacing w:after="0" w:line="253" w:lineRule="auto"/>
        <w:tabs>
          <w:tab w:leader="none" w:pos="1505" w:val="left"/>
        </w:tabs>
        <w:numPr>
          <w:ilvl w:val="0"/>
          <w:numId w:val="53"/>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exchange such beneficial interest for an Unrestricted Definitive Note, a certificate from such holder in the form of Exhibit C hereto, including the certifications in item (1)(b) thereof; or</w:t>
      </w:r>
    </w:p>
    <w:p>
      <w:pPr>
        <w:spacing w:after="0" w:line="212" w:lineRule="exact"/>
        <w:rPr>
          <w:rFonts w:ascii="Arial" w:cs="Arial" w:eastAsia="Arial" w:hAnsi="Arial"/>
          <w:sz w:val="22"/>
          <w:szCs w:val="22"/>
          <w:color w:val="auto"/>
        </w:rPr>
      </w:pPr>
    </w:p>
    <w:p>
      <w:pPr>
        <w:jc w:val="both"/>
        <w:ind w:left="660" w:right="20" w:firstLine="320"/>
        <w:spacing w:after="0" w:line="253" w:lineRule="auto"/>
        <w:tabs>
          <w:tab w:leader="none" w:pos="1524" w:val="left"/>
        </w:tabs>
        <w:numPr>
          <w:ilvl w:val="0"/>
          <w:numId w:val="53"/>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transfer such beneficial interest to a Person who shall take delivery thereof in the form of an Unrestricted Definitive Note, a certificate from such holder in the form of Exhibit B hereto, including the certifications in item (4) thereof;</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8" w:right="339" w:bottom="1440" w:gutter="0" w:footer="0" w:header="0"/>
        </w:sectPr>
      </w:pPr>
    </w:p>
    <w:bookmarkStart w:id="81" w:name="page82"/>
    <w:bookmarkEnd w:id="81"/>
    <w:p>
      <w:pPr>
        <w:spacing w:after="0" w:line="231" w:lineRule="exact"/>
        <w:rPr>
          <w:sz w:val="20"/>
          <w:szCs w:val="20"/>
          <w:color w:val="auto"/>
        </w:rPr>
      </w:pPr>
    </w:p>
    <w:p>
      <w:pPr>
        <w:jc w:val="both"/>
        <w:ind w:left="328"/>
        <w:spacing w:after="0" w:line="250" w:lineRule="auto"/>
        <w:rPr>
          <w:sz w:val="20"/>
          <w:szCs w:val="20"/>
          <w:color w:val="auto"/>
        </w:rPr>
      </w:pPr>
      <w:r>
        <w:rPr>
          <w:rFonts w:ascii="Arial" w:cs="Arial" w:eastAsia="Arial" w:hAnsi="Arial"/>
          <w:sz w:val="22"/>
          <w:szCs w:val="22"/>
          <w:color w:val="auto"/>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215" w:lineRule="exact"/>
        <w:rPr>
          <w:sz w:val="20"/>
          <w:szCs w:val="20"/>
          <w:color w:val="auto"/>
        </w:rPr>
      </w:pPr>
    </w:p>
    <w:p>
      <w:pPr>
        <w:jc w:val="both"/>
        <w:ind w:left="328" w:firstLine="320"/>
        <w:spacing w:after="0" w:line="287" w:lineRule="auto"/>
        <w:tabs>
          <w:tab w:leader="none" w:pos="1170" w:val="left"/>
        </w:tabs>
        <w:numPr>
          <w:ilvl w:val="1"/>
          <w:numId w:val="54"/>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Beneficial Interests in Unrestricted Global Notes to Unrestricted Definitive Notes. </w:t>
      </w:r>
      <w:r>
        <w:rPr>
          <w:rFonts w:ascii="Arial" w:cs="Arial" w:eastAsia="Arial" w:hAnsi="Arial"/>
          <w:sz w:val="19"/>
          <w:szCs w:val="19"/>
          <w:color w:val="auto"/>
        </w:rPr>
        <w:t>If any holder of a beneficial</w:t>
      </w:r>
      <w:r>
        <w:rPr>
          <w:rFonts w:ascii="Arial" w:cs="Arial" w:eastAsia="Arial" w:hAnsi="Arial"/>
          <w:sz w:val="19"/>
          <w:szCs w:val="19"/>
          <w:i w:val="1"/>
          <w:iCs w:val="1"/>
          <w:color w:val="auto"/>
        </w:rPr>
        <w:t xml:space="preserve"> </w:t>
      </w:r>
      <w:r>
        <w:rPr>
          <w:rFonts w:ascii="Arial" w:cs="Arial" w:eastAsia="Arial" w:hAnsi="Arial"/>
          <w:sz w:val="19"/>
          <w:szCs w:val="19"/>
          <w:color w:val="auto"/>
        </w:rPr>
        <w:t>interest in an Unrestricted Global Note proposes to exchange such beneficial interest for a Definitive Note or to transfer such beneficial interest to a Person who takes delivery thereof in the form of a Definitive Note, then, upon satisfaction of the conditions set forth in Section 2.06(b)(2) hereof, the Trustee shall cause the aggregate principal amount of the applicable Global Note to be reduced accordingly pursuant to Section 2.06(g) hereof, and the Issuer shall execute and the Trustee shall authenticate and deliver to the Person designated in the instructions a Definitive Note in the appropriate principal amount. Any Definitive Note issued in exchange for a beneficial interest pursuant to this Section 2.06(c)(3) shall be registered in such name or names and in such authorized denomination or denominations as the holder of such beneficial interest requests through instructions to the Registrar from or through the Depositary and the Participant or Indirect Participant. The Trustee shall deliver such Definitive Notes to the Persons in whose names such Notes are so registered. Any Definitive Note issued in exchange for a beneficial interest pursuant to this Section 2.06(c)(3) shall not bear the Private Placement Legend.</w:t>
      </w:r>
    </w:p>
    <w:p>
      <w:pPr>
        <w:spacing w:after="0" w:line="200" w:lineRule="exact"/>
        <w:rPr>
          <w:rFonts w:ascii="Arial" w:cs="Arial" w:eastAsia="Arial" w:hAnsi="Arial"/>
          <w:sz w:val="19"/>
          <w:szCs w:val="19"/>
          <w:i w:val="1"/>
          <w:iCs w:val="1"/>
          <w:color w:val="auto"/>
        </w:rPr>
      </w:pPr>
    </w:p>
    <w:p>
      <w:pPr>
        <w:spacing w:after="0" w:line="246" w:lineRule="exact"/>
        <w:rPr>
          <w:rFonts w:ascii="Arial" w:cs="Arial" w:eastAsia="Arial" w:hAnsi="Arial"/>
          <w:sz w:val="19"/>
          <w:szCs w:val="19"/>
          <w:i w:val="1"/>
          <w:iCs w:val="1"/>
          <w:color w:val="auto"/>
        </w:rPr>
      </w:pPr>
    </w:p>
    <w:p>
      <w:pPr>
        <w:ind w:left="468" w:hanging="468"/>
        <w:spacing w:after="0"/>
        <w:tabs>
          <w:tab w:leader="none" w:pos="468" w:val="left"/>
        </w:tabs>
        <w:numPr>
          <w:ilvl w:val="0"/>
          <w:numId w:val="55"/>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Transfer and </w:t>
      </w:r>
      <w:r>
        <w:rPr>
          <w:rFonts w:ascii="Arial" w:cs="Arial" w:eastAsia="Arial" w:hAnsi="Arial"/>
          <w:sz w:val="22"/>
          <w:szCs w:val="22"/>
          <w:color w:val="auto"/>
        </w:rPr>
        <w:t>Exchange</w:t>
      </w:r>
      <w:r>
        <w:rPr>
          <w:rFonts w:ascii="Arial" w:cs="Arial" w:eastAsia="Arial" w:hAnsi="Arial"/>
          <w:sz w:val="22"/>
          <w:szCs w:val="22"/>
          <w:i w:val="1"/>
          <w:iCs w:val="1"/>
          <w:color w:val="auto"/>
        </w:rPr>
        <w:t xml:space="preserve"> of Definitive Notes for Beneficial Interests</w:t>
      </w:r>
      <w:r>
        <w:rPr>
          <w:rFonts w:ascii="Arial" w:cs="Arial" w:eastAsia="Arial" w:hAnsi="Arial"/>
          <w:sz w:val="22"/>
          <w:szCs w:val="22"/>
          <w:color w:val="auto"/>
        </w:rPr>
        <w:t>.</w:t>
      </w:r>
    </w:p>
    <w:p>
      <w:pPr>
        <w:spacing w:after="0" w:line="246" w:lineRule="exact"/>
        <w:rPr>
          <w:rFonts w:ascii="Arial" w:cs="Arial" w:eastAsia="Arial" w:hAnsi="Arial"/>
          <w:sz w:val="22"/>
          <w:szCs w:val="22"/>
          <w:i w:val="1"/>
          <w:iCs w:val="1"/>
          <w:color w:val="auto"/>
        </w:rPr>
      </w:pPr>
    </w:p>
    <w:p>
      <w:pPr>
        <w:jc w:val="both"/>
        <w:ind w:left="328" w:firstLine="320"/>
        <w:spacing w:after="0" w:line="265" w:lineRule="auto"/>
        <w:tabs>
          <w:tab w:leader="none" w:pos="1243" w:val="left"/>
        </w:tabs>
        <w:numPr>
          <w:ilvl w:val="1"/>
          <w:numId w:val="55"/>
        </w:numPr>
        <w:rPr>
          <w:rFonts w:ascii="Arial" w:cs="Arial" w:eastAsia="Arial" w:hAnsi="Arial"/>
          <w:sz w:val="21"/>
          <w:szCs w:val="21"/>
          <w:i w:val="1"/>
          <w:iCs w:val="1"/>
          <w:color w:val="auto"/>
        </w:rPr>
      </w:pPr>
      <w:r>
        <w:rPr>
          <w:rFonts w:ascii="Arial" w:cs="Arial" w:eastAsia="Arial" w:hAnsi="Arial"/>
          <w:sz w:val="21"/>
          <w:szCs w:val="21"/>
          <w:i w:val="1"/>
          <w:iCs w:val="1"/>
          <w:color w:val="auto"/>
        </w:rPr>
        <w:t xml:space="preserve">Restricted Definitive Notes to Beneficial Interests in Restricted Global Notes. </w:t>
      </w:r>
      <w:r>
        <w:rPr>
          <w:rFonts w:ascii="Arial" w:cs="Arial" w:eastAsia="Arial" w:hAnsi="Arial"/>
          <w:sz w:val="21"/>
          <w:szCs w:val="21"/>
          <w:color w:val="auto"/>
        </w:rPr>
        <w:t>If any Holder of a Restricted</w:t>
      </w:r>
      <w:r>
        <w:rPr>
          <w:rFonts w:ascii="Arial" w:cs="Arial" w:eastAsia="Arial" w:hAnsi="Arial"/>
          <w:sz w:val="21"/>
          <w:szCs w:val="21"/>
          <w:i w:val="1"/>
          <w:iCs w:val="1"/>
          <w:color w:val="auto"/>
        </w:rPr>
        <w:t xml:space="preserve"> </w:t>
      </w:r>
      <w:r>
        <w:rPr>
          <w:rFonts w:ascii="Arial" w:cs="Arial" w:eastAsia="Arial" w:hAnsi="Arial"/>
          <w:sz w:val="21"/>
          <w:szCs w:val="21"/>
          <w:color w:val="auto"/>
        </w:rPr>
        <w:t>Definitive Note 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216" w:lineRule="exact"/>
        <w:rPr>
          <w:sz w:val="20"/>
          <w:szCs w:val="20"/>
          <w:color w:val="auto"/>
        </w:rPr>
      </w:pPr>
    </w:p>
    <w:p>
      <w:pPr>
        <w:jc w:val="both"/>
        <w:ind w:left="328" w:firstLine="320"/>
        <w:spacing w:after="0" w:line="291" w:lineRule="auto"/>
        <w:tabs>
          <w:tab w:leader="none" w:pos="1232" w:val="left"/>
        </w:tabs>
        <w:numPr>
          <w:ilvl w:val="0"/>
          <w:numId w:val="56"/>
        </w:numPr>
        <w:rPr>
          <w:rFonts w:ascii="Arial" w:cs="Arial" w:eastAsia="Arial" w:hAnsi="Arial"/>
          <w:sz w:val="19"/>
          <w:szCs w:val="19"/>
          <w:color w:val="auto"/>
        </w:rPr>
      </w:pPr>
      <w:r>
        <w:rPr>
          <w:rFonts w:ascii="Arial" w:cs="Arial" w:eastAsia="Arial" w:hAnsi="Arial"/>
          <w:sz w:val="19"/>
          <w:szCs w:val="19"/>
          <w:color w:val="auto"/>
        </w:rPr>
        <w:t>if the Holder of such Restricted Definitive Note proposes to exchange such Note for a beneficial interest in a Restricted Global Note, a certificate from such Holder in the form of Exhibit C hereto, including the certifications in item</w:t>
      </w:r>
    </w:p>
    <w:p>
      <w:pPr>
        <w:spacing w:after="0" w:line="1" w:lineRule="exact"/>
        <w:rPr>
          <w:rFonts w:ascii="Arial" w:cs="Arial" w:eastAsia="Arial" w:hAnsi="Arial"/>
          <w:sz w:val="19"/>
          <w:szCs w:val="19"/>
          <w:color w:val="auto"/>
        </w:rPr>
      </w:pPr>
    </w:p>
    <w:p>
      <w:pPr>
        <w:ind w:left="328"/>
        <w:spacing w:after="0"/>
        <w:rPr>
          <w:rFonts w:ascii="Arial" w:cs="Arial" w:eastAsia="Arial" w:hAnsi="Arial"/>
          <w:sz w:val="19"/>
          <w:szCs w:val="19"/>
          <w:color w:val="auto"/>
        </w:rPr>
      </w:pPr>
      <w:r>
        <w:rPr>
          <w:rFonts w:ascii="Arial" w:cs="Arial" w:eastAsia="Arial" w:hAnsi="Arial"/>
          <w:sz w:val="22"/>
          <w:szCs w:val="22"/>
          <w:color w:val="auto"/>
        </w:rPr>
        <w:t>(2)(b) thereof;</w:t>
      </w:r>
    </w:p>
    <w:p>
      <w:pPr>
        <w:spacing w:after="0" w:line="228" w:lineRule="exact"/>
        <w:rPr>
          <w:rFonts w:ascii="Arial" w:cs="Arial" w:eastAsia="Arial" w:hAnsi="Arial"/>
          <w:sz w:val="19"/>
          <w:szCs w:val="19"/>
          <w:color w:val="auto"/>
        </w:rPr>
      </w:pPr>
    </w:p>
    <w:p>
      <w:pPr>
        <w:ind w:left="328" w:firstLine="320"/>
        <w:spacing w:after="0" w:line="263" w:lineRule="auto"/>
        <w:tabs>
          <w:tab w:leader="none" w:pos="1210" w:val="left"/>
        </w:tabs>
        <w:numPr>
          <w:ilvl w:val="0"/>
          <w:numId w:val="56"/>
        </w:numPr>
        <w:rPr>
          <w:rFonts w:ascii="Arial" w:cs="Arial" w:eastAsia="Arial" w:hAnsi="Arial"/>
          <w:sz w:val="22"/>
          <w:szCs w:val="22"/>
          <w:color w:val="auto"/>
        </w:rPr>
      </w:pPr>
      <w:r>
        <w:rPr>
          <w:rFonts w:ascii="Arial" w:cs="Arial" w:eastAsia="Arial" w:hAnsi="Arial"/>
          <w:sz w:val="22"/>
          <w:szCs w:val="22"/>
          <w:color w:val="auto"/>
        </w:rPr>
        <w:t>if such Restricted Definitive Note is being transferred to a QIB in accordance with Rule 144A, a certificate to the effect set forth in Exhibit B hereto, including the certifications in item (1) thereof;</w:t>
      </w:r>
    </w:p>
    <w:p>
      <w:pPr>
        <w:spacing w:after="0" w:line="201" w:lineRule="exact"/>
        <w:rPr>
          <w:rFonts w:ascii="Arial" w:cs="Arial" w:eastAsia="Arial" w:hAnsi="Arial"/>
          <w:sz w:val="22"/>
          <w:szCs w:val="22"/>
          <w:color w:val="auto"/>
        </w:rPr>
      </w:pPr>
    </w:p>
    <w:p>
      <w:pPr>
        <w:jc w:val="both"/>
        <w:ind w:left="328" w:firstLine="320"/>
        <w:spacing w:after="0" w:line="253" w:lineRule="auto"/>
        <w:tabs>
          <w:tab w:leader="none" w:pos="1304" w:val="left"/>
        </w:tabs>
        <w:numPr>
          <w:ilvl w:val="0"/>
          <w:numId w:val="56"/>
        </w:numPr>
        <w:rPr>
          <w:rFonts w:ascii="Arial" w:cs="Arial" w:eastAsia="Arial" w:hAnsi="Arial"/>
          <w:sz w:val="22"/>
          <w:szCs w:val="22"/>
          <w:color w:val="auto"/>
        </w:rPr>
      </w:pPr>
      <w:r>
        <w:rPr>
          <w:rFonts w:ascii="Arial" w:cs="Arial" w:eastAsia="Arial" w:hAnsi="Arial"/>
          <w:sz w:val="22"/>
          <w:szCs w:val="22"/>
          <w:color w:val="auto"/>
        </w:rPr>
        <w:t>if such Restricted Definitive Note is being transferred to a Non-U.S. Person in an offshore transaction in accordance with Rule 903 or Rule 904, a certificate to the effect set forth in Exhibit B hereto, including the certifications in item (2)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472"/>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0908"/>
          </w:cols>
          <w:pgMar w:left="652" w:top="1440" w:right="339" w:bottom="1440" w:gutter="0" w:footer="0" w:header="0"/>
        </w:sectPr>
      </w:pPr>
    </w:p>
    <w:bookmarkStart w:id="82" w:name="page83"/>
    <w:bookmarkEnd w:id="82"/>
    <w:p>
      <w:pPr>
        <w:jc w:val="both"/>
        <w:ind w:left="660" w:firstLine="320"/>
        <w:spacing w:after="0" w:line="249" w:lineRule="auto"/>
        <w:tabs>
          <w:tab w:leader="none" w:pos="1728" w:val="left"/>
        </w:tabs>
        <w:numPr>
          <w:ilvl w:val="0"/>
          <w:numId w:val="57"/>
        </w:numPr>
        <w:rPr>
          <w:rFonts w:ascii="Arial" w:cs="Arial" w:eastAsia="Arial" w:hAnsi="Arial"/>
          <w:sz w:val="22"/>
          <w:szCs w:val="22"/>
          <w:color w:val="auto"/>
        </w:rPr>
      </w:pPr>
      <w:r>
        <w:rPr>
          <w:rFonts w:ascii="Arial" w:cs="Arial" w:eastAsia="Arial" w:hAnsi="Arial"/>
          <w:sz w:val="22"/>
          <w:szCs w:val="22"/>
          <w:color w:val="auto"/>
        </w:rPr>
        <w:t>if such Restricted Definitive Note is being transferred pursuant to an exemption from the registration requirements of the Securities Act in accordance with Rule 144, a certificate to the effect set forth in Exhibit B hereto, including the certifications in item (3)(a) thereof;</w:t>
      </w:r>
    </w:p>
    <w:p>
      <w:pPr>
        <w:ind w:left="660" w:right="20" w:firstLine="320"/>
        <w:spacing w:after="0" w:line="246" w:lineRule="auto"/>
        <w:tabs>
          <w:tab w:leader="none" w:pos="1502" w:val="left"/>
        </w:tabs>
        <w:numPr>
          <w:ilvl w:val="0"/>
          <w:numId w:val="57"/>
        </w:numPr>
        <w:rPr>
          <w:rFonts w:ascii="Arial" w:cs="Arial" w:eastAsia="Arial" w:hAnsi="Arial"/>
          <w:sz w:val="22"/>
          <w:szCs w:val="22"/>
          <w:color w:val="auto"/>
        </w:rPr>
      </w:pPr>
      <w:r>
        <w:rPr>
          <w:rFonts w:ascii="Arial" w:cs="Arial" w:eastAsia="Arial" w:hAnsi="Arial"/>
          <w:sz w:val="22"/>
          <w:szCs w:val="22"/>
          <w:color w:val="auto"/>
        </w:rPr>
        <w:t>if such Restricted Definitive Note is being transferred to the Issuer or any of its Subsidiaries, a certificate to the effect set forth in Exhibit B hereto, including the certifications in item (3)(b) thereof; or</w:t>
      </w:r>
    </w:p>
    <w:p>
      <w:pPr>
        <w:spacing w:after="0" w:line="219" w:lineRule="exact"/>
        <w:rPr>
          <w:rFonts w:ascii="Arial" w:cs="Arial" w:eastAsia="Arial" w:hAnsi="Arial"/>
          <w:sz w:val="22"/>
          <w:szCs w:val="22"/>
          <w:color w:val="auto"/>
        </w:rPr>
      </w:pPr>
    </w:p>
    <w:p>
      <w:pPr>
        <w:ind w:left="660" w:firstLine="320"/>
        <w:spacing w:after="0" w:line="343" w:lineRule="auto"/>
        <w:tabs>
          <w:tab w:leader="none" w:pos="1521" w:val="left"/>
        </w:tabs>
        <w:numPr>
          <w:ilvl w:val="0"/>
          <w:numId w:val="57"/>
        </w:numPr>
        <w:rPr>
          <w:rFonts w:ascii="Arial" w:cs="Arial" w:eastAsia="Arial" w:hAnsi="Arial"/>
          <w:sz w:val="19"/>
          <w:szCs w:val="19"/>
          <w:color w:val="auto"/>
        </w:rPr>
      </w:pPr>
      <w:r>
        <w:rPr>
          <w:rFonts w:ascii="Arial" w:cs="Arial" w:eastAsia="Arial" w:hAnsi="Arial"/>
          <w:sz w:val="19"/>
          <w:szCs w:val="19"/>
          <w:color w:val="auto"/>
        </w:rPr>
        <w:t>if such Restricted Definitive Note is being transferred pursuant to an effective registration statement under the Securities Act, a certificate to the effect set forth in Exhibit B hereto, including the certifications in item (3)(c) thereof,</w:t>
      </w:r>
    </w:p>
    <w:p>
      <w:pPr>
        <w:spacing w:after="0" w:line="131"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Trustee shall cancel the Restricted Definitive Note, increase or cause to be increased the aggregate principal amount of, in the case of clause (A) above, the appropriate Restricted Global Note, in the case of clause (B) above, the 144A Global Note, and in the case of clause (C) above, the Regulation S Global Note.</w:t>
      </w:r>
    </w:p>
    <w:p>
      <w:pPr>
        <w:spacing w:after="0" w:line="226" w:lineRule="exact"/>
        <w:rPr>
          <w:sz w:val="20"/>
          <w:szCs w:val="20"/>
          <w:color w:val="auto"/>
        </w:rPr>
      </w:pPr>
    </w:p>
    <w:p>
      <w:pPr>
        <w:jc w:val="both"/>
        <w:ind w:left="660" w:firstLine="320"/>
        <w:spacing w:after="0" w:line="250" w:lineRule="auto"/>
        <w:tabs>
          <w:tab w:leader="none" w:pos="1614" w:val="left"/>
        </w:tabs>
        <w:numPr>
          <w:ilvl w:val="0"/>
          <w:numId w:val="58"/>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Restricted Definitive Notes to Beneficial Interests in Unrestricted Global Notes. </w:t>
      </w:r>
      <w:r>
        <w:rPr>
          <w:rFonts w:ascii="Arial" w:cs="Arial" w:eastAsia="Arial" w:hAnsi="Arial"/>
          <w:sz w:val="22"/>
          <w:szCs w:val="22"/>
          <w:color w:val="auto"/>
        </w:rPr>
        <w:t>A Holder of a Restricted</w:t>
      </w:r>
      <w:r>
        <w:rPr>
          <w:rFonts w:ascii="Arial" w:cs="Arial" w:eastAsia="Arial" w:hAnsi="Arial"/>
          <w:sz w:val="22"/>
          <w:szCs w:val="22"/>
          <w:i w:val="1"/>
          <w:iCs w:val="1"/>
          <w:color w:val="auto"/>
        </w:rPr>
        <w:t xml:space="preserve"> </w:t>
      </w:r>
      <w:r>
        <w:rPr>
          <w:rFonts w:ascii="Arial" w:cs="Arial" w:eastAsia="Arial" w:hAnsi="Arial"/>
          <w:sz w:val="22"/>
          <w:szCs w:val="22"/>
          <w:color w:val="auto"/>
        </w:rPr>
        <w:t>Definitive Note may exchange such 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215" w:lineRule="exact"/>
        <w:rPr>
          <w:sz w:val="20"/>
          <w:szCs w:val="20"/>
          <w:color w:val="auto"/>
        </w:rPr>
      </w:pPr>
    </w:p>
    <w:p>
      <w:pPr>
        <w:jc w:val="both"/>
        <w:ind w:left="660" w:firstLine="320"/>
        <w:spacing w:after="0" w:line="253" w:lineRule="auto"/>
        <w:tabs>
          <w:tab w:leader="none" w:pos="1680" w:val="left"/>
        </w:tabs>
        <w:numPr>
          <w:ilvl w:val="0"/>
          <w:numId w:val="59"/>
        </w:numPr>
        <w:rPr>
          <w:rFonts w:ascii="Arial" w:cs="Arial" w:eastAsia="Arial" w:hAnsi="Arial"/>
          <w:sz w:val="22"/>
          <w:szCs w:val="22"/>
          <w:color w:val="auto"/>
        </w:rPr>
      </w:pPr>
      <w:r>
        <w:rPr>
          <w:rFonts w:ascii="Arial" w:cs="Arial" w:eastAsia="Arial" w:hAnsi="Arial"/>
          <w:sz w:val="22"/>
          <w:szCs w:val="22"/>
          <w:color w:val="auto"/>
        </w:rPr>
        <w:t>if the Holder of such Definitive Notes proposes to exchange such Notes for a beneficial interest in the Unrestricted Global Note, a certificate from such Holder in the form of Exhibit C hereto, including the certifications in item (1)(c) thereof; or</w:t>
      </w:r>
    </w:p>
    <w:p>
      <w:pPr>
        <w:spacing w:after="0" w:line="212" w:lineRule="exact"/>
        <w:rPr>
          <w:rFonts w:ascii="Arial" w:cs="Arial" w:eastAsia="Arial" w:hAnsi="Arial"/>
          <w:sz w:val="22"/>
          <w:szCs w:val="22"/>
          <w:color w:val="auto"/>
        </w:rPr>
      </w:pPr>
    </w:p>
    <w:p>
      <w:pPr>
        <w:jc w:val="both"/>
        <w:ind w:left="660" w:firstLine="320"/>
        <w:spacing w:after="0" w:line="253" w:lineRule="auto"/>
        <w:tabs>
          <w:tab w:leader="none" w:pos="1603" w:val="left"/>
        </w:tabs>
        <w:numPr>
          <w:ilvl w:val="0"/>
          <w:numId w:val="59"/>
        </w:numPr>
        <w:rPr>
          <w:rFonts w:ascii="Arial" w:cs="Arial" w:eastAsia="Arial" w:hAnsi="Arial"/>
          <w:sz w:val="22"/>
          <w:szCs w:val="22"/>
          <w:color w:val="auto"/>
        </w:rPr>
      </w:pPr>
      <w:r>
        <w:rPr>
          <w:rFonts w:ascii="Arial" w:cs="Arial" w:eastAsia="Arial" w:hAnsi="Arial"/>
          <w:sz w:val="22"/>
          <w:szCs w:val="22"/>
          <w:color w:val="auto"/>
        </w:rPr>
        <w:t>if the Holder of such Definitive Notes proposes to transfer such Notes to a Person who shall take delivery thereof in the form of a beneficial interest in the Unrestricted Global Note, a certificate from such Holder in the form of Exhibit B hereto, including the certifications in item (4) thereof;</w:t>
      </w:r>
    </w:p>
    <w:p>
      <w:pPr>
        <w:spacing w:after="0" w:line="212"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215" w:lineRule="exact"/>
        <w:rPr>
          <w:sz w:val="20"/>
          <w:szCs w:val="20"/>
          <w:color w:val="auto"/>
        </w:rPr>
      </w:pPr>
    </w:p>
    <w:p>
      <w:pPr>
        <w:ind w:right="20" w:firstLine="324"/>
        <w:spacing w:after="0" w:line="343" w:lineRule="auto"/>
        <w:rPr>
          <w:sz w:val="20"/>
          <w:szCs w:val="20"/>
          <w:color w:val="auto"/>
        </w:rPr>
      </w:pPr>
      <w:r>
        <w:rPr>
          <w:rFonts w:ascii="Arial" w:cs="Arial" w:eastAsia="Arial" w:hAnsi="Arial"/>
          <w:sz w:val="19"/>
          <w:szCs w:val="19"/>
          <w:color w:val="auto"/>
        </w:rPr>
        <w:t>Upon satisfaction of the conditions of any of the subparagraphs in this Section 2.06(d)(2), the Trustee shall cancel the Definitive Notes and increase or cause to be increased the aggregate principal amount of the Unrestricted Global Note.</w:t>
      </w:r>
    </w:p>
    <w:p>
      <w:pPr>
        <w:spacing w:after="0" w:line="131" w:lineRule="exact"/>
        <w:rPr>
          <w:sz w:val="20"/>
          <w:szCs w:val="20"/>
          <w:color w:val="auto"/>
        </w:rPr>
      </w:pPr>
    </w:p>
    <w:p>
      <w:pPr>
        <w:jc w:val="both"/>
        <w:ind w:firstLine="656"/>
        <w:spacing w:after="0" w:line="265" w:lineRule="auto"/>
        <w:tabs>
          <w:tab w:leader="none" w:pos="1235" w:val="left"/>
        </w:tabs>
        <w:numPr>
          <w:ilvl w:val="0"/>
          <w:numId w:val="60"/>
        </w:numPr>
        <w:rPr>
          <w:rFonts w:ascii="Arial" w:cs="Arial" w:eastAsia="Arial" w:hAnsi="Arial"/>
          <w:sz w:val="21"/>
          <w:szCs w:val="21"/>
          <w:i w:val="1"/>
          <w:iCs w:val="1"/>
          <w:color w:val="auto"/>
        </w:rPr>
      </w:pPr>
      <w:r>
        <w:rPr>
          <w:rFonts w:ascii="Arial" w:cs="Arial" w:eastAsia="Arial" w:hAnsi="Arial"/>
          <w:sz w:val="21"/>
          <w:szCs w:val="21"/>
          <w:i w:val="1"/>
          <w:iCs w:val="1"/>
          <w:color w:val="auto"/>
        </w:rPr>
        <w:t xml:space="preserve">Unrestricted Definitive Notes to Beneficial Interests in Unrestricted Global Notes. </w:t>
      </w:r>
      <w:r>
        <w:rPr>
          <w:rFonts w:ascii="Arial" w:cs="Arial" w:eastAsia="Arial" w:hAnsi="Arial"/>
          <w:sz w:val="21"/>
          <w:szCs w:val="21"/>
          <w:color w:val="auto"/>
        </w:rPr>
        <w:t>A Holder of an Unrestricted</w:t>
      </w:r>
      <w:r>
        <w:rPr>
          <w:rFonts w:ascii="Arial" w:cs="Arial" w:eastAsia="Arial" w:hAnsi="Arial"/>
          <w:sz w:val="21"/>
          <w:szCs w:val="21"/>
          <w:i w:val="1"/>
          <w:iCs w:val="1"/>
          <w:color w:val="auto"/>
        </w:rPr>
        <w:t xml:space="preserve"> </w:t>
      </w:r>
      <w:r>
        <w:rPr>
          <w:rFonts w:ascii="Arial" w:cs="Arial" w:eastAsia="Arial" w:hAnsi="Arial"/>
          <w:sz w:val="21"/>
          <w:szCs w:val="21"/>
          <w:color w:val="auto"/>
        </w:rPr>
        <w:t>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8" w:right="339" w:bottom="1440" w:gutter="0" w:footer="0" w:header="0"/>
        </w:sectPr>
      </w:pPr>
    </w:p>
    <w:bookmarkStart w:id="83" w:name="page84"/>
    <w:bookmarkEnd w:id="83"/>
    <w:p>
      <w:pPr>
        <w:spacing w:after="0" w:line="263" w:lineRule="auto"/>
        <w:rPr>
          <w:sz w:val="20"/>
          <w:szCs w:val="20"/>
          <w:color w:val="auto"/>
        </w:rPr>
      </w:pPr>
      <w:r>
        <w:rPr>
          <w:rFonts w:ascii="Arial" w:cs="Arial" w:eastAsia="Arial" w:hAnsi="Arial"/>
          <w:sz w:val="22"/>
          <w:szCs w:val="22"/>
          <w:color w:val="auto"/>
        </w:rPr>
        <w:t>the applicable Unrestricted Definitive Note and increase or cause to be increased the aggregate principal amount of one of the Unrestricted Global Notes.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any such exchange or transfer from a Definitive Note to a beneficial interest is effected pursuant to subparagraphs (2) or</w:t>
      </w:r>
    </w:p>
    <w:p>
      <w:pPr>
        <w:spacing w:after="0" w:line="56" w:lineRule="exact"/>
        <w:rPr>
          <w:sz w:val="20"/>
          <w:szCs w:val="20"/>
          <w:color w:val="auto"/>
        </w:rPr>
      </w:pPr>
    </w:p>
    <w:p>
      <w:pPr>
        <w:jc w:val="both"/>
        <w:ind w:firstLine="8"/>
        <w:spacing w:after="0" w:line="302" w:lineRule="auto"/>
        <w:tabs>
          <w:tab w:leader="none" w:pos="333" w:val="left"/>
        </w:tabs>
        <w:numPr>
          <w:ilvl w:val="0"/>
          <w:numId w:val="61"/>
        </w:numPr>
        <w:rPr>
          <w:rFonts w:ascii="Arial" w:cs="Arial" w:eastAsia="Arial" w:hAnsi="Arial"/>
          <w:sz w:val="19"/>
          <w:szCs w:val="19"/>
          <w:color w:val="auto"/>
        </w:rPr>
      </w:pPr>
      <w:r>
        <w:rPr>
          <w:rFonts w:ascii="Arial" w:cs="Arial" w:eastAsia="Arial" w:hAnsi="Arial"/>
          <w:sz w:val="19"/>
          <w:szCs w:val="19"/>
          <w:color w:val="auto"/>
        </w:rPr>
        <w:t>above at a time when an Unrestricted Global Note has not yet been issued, the Issuer shall issue and, upon receipt of an Authentication Order in accordance with Section 2.02 hereof, the Trustee shall authenticate one or more Unrestricted Global Notes in an aggregate principal amount equal to the principal amount of Definitive Notes so transferred.</w:t>
      </w:r>
    </w:p>
    <w:p>
      <w:pPr>
        <w:spacing w:after="0" w:line="169" w:lineRule="exact"/>
        <w:rPr>
          <w:rFonts w:ascii="Arial" w:cs="Arial" w:eastAsia="Arial" w:hAnsi="Arial"/>
          <w:sz w:val="19"/>
          <w:szCs w:val="19"/>
          <w:color w:val="auto"/>
        </w:rPr>
      </w:pPr>
    </w:p>
    <w:p>
      <w:pPr>
        <w:jc w:val="both"/>
        <w:ind w:firstLine="332"/>
        <w:spacing w:after="0" w:line="246" w:lineRule="auto"/>
        <w:tabs>
          <w:tab w:leader="none" w:pos="800" w:val="left"/>
        </w:tabs>
        <w:numPr>
          <w:ilvl w:val="1"/>
          <w:numId w:val="61"/>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Transfer and Exchange of Definitive Notes for Definitive Notes. </w:t>
      </w:r>
      <w:r>
        <w:rPr>
          <w:rFonts w:ascii="Arial" w:cs="Arial" w:eastAsia="Arial" w:hAnsi="Arial"/>
          <w:sz w:val="22"/>
          <w:szCs w:val="22"/>
          <w:color w:val="auto"/>
        </w:rPr>
        <w:t>Upon request by a Holder of Definitive Notes and such</w:t>
      </w:r>
      <w:r>
        <w:rPr>
          <w:rFonts w:ascii="Arial" w:cs="Arial" w:eastAsia="Arial" w:hAnsi="Arial"/>
          <w:sz w:val="22"/>
          <w:szCs w:val="22"/>
          <w:i w:val="1"/>
          <w:iCs w:val="1"/>
          <w:color w:val="auto"/>
        </w:rPr>
        <w:t xml:space="preserve"> </w:t>
      </w:r>
      <w:r>
        <w:rPr>
          <w:rFonts w:ascii="Arial" w:cs="Arial" w:eastAsia="Arial" w:hAnsi="Arial"/>
          <w:sz w:val="22"/>
          <w:szCs w:val="22"/>
          <w:color w:val="auto"/>
        </w:rPr>
        <w:t>Holder’s compliance with the provisions of this Section 2.06(e), the Registrar shall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223" w:lineRule="exact"/>
        <w:rPr>
          <w:rFonts w:ascii="Arial" w:cs="Arial" w:eastAsia="Arial" w:hAnsi="Arial"/>
          <w:sz w:val="22"/>
          <w:szCs w:val="22"/>
          <w:i w:val="1"/>
          <w:iCs w:val="1"/>
          <w:color w:val="auto"/>
        </w:rPr>
      </w:pPr>
    </w:p>
    <w:p>
      <w:pPr>
        <w:jc w:val="both"/>
        <w:ind w:firstLine="656"/>
        <w:spacing w:after="0" w:line="253" w:lineRule="auto"/>
        <w:tabs>
          <w:tab w:leader="none" w:pos="1135" w:val="left"/>
        </w:tabs>
        <w:numPr>
          <w:ilvl w:val="2"/>
          <w:numId w:val="61"/>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Restricted Definitive Notes to Restricted Definitive Notes. </w:t>
      </w:r>
      <w:r>
        <w:rPr>
          <w:rFonts w:ascii="Arial" w:cs="Arial" w:eastAsia="Arial" w:hAnsi="Arial"/>
          <w:sz w:val="22"/>
          <w:szCs w:val="22"/>
          <w:color w:val="auto"/>
        </w:rPr>
        <w:t>Any Restricted Definitive Note may be transferred to and</w:t>
      </w:r>
      <w:r>
        <w:rPr>
          <w:rFonts w:ascii="Arial" w:cs="Arial" w:eastAsia="Arial" w:hAnsi="Arial"/>
          <w:sz w:val="22"/>
          <w:szCs w:val="22"/>
          <w:i w:val="1"/>
          <w:iCs w:val="1"/>
          <w:color w:val="auto"/>
        </w:rPr>
        <w:t xml:space="preserve"> </w:t>
      </w:r>
      <w:r>
        <w:rPr>
          <w:rFonts w:ascii="Arial" w:cs="Arial" w:eastAsia="Arial" w:hAnsi="Arial"/>
          <w:sz w:val="22"/>
          <w:szCs w:val="22"/>
          <w:color w:val="auto"/>
        </w:rPr>
        <w:t>registered in the name of Persons who take delivery thereof in the form of a Restricted Definitive Note if the Registrar receives the following:</w:t>
      </w:r>
    </w:p>
    <w:p>
      <w:pPr>
        <w:spacing w:after="0" w:line="225" w:lineRule="exact"/>
        <w:rPr>
          <w:rFonts w:ascii="Arial" w:cs="Arial" w:eastAsia="Arial" w:hAnsi="Arial"/>
          <w:sz w:val="22"/>
          <w:szCs w:val="22"/>
          <w:i w:val="1"/>
          <w:iCs w:val="1"/>
          <w:color w:val="auto"/>
        </w:rPr>
      </w:pPr>
    </w:p>
    <w:p>
      <w:pPr>
        <w:ind w:left="660" w:firstLine="320"/>
        <w:spacing w:after="0" w:line="263" w:lineRule="auto"/>
        <w:tabs>
          <w:tab w:leader="none" w:pos="1531" w:val="left"/>
        </w:tabs>
        <w:numPr>
          <w:ilvl w:val="3"/>
          <w:numId w:val="61"/>
        </w:numPr>
        <w:rPr>
          <w:rFonts w:ascii="Arial" w:cs="Arial" w:eastAsia="Arial" w:hAnsi="Arial"/>
          <w:sz w:val="22"/>
          <w:szCs w:val="22"/>
          <w:color w:val="auto"/>
        </w:rPr>
      </w:pPr>
      <w:r>
        <w:rPr>
          <w:rFonts w:ascii="Arial" w:cs="Arial" w:eastAsia="Arial" w:hAnsi="Arial"/>
          <w:sz w:val="22"/>
          <w:szCs w:val="22"/>
          <w:color w:val="auto"/>
        </w:rPr>
        <w:t>if the transfer shall be made pursuant to Rule 144A, then the transferor must deliver a certificate in the form of Exhibit B hereto, including the certifications in item (1) thereof;</w:t>
      </w:r>
    </w:p>
    <w:p>
      <w:pPr>
        <w:spacing w:after="0" w:line="201" w:lineRule="exact"/>
        <w:rPr>
          <w:rFonts w:ascii="Arial" w:cs="Arial" w:eastAsia="Arial" w:hAnsi="Arial"/>
          <w:sz w:val="22"/>
          <w:szCs w:val="22"/>
          <w:color w:val="auto"/>
        </w:rPr>
      </w:pPr>
    </w:p>
    <w:p>
      <w:pPr>
        <w:ind w:left="660" w:right="20" w:firstLine="320"/>
        <w:spacing w:after="0" w:line="263" w:lineRule="auto"/>
        <w:tabs>
          <w:tab w:leader="none" w:pos="1537" w:val="left"/>
        </w:tabs>
        <w:numPr>
          <w:ilvl w:val="3"/>
          <w:numId w:val="61"/>
        </w:numPr>
        <w:rPr>
          <w:rFonts w:ascii="Arial" w:cs="Arial" w:eastAsia="Arial" w:hAnsi="Arial"/>
          <w:sz w:val="22"/>
          <w:szCs w:val="22"/>
          <w:color w:val="auto"/>
        </w:rPr>
      </w:pPr>
      <w:r>
        <w:rPr>
          <w:rFonts w:ascii="Arial" w:cs="Arial" w:eastAsia="Arial" w:hAnsi="Arial"/>
          <w:sz w:val="22"/>
          <w:szCs w:val="22"/>
          <w:color w:val="auto"/>
        </w:rPr>
        <w:t>if the transfer shall be made pursuant to Rule 903 or Rule 904, then the transferor must deliver a certificate in the form of Exhibit B hereto, including the certifications in item (2) thereof; and</w:t>
      </w:r>
    </w:p>
    <w:p>
      <w:pPr>
        <w:spacing w:after="0" w:line="201" w:lineRule="exact"/>
        <w:rPr>
          <w:rFonts w:ascii="Arial" w:cs="Arial" w:eastAsia="Arial" w:hAnsi="Arial"/>
          <w:sz w:val="22"/>
          <w:szCs w:val="22"/>
          <w:color w:val="auto"/>
        </w:rPr>
      </w:pPr>
    </w:p>
    <w:p>
      <w:pPr>
        <w:jc w:val="both"/>
        <w:ind w:left="660" w:firstLine="320"/>
        <w:spacing w:after="0" w:line="253" w:lineRule="auto"/>
        <w:tabs>
          <w:tab w:leader="none" w:pos="1493" w:val="left"/>
        </w:tabs>
        <w:numPr>
          <w:ilvl w:val="3"/>
          <w:numId w:val="61"/>
        </w:numPr>
        <w:rPr>
          <w:rFonts w:ascii="Arial" w:cs="Arial" w:eastAsia="Arial" w:hAnsi="Arial"/>
          <w:sz w:val="22"/>
          <w:szCs w:val="22"/>
          <w:color w:val="auto"/>
        </w:rPr>
      </w:pPr>
      <w:r>
        <w:rPr>
          <w:rFonts w:ascii="Arial" w:cs="Arial" w:eastAsia="Arial" w:hAnsi="Arial"/>
          <w:sz w:val="22"/>
          <w:szCs w:val="22"/>
          <w:color w:val="auto"/>
        </w:rPr>
        <w:t>if the transfer shall be made pursuant to any other exemption from the registration requirements of the Securities Act, then the transferor must deliver a certificate in the form of Exhibit B hereto, including the certifications, certificates and Opinion of Counsel required by item (3) thereof, if applicable.</w:t>
      </w:r>
    </w:p>
    <w:p>
      <w:pPr>
        <w:spacing w:after="0" w:line="212" w:lineRule="exact"/>
        <w:rPr>
          <w:rFonts w:ascii="Arial" w:cs="Arial" w:eastAsia="Arial" w:hAnsi="Arial"/>
          <w:sz w:val="22"/>
          <w:szCs w:val="22"/>
          <w:color w:val="auto"/>
        </w:rPr>
      </w:pPr>
    </w:p>
    <w:p>
      <w:pPr>
        <w:jc w:val="both"/>
        <w:ind w:firstLine="656"/>
        <w:spacing w:after="0" w:line="253" w:lineRule="auto"/>
        <w:tabs>
          <w:tab w:leader="none" w:pos="1165" w:val="left"/>
        </w:tabs>
        <w:numPr>
          <w:ilvl w:val="2"/>
          <w:numId w:val="61"/>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Restricted Definitive Notes to Unrestricted Definitive Notes. </w:t>
      </w:r>
      <w:r>
        <w:rPr>
          <w:rFonts w:ascii="Arial" w:cs="Arial" w:eastAsia="Arial" w:hAnsi="Arial"/>
          <w:sz w:val="22"/>
          <w:szCs w:val="22"/>
          <w:color w:val="auto"/>
        </w:rPr>
        <w:t>Any Restricted Definitive Note may be exchanged by</w:t>
      </w:r>
      <w:r>
        <w:rPr>
          <w:rFonts w:ascii="Arial" w:cs="Arial" w:eastAsia="Arial" w:hAnsi="Arial"/>
          <w:sz w:val="22"/>
          <w:szCs w:val="22"/>
          <w:i w:val="1"/>
          <w:iCs w:val="1"/>
          <w:color w:val="auto"/>
        </w:rPr>
        <w:t xml:space="preserve"> </w:t>
      </w:r>
      <w:r>
        <w:rPr>
          <w:rFonts w:ascii="Arial" w:cs="Arial" w:eastAsia="Arial" w:hAnsi="Arial"/>
          <w:sz w:val="22"/>
          <w:szCs w:val="22"/>
          <w:color w:val="auto"/>
        </w:rPr>
        <w:t>the Holder thereof for an Unrestricted Definitive Note or transferred to a Person or Persons who take delivery thereof in the form of an Unrestricted Definitive Note if the Registrar receives the following:</w:t>
      </w:r>
    </w:p>
    <w:p>
      <w:pPr>
        <w:spacing w:after="0" w:line="212" w:lineRule="exact"/>
        <w:rPr>
          <w:rFonts w:ascii="Arial" w:cs="Arial" w:eastAsia="Arial" w:hAnsi="Arial"/>
          <w:sz w:val="22"/>
          <w:szCs w:val="22"/>
          <w:i w:val="1"/>
          <w:iCs w:val="1"/>
          <w:color w:val="auto"/>
        </w:rPr>
      </w:pPr>
    </w:p>
    <w:p>
      <w:pPr>
        <w:ind w:left="660" w:firstLine="320"/>
        <w:spacing w:after="0" w:line="343" w:lineRule="auto"/>
        <w:tabs>
          <w:tab w:leader="none" w:pos="1500" w:val="left"/>
        </w:tabs>
        <w:numPr>
          <w:ilvl w:val="3"/>
          <w:numId w:val="61"/>
        </w:numPr>
        <w:rPr>
          <w:rFonts w:ascii="Arial" w:cs="Arial" w:eastAsia="Arial" w:hAnsi="Arial"/>
          <w:sz w:val="19"/>
          <w:szCs w:val="19"/>
          <w:color w:val="auto"/>
        </w:rPr>
      </w:pPr>
      <w:r>
        <w:rPr>
          <w:rFonts w:ascii="Arial" w:cs="Arial" w:eastAsia="Arial" w:hAnsi="Arial"/>
          <w:sz w:val="19"/>
          <w:szCs w:val="19"/>
          <w:color w:val="auto"/>
        </w:rPr>
        <w:t>if the Holder of such Restricted Definitive Notes proposes to exchange such Notes for an Unrestricted Definitive Note, a certificate from such Holder in the form of Exhibit C hereto, including the certifications in item (1)(d) thereof; or</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28" w:right="339" w:bottom="1440" w:gutter="0" w:footer="0" w:header="0"/>
        </w:sectPr>
      </w:pPr>
    </w:p>
    <w:bookmarkStart w:id="84" w:name="page85"/>
    <w:bookmarkEnd w:id="84"/>
    <w:p>
      <w:pPr>
        <w:jc w:val="both"/>
        <w:ind w:left="660" w:firstLine="320"/>
        <w:spacing w:after="0" w:line="253" w:lineRule="auto"/>
        <w:tabs>
          <w:tab w:leader="none" w:pos="1571" w:val="left"/>
        </w:tabs>
        <w:numPr>
          <w:ilvl w:val="0"/>
          <w:numId w:val="62"/>
        </w:numPr>
        <w:rPr>
          <w:rFonts w:ascii="Arial" w:cs="Arial" w:eastAsia="Arial" w:hAnsi="Arial"/>
          <w:sz w:val="22"/>
          <w:szCs w:val="22"/>
          <w:color w:val="auto"/>
        </w:rPr>
      </w:pPr>
      <w:r>
        <w:rPr>
          <w:rFonts w:ascii="Arial" w:cs="Arial" w:eastAsia="Arial" w:hAnsi="Arial"/>
          <w:sz w:val="22"/>
          <w:szCs w:val="22"/>
          <w:color w:val="auto"/>
        </w:rPr>
        <w:t>if the Holder of such Restricted Definitive Notes proposes to transfer such Notes to a Person who shall take delivery thereof in the form of an Unrestricted Definitive Note, a certificate from such Holder in the form of Exhibit B hereto, including the certifications in item (4) thereof;</w:t>
      </w:r>
    </w:p>
    <w:p>
      <w:pPr>
        <w:spacing w:after="0" w:line="212"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and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60" w:lineRule="exact"/>
        <w:rPr>
          <w:sz w:val="20"/>
          <w:szCs w:val="20"/>
          <w:color w:val="auto"/>
        </w:rPr>
      </w:pPr>
    </w:p>
    <w:p>
      <w:pPr>
        <w:jc w:val="both"/>
        <w:ind w:firstLine="656"/>
        <w:spacing w:after="0" w:line="250" w:lineRule="auto"/>
        <w:tabs>
          <w:tab w:leader="none" w:pos="1248" w:val="left"/>
        </w:tabs>
        <w:numPr>
          <w:ilvl w:val="1"/>
          <w:numId w:val="63"/>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Unrestricted Definitive Notes to Unrestricted Definitive Notes. </w:t>
      </w:r>
      <w:r>
        <w:rPr>
          <w:rFonts w:ascii="Arial" w:cs="Arial" w:eastAsia="Arial" w:hAnsi="Arial"/>
          <w:sz w:val="22"/>
          <w:szCs w:val="22"/>
          <w:color w:val="auto"/>
        </w:rPr>
        <w:t>A Holder of Unrestricted Definitive Notes may</w:t>
      </w:r>
      <w:r>
        <w:rPr>
          <w:rFonts w:ascii="Arial" w:cs="Arial" w:eastAsia="Arial" w:hAnsi="Arial"/>
          <w:sz w:val="22"/>
          <w:szCs w:val="22"/>
          <w:i w:val="1"/>
          <w:iCs w:val="1"/>
          <w:color w:val="auto"/>
        </w:rPr>
        <w:t xml:space="preserve"> </w:t>
      </w:r>
      <w:r>
        <w:rPr>
          <w:rFonts w:ascii="Arial" w:cs="Arial" w:eastAsia="Arial" w:hAnsi="Arial"/>
          <w:sz w:val="22"/>
          <w:szCs w:val="22"/>
          <w:color w:val="auto"/>
        </w:rPr>
        <w:t>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214" w:lineRule="exact"/>
        <w:rPr>
          <w:rFonts w:ascii="Arial" w:cs="Arial" w:eastAsia="Arial" w:hAnsi="Arial"/>
          <w:sz w:val="22"/>
          <w:szCs w:val="22"/>
          <w:i w:val="1"/>
          <w:iCs w:val="1"/>
          <w:color w:val="auto"/>
        </w:rPr>
      </w:pPr>
    </w:p>
    <w:p>
      <w:pPr>
        <w:ind w:firstLine="332"/>
        <w:spacing w:after="0" w:line="263" w:lineRule="auto"/>
        <w:tabs>
          <w:tab w:leader="none" w:pos="841" w:val="left"/>
        </w:tabs>
        <w:numPr>
          <w:ilvl w:val="0"/>
          <w:numId w:val="64"/>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Legends. </w:t>
      </w:r>
      <w:r>
        <w:rPr>
          <w:rFonts w:ascii="Arial" w:cs="Arial" w:eastAsia="Arial" w:hAnsi="Arial"/>
          <w:sz w:val="22"/>
          <w:szCs w:val="22"/>
          <w:color w:val="auto"/>
        </w:rPr>
        <w:t>The following legends shall appear on the face of all Global Notes and Definitive Notes issued under this</w:t>
      </w:r>
      <w:r>
        <w:rPr>
          <w:rFonts w:ascii="Arial" w:cs="Arial" w:eastAsia="Arial" w:hAnsi="Arial"/>
          <w:sz w:val="22"/>
          <w:szCs w:val="22"/>
          <w:i w:val="1"/>
          <w:iCs w:val="1"/>
          <w:color w:val="auto"/>
        </w:rPr>
        <w:t xml:space="preserve"> </w:t>
      </w:r>
      <w:r>
        <w:rPr>
          <w:rFonts w:ascii="Arial" w:cs="Arial" w:eastAsia="Arial" w:hAnsi="Arial"/>
          <w:sz w:val="22"/>
          <w:szCs w:val="22"/>
          <w:color w:val="auto"/>
        </w:rPr>
        <w:t>Indenture unless specifically stated otherwise in the applicable provisions of this Indenture.</w:t>
      </w:r>
    </w:p>
    <w:p>
      <w:pPr>
        <w:spacing w:after="0" w:line="215" w:lineRule="exact"/>
        <w:rPr>
          <w:rFonts w:ascii="Arial" w:cs="Arial" w:eastAsia="Arial" w:hAnsi="Arial"/>
          <w:sz w:val="22"/>
          <w:szCs w:val="22"/>
          <w:i w:val="1"/>
          <w:iCs w:val="1"/>
          <w:color w:val="auto"/>
        </w:rPr>
      </w:pPr>
    </w:p>
    <w:p>
      <w:pPr>
        <w:ind w:left="1120" w:hanging="464"/>
        <w:spacing w:after="0"/>
        <w:tabs>
          <w:tab w:leader="none" w:pos="1120" w:val="left"/>
        </w:tabs>
        <w:numPr>
          <w:ilvl w:val="1"/>
          <w:numId w:val="64"/>
        </w:numPr>
        <w:rPr>
          <w:rFonts w:ascii="Arial" w:cs="Arial" w:eastAsia="Arial" w:hAnsi="Arial"/>
          <w:sz w:val="22"/>
          <w:szCs w:val="22"/>
          <w:i w:val="1"/>
          <w:iCs w:val="1"/>
          <w:color w:val="auto"/>
        </w:rPr>
      </w:pPr>
      <w:r>
        <w:rPr>
          <w:rFonts w:ascii="Arial" w:cs="Arial" w:eastAsia="Arial" w:hAnsi="Arial"/>
          <w:sz w:val="22"/>
          <w:szCs w:val="22"/>
          <w:color w:val="auto"/>
        </w:rPr>
        <w:t xml:space="preserve">Private </w:t>
      </w:r>
      <w:r>
        <w:rPr>
          <w:rFonts w:ascii="Arial" w:cs="Arial" w:eastAsia="Arial" w:hAnsi="Arial"/>
          <w:sz w:val="22"/>
          <w:szCs w:val="22"/>
          <w:i w:val="1"/>
          <w:iCs w:val="1"/>
          <w:color w:val="auto"/>
        </w:rPr>
        <w:t>Placement Legend</w:t>
      </w:r>
      <w:r>
        <w:rPr>
          <w:rFonts w:ascii="Arial" w:cs="Arial" w:eastAsia="Arial" w:hAnsi="Arial"/>
          <w:sz w:val="22"/>
          <w:szCs w:val="22"/>
          <w:color w:val="auto"/>
        </w:rPr>
        <w:t>.</w:t>
      </w:r>
    </w:p>
    <w:p>
      <w:pPr>
        <w:spacing w:after="0" w:line="246" w:lineRule="exact"/>
        <w:rPr>
          <w:rFonts w:ascii="Arial" w:cs="Arial" w:eastAsia="Arial" w:hAnsi="Arial"/>
          <w:sz w:val="22"/>
          <w:szCs w:val="22"/>
          <w:i w:val="1"/>
          <w:iCs w:val="1"/>
          <w:color w:val="auto"/>
        </w:rPr>
      </w:pPr>
    </w:p>
    <w:p>
      <w:pPr>
        <w:ind w:left="660" w:firstLine="320"/>
        <w:spacing w:after="0" w:line="287" w:lineRule="auto"/>
        <w:tabs>
          <w:tab w:leader="none" w:pos="1605" w:val="left"/>
        </w:tabs>
        <w:numPr>
          <w:ilvl w:val="2"/>
          <w:numId w:val="64"/>
        </w:numPr>
        <w:rPr>
          <w:rFonts w:ascii="Arial" w:cs="Arial" w:eastAsia="Arial" w:hAnsi="Arial"/>
          <w:sz w:val="21"/>
          <w:szCs w:val="21"/>
          <w:color w:val="auto"/>
        </w:rPr>
      </w:pPr>
      <w:r>
        <w:rPr>
          <w:rFonts w:ascii="Arial" w:cs="Arial" w:eastAsia="Arial" w:hAnsi="Arial"/>
          <w:sz w:val="21"/>
          <w:szCs w:val="21"/>
          <w:color w:val="auto"/>
        </w:rPr>
        <w:t>Except as permitted by subparagraph (B) below, each Global Note and each Definitive Note (and all Notes issued in exchange therefor or substitution thereof) shall bear the legend in substantially the following form:</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“THIS NOTE HAS NOT BEEN REGISTERED UNDER THE U.S. SECURITIES ACT OF 1933, AS AMENDED (THE “SECURITIES ACT”) AND, ACCORDINGLY, MAY NOT BE OFFERED, SOLD, PLEDGED OR OTHERWISE TRANSFERRED WITHIN THE UNITED STATES OR TO, OR FOR THE ACCOUNT OR BENEFIT OF, U.S. PERSONS, EXCEPT AS SET FORTH IN THE FOLLOWING SENTENCE. BY ITS ACQUISITION HEREOF OR OF A BENEFICIAL INTEREST HEREIN, THE HOLDER (1) REPRESENTS THAT (A) IT IS A “QUALIFIED INSTITUTIONAL BUYER” (AS DEFINED IN RULE 144A UNDER THE SECURITIES ACT) (A “QIB”) OR (B) IT IS NOT A U.S. PERSON, IS NOT ACQUIRING THIS NOTE FOR THE ACCOUNT OR BENEFIT OF A U.S. PERSON AND IS ACQUIRING THIS NOTE IN AN OFFSHORE TRANSACTION IN COMPLIANCE WITH REGULATION S UNDER THE SECURITIES ACT,</w:t>
      </w:r>
    </w:p>
    <w:p>
      <w:pPr>
        <w:spacing w:after="0" w:line="1" w:lineRule="exact"/>
        <w:rPr>
          <w:sz w:val="20"/>
          <w:szCs w:val="20"/>
          <w:color w:val="auto"/>
        </w:rPr>
      </w:pPr>
    </w:p>
    <w:p>
      <w:pPr>
        <w:jc w:val="both"/>
        <w:ind w:firstLine="8"/>
        <w:spacing w:after="0" w:line="243" w:lineRule="auto"/>
        <w:tabs>
          <w:tab w:leader="none" w:pos="327" w:val="left"/>
        </w:tabs>
        <w:numPr>
          <w:ilvl w:val="0"/>
          <w:numId w:val="65"/>
        </w:numPr>
        <w:rPr>
          <w:rFonts w:ascii="Arial" w:cs="Arial" w:eastAsia="Arial" w:hAnsi="Arial"/>
          <w:sz w:val="22"/>
          <w:szCs w:val="22"/>
          <w:color w:val="auto"/>
        </w:rPr>
      </w:pPr>
      <w:r>
        <w:rPr>
          <w:rFonts w:ascii="Arial" w:cs="Arial" w:eastAsia="Arial" w:hAnsi="Arial"/>
          <w:sz w:val="22"/>
          <w:szCs w:val="22"/>
          <w:color w:val="auto"/>
        </w:rPr>
        <w:t>AGREES THAT IT WILL NOT, PRIOR TO THE DATE [IN THE CASE OF RULE 144A NOTES: ON WHICH THE ISSUER INSTRUCTS THE TRUSTEE THAT THIS RESTRICTIVE LEGEND SHALL BE DEEMED REMOVED (WHICH INSTRUCTION IS EXPECTED TO BE GIVEN ON OR ABOUT THE ONE-YEAR ANNIVERSARY OF THE ISSUANCE OF THIS NOTE)] [IN THE CASE OF REGULATION S NOTES: 40 DAYS AFTER THE LATER OF THE ORIGINAL ISSUE DATE HEREOF AND THE LAST DATE ON WHICH THE ISSUER OR ANY AFFILIATE OF THE ISSUER WAS THE OWNER OF THIS NOTE (OR ANY PREDECESSOR OF SUCH NOTE)] RESELL OR OTHERWISE TRANSFER THIS NOTE EXCEPT (A) TO THE ISSUER OR ANY SUBSIDIARY THEREOF, (B) TO A PERSON WHOM THE HOLDER REASONABLY BELIEVES IS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8" w:right="339" w:bottom="1440" w:gutter="0" w:footer="0" w:header="0"/>
        </w:sectPr>
      </w:pPr>
    </w:p>
    <w:bookmarkStart w:id="85" w:name="page86"/>
    <w:bookmarkEnd w:id="85"/>
    <w:p>
      <w:pPr>
        <w:jc w:val="both"/>
        <w:spacing w:after="0" w:line="257" w:lineRule="auto"/>
        <w:rPr>
          <w:sz w:val="20"/>
          <w:szCs w:val="20"/>
          <w:color w:val="auto"/>
        </w:rPr>
      </w:pPr>
      <w:r>
        <w:rPr>
          <w:rFonts w:ascii="Arial" w:cs="Arial" w:eastAsia="Arial" w:hAnsi="Arial"/>
          <w:sz w:val="21"/>
          <w:szCs w:val="21"/>
          <w:color w:val="auto"/>
        </w:rPr>
        <w:t>QIB PURCHASING FOR ITS OWN ACCOUNT OR FOR THE ACCOUNT OF A QIB IN COMPLIANCE WITH RULE 144A UNDER THE SECURITIES ACT, (C) OUTSIDE THE UNITED STATES IN AN OFFSHORE TRANSACTION IN COMPLIANCE WITH RULE 904 UNDER THE SECURITIES ACT, (D) PURSUANT TO THE EXEMPTION FROM REGISTRATION PROVIDED BY RULE 144 UNDER THE SECURITIES ACT (IF AVAILABLE) OR (E) PURSUANT TO AN EFFECTIVE REGISTRATION STATEMENT UNDER THE SECURITIES ACT AND, IN EACH CASE, IN ACCORDANCE WITH APPLICABLE STATE SECURITIES LAWS, AND (3) AGREES THAT IT WILL DELIVER TO EACH PERSON TO WHOM THIS NOTE OR AN INTEREST HEREIN IS TRANSFERRED A NOTICE SUBSTANTIALLY TO THE EFFECT OF THIS LEGEND. IN CONNECTION WITH ANY TRANSFER OF THIS NOTE OR ANY INTEREST HEREIN WITHIN THE TIME PERIOD REFERRED TO ABOVE, THE HOLDER MUST CHECK THE APPROPRIATE BOX SET FORTH ON THE REVERSE HEREOF RELATING TO THE MANNER OF SUCH TRANSFER AND SUBMIT THIS CERTIFICATE TO THE TRUSTEE. AS USED HEREIN, THE TERMS “OFFSHORE TRANSACTION,” “UNITED STATES” AND “U.S. PERSON” HAVE THE MEANINGS GIVEN TO THEM BY RULE 902 OF REGULATION S UNDER THE SECURITIES ACT. THE INDENTURE CONTAINS A PROVISION REQUIRING THE TRUSTEE TO REFUSE TO REGISTER ANY TRANSFER OF THIS NOTE IN VIOLATION OF THE FOREGOING RESTRICTIONS.”</w:t>
      </w:r>
    </w:p>
    <w:p>
      <w:pPr>
        <w:spacing w:after="0" w:line="187" w:lineRule="exact"/>
        <w:rPr>
          <w:sz w:val="20"/>
          <w:szCs w:val="20"/>
          <w:color w:val="auto"/>
        </w:rPr>
      </w:pPr>
    </w:p>
    <w:p>
      <w:pPr>
        <w:ind w:left="1500" w:hanging="520"/>
        <w:spacing w:after="0"/>
        <w:tabs>
          <w:tab w:leader="none" w:pos="1500" w:val="left"/>
        </w:tabs>
        <w:numPr>
          <w:ilvl w:val="1"/>
          <w:numId w:val="66"/>
        </w:numPr>
        <w:rPr>
          <w:rFonts w:ascii="Arial" w:cs="Arial" w:eastAsia="Arial" w:hAnsi="Arial"/>
          <w:sz w:val="19"/>
          <w:szCs w:val="19"/>
          <w:color w:val="auto"/>
        </w:rPr>
      </w:pPr>
      <w:r>
        <w:rPr>
          <w:rFonts w:ascii="Arial" w:cs="Arial" w:eastAsia="Arial" w:hAnsi="Arial"/>
          <w:sz w:val="19"/>
          <w:szCs w:val="19"/>
          <w:color w:val="auto"/>
        </w:rPr>
        <w:t>Notwithstanding the foregoing, any Global Note or Definitive Note issued pursuant to subparagraphs (b)(4), (c)</w:t>
      </w:r>
    </w:p>
    <w:p>
      <w:pPr>
        <w:spacing w:after="0" w:line="55" w:lineRule="exact"/>
        <w:rPr>
          <w:rFonts w:ascii="Arial" w:cs="Arial" w:eastAsia="Arial" w:hAnsi="Arial"/>
          <w:sz w:val="19"/>
          <w:szCs w:val="19"/>
          <w:color w:val="auto"/>
        </w:rPr>
      </w:pPr>
    </w:p>
    <w:p>
      <w:pPr>
        <w:ind w:left="660"/>
        <w:spacing w:after="0" w:line="246" w:lineRule="auto"/>
        <w:rPr>
          <w:rFonts w:ascii="Arial" w:cs="Arial" w:eastAsia="Arial" w:hAnsi="Arial"/>
          <w:sz w:val="19"/>
          <w:szCs w:val="19"/>
          <w:color w:val="auto"/>
        </w:rPr>
      </w:pPr>
      <w:r>
        <w:rPr>
          <w:rFonts w:ascii="Arial" w:cs="Arial" w:eastAsia="Arial" w:hAnsi="Arial"/>
          <w:sz w:val="22"/>
          <w:szCs w:val="22"/>
          <w:color w:val="auto"/>
        </w:rPr>
        <w:t>(2), (c)(3), (d)(2), (d)(3), (e)(2) or (e)(3) of this Section 2.06 (and all Notes issued in exchange therefor or substitution thereof) shall not bear the Private Placement Legend.</w:t>
      </w:r>
    </w:p>
    <w:p>
      <w:pPr>
        <w:spacing w:after="0" w:line="219" w:lineRule="exact"/>
        <w:rPr>
          <w:rFonts w:ascii="Arial" w:cs="Arial" w:eastAsia="Arial" w:hAnsi="Arial"/>
          <w:sz w:val="19"/>
          <w:szCs w:val="19"/>
          <w:color w:val="auto"/>
        </w:rPr>
      </w:pPr>
    </w:p>
    <w:p>
      <w:pPr>
        <w:ind w:left="1120" w:hanging="464"/>
        <w:spacing w:after="0"/>
        <w:tabs>
          <w:tab w:leader="none" w:pos="1120" w:val="left"/>
        </w:tabs>
        <w:numPr>
          <w:ilvl w:val="0"/>
          <w:numId w:val="67"/>
        </w:numPr>
        <w:rPr>
          <w:rFonts w:ascii="Arial" w:cs="Arial" w:eastAsia="Arial" w:hAnsi="Arial"/>
          <w:sz w:val="22"/>
          <w:szCs w:val="22"/>
          <w:i w:val="1"/>
          <w:iCs w:val="1"/>
          <w:color w:val="auto"/>
        </w:rPr>
      </w:pPr>
      <w:r>
        <w:rPr>
          <w:rFonts w:ascii="Arial" w:cs="Arial" w:eastAsia="Arial" w:hAnsi="Arial"/>
          <w:sz w:val="22"/>
          <w:szCs w:val="22"/>
          <w:i w:val="1"/>
          <w:iCs w:val="1"/>
          <w:color w:val="auto"/>
        </w:rPr>
        <w:t>Global Note Legend</w:t>
      </w:r>
      <w:r>
        <w:rPr>
          <w:rFonts w:ascii="Arial" w:cs="Arial" w:eastAsia="Arial" w:hAnsi="Arial"/>
          <w:sz w:val="22"/>
          <w:szCs w:val="22"/>
          <w:color w:val="auto"/>
        </w:rPr>
        <w:t>. Each Global Note shall bear a legend in substantially the following form:</w:t>
      </w:r>
    </w:p>
    <w:p>
      <w:pPr>
        <w:spacing w:after="0" w:line="247"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CANCELATION PURSUANT TO Section 2.11 OF THE INDENTURE AND (4) THIS GLOBAL NOTE MAY BE TRANSFERRED TO A SUCCESSOR DEPOSITARY WITH THE PRIOR WRITTEN CONSENT OF THE ISSUER.</w:t>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28" w:right="339" w:bottom="1440" w:gutter="0" w:footer="0" w:header="0"/>
        </w:sectPr>
      </w:pPr>
    </w:p>
    <w:bookmarkStart w:id="86" w:name="page87"/>
    <w:bookmarkEnd w:id="86"/>
    <w:p>
      <w:pPr>
        <w:jc w:val="both"/>
        <w:spacing w:after="0" w:line="246" w:lineRule="auto"/>
        <w:rPr>
          <w:sz w:val="20"/>
          <w:szCs w:val="20"/>
          <w:color w:val="auto"/>
        </w:rPr>
      </w:pPr>
      <w:r>
        <w:rPr>
          <w:rFonts w:ascii="Arial" w:cs="Arial" w:eastAsia="Arial" w:hAnsi="Arial"/>
          <w:sz w:val="22"/>
          <w:szCs w:val="22"/>
          <w:color w:val="auto"/>
        </w:rPr>
        <w:t>NEW YORK, NEW YORK) (“DTC”),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96" w:lineRule="exact"/>
        <w:rPr>
          <w:sz w:val="20"/>
          <w:szCs w:val="20"/>
          <w:color w:val="auto"/>
        </w:rPr>
      </w:pPr>
    </w:p>
    <w:p>
      <w:pPr>
        <w:jc w:val="both"/>
        <w:ind w:firstLine="332"/>
        <w:spacing w:after="0" w:line="288" w:lineRule="auto"/>
        <w:tabs>
          <w:tab w:leader="none" w:pos="803" w:val="left"/>
        </w:tabs>
        <w:numPr>
          <w:ilvl w:val="0"/>
          <w:numId w:val="68"/>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Cancelation and/or Adjustment of Global Notes. </w:t>
      </w:r>
      <w:r>
        <w:rPr>
          <w:rFonts w:ascii="Arial" w:cs="Arial" w:eastAsia="Arial" w:hAnsi="Arial"/>
          <w:sz w:val="19"/>
          <w:szCs w:val="19"/>
          <w:color w:val="auto"/>
        </w:rPr>
        <w:t>At such time as all beneficial interests in a particular Global Note have</w:t>
      </w:r>
      <w:r>
        <w:rPr>
          <w:rFonts w:ascii="Arial" w:cs="Arial" w:eastAsia="Arial" w:hAnsi="Arial"/>
          <w:sz w:val="19"/>
          <w:szCs w:val="19"/>
          <w:i w:val="1"/>
          <w:iCs w:val="1"/>
          <w:color w:val="auto"/>
        </w:rPr>
        <w:t xml:space="preserve"> </w:t>
      </w:r>
      <w:r>
        <w:rPr>
          <w:rFonts w:ascii="Arial" w:cs="Arial" w:eastAsia="Arial" w:hAnsi="Arial"/>
          <w:sz w:val="19"/>
          <w:szCs w:val="19"/>
          <w:color w:val="auto"/>
        </w:rPr>
        <w:t>been exchanged for Definitive Notes or a particular Global Note has been redeemed, repurchased or canceled in whole and not in part, each such Global Note shall be returned to or retained and canceled by the Trustee in accordance with Section 2.11 hereof. At any time prior to such cancelation, if any beneficial interest in a Global Note is exchanged for or transferred to a Person who shall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shall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spacing w:after="0" w:line="186" w:lineRule="exact"/>
        <w:rPr>
          <w:rFonts w:ascii="Arial" w:cs="Arial" w:eastAsia="Arial" w:hAnsi="Arial"/>
          <w:sz w:val="19"/>
          <w:szCs w:val="19"/>
          <w:i w:val="1"/>
          <w:iCs w:val="1"/>
          <w:color w:val="auto"/>
        </w:rPr>
      </w:pPr>
    </w:p>
    <w:p>
      <w:pPr>
        <w:ind w:left="800" w:hanging="468"/>
        <w:spacing w:after="0"/>
        <w:tabs>
          <w:tab w:leader="none" w:pos="800" w:val="left"/>
        </w:tabs>
        <w:numPr>
          <w:ilvl w:val="0"/>
          <w:numId w:val="68"/>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General </w:t>
      </w:r>
      <w:r>
        <w:rPr>
          <w:rFonts w:ascii="Arial" w:cs="Arial" w:eastAsia="Arial" w:hAnsi="Arial"/>
          <w:sz w:val="22"/>
          <w:szCs w:val="22"/>
          <w:color w:val="auto"/>
        </w:rPr>
        <w:t>Provisions</w:t>
      </w:r>
      <w:r>
        <w:rPr>
          <w:rFonts w:ascii="Arial" w:cs="Arial" w:eastAsia="Arial" w:hAnsi="Arial"/>
          <w:sz w:val="22"/>
          <w:szCs w:val="22"/>
          <w:i w:val="1"/>
          <w:iCs w:val="1"/>
          <w:color w:val="auto"/>
        </w:rPr>
        <w:t xml:space="preserve"> Relating to Transfers and Exchanges</w:t>
      </w:r>
      <w:r>
        <w:rPr>
          <w:rFonts w:ascii="Arial" w:cs="Arial" w:eastAsia="Arial" w:hAnsi="Arial"/>
          <w:sz w:val="22"/>
          <w:szCs w:val="22"/>
          <w:color w:val="auto"/>
        </w:rPr>
        <w:t>.</w:t>
      </w:r>
    </w:p>
    <w:p>
      <w:pPr>
        <w:spacing w:after="0" w:line="246" w:lineRule="exact"/>
        <w:rPr>
          <w:rFonts w:ascii="Arial" w:cs="Arial" w:eastAsia="Arial" w:hAnsi="Arial"/>
          <w:sz w:val="22"/>
          <w:szCs w:val="22"/>
          <w:i w:val="1"/>
          <w:iCs w:val="1"/>
          <w:color w:val="auto"/>
        </w:rPr>
      </w:pPr>
    </w:p>
    <w:p>
      <w:pPr>
        <w:jc w:val="both"/>
        <w:ind w:firstLine="656"/>
        <w:spacing w:after="0" w:line="253" w:lineRule="auto"/>
        <w:tabs>
          <w:tab w:leader="none" w:pos="1134" w:val="left"/>
        </w:tabs>
        <w:numPr>
          <w:ilvl w:val="1"/>
          <w:numId w:val="68"/>
        </w:numPr>
        <w:rPr>
          <w:rFonts w:ascii="Arial" w:cs="Arial" w:eastAsia="Arial" w:hAnsi="Arial"/>
          <w:sz w:val="22"/>
          <w:szCs w:val="22"/>
          <w:color w:val="auto"/>
        </w:rPr>
      </w:pPr>
      <w:r>
        <w:rPr>
          <w:rFonts w:ascii="Arial" w:cs="Arial" w:eastAsia="Arial" w:hAnsi="Arial"/>
          <w:sz w:val="22"/>
          <w:szCs w:val="22"/>
          <w:color w:val="auto"/>
        </w:rPr>
        <w:t>To permit registrations of transfers and exchanges, the Issuer shall execute and the Trustee shall authenticate Global Notes and Definitive Notes upon receipt of an Authentication Order in accordance with Section 2.02 hereof or at the Registrar’s request.</w:t>
      </w:r>
    </w:p>
    <w:p>
      <w:pPr>
        <w:spacing w:after="0" w:line="212" w:lineRule="exact"/>
        <w:rPr>
          <w:rFonts w:ascii="Arial" w:cs="Arial" w:eastAsia="Arial" w:hAnsi="Arial"/>
          <w:sz w:val="22"/>
          <w:szCs w:val="22"/>
          <w:color w:val="auto"/>
        </w:rPr>
      </w:pPr>
    </w:p>
    <w:p>
      <w:pPr>
        <w:jc w:val="both"/>
        <w:ind w:firstLine="656"/>
        <w:spacing w:after="0" w:line="302" w:lineRule="auto"/>
        <w:tabs>
          <w:tab w:leader="none" w:pos="1139" w:val="left"/>
        </w:tabs>
        <w:numPr>
          <w:ilvl w:val="1"/>
          <w:numId w:val="68"/>
        </w:numPr>
        <w:rPr>
          <w:rFonts w:ascii="Arial" w:cs="Arial" w:eastAsia="Arial" w:hAnsi="Arial"/>
          <w:sz w:val="19"/>
          <w:szCs w:val="19"/>
          <w:color w:val="auto"/>
        </w:rPr>
      </w:pPr>
      <w:r>
        <w:rPr>
          <w:rFonts w:ascii="Arial" w:cs="Arial" w:eastAsia="Arial" w:hAnsi="Arial"/>
          <w:sz w:val="19"/>
          <w:szCs w:val="19"/>
          <w:color w:val="auto"/>
        </w:rPr>
        <w:t>No service charge shall be made to a Holder of, or a Beneficial Owner of an interest in, a Global Note or Definitive Note for any registration of transfer or exchange, but the Issuer and the Trustee may require payment of a sum sufficient to cover any transfer tax or similar governmental charge payable in connection therewith (other than any such transfer taxes or similar governmental charge payable upon exchange or transfer pursuant to Sections 2.10, 3.06, 4.08 and 9.04 hereof).</w:t>
      </w:r>
    </w:p>
    <w:p>
      <w:pPr>
        <w:spacing w:after="0" w:line="182" w:lineRule="exact"/>
        <w:rPr>
          <w:rFonts w:ascii="Arial" w:cs="Arial" w:eastAsia="Arial" w:hAnsi="Arial"/>
          <w:sz w:val="19"/>
          <w:szCs w:val="19"/>
          <w:color w:val="auto"/>
        </w:rPr>
      </w:pPr>
    </w:p>
    <w:p>
      <w:pPr>
        <w:ind w:firstLine="656"/>
        <w:spacing w:after="0" w:line="263" w:lineRule="auto"/>
        <w:tabs>
          <w:tab w:leader="none" w:pos="1187" w:val="left"/>
        </w:tabs>
        <w:numPr>
          <w:ilvl w:val="1"/>
          <w:numId w:val="68"/>
        </w:numPr>
        <w:rPr>
          <w:rFonts w:ascii="Arial" w:cs="Arial" w:eastAsia="Arial" w:hAnsi="Arial"/>
          <w:sz w:val="22"/>
          <w:szCs w:val="22"/>
          <w:color w:val="auto"/>
        </w:rPr>
      </w:pPr>
      <w:r>
        <w:rPr>
          <w:rFonts w:ascii="Arial" w:cs="Arial" w:eastAsia="Arial" w:hAnsi="Arial"/>
          <w:sz w:val="22"/>
          <w:szCs w:val="22"/>
          <w:color w:val="auto"/>
        </w:rPr>
        <w:t>The Registrar shall not be required to register the transfer of or exchange of any Note selected for redemption in whole or in part, except the unredeemed portion of any Note being redeemed in part.</w:t>
      </w:r>
    </w:p>
    <w:p>
      <w:pPr>
        <w:spacing w:after="0" w:line="201" w:lineRule="exact"/>
        <w:rPr>
          <w:rFonts w:ascii="Arial" w:cs="Arial" w:eastAsia="Arial" w:hAnsi="Arial"/>
          <w:sz w:val="22"/>
          <w:szCs w:val="22"/>
          <w:color w:val="auto"/>
        </w:rPr>
      </w:pPr>
    </w:p>
    <w:p>
      <w:pPr>
        <w:jc w:val="both"/>
        <w:ind w:firstLine="656"/>
        <w:spacing w:after="0" w:line="312" w:lineRule="auto"/>
        <w:tabs>
          <w:tab w:leader="none" w:pos="1217" w:val="left"/>
        </w:tabs>
        <w:numPr>
          <w:ilvl w:val="1"/>
          <w:numId w:val="68"/>
        </w:numPr>
        <w:rPr>
          <w:rFonts w:ascii="Arial" w:cs="Arial" w:eastAsia="Arial" w:hAnsi="Arial"/>
          <w:sz w:val="19"/>
          <w:szCs w:val="19"/>
          <w:color w:val="auto"/>
        </w:rPr>
      </w:pPr>
      <w:r>
        <w:rPr>
          <w:rFonts w:ascii="Arial" w:cs="Arial" w:eastAsia="Arial" w:hAnsi="Arial"/>
          <w:sz w:val="19"/>
          <w:szCs w:val="19"/>
          <w:color w:val="auto"/>
        </w:rPr>
        <w:t>All Global Notes and Definitive Notes issued upon any registration of transfer or exchange of Global Notes or Definitive Notes shall be the valid obligations of the Issuer, evidencing the same debt, and entitled to the same benefits under this Indenture, as the Global Notes or Definitive Notes surrendered upon such registration of transfer or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28" w:right="339" w:bottom="1440" w:gutter="0" w:footer="0" w:header="0"/>
        </w:sectPr>
      </w:pPr>
    </w:p>
    <w:bookmarkStart w:id="87" w:name="page88"/>
    <w:bookmarkEnd w:id="87"/>
    <w:p>
      <w:pPr>
        <w:ind w:left="1120" w:hanging="464"/>
        <w:spacing w:after="0"/>
        <w:tabs>
          <w:tab w:leader="none" w:pos="1120" w:val="left"/>
        </w:tabs>
        <w:numPr>
          <w:ilvl w:val="0"/>
          <w:numId w:val="69"/>
        </w:numPr>
        <w:rPr>
          <w:rFonts w:ascii="Arial" w:cs="Arial" w:eastAsia="Arial" w:hAnsi="Arial"/>
          <w:sz w:val="22"/>
          <w:szCs w:val="22"/>
          <w:color w:val="auto"/>
        </w:rPr>
      </w:pPr>
      <w:r>
        <w:rPr>
          <w:rFonts w:ascii="Arial" w:cs="Arial" w:eastAsia="Arial" w:hAnsi="Arial"/>
          <w:sz w:val="22"/>
          <w:szCs w:val="22"/>
          <w:color w:val="auto"/>
        </w:rPr>
        <w:t>Neither the Registrar nor the Issuer shall be required:</w:t>
      </w:r>
    </w:p>
    <w:p>
      <w:pPr>
        <w:spacing w:after="0" w:line="246" w:lineRule="exact"/>
        <w:rPr>
          <w:rFonts w:ascii="Arial" w:cs="Arial" w:eastAsia="Arial" w:hAnsi="Arial"/>
          <w:sz w:val="22"/>
          <w:szCs w:val="22"/>
          <w:color w:val="auto"/>
        </w:rPr>
      </w:pPr>
    </w:p>
    <w:p>
      <w:pPr>
        <w:ind w:left="660" w:firstLine="320"/>
        <w:spacing w:after="0" w:line="263" w:lineRule="auto"/>
        <w:tabs>
          <w:tab w:leader="none" w:pos="1500" w:val="left"/>
        </w:tabs>
        <w:numPr>
          <w:ilvl w:val="1"/>
          <w:numId w:val="69"/>
        </w:numPr>
        <w:rPr>
          <w:rFonts w:ascii="Arial" w:cs="Arial" w:eastAsia="Arial" w:hAnsi="Arial"/>
          <w:sz w:val="21"/>
          <w:szCs w:val="21"/>
          <w:color w:val="auto"/>
        </w:rPr>
      </w:pPr>
      <w:r>
        <w:rPr>
          <w:rFonts w:ascii="Arial" w:cs="Arial" w:eastAsia="Arial" w:hAnsi="Arial"/>
          <w:sz w:val="21"/>
          <w:szCs w:val="21"/>
          <w:color w:val="auto"/>
        </w:rPr>
        <w:t>to issue, to register the transfer of or to exchange any Notes during a period beginning at the opening of business 15 days before the delivery of a notice of redemption for Notes under Section 3.02 hereof;</w:t>
      </w:r>
    </w:p>
    <w:p>
      <w:pPr>
        <w:spacing w:after="0" w:line="1" w:lineRule="exact"/>
        <w:rPr>
          <w:rFonts w:ascii="Arial" w:cs="Arial" w:eastAsia="Arial" w:hAnsi="Arial"/>
          <w:sz w:val="21"/>
          <w:szCs w:val="21"/>
          <w:color w:val="auto"/>
        </w:rPr>
      </w:pPr>
    </w:p>
    <w:p>
      <w:pPr>
        <w:ind w:left="660" w:firstLine="320"/>
        <w:spacing w:after="0" w:line="246" w:lineRule="auto"/>
        <w:tabs>
          <w:tab w:leader="none" w:pos="1612" w:val="left"/>
        </w:tabs>
        <w:numPr>
          <w:ilvl w:val="1"/>
          <w:numId w:val="69"/>
        </w:numPr>
        <w:rPr>
          <w:rFonts w:ascii="Arial" w:cs="Arial" w:eastAsia="Arial" w:hAnsi="Arial"/>
          <w:sz w:val="22"/>
          <w:szCs w:val="22"/>
          <w:color w:val="auto"/>
        </w:rPr>
      </w:pPr>
      <w:r>
        <w:rPr>
          <w:rFonts w:ascii="Arial" w:cs="Arial" w:eastAsia="Arial" w:hAnsi="Arial"/>
          <w:sz w:val="22"/>
          <w:szCs w:val="22"/>
          <w:color w:val="auto"/>
        </w:rPr>
        <w:t>to register the transfer of or to exchange any Note selected for redemption in whole or in part, except the unredeemed portion of any Note being redeemed in part; or</w:t>
      </w:r>
    </w:p>
    <w:p>
      <w:pPr>
        <w:spacing w:after="0" w:line="219" w:lineRule="exact"/>
        <w:rPr>
          <w:rFonts w:ascii="Arial" w:cs="Arial" w:eastAsia="Arial" w:hAnsi="Arial"/>
          <w:sz w:val="22"/>
          <w:szCs w:val="22"/>
          <w:color w:val="auto"/>
        </w:rPr>
      </w:pPr>
    </w:p>
    <w:p>
      <w:pPr>
        <w:ind w:left="1500" w:hanging="520"/>
        <w:spacing w:after="0"/>
        <w:tabs>
          <w:tab w:leader="none" w:pos="1500" w:val="left"/>
        </w:tabs>
        <w:numPr>
          <w:ilvl w:val="1"/>
          <w:numId w:val="69"/>
        </w:numPr>
        <w:rPr>
          <w:rFonts w:ascii="Arial" w:cs="Arial" w:eastAsia="Arial" w:hAnsi="Arial"/>
          <w:sz w:val="19"/>
          <w:szCs w:val="19"/>
          <w:color w:val="auto"/>
        </w:rPr>
      </w:pPr>
      <w:r>
        <w:rPr>
          <w:rFonts w:ascii="Arial" w:cs="Arial" w:eastAsia="Arial" w:hAnsi="Arial"/>
          <w:sz w:val="19"/>
          <w:szCs w:val="19"/>
          <w:color w:val="auto"/>
        </w:rPr>
        <w:t>to register the transfer of or to exchange a Note between a record date and the next succeeding interest payment</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date.</w:t>
      </w:r>
    </w:p>
    <w:p>
      <w:pPr>
        <w:spacing w:after="0" w:line="242" w:lineRule="exact"/>
        <w:rPr>
          <w:rFonts w:ascii="Arial" w:cs="Arial" w:eastAsia="Arial" w:hAnsi="Arial"/>
          <w:sz w:val="19"/>
          <w:szCs w:val="19"/>
          <w:color w:val="auto"/>
        </w:rPr>
      </w:pPr>
    </w:p>
    <w:p>
      <w:pPr>
        <w:jc w:val="both"/>
        <w:ind w:firstLine="656"/>
        <w:spacing w:after="0" w:line="250" w:lineRule="auto"/>
        <w:tabs>
          <w:tab w:leader="none" w:pos="1183" w:val="left"/>
        </w:tabs>
        <w:numPr>
          <w:ilvl w:val="0"/>
          <w:numId w:val="69"/>
        </w:numPr>
        <w:rPr>
          <w:rFonts w:ascii="Arial" w:cs="Arial" w:eastAsia="Arial" w:hAnsi="Arial"/>
          <w:sz w:val="22"/>
          <w:szCs w:val="22"/>
          <w:color w:val="auto"/>
        </w:rPr>
      </w:pPr>
      <w:r>
        <w:rPr>
          <w:rFonts w:ascii="Arial" w:cs="Arial" w:eastAsia="Arial" w:hAnsi="Arial"/>
          <w:sz w:val="22"/>
          <w:szCs w:val="22"/>
          <w:color w:val="auto"/>
        </w:rPr>
        <w:t>Prior to due presentment for the registration of a transfer of any Note, the Trustee, any Agent and the Issuer may deem and treat the Person in whose name any Note is registered as the absolute owner of such Note for the purpose of receiving payment of principal of and interest on such Notes and for all other purposes, and none of the Trustee, any Agent or the Issuer shall be affected by notice to the contrary.</w:t>
      </w:r>
    </w:p>
    <w:p>
      <w:pPr>
        <w:spacing w:after="0" w:line="214" w:lineRule="exact"/>
        <w:rPr>
          <w:rFonts w:ascii="Arial" w:cs="Arial" w:eastAsia="Arial" w:hAnsi="Arial"/>
          <w:sz w:val="22"/>
          <w:szCs w:val="22"/>
          <w:color w:val="auto"/>
        </w:rPr>
      </w:pPr>
    </w:p>
    <w:p>
      <w:pPr>
        <w:ind w:left="1140" w:hanging="484"/>
        <w:spacing w:after="0"/>
        <w:tabs>
          <w:tab w:leader="none" w:pos="11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Trustee shall authenticate Global Notes and Definitive Notes in accordance with the provisions of Section 2.02</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228" w:lineRule="exact"/>
        <w:rPr>
          <w:rFonts w:ascii="Arial" w:cs="Arial" w:eastAsia="Arial" w:hAnsi="Arial"/>
          <w:sz w:val="19"/>
          <w:szCs w:val="19"/>
          <w:color w:val="auto"/>
        </w:rPr>
      </w:pPr>
    </w:p>
    <w:p>
      <w:pPr>
        <w:ind w:firstLine="656"/>
        <w:spacing w:after="0" w:line="263" w:lineRule="auto"/>
        <w:tabs>
          <w:tab w:leader="none" w:pos="1198" w:val="left"/>
        </w:tabs>
        <w:numPr>
          <w:ilvl w:val="0"/>
          <w:numId w:val="69"/>
        </w:numPr>
        <w:rPr>
          <w:rFonts w:ascii="Arial" w:cs="Arial" w:eastAsia="Arial" w:hAnsi="Arial"/>
          <w:sz w:val="22"/>
          <w:szCs w:val="22"/>
          <w:color w:val="auto"/>
        </w:rPr>
      </w:pPr>
      <w:r>
        <w:rPr>
          <w:rFonts w:ascii="Arial" w:cs="Arial" w:eastAsia="Arial" w:hAnsi="Arial"/>
          <w:sz w:val="22"/>
          <w:szCs w:val="22"/>
          <w:color w:val="auto"/>
        </w:rPr>
        <w:t>All certifications, certificates and Opinions of Counsel required to be submitted to the Registrar pursuant to this Section 2.06 to effect a registration of transfer or exchange may be submitted by facsimile.</w:t>
      </w:r>
    </w:p>
    <w:p>
      <w:pPr>
        <w:spacing w:after="0" w:line="201" w:lineRule="exact"/>
        <w:rPr>
          <w:rFonts w:ascii="Arial" w:cs="Arial" w:eastAsia="Arial" w:hAnsi="Arial"/>
          <w:sz w:val="22"/>
          <w:szCs w:val="22"/>
          <w:color w:val="auto"/>
        </w:rPr>
      </w:pPr>
    </w:p>
    <w:p>
      <w:pPr>
        <w:jc w:val="both"/>
        <w:ind w:firstLine="656"/>
        <w:spacing w:after="0" w:line="247" w:lineRule="auto"/>
        <w:tabs>
          <w:tab w:leader="none" w:pos="1139"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Trustee shall have no obligation or duty to monitor, determine or inquire as to compliance with any restrictions on transfer imposed under this Indenture or under applicable law with respect to any transfer of any interest in any Global Notes (including any transfers between or among depositary participants or beneficial owners of interests in any Global Notes)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219" w:lineRule="exact"/>
        <w:rPr>
          <w:rFonts w:ascii="Arial" w:cs="Arial" w:eastAsia="Arial" w:hAnsi="Arial"/>
          <w:sz w:val="22"/>
          <w:szCs w:val="22"/>
          <w:color w:val="auto"/>
        </w:rPr>
      </w:pPr>
    </w:p>
    <w:p>
      <w:pPr>
        <w:ind w:left="1240" w:hanging="584"/>
        <w:spacing w:after="0"/>
        <w:tabs>
          <w:tab w:leader="none" w:pos="12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Neither the Trustee nor any Agent shall have any responsibility or liability for any actions taken or not taken by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Depositary.</w:t>
      </w:r>
    </w:p>
    <w:p>
      <w:pPr>
        <w:spacing w:after="0" w:line="229"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2.07</w:t>
      </w:r>
      <w:r>
        <w:rPr>
          <w:sz w:val="20"/>
          <w:szCs w:val="20"/>
          <w:color w:val="auto"/>
        </w:rPr>
        <w:tab/>
      </w:r>
      <w:r>
        <w:rPr>
          <w:rFonts w:ascii="Arial" w:cs="Arial" w:eastAsia="Arial" w:hAnsi="Arial"/>
          <w:sz w:val="18"/>
          <w:szCs w:val="18"/>
          <w:i w:val="1"/>
          <w:iCs w:val="1"/>
          <w:color w:val="auto"/>
        </w:rPr>
        <w:t>Replacement Notes</w:t>
      </w:r>
    </w:p>
    <w:p>
      <w:pPr>
        <w:spacing w:after="0" w:line="220"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22"/>
          <w:szCs w:val="22"/>
          <w:color w:val="auto"/>
        </w:rPr>
        <w:t>If any mutilated Note is surrendered to the Trustee or the Issuer and the Trustee receives evidence to its satisfaction of the destruction, loss or theft of any Note, the Issuer shall issue and the Trustee, upon receipt of an Authentication Order, shall authenticate a replacement Note if the Trustee’s requirements are met. An indemnity bond must be supplied by the Holder that is sufficient in the judgment of the Trustee and the Issuer to protect the Issuer, the Trustee, any Agent and any authenticating agent from any loss that any of them may suffer if a Note is replaced. The Issuer may charge for its expenses (including the Trustee’s expenses) in replacing a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28" w:right="339" w:bottom="1440" w:gutter="0" w:footer="0" w:header="0"/>
        </w:sectPr>
      </w:pPr>
    </w:p>
    <w:bookmarkStart w:id="88" w:name="page89"/>
    <w:bookmarkEnd w:id="88"/>
    <w:p>
      <w:pPr>
        <w:jc w:val="both"/>
        <w:ind w:firstLine="324"/>
        <w:spacing w:after="0" w:line="251" w:lineRule="auto"/>
        <w:rPr>
          <w:sz w:val="20"/>
          <w:szCs w:val="20"/>
          <w:color w:val="auto"/>
        </w:rPr>
      </w:pPr>
      <w:r>
        <w:rPr>
          <w:rFonts w:ascii="Arial" w:cs="Arial" w:eastAsia="Arial" w:hAnsi="Arial"/>
          <w:sz w:val="22"/>
          <w:szCs w:val="22"/>
          <w:color w:val="auto"/>
        </w:rPr>
        <w:t>Every replacement Note is an additional obligation of the Issuer and shall be entitled to all of the benefits of this Indenture equally and proportionately with all other Notes duly issued hereunder.</w:t>
      </w:r>
    </w:p>
    <w:p>
      <w:pPr>
        <w:spacing w:after="0" w:line="2"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2.08</w:t>
      </w:r>
      <w:r>
        <w:rPr>
          <w:sz w:val="20"/>
          <w:szCs w:val="20"/>
          <w:color w:val="auto"/>
        </w:rPr>
        <w:tab/>
      </w:r>
      <w:r>
        <w:rPr>
          <w:rFonts w:ascii="Arial" w:cs="Arial" w:eastAsia="Arial" w:hAnsi="Arial"/>
          <w:sz w:val="19"/>
          <w:szCs w:val="19"/>
          <w:i w:val="1"/>
          <w:iCs w:val="1"/>
          <w:color w:val="auto"/>
        </w:rPr>
        <w:t>Outstanding Notes</w:t>
      </w:r>
    </w:p>
    <w:p>
      <w:pPr>
        <w:spacing w:after="0" w:line="20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9"/>
          <w:szCs w:val="19"/>
          <w:color w:val="auto"/>
        </w:rPr>
        <w:t>The Notes outstanding at any time are all the Notes authenticated by the Trustee except for those canceled by it, those delivered to it for cancelation, those reductions in the interest in a Global Note effected by the Trustee in accordance with the provisions hereof, and those described in this Section 2.08 as not outstanding. Except as set forth in Section 2.09 hereof, a Note does not cease to be outstanding because the Issuer or an Affiliate of the Issuer holds the Note.</w:t>
      </w:r>
    </w:p>
    <w:p>
      <w:pPr>
        <w:spacing w:after="0" w:line="16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22"/>
          <w:szCs w:val="22"/>
          <w:color w:val="auto"/>
        </w:rPr>
        <w:t>If a Note is replaced pursuant to Section 2.07 hereof, it ceases to be outstanding unless the Trustee receives proof satisfactory to it that the replaced Note is held by a protected purchaser.</w:t>
      </w:r>
    </w:p>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22"/>
          <w:szCs w:val="22"/>
          <w:color w:val="auto"/>
        </w:rPr>
        <w:t>If the principal amount of any Note is considered paid under Section 4.01 hereof, it ceases to be outstanding and interest on it ceases to accrue.</w:t>
      </w:r>
    </w:p>
    <w:p>
      <w:pPr>
        <w:spacing w:after="0" w:line="21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If the Paying Agent (other than the Issuer, a Subsidiary of the Issuer or an Affiliate of any thereof) holds, on a redemption date or maturity date, money sufficient to pay Notes payable on that date, then on and after that date such Notes shall be deemed to be no longer outstanding and shall cease to accrue interest.</w:t>
      </w:r>
    </w:p>
    <w:p>
      <w:pPr>
        <w:spacing w:after="0" w:line="212"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2.09</w:t>
      </w:r>
      <w:r>
        <w:rPr>
          <w:sz w:val="20"/>
          <w:szCs w:val="20"/>
          <w:color w:val="auto"/>
        </w:rPr>
        <w:tab/>
      </w:r>
      <w:r>
        <w:rPr>
          <w:rFonts w:ascii="Arial" w:cs="Arial" w:eastAsia="Arial" w:hAnsi="Arial"/>
          <w:sz w:val="19"/>
          <w:szCs w:val="19"/>
          <w:i w:val="1"/>
          <w:iCs w:val="1"/>
          <w:color w:val="auto"/>
        </w:rPr>
        <w:t>Treasury Notes</w:t>
      </w:r>
    </w:p>
    <w:p>
      <w:pPr>
        <w:spacing w:after="0" w:line="22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In determining whether the Holders of the required principal amount of Notes have concurred in any direction, waiver or consent, Notes owned by the Issuer or any of its Affiliates shall be considered as though not outstanding, except that for the purposes of determining whether the Trustee shall be protected in relying on any such direction, waiver or consent, only Notes that the Trustee knows are so owned shall be so disregarded.</w:t>
      </w:r>
    </w:p>
    <w:p>
      <w:pPr>
        <w:spacing w:after="0" w:line="215"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2.10</w:t>
      </w:r>
      <w:r>
        <w:rPr>
          <w:sz w:val="20"/>
          <w:szCs w:val="20"/>
          <w:color w:val="auto"/>
        </w:rPr>
        <w:tab/>
      </w:r>
      <w:r>
        <w:rPr>
          <w:rFonts w:ascii="Arial" w:cs="Arial" w:eastAsia="Arial" w:hAnsi="Arial"/>
          <w:sz w:val="19"/>
          <w:szCs w:val="19"/>
          <w:i w:val="1"/>
          <w:iCs w:val="1"/>
          <w:color w:val="auto"/>
        </w:rPr>
        <w:t>Temporary Notes</w:t>
      </w:r>
    </w:p>
    <w:p>
      <w:pPr>
        <w:spacing w:after="0" w:line="220"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2"/>
          <w:szCs w:val="22"/>
          <w:color w:val="auto"/>
        </w:rPr>
        <w:t>Until certificates representing Notes are ready for delivery, the Issuer may prepare and the Trustee, upon receipt of an Authentication Order, shall authenticate temporary Notes. Temporary Notes shall be substantially in the form of certificated Notes but may have variations that the Issuer considers appropriate for temporary Notes and as may be reasonably acceptable to the Trustee. Without unreasonable delay, the Issuer shall prepare and the Trustee shall authenticate Definitive Notes in exchange for temporary Notes.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Holders of temporary Notes shall be entitled to all of the benefits of this Indenture.</w:t>
      </w:r>
    </w:p>
    <w:p>
      <w:pPr>
        <w:spacing w:after="0" w:line="247" w:lineRule="exact"/>
        <w:rPr>
          <w:sz w:val="20"/>
          <w:szCs w:val="20"/>
          <w:color w:val="auto"/>
        </w:rPr>
      </w:pPr>
    </w:p>
    <w:p>
      <w:pPr>
        <w:ind w:left="340"/>
        <w:spacing w:after="0"/>
        <w:tabs>
          <w:tab w:leader="none" w:pos="1580" w:val="left"/>
        </w:tabs>
        <w:rPr>
          <w:sz w:val="20"/>
          <w:szCs w:val="20"/>
          <w:color w:val="auto"/>
        </w:rPr>
      </w:pPr>
      <w:r>
        <w:rPr>
          <w:rFonts w:ascii="Arial" w:cs="Arial" w:eastAsia="Arial" w:hAnsi="Arial"/>
          <w:sz w:val="22"/>
          <w:szCs w:val="22"/>
          <w:i w:val="1"/>
          <w:iCs w:val="1"/>
          <w:color w:val="auto"/>
        </w:rPr>
        <w:t>Section 2.11</w:t>
      </w:r>
      <w:r>
        <w:rPr>
          <w:sz w:val="20"/>
          <w:szCs w:val="20"/>
          <w:color w:val="auto"/>
        </w:rPr>
        <w:tab/>
      </w:r>
      <w:r>
        <w:rPr>
          <w:rFonts w:ascii="Arial" w:cs="Arial" w:eastAsia="Arial" w:hAnsi="Arial"/>
          <w:sz w:val="19"/>
          <w:szCs w:val="19"/>
          <w:i w:val="1"/>
          <w:iCs w:val="1"/>
          <w:color w:val="auto"/>
        </w:rPr>
        <w:t>Cancelation</w:t>
      </w:r>
    </w:p>
    <w:p>
      <w:pPr>
        <w:spacing w:after="0" w:line="22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9"/>
          <w:szCs w:val="19"/>
          <w:color w:val="auto"/>
        </w:rPr>
        <w:t>The Issuer at any time may deliver Notes to the Trustee for cancelation. The Registrar and Paying Agent shall forward to the Trustee any Notes surrendered to them for registration of transfer, exchange or payment. The Trustee and no one else shall cancel all Notes surrendered for registration of transfer, exchange, payment, replacement or cancelation and shall dispose of such canceled Notes in its customary manner. Upon the written request of the Issuer, the Trustee will</w:t>
      </w:r>
    </w:p>
    <w:p>
      <w:pPr>
        <w:spacing w:after="0" w:line="200" w:lineRule="exact"/>
        <w:rPr>
          <w:sz w:val="20"/>
          <w:szCs w:val="20"/>
          <w:color w:val="auto"/>
        </w:rPr>
      </w:pPr>
    </w:p>
    <w:p>
      <w:pPr>
        <w:spacing w:after="0" w:line="388"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28" w:right="339" w:bottom="1440" w:gutter="0" w:footer="0" w:header="0"/>
        </w:sectPr>
      </w:pPr>
    </w:p>
    <w:bookmarkStart w:id="89" w:name="page90"/>
    <w:bookmarkEnd w:id="89"/>
    <w:p>
      <w:pPr>
        <w:jc w:val="both"/>
        <w:spacing w:after="0" w:line="251" w:lineRule="auto"/>
        <w:rPr>
          <w:sz w:val="20"/>
          <w:szCs w:val="20"/>
          <w:color w:val="auto"/>
        </w:rPr>
      </w:pPr>
      <w:r>
        <w:rPr>
          <w:rFonts w:ascii="Arial" w:cs="Arial" w:eastAsia="Arial" w:hAnsi="Arial"/>
          <w:sz w:val="22"/>
          <w:szCs w:val="22"/>
          <w:color w:val="auto"/>
        </w:rPr>
        <w:t>provide evidence of the destruction of all canceled Notes to the Issuer. The Issuer may not issue new Notes to replace Notes that it has paid or that have been delivered to the Trustee for cancelation.</w:t>
      </w:r>
    </w:p>
    <w:p>
      <w:pPr>
        <w:spacing w:after="0" w:line="2"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2.12</w:t>
      </w:r>
      <w:r>
        <w:rPr>
          <w:sz w:val="20"/>
          <w:szCs w:val="20"/>
          <w:color w:val="auto"/>
        </w:rPr>
        <w:tab/>
      </w:r>
      <w:r>
        <w:rPr>
          <w:rFonts w:ascii="Arial" w:cs="Arial" w:eastAsia="Arial" w:hAnsi="Arial"/>
          <w:sz w:val="19"/>
          <w:szCs w:val="19"/>
          <w:i w:val="1"/>
          <w:iCs w:val="1"/>
          <w:color w:val="auto"/>
        </w:rPr>
        <w:t>Defaulted Interest</w:t>
      </w:r>
    </w:p>
    <w:p>
      <w:pPr>
        <w:spacing w:after="0" w:line="20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9"/>
          <w:szCs w:val="19"/>
          <w:color w:val="auto"/>
        </w:rPr>
        <w:t xml:space="preserve">If the Issuer defaults in a payment of interest on the Notes, it shall pay the defaulted interest in any lawful manner plus, to the extent lawful, interest payable on the defaulted interest, to the Persons who are Holders on a subsequent special record date, in each case, at the rate provided in the Notes and in Section 4.01 hereof. The Issuer shall notify the Trustee in writing of the amount of defaulted interest proposed to be paid on each Note and the date of the proposed payment. The Issuer shall fix or cause to be fixed each such special record date and payment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such special record date may be less than 10 days prior to the related payment date for such defaulted interest. At least 15 days before the special record date, the Issuer (or, upon the written request of the Issuer, the Trustee in the name and at the expense of the Issuer) shall mail or cause to be mailed to Holders a notice that states the special record date, the related payment date and the amount of such interest to be paid.</w:t>
      </w:r>
    </w:p>
    <w:p>
      <w:pPr>
        <w:spacing w:after="0" w:line="183"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2.13</w:t>
      </w:r>
      <w:r>
        <w:rPr>
          <w:sz w:val="20"/>
          <w:szCs w:val="20"/>
          <w:color w:val="auto"/>
        </w:rPr>
        <w:tab/>
      </w:r>
      <w:r>
        <w:rPr>
          <w:rFonts w:ascii="Arial" w:cs="Arial" w:eastAsia="Arial" w:hAnsi="Arial"/>
          <w:sz w:val="19"/>
          <w:szCs w:val="19"/>
          <w:i w:val="1"/>
          <w:iCs w:val="1"/>
          <w:color w:val="auto"/>
        </w:rPr>
        <w:t>Issuance of Additional Notes</w:t>
      </w:r>
    </w:p>
    <w:p>
      <w:pPr>
        <w:spacing w:after="0" w:line="220"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22"/>
          <w:szCs w:val="22"/>
          <w:color w:val="auto"/>
        </w:rPr>
        <w:t>The Issuer will be entitled, upon delivery of an Officer’s Certificate, Opinion of Counsel and Authentication Order, subject to compliance with Section 2.02 hereof, to issue Additional Notes under this Indenture, which shall have identical terms as the Initial Notes issued on the date of this Indenture, other than with respect to the date of issuance, the initial date from which interest shall accrue on such Additional Notes and issue price. Without the consent of any Holder of Notes, the Issuer will be entitled to make any amendments to this Indenture as it reasonably determines appropriate in good faith to facilitate the issuance of such Additional Notes.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9"/>
          <w:szCs w:val="19"/>
          <w:color w:val="auto"/>
        </w:rPr>
        <w:t>With respect to any Additional Notes, the Issuer will set forth in a resolution of the Board of Directors of the Issuer and an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Officer’s Certificate, a copy of each which shall be delivered to the Trustee, the following information:</w:t>
      </w:r>
    </w:p>
    <w:p>
      <w:pPr>
        <w:spacing w:after="0" w:line="242" w:lineRule="exact"/>
        <w:rPr>
          <w:sz w:val="20"/>
          <w:szCs w:val="20"/>
          <w:color w:val="auto"/>
        </w:rPr>
      </w:pPr>
    </w:p>
    <w:p>
      <w:pPr>
        <w:ind w:left="840" w:hanging="508"/>
        <w:spacing w:after="0"/>
        <w:tabs>
          <w:tab w:leader="none" w:pos="840"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aggregate principal amount of such Additional Notes to be authenticated and delivered pursuant to this Indenture;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29" w:lineRule="exact"/>
        <w:rPr>
          <w:sz w:val="20"/>
          <w:szCs w:val="20"/>
          <w:color w:val="auto"/>
        </w:rPr>
      </w:pPr>
    </w:p>
    <w:p>
      <w:pPr>
        <w:jc w:val="both"/>
        <w:ind w:firstLine="332"/>
        <w:spacing w:after="0" w:line="253" w:lineRule="auto"/>
        <w:tabs>
          <w:tab w:leader="none" w:pos="902" w:val="left"/>
        </w:tabs>
        <w:numPr>
          <w:ilvl w:val="0"/>
          <w:numId w:val="71"/>
        </w:numPr>
        <w:rPr>
          <w:rFonts w:ascii="Arial" w:cs="Arial" w:eastAsia="Arial" w:hAnsi="Arial"/>
          <w:sz w:val="22"/>
          <w:szCs w:val="22"/>
          <w:color w:val="auto"/>
        </w:rPr>
      </w:pPr>
      <w:r>
        <w:rPr>
          <w:rFonts w:ascii="Arial" w:cs="Arial" w:eastAsia="Arial" w:hAnsi="Arial"/>
          <w:sz w:val="22"/>
          <w:szCs w:val="22"/>
          <w:color w:val="auto"/>
        </w:rPr>
        <w:t>which such Additional Notes shall be Notes issued in the form of Restricted Global Notes or Restricted Definitive Notes, as the case may be, or shall be Notes issued in the form of Unrestricted Global Notes or Unrestricted Definitive Notes, as the case may be.</w:t>
      </w:r>
    </w:p>
    <w:p>
      <w:pPr>
        <w:spacing w:after="0" w:line="212" w:lineRule="exact"/>
        <w:rPr>
          <w:sz w:val="20"/>
          <w:szCs w:val="20"/>
          <w:color w:val="auto"/>
        </w:rPr>
      </w:pPr>
    </w:p>
    <w:p>
      <w:pPr>
        <w:ind w:firstLine="324"/>
        <w:spacing w:after="0" w:line="263" w:lineRule="auto"/>
        <w:rPr>
          <w:sz w:val="20"/>
          <w:szCs w:val="20"/>
          <w:color w:val="auto"/>
        </w:rPr>
      </w:pPr>
      <w:r>
        <w:rPr>
          <w:rFonts w:ascii="Arial" w:cs="Arial" w:eastAsia="Arial" w:hAnsi="Arial"/>
          <w:sz w:val="22"/>
          <w:szCs w:val="22"/>
          <w:color w:val="auto"/>
        </w:rPr>
        <w:t>In order for any Additional Notes to have the same CUSIP, Common Code or ISIN, as applicable, as the Notes, such Additional Notes must be fungible with the Notes for United States federal income tax purposes.</w:t>
      </w:r>
    </w:p>
    <w:p>
      <w:pPr>
        <w:spacing w:after="0" w:line="202"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3</w:t>
      </w:r>
    </w:p>
    <w:p>
      <w:pPr>
        <w:spacing w:after="0" w:line="220"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REDEMPTION AND PREPAYMENT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28" w:right="339" w:bottom="1440" w:gutter="0" w:footer="0" w:header="0"/>
        </w:sectPr>
      </w:pPr>
    </w:p>
    <w:bookmarkStart w:id="90" w:name="page91"/>
    <w:bookmarkEnd w:id="90"/>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3.01</w:t>
      </w:r>
      <w:r>
        <w:rPr>
          <w:sz w:val="20"/>
          <w:szCs w:val="20"/>
          <w:color w:val="auto"/>
        </w:rPr>
        <w:tab/>
      </w:r>
      <w:r>
        <w:rPr>
          <w:rFonts w:ascii="Arial" w:cs="Arial" w:eastAsia="Arial" w:hAnsi="Arial"/>
          <w:sz w:val="19"/>
          <w:szCs w:val="19"/>
          <w:i w:val="1"/>
          <w:iCs w:val="1"/>
          <w:color w:val="auto"/>
        </w:rPr>
        <w:t>Notices to Trustee</w:t>
      </w:r>
    </w:p>
    <w:p>
      <w:pPr>
        <w:spacing w:after="0" w:line="22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1"/>
          <w:szCs w:val="21"/>
          <w:color w:val="auto"/>
        </w:rPr>
        <w:t>If the Issuer elects to redeem Notes pursuant to the redemption provisions of Sections 3.07, 3.09 or 3.10 hereof, it must furnish to the Trustee, at least 10 days (or, in the case of a redemption pursuant to Section 3.09 hereof, as soon as reasonably practicable) but not more than 60 days before a redemption date, an Officer’s Certificate setting forth:</w:t>
      </w:r>
    </w:p>
    <w:p>
      <w:pPr>
        <w:spacing w:after="0" w:line="3" w:lineRule="exact"/>
        <w:rPr>
          <w:sz w:val="20"/>
          <w:szCs w:val="20"/>
          <w:color w:val="auto"/>
        </w:rPr>
      </w:pPr>
    </w:p>
    <w:p>
      <w:pPr>
        <w:ind w:left="1440" w:hanging="460"/>
        <w:spacing w:after="0"/>
        <w:tabs>
          <w:tab w:leader="none" w:pos="1440"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clause of this Indenture pursuant to which the redemption shall occur;</w:t>
      </w:r>
    </w:p>
    <w:p>
      <w:pPr>
        <w:spacing w:after="0" w:line="201" w:lineRule="exact"/>
        <w:rPr>
          <w:rFonts w:ascii="Arial" w:cs="Arial" w:eastAsia="Arial" w:hAnsi="Arial"/>
          <w:sz w:val="22"/>
          <w:szCs w:val="22"/>
          <w:color w:val="auto"/>
        </w:rPr>
      </w:pPr>
    </w:p>
    <w:p>
      <w:pPr>
        <w:ind w:left="1440" w:hanging="460"/>
        <w:spacing w:after="0"/>
        <w:tabs>
          <w:tab w:leader="none" w:pos="1440"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19" w:lineRule="exact"/>
        <w:rPr>
          <w:rFonts w:ascii="Arial" w:cs="Arial" w:eastAsia="Arial" w:hAnsi="Arial"/>
          <w:sz w:val="22"/>
          <w:szCs w:val="22"/>
          <w:color w:val="auto"/>
        </w:rPr>
      </w:pPr>
    </w:p>
    <w:p>
      <w:pPr>
        <w:ind w:left="1440" w:hanging="460"/>
        <w:spacing w:after="0"/>
        <w:tabs>
          <w:tab w:leader="none" w:pos="1440"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principal amount of Notes to be redeemed; and</w:t>
      </w:r>
    </w:p>
    <w:p>
      <w:pPr>
        <w:spacing w:after="0" w:line="219" w:lineRule="exact"/>
        <w:rPr>
          <w:rFonts w:ascii="Arial" w:cs="Arial" w:eastAsia="Arial" w:hAnsi="Arial"/>
          <w:sz w:val="22"/>
          <w:szCs w:val="22"/>
          <w:color w:val="auto"/>
        </w:rPr>
      </w:pPr>
    </w:p>
    <w:p>
      <w:pPr>
        <w:ind w:left="1440" w:hanging="460"/>
        <w:spacing w:after="0"/>
        <w:tabs>
          <w:tab w:leader="none" w:pos="1440"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200" w:lineRule="exact"/>
        <w:rPr>
          <w:sz w:val="20"/>
          <w:szCs w:val="20"/>
          <w:color w:val="auto"/>
        </w:rPr>
      </w:pPr>
    </w:p>
    <w:p>
      <w:pPr>
        <w:spacing w:after="0" w:line="263"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3.02</w:t>
      </w:r>
      <w:r>
        <w:rPr>
          <w:sz w:val="20"/>
          <w:szCs w:val="20"/>
          <w:color w:val="auto"/>
        </w:rPr>
        <w:tab/>
      </w:r>
      <w:r>
        <w:rPr>
          <w:rFonts w:ascii="Arial" w:cs="Arial" w:eastAsia="Arial" w:hAnsi="Arial"/>
          <w:sz w:val="19"/>
          <w:szCs w:val="19"/>
          <w:i w:val="1"/>
          <w:iCs w:val="1"/>
          <w:color w:val="auto"/>
        </w:rPr>
        <w:t>Selection of Notes to Be Redeemed or Purchased</w:t>
      </w:r>
    </w:p>
    <w:p>
      <w:pPr>
        <w:spacing w:after="0" w:line="220" w:lineRule="exact"/>
        <w:rPr>
          <w:sz w:val="20"/>
          <w:szCs w:val="20"/>
          <w:color w:val="auto"/>
        </w:rPr>
      </w:pPr>
    </w:p>
    <w:p>
      <w:pPr>
        <w:ind w:right="20" w:firstLine="324"/>
        <w:spacing w:after="0" w:line="263" w:lineRule="auto"/>
        <w:rPr>
          <w:sz w:val="20"/>
          <w:szCs w:val="20"/>
          <w:color w:val="auto"/>
        </w:rPr>
      </w:pPr>
      <w:r>
        <w:rPr>
          <w:rFonts w:ascii="Arial" w:cs="Arial" w:eastAsia="Arial" w:hAnsi="Arial"/>
          <w:sz w:val="22"/>
          <w:szCs w:val="22"/>
          <w:color w:val="auto"/>
        </w:rPr>
        <w:t>If less than all of the Notes are to be redeemed (other than pursuant to Section 3.09 hereof) or purchased in an offer to purchase at any time, the Trustee shall select Notes for redemption or purchase as follows:</w:t>
      </w:r>
    </w:p>
    <w:p>
      <w:pPr>
        <w:spacing w:after="0" w:line="202" w:lineRule="exact"/>
        <w:rPr>
          <w:sz w:val="20"/>
          <w:szCs w:val="20"/>
          <w:color w:val="auto"/>
        </w:rPr>
      </w:pPr>
    </w:p>
    <w:p>
      <w:pPr>
        <w:ind w:firstLine="332"/>
        <w:spacing w:after="0" w:line="263" w:lineRule="auto"/>
        <w:tabs>
          <w:tab w:leader="none" w:pos="798" w:val="left"/>
        </w:tabs>
        <w:numPr>
          <w:ilvl w:val="0"/>
          <w:numId w:val="73"/>
        </w:numPr>
        <w:rPr>
          <w:rFonts w:ascii="Arial" w:cs="Arial" w:eastAsia="Arial" w:hAnsi="Arial"/>
          <w:sz w:val="22"/>
          <w:szCs w:val="22"/>
          <w:color w:val="auto"/>
        </w:rPr>
      </w:pPr>
      <w:r>
        <w:rPr>
          <w:rFonts w:ascii="Arial" w:cs="Arial" w:eastAsia="Arial" w:hAnsi="Arial"/>
          <w:sz w:val="22"/>
          <w:szCs w:val="22"/>
          <w:color w:val="auto"/>
        </w:rPr>
        <w:t>if the Notes are listed on any internationally recognized securities exchange, in compliance with the requirements of the principal internationally recognized securities exchange on which the Notes are listed; or</w:t>
      </w:r>
    </w:p>
    <w:p>
      <w:pPr>
        <w:spacing w:after="0" w:line="201" w:lineRule="exact"/>
        <w:rPr>
          <w:rFonts w:ascii="Arial" w:cs="Arial" w:eastAsia="Arial" w:hAnsi="Arial"/>
          <w:sz w:val="22"/>
          <w:szCs w:val="22"/>
          <w:color w:val="auto"/>
        </w:rPr>
      </w:pPr>
    </w:p>
    <w:p>
      <w:pPr>
        <w:ind w:firstLine="332"/>
        <w:spacing w:after="0" w:line="263" w:lineRule="auto"/>
        <w:tabs>
          <w:tab w:leader="none" w:pos="792" w:val="left"/>
        </w:tabs>
        <w:numPr>
          <w:ilvl w:val="0"/>
          <w:numId w:val="73"/>
        </w:numPr>
        <w:rPr>
          <w:rFonts w:ascii="Arial" w:cs="Arial" w:eastAsia="Arial" w:hAnsi="Arial"/>
          <w:sz w:val="22"/>
          <w:szCs w:val="22"/>
          <w:color w:val="auto"/>
        </w:rPr>
      </w:pPr>
      <w:r>
        <w:rPr>
          <w:rFonts w:ascii="Arial" w:cs="Arial" w:eastAsia="Arial" w:hAnsi="Arial"/>
          <w:sz w:val="22"/>
          <w:szCs w:val="22"/>
          <w:color w:val="auto"/>
        </w:rPr>
        <w:t xml:space="preserve">if the Notes are not listed on any internationally recognized securities exchange, on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 by lot or, in the case of Notes issued in global form, in accordance with the applicable procedures of the Depositary.</w:t>
      </w:r>
    </w:p>
    <w:p>
      <w:pPr>
        <w:spacing w:after="0" w:line="21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In the event of partial redemption or purchase by lot, the particular Notes to be redeemed or purchased shall be selected, unless otherwise provided herein, not less than 30 nor more than 60 days prior to the redemption or purchase date by the Trustee from the outstanding Notes not previously called for redemption or purchase.</w:t>
      </w:r>
    </w:p>
    <w:p>
      <w:pPr>
        <w:spacing w:after="0" w:line="21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1"/>
          <w:szCs w:val="21"/>
          <w:color w:val="auto"/>
        </w:rPr>
        <w:t>The Trustee shall promptly notify the Issuer in writing of the Notes selected for redemption or purchase and, in the case of any Note selected for partial redemption or purchase, the principal amount thereof to be redeemed or purchased. Notes and portions of Notes selected shall be in amounts of US$200,000 or integral multiples of US$1,000 in excess of US$200,000; provided, however, that if all of the Notes of a Holder are to be redeemed or purchased, the entire outstanding amount of Notes held by such Holder, even if less than $200,000 or not a multiple of US$1,000, shall be redeemed or purchased. Except as provided in the preceding sentence, provisions of this Indenture that apply to Notes called for redemption or purchase also apply to portions of Notes called for redemption or purchase.</w:t>
      </w:r>
    </w:p>
    <w:p>
      <w:pPr>
        <w:spacing w:after="0" w:line="207"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3.03</w:t>
      </w:r>
      <w:r>
        <w:rPr>
          <w:sz w:val="20"/>
          <w:szCs w:val="20"/>
          <w:color w:val="auto"/>
        </w:rPr>
        <w:tab/>
      </w:r>
      <w:r>
        <w:rPr>
          <w:rFonts w:ascii="Arial" w:cs="Arial" w:eastAsia="Arial" w:hAnsi="Arial"/>
          <w:sz w:val="19"/>
          <w:szCs w:val="19"/>
          <w:i w:val="1"/>
          <w:iCs w:val="1"/>
          <w:color w:val="auto"/>
        </w:rPr>
        <w:t>Notice of Redemption</w:t>
      </w:r>
    </w:p>
    <w:p>
      <w:pPr>
        <w:spacing w:after="0" w:line="22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At least 10 days but not more than 60 days before a redemption date, the Issuer shall deliver or cause to be delivered a notice of redemption to each Holder whose Notes are to be redeemed at its registered address, except that (i) redemption notices may be delivered more than 60 days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28" w:right="339" w:bottom="1440" w:gutter="0" w:footer="0" w:header="0"/>
        </w:sectPr>
      </w:pPr>
    </w:p>
    <w:bookmarkStart w:id="91" w:name="page92"/>
    <w:bookmarkEnd w:id="91"/>
    <w:p>
      <w:pPr>
        <w:jc w:val="both"/>
        <w:spacing w:after="0" w:line="253" w:lineRule="auto"/>
        <w:rPr>
          <w:sz w:val="20"/>
          <w:szCs w:val="20"/>
          <w:color w:val="auto"/>
        </w:rPr>
      </w:pPr>
      <w:r>
        <w:rPr>
          <w:rFonts w:ascii="Arial" w:cs="Arial" w:eastAsia="Arial" w:hAnsi="Arial"/>
          <w:sz w:val="22"/>
          <w:szCs w:val="22"/>
          <w:color w:val="auto"/>
        </w:rPr>
        <w:t>prior to a redemption date if the notice is issued in connection with a defeasance of the Notes or a satisfaction and discharge of this Indenture pursuant to Articles 8 or 10 of this Indenture and (ii) no minimum notice period is required for a redemption pursuant to Section 3.09 hereof.</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notice shall identify the Notes (including the CUSIP number) to be redeemed and shall state:</w:t>
      </w:r>
    </w:p>
    <w:p>
      <w:pPr>
        <w:spacing w:after="0" w:line="247" w:lineRule="exact"/>
        <w:rPr>
          <w:sz w:val="20"/>
          <w:szCs w:val="20"/>
          <w:color w:val="auto"/>
        </w:rPr>
      </w:pPr>
    </w:p>
    <w:p>
      <w:pPr>
        <w:ind w:left="1440" w:hanging="460"/>
        <w:spacing w:after="0"/>
        <w:tabs>
          <w:tab w:leader="none" w:pos="1440" w:val="left"/>
        </w:tabs>
        <w:numPr>
          <w:ilvl w:val="1"/>
          <w:numId w:val="74"/>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19" w:lineRule="exact"/>
        <w:rPr>
          <w:rFonts w:ascii="Arial" w:cs="Arial" w:eastAsia="Arial" w:hAnsi="Arial"/>
          <w:sz w:val="22"/>
          <w:szCs w:val="22"/>
          <w:color w:val="auto"/>
        </w:rPr>
      </w:pPr>
    </w:p>
    <w:p>
      <w:pPr>
        <w:ind w:left="1440" w:hanging="460"/>
        <w:spacing w:after="0"/>
        <w:tabs>
          <w:tab w:leader="none" w:pos="1440" w:val="left"/>
        </w:tabs>
        <w:numPr>
          <w:ilvl w:val="1"/>
          <w:numId w:val="74"/>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219" w:lineRule="exact"/>
        <w:rPr>
          <w:rFonts w:ascii="Arial" w:cs="Arial" w:eastAsia="Arial" w:hAnsi="Arial"/>
          <w:sz w:val="22"/>
          <w:szCs w:val="22"/>
          <w:color w:val="auto"/>
        </w:rPr>
      </w:pPr>
    </w:p>
    <w:p>
      <w:pPr>
        <w:jc w:val="both"/>
        <w:ind w:firstLine="656"/>
        <w:spacing w:after="0" w:line="253" w:lineRule="auto"/>
        <w:tabs>
          <w:tab w:leader="none" w:pos="1106" w:val="left"/>
        </w:tabs>
        <w:numPr>
          <w:ilvl w:val="0"/>
          <w:numId w:val="75"/>
        </w:numPr>
        <w:rPr>
          <w:rFonts w:ascii="Arial" w:cs="Arial" w:eastAsia="Arial" w:hAnsi="Arial"/>
          <w:sz w:val="22"/>
          <w:szCs w:val="22"/>
          <w:color w:val="auto"/>
        </w:rPr>
      </w:pPr>
      <w:r>
        <w:rPr>
          <w:rFonts w:ascii="Arial" w:cs="Arial" w:eastAsia="Arial" w:hAnsi="Arial"/>
          <w:sz w:val="22"/>
          <w:szCs w:val="22"/>
          <w:color w:val="auto"/>
        </w:rPr>
        <w:t>if any Note is being redeemed in part, the portion of the principal amount of such Note to be redeemed and that, after the redemption date upon surrender of such Note, a new Note or Notes in principal amount equal to the unredeemed portion shall be issued upon cancelation of the original Note;</w:t>
      </w:r>
    </w:p>
    <w:p>
      <w:pPr>
        <w:spacing w:after="0" w:line="212" w:lineRule="exact"/>
        <w:rPr>
          <w:rFonts w:ascii="Arial" w:cs="Arial" w:eastAsia="Arial" w:hAnsi="Arial"/>
          <w:sz w:val="22"/>
          <w:szCs w:val="22"/>
          <w:color w:val="auto"/>
        </w:rPr>
      </w:pPr>
    </w:p>
    <w:p>
      <w:pPr>
        <w:ind w:left="1440" w:hanging="460"/>
        <w:spacing w:after="0"/>
        <w:tabs>
          <w:tab w:leader="none" w:pos="1440" w:val="left"/>
        </w:tabs>
        <w:numPr>
          <w:ilvl w:val="1"/>
          <w:numId w:val="75"/>
        </w:numPr>
        <w:rPr>
          <w:rFonts w:ascii="Arial" w:cs="Arial" w:eastAsia="Arial" w:hAnsi="Arial"/>
          <w:sz w:val="22"/>
          <w:szCs w:val="22"/>
          <w:color w:val="auto"/>
        </w:rPr>
      </w:pPr>
      <w:r>
        <w:rPr>
          <w:rFonts w:ascii="Arial" w:cs="Arial" w:eastAsia="Arial" w:hAnsi="Arial"/>
          <w:sz w:val="22"/>
          <w:szCs w:val="22"/>
          <w:color w:val="auto"/>
        </w:rPr>
        <w:t>the name and address of the Paying Agent;</w:t>
      </w:r>
    </w:p>
    <w:p>
      <w:pPr>
        <w:spacing w:after="0" w:line="220" w:lineRule="exact"/>
        <w:rPr>
          <w:sz w:val="20"/>
          <w:szCs w:val="20"/>
          <w:color w:val="auto"/>
        </w:rPr>
      </w:pPr>
    </w:p>
    <w:p>
      <w:pPr>
        <w:ind w:left="1120" w:hanging="464"/>
        <w:spacing w:after="0"/>
        <w:tabs>
          <w:tab w:leader="none" w:pos="1120" w:val="left"/>
        </w:tabs>
        <w:numPr>
          <w:ilvl w:val="0"/>
          <w:numId w:val="76"/>
        </w:numPr>
        <w:rPr>
          <w:rFonts w:ascii="Arial" w:cs="Arial" w:eastAsia="Arial" w:hAnsi="Arial"/>
          <w:sz w:val="21"/>
          <w:szCs w:val="21"/>
          <w:color w:val="auto"/>
        </w:rPr>
      </w:pPr>
      <w:r>
        <w:rPr>
          <w:rFonts w:ascii="Arial" w:cs="Arial" w:eastAsia="Arial" w:hAnsi="Arial"/>
          <w:sz w:val="21"/>
          <w:szCs w:val="21"/>
          <w:color w:val="auto"/>
        </w:rPr>
        <w:t>that Notes called for redemption must be surrendered to the Paying Agent to collect the redemption price;</w:t>
      </w:r>
    </w:p>
    <w:p>
      <w:pPr>
        <w:spacing w:after="0" w:line="271" w:lineRule="exact"/>
        <w:rPr>
          <w:rFonts w:ascii="Arial" w:cs="Arial" w:eastAsia="Arial" w:hAnsi="Arial"/>
          <w:sz w:val="21"/>
          <w:szCs w:val="21"/>
          <w:color w:val="auto"/>
        </w:rPr>
      </w:pPr>
    </w:p>
    <w:p>
      <w:pPr>
        <w:ind w:firstLine="656"/>
        <w:spacing w:after="0" w:line="263" w:lineRule="auto"/>
        <w:tabs>
          <w:tab w:leader="none" w:pos="1085"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that, unless the Issuer defaults in making such redemption payment, interest on Notes called for redemption ceases to accrue on and after the redemption date;</w:t>
      </w:r>
    </w:p>
    <w:p>
      <w:pPr>
        <w:spacing w:after="0" w:line="201" w:lineRule="exact"/>
        <w:rPr>
          <w:rFonts w:ascii="Arial" w:cs="Arial" w:eastAsia="Arial" w:hAnsi="Arial"/>
          <w:sz w:val="22"/>
          <w:szCs w:val="22"/>
          <w:color w:val="auto"/>
        </w:rPr>
      </w:pPr>
    </w:p>
    <w:p>
      <w:pPr>
        <w:ind w:firstLine="656"/>
        <w:spacing w:after="0" w:line="263" w:lineRule="auto"/>
        <w:tabs>
          <w:tab w:leader="none" w:pos="1175"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paragraph of the Notes and/or Section of this Indenture pursuant to which the Notes called for redemption are being redeemed; and</w:t>
      </w:r>
    </w:p>
    <w:p>
      <w:pPr>
        <w:spacing w:after="0" w:line="201" w:lineRule="exact"/>
        <w:rPr>
          <w:rFonts w:ascii="Arial" w:cs="Arial" w:eastAsia="Arial" w:hAnsi="Arial"/>
          <w:sz w:val="22"/>
          <w:szCs w:val="22"/>
          <w:color w:val="auto"/>
        </w:rPr>
      </w:pPr>
    </w:p>
    <w:p>
      <w:pPr>
        <w:ind w:right="20" w:firstLine="656"/>
        <w:spacing w:after="0" w:line="263" w:lineRule="auto"/>
        <w:tabs>
          <w:tab w:leader="none" w:pos="1129"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that no representation is made as to the correctness or accuracy of the CUSIP number, if any, listed in such notice or printed on the Notes.</w:t>
      </w:r>
    </w:p>
    <w:p>
      <w:pPr>
        <w:spacing w:after="0" w:line="20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 xml:space="preserve">At the Issuer’s request, the Trustee shall give the notice of redemption in the Issuer’s name and at its expense;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Issuer has delivered to the Trustee, at least 45 days prior to the redemption date (unless a shorter notice is</w:t>
      </w:r>
      <w:r>
        <w:rPr>
          <w:rFonts w:ascii="Arial" w:cs="Arial" w:eastAsia="Arial" w:hAnsi="Arial"/>
          <w:sz w:val="22"/>
          <w:szCs w:val="22"/>
          <w:i w:val="1"/>
          <w:iCs w:val="1"/>
          <w:color w:val="auto"/>
        </w:rPr>
        <w:t xml:space="preserve"> </w:t>
      </w:r>
      <w:r>
        <w:rPr>
          <w:rFonts w:ascii="Arial" w:cs="Arial" w:eastAsia="Arial" w:hAnsi="Arial"/>
          <w:sz w:val="22"/>
          <w:szCs w:val="22"/>
          <w:color w:val="auto"/>
        </w:rPr>
        <w:t>agreed to by the Trustee), an Officer’s Certificate requesting that the Trustee give such notice and setting forth the information to be stated in such notice as provided in the preceding paragraph.</w:t>
      </w:r>
    </w:p>
    <w:p>
      <w:pPr>
        <w:spacing w:after="0" w:line="215"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3.04</w:t>
      </w:r>
      <w:r>
        <w:rPr>
          <w:sz w:val="20"/>
          <w:szCs w:val="20"/>
          <w:color w:val="auto"/>
        </w:rPr>
        <w:tab/>
      </w:r>
      <w:r>
        <w:rPr>
          <w:rFonts w:ascii="Arial" w:cs="Arial" w:eastAsia="Arial" w:hAnsi="Arial"/>
          <w:sz w:val="19"/>
          <w:szCs w:val="19"/>
          <w:i w:val="1"/>
          <w:iCs w:val="1"/>
          <w:color w:val="auto"/>
        </w:rPr>
        <w:t>Effect of Notice of Redemption</w:t>
      </w:r>
    </w:p>
    <w:p>
      <w:pPr>
        <w:spacing w:after="0" w:line="22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9"/>
          <w:szCs w:val="19"/>
          <w:color w:val="auto"/>
        </w:rPr>
        <w:t>Once notice of redemption is mailed in accordance with Section 3.03 hereof, Notes called for redemption become irrevocably due and payable on the redemption date at the redemption price. If mailed in the manner provided in Section 3.03 hereof, the notice of redemption shall be conclusively presumed to have been given whether or not the Holder receives such notice.</w:t>
      </w:r>
    </w:p>
    <w:p>
      <w:pPr>
        <w:spacing w:after="0" w:line="160"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3.05</w:t>
      </w:r>
      <w:r>
        <w:rPr>
          <w:sz w:val="20"/>
          <w:szCs w:val="20"/>
          <w:color w:val="auto"/>
        </w:rPr>
        <w:tab/>
      </w:r>
      <w:r>
        <w:rPr>
          <w:rFonts w:ascii="Arial" w:cs="Arial" w:eastAsia="Arial" w:hAnsi="Arial"/>
          <w:sz w:val="19"/>
          <w:szCs w:val="19"/>
          <w:i w:val="1"/>
          <w:iCs w:val="1"/>
          <w:color w:val="auto"/>
        </w:rPr>
        <w:t>Deposit of Redemption or Purchase Price</w:t>
      </w:r>
    </w:p>
    <w:p>
      <w:pPr>
        <w:spacing w:after="0" w:line="22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One Business Day prior to the redemption or purchase date, the Issuer shall deposit with the Trustee or with the Paying Agent money sufficient to pay the redemption or purchase price of and accrued interest and premium, if any, on all Notes to be redeemed or purchased on that date. The Trustee or the Paying Agent shall promptly return to the Issuer any money deposited with</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28" w:right="339" w:bottom="1440" w:gutter="0" w:footer="0" w:header="0"/>
        </w:sectPr>
      </w:pPr>
    </w:p>
    <w:bookmarkStart w:id="92" w:name="page93"/>
    <w:bookmarkEnd w:id="92"/>
    <w:p>
      <w:pPr>
        <w:jc w:val="both"/>
        <w:ind w:right="20"/>
        <w:spacing w:after="0" w:line="251" w:lineRule="auto"/>
        <w:rPr>
          <w:sz w:val="20"/>
          <w:szCs w:val="20"/>
          <w:color w:val="auto"/>
        </w:rPr>
      </w:pPr>
      <w:r>
        <w:rPr>
          <w:rFonts w:ascii="Arial" w:cs="Arial" w:eastAsia="Arial" w:hAnsi="Arial"/>
          <w:sz w:val="22"/>
          <w:szCs w:val="22"/>
          <w:color w:val="auto"/>
        </w:rPr>
        <w:t>the Trustee or the Paying Agent by the Issuer in excess of the amounts necessary to pay the redemption or purchase price of, and accrued interest and premium, if any, on all Notes to be redeemed or purchased.</w:t>
      </w:r>
    </w:p>
    <w:p>
      <w:pPr>
        <w:spacing w:after="0" w:line="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21"/>
          <w:szCs w:val="21"/>
          <w:color w:val="auto"/>
        </w:rPr>
        <w:t>If the Issuer complies with the provisions of the preceding paragraph, on and after the redemption or purchase date, interest shall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Issuer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208"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3.06</w:t>
      </w:r>
      <w:r>
        <w:rPr>
          <w:sz w:val="20"/>
          <w:szCs w:val="20"/>
          <w:color w:val="auto"/>
        </w:rPr>
        <w:tab/>
      </w:r>
      <w:r>
        <w:rPr>
          <w:rFonts w:ascii="Arial" w:cs="Arial" w:eastAsia="Arial" w:hAnsi="Arial"/>
          <w:sz w:val="19"/>
          <w:szCs w:val="19"/>
          <w:i w:val="1"/>
          <w:iCs w:val="1"/>
          <w:color w:val="auto"/>
        </w:rPr>
        <w:t>Notes Redeemed or Purchased in Part</w:t>
      </w:r>
    </w:p>
    <w:p>
      <w:pPr>
        <w:spacing w:after="0" w:line="22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Upon surrender of a Note that is redeemed or purchased in part, the Issuer shall issue and, upon receipt of an Authentication Order, the Trustee shall authenticate for the Holder at the expense of the Issuer a new Note equal in principal amount to the unredeemed or unpurchased portion of the Note surrendered.</w:t>
      </w:r>
    </w:p>
    <w:p>
      <w:pPr>
        <w:spacing w:after="0" w:line="212"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3.07</w:t>
      </w:r>
      <w:r>
        <w:rPr>
          <w:sz w:val="20"/>
          <w:szCs w:val="20"/>
          <w:color w:val="auto"/>
        </w:rPr>
        <w:tab/>
      </w:r>
      <w:r>
        <w:rPr>
          <w:rFonts w:ascii="Arial" w:cs="Arial" w:eastAsia="Arial" w:hAnsi="Arial"/>
          <w:sz w:val="19"/>
          <w:szCs w:val="19"/>
          <w:i w:val="1"/>
          <w:iCs w:val="1"/>
          <w:color w:val="auto"/>
        </w:rPr>
        <w:t>Optional Redemption</w:t>
      </w:r>
    </w:p>
    <w:p>
      <w:pPr>
        <w:spacing w:after="0" w:line="220" w:lineRule="exact"/>
        <w:rPr>
          <w:sz w:val="20"/>
          <w:szCs w:val="20"/>
          <w:color w:val="auto"/>
        </w:rPr>
      </w:pPr>
    </w:p>
    <w:p>
      <w:pPr>
        <w:jc w:val="both"/>
        <w:ind w:firstLine="332"/>
        <w:spacing w:after="0" w:line="250" w:lineRule="auto"/>
        <w:tabs>
          <w:tab w:leader="none" w:pos="782" w:val="left"/>
        </w:tabs>
        <w:numPr>
          <w:ilvl w:val="0"/>
          <w:numId w:val="77"/>
        </w:numPr>
        <w:rPr>
          <w:rFonts w:ascii="Arial" w:cs="Arial" w:eastAsia="Arial" w:hAnsi="Arial"/>
          <w:sz w:val="22"/>
          <w:szCs w:val="22"/>
          <w:color w:val="auto"/>
        </w:rPr>
      </w:pPr>
      <w:r>
        <w:rPr>
          <w:rFonts w:ascii="Arial" w:cs="Arial" w:eastAsia="Arial" w:hAnsi="Arial"/>
          <w:sz w:val="22"/>
          <w:szCs w:val="22"/>
          <w:color w:val="auto"/>
        </w:rPr>
        <w:t>At any time prior to August 26, 2023, the Issuer may, on any one or more occasions, redeem up to 35% of the aggregate principal amount of the Notes issued under this Indenture (including Additional Notes) at a redemption price of 105.625% of the principal amount, plus accrued and unpaid interest, if any, to (but excluding) the redemption date, with the net cash proceeds of one or more Equity Offerings; provided that:</w:t>
      </w:r>
    </w:p>
    <w:p>
      <w:pPr>
        <w:spacing w:after="0" w:line="228" w:lineRule="exact"/>
        <w:rPr>
          <w:rFonts w:ascii="Arial" w:cs="Arial" w:eastAsia="Arial" w:hAnsi="Arial"/>
          <w:sz w:val="22"/>
          <w:szCs w:val="22"/>
          <w:color w:val="auto"/>
        </w:rPr>
      </w:pPr>
    </w:p>
    <w:p>
      <w:pPr>
        <w:ind w:firstLine="656"/>
        <w:spacing w:after="0" w:line="343" w:lineRule="auto"/>
        <w:tabs>
          <w:tab w:leader="none" w:pos="1193" w:val="left"/>
        </w:tabs>
        <w:numPr>
          <w:ilvl w:val="1"/>
          <w:numId w:val="77"/>
        </w:numPr>
        <w:rPr>
          <w:rFonts w:ascii="Arial" w:cs="Arial" w:eastAsia="Arial" w:hAnsi="Arial"/>
          <w:sz w:val="19"/>
          <w:szCs w:val="19"/>
          <w:color w:val="auto"/>
        </w:rPr>
      </w:pPr>
      <w:r>
        <w:rPr>
          <w:rFonts w:ascii="Arial" w:cs="Arial" w:eastAsia="Arial" w:hAnsi="Arial"/>
          <w:sz w:val="19"/>
          <w:szCs w:val="19"/>
          <w:color w:val="auto"/>
        </w:rPr>
        <w:t>at least 65% of the aggregate principal amount of the Notes originally issued under this Indenture (excluding the Notes held by the Issuer and its Subsidiaries) remains outstanding immediately after the occurrence of such redemption; and</w:t>
      </w:r>
    </w:p>
    <w:p>
      <w:pPr>
        <w:spacing w:after="0" w:line="131" w:lineRule="exact"/>
        <w:rPr>
          <w:rFonts w:ascii="Arial" w:cs="Arial" w:eastAsia="Arial" w:hAnsi="Arial"/>
          <w:sz w:val="19"/>
          <w:szCs w:val="19"/>
          <w:color w:val="auto"/>
        </w:rPr>
      </w:pPr>
    </w:p>
    <w:p>
      <w:pPr>
        <w:ind w:left="1120" w:hanging="464"/>
        <w:spacing w:after="0"/>
        <w:tabs>
          <w:tab w:leader="none" w:pos="1120" w:val="left"/>
        </w:tabs>
        <w:numPr>
          <w:ilvl w:val="1"/>
          <w:numId w:val="77"/>
        </w:numPr>
        <w:rPr>
          <w:rFonts w:ascii="Arial" w:cs="Arial" w:eastAsia="Arial" w:hAnsi="Arial"/>
          <w:sz w:val="22"/>
          <w:szCs w:val="22"/>
          <w:color w:val="auto"/>
        </w:rPr>
      </w:pPr>
      <w:r>
        <w:rPr>
          <w:rFonts w:ascii="Arial" w:cs="Arial" w:eastAsia="Arial" w:hAnsi="Arial"/>
          <w:sz w:val="22"/>
          <w:szCs w:val="22"/>
          <w:color w:val="auto"/>
        </w:rPr>
        <w:t>the redemption occurs within 60 days of the date of the closing of such Equity Offering.</w:t>
      </w:r>
    </w:p>
    <w:p>
      <w:pPr>
        <w:spacing w:after="0" w:line="246" w:lineRule="exact"/>
        <w:rPr>
          <w:rFonts w:ascii="Arial" w:cs="Arial" w:eastAsia="Arial" w:hAnsi="Arial"/>
          <w:sz w:val="22"/>
          <w:szCs w:val="22"/>
          <w:color w:val="auto"/>
        </w:rPr>
      </w:pPr>
    </w:p>
    <w:p>
      <w:pPr>
        <w:ind w:firstLine="332"/>
        <w:spacing w:after="0" w:line="263" w:lineRule="auto"/>
        <w:tabs>
          <w:tab w:leader="none" w:pos="782" w:val="left"/>
        </w:tabs>
        <w:numPr>
          <w:ilvl w:val="0"/>
          <w:numId w:val="77"/>
        </w:numPr>
        <w:rPr>
          <w:rFonts w:ascii="Arial" w:cs="Arial" w:eastAsia="Arial" w:hAnsi="Arial"/>
          <w:sz w:val="22"/>
          <w:szCs w:val="22"/>
          <w:color w:val="auto"/>
        </w:rPr>
      </w:pPr>
      <w:r>
        <w:rPr>
          <w:rFonts w:ascii="Arial" w:cs="Arial" w:eastAsia="Arial" w:hAnsi="Arial"/>
          <w:sz w:val="22"/>
          <w:szCs w:val="22"/>
          <w:color w:val="auto"/>
        </w:rPr>
        <w:t>At any time prior to August 26, 2023, the Issuer may on any one or more occasions redeem all or part of the Notes, upon not less than 10 nor more than 60 days’ notice, at a redemption price equal to the greater of:</w:t>
      </w:r>
    </w:p>
    <w:p>
      <w:pPr>
        <w:spacing w:after="0" w:line="201" w:lineRule="exact"/>
        <w:rPr>
          <w:rFonts w:ascii="Arial" w:cs="Arial" w:eastAsia="Arial" w:hAnsi="Arial"/>
          <w:sz w:val="22"/>
          <w:szCs w:val="22"/>
          <w:color w:val="auto"/>
        </w:rPr>
      </w:pPr>
    </w:p>
    <w:p>
      <w:pPr>
        <w:ind w:left="1120" w:hanging="464"/>
        <w:spacing w:after="0"/>
        <w:tabs>
          <w:tab w:leader="none" w:pos="1120" w:val="left"/>
        </w:tabs>
        <w:numPr>
          <w:ilvl w:val="1"/>
          <w:numId w:val="77"/>
        </w:numPr>
        <w:rPr>
          <w:rFonts w:ascii="Arial" w:cs="Arial" w:eastAsia="Arial" w:hAnsi="Arial"/>
          <w:sz w:val="22"/>
          <w:szCs w:val="22"/>
          <w:color w:val="auto"/>
        </w:rPr>
      </w:pPr>
      <w:r>
        <w:rPr>
          <w:rFonts w:ascii="Arial" w:cs="Arial" w:eastAsia="Arial" w:hAnsi="Arial"/>
          <w:sz w:val="22"/>
          <w:szCs w:val="22"/>
          <w:color w:val="auto"/>
        </w:rPr>
        <w:t>100% of the principal amount of the Notes to be redeemed; or</w:t>
      </w:r>
    </w:p>
    <w:p>
      <w:pPr>
        <w:spacing w:after="0" w:line="246" w:lineRule="exact"/>
        <w:rPr>
          <w:rFonts w:ascii="Arial" w:cs="Arial" w:eastAsia="Arial" w:hAnsi="Arial"/>
          <w:sz w:val="22"/>
          <w:szCs w:val="22"/>
          <w:color w:val="auto"/>
        </w:rPr>
      </w:pPr>
    </w:p>
    <w:p>
      <w:pPr>
        <w:jc w:val="both"/>
        <w:ind w:firstLine="656"/>
        <w:spacing w:after="0" w:line="265" w:lineRule="auto"/>
        <w:tabs>
          <w:tab w:leader="none" w:pos="1227" w:val="left"/>
        </w:tabs>
        <w:numPr>
          <w:ilvl w:val="1"/>
          <w:numId w:val="77"/>
        </w:numPr>
        <w:rPr>
          <w:rFonts w:ascii="Arial" w:cs="Arial" w:eastAsia="Arial" w:hAnsi="Arial"/>
          <w:sz w:val="21"/>
          <w:szCs w:val="21"/>
          <w:color w:val="auto"/>
        </w:rPr>
      </w:pPr>
      <w:r>
        <w:rPr>
          <w:rFonts w:ascii="Arial" w:cs="Arial" w:eastAsia="Arial" w:hAnsi="Arial"/>
          <w:sz w:val="21"/>
          <w:szCs w:val="21"/>
          <w:color w:val="auto"/>
        </w:rPr>
        <w:t>as determined by an Independent Investment Banker, the sum of the present values of the remaining scheduled payments of principal and interest on the Notes to be redeemed (not including any portion of such payments of interest accrued to (but excluding) the date of redemption) discounted to the redemption date on a semi-annual basis (assuming a 360-day year consisting of twelve 30-day months) at the Adjusted Treasury Rate, plus 50 basis points,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28" w:right="339" w:bottom="1440" w:gutter="0" w:footer="0" w:header="0"/>
        </w:sectPr>
      </w:pPr>
    </w:p>
    <w:bookmarkStart w:id="93" w:name="page94"/>
    <w:bookmarkEnd w:id="93"/>
    <w:p>
      <w:pPr>
        <w:spacing w:after="0" w:line="2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plus, in either of the above cases, accrued and unpaid interest to (but excluding) the date of redemption on the Notes to be redeemed.</w:t>
      </w:r>
    </w:p>
    <w:p>
      <w:pPr>
        <w:spacing w:after="0" w:line="2" w:lineRule="exact"/>
        <w:rPr>
          <w:sz w:val="20"/>
          <w:szCs w:val="20"/>
          <w:color w:val="auto"/>
        </w:rPr>
      </w:pPr>
    </w:p>
    <w:p>
      <w:pPr>
        <w:ind w:firstLine="332"/>
        <w:spacing w:after="0" w:line="246" w:lineRule="auto"/>
        <w:tabs>
          <w:tab w:leader="none" w:pos="907" w:val="left"/>
        </w:tabs>
        <w:numPr>
          <w:ilvl w:val="0"/>
          <w:numId w:val="78"/>
        </w:numPr>
        <w:rPr>
          <w:rFonts w:ascii="Arial" w:cs="Arial" w:eastAsia="Arial" w:hAnsi="Arial"/>
          <w:sz w:val="22"/>
          <w:szCs w:val="22"/>
          <w:color w:val="auto"/>
        </w:rPr>
      </w:pPr>
      <w:r>
        <w:rPr>
          <w:rFonts w:ascii="Arial" w:cs="Arial" w:eastAsia="Arial" w:hAnsi="Arial"/>
          <w:sz w:val="22"/>
          <w:szCs w:val="22"/>
          <w:color w:val="auto"/>
        </w:rPr>
        <w:t>Except pursuant to Sections 3.07(a), 3.07(b), 3.09, 3.10 and 4.10 hereof, the Notes shall not be redeemable at the Issuer’s option prior to August 26, 2023.</w:t>
      </w:r>
    </w:p>
    <w:p>
      <w:pPr>
        <w:spacing w:after="0" w:line="219" w:lineRule="exact"/>
        <w:rPr>
          <w:rFonts w:ascii="Arial" w:cs="Arial" w:eastAsia="Arial" w:hAnsi="Arial"/>
          <w:sz w:val="22"/>
          <w:szCs w:val="22"/>
          <w:color w:val="auto"/>
        </w:rPr>
      </w:pPr>
    </w:p>
    <w:p>
      <w:pPr>
        <w:jc w:val="both"/>
        <w:ind w:firstLine="332"/>
        <w:spacing w:after="0" w:line="297" w:lineRule="auto"/>
        <w:tabs>
          <w:tab w:leader="none" w:pos="834" w:val="left"/>
        </w:tabs>
        <w:numPr>
          <w:ilvl w:val="0"/>
          <w:numId w:val="78"/>
        </w:numPr>
        <w:rPr>
          <w:rFonts w:ascii="Arial" w:cs="Arial" w:eastAsia="Arial" w:hAnsi="Arial"/>
          <w:sz w:val="19"/>
          <w:szCs w:val="19"/>
          <w:color w:val="auto"/>
        </w:rPr>
      </w:pPr>
      <w:r>
        <w:rPr>
          <w:rFonts w:ascii="Arial" w:cs="Arial" w:eastAsia="Arial" w:hAnsi="Arial"/>
          <w:sz w:val="19"/>
          <w:szCs w:val="19"/>
          <w:color w:val="auto"/>
        </w:rPr>
        <w:t>On or after August 26, 2023, the Issuer may on any one or more occasions redeem all or a part of the Notes, upon not less than 10 nor more than 60 days’ notice, at the redemption prices (expressed as percentages of principal amount) set forth below, plus accrued and unpaid interest, if any, on the Notes redeemed, to (but excluding) the applicable date of redemption, if redeemed during the twelve-month period beginning on August 26 of the years indicated below, subject to the rights of Holders on the relevant record date to receive interest on the relevant interest payment date:</w:t>
      </w:r>
    </w:p>
    <w:p>
      <w:pPr>
        <w:spacing w:after="0" w:line="235" w:lineRule="exact"/>
        <w:rPr>
          <w:sz w:val="20"/>
          <w:szCs w:val="20"/>
          <w:color w:val="auto"/>
        </w:rPr>
      </w:pPr>
    </w:p>
    <w:tbl>
      <w:tblPr>
        <w:tblLayout w:type="fixed"/>
        <w:tblInd w:w="2660" w:type="dxa"/>
        <w:tblCellMar>
          <w:top w:w="0" w:type="dxa"/>
          <w:left w:w="0" w:type="dxa"/>
          <w:bottom w:w="0" w:type="dxa"/>
          <w:right w:w="0" w:type="dxa"/>
        </w:tblCellMar>
      </w:tblPr>
      <w:tr>
        <w:trPr>
          <w:trHeight w:val="280"/>
        </w:trPr>
        <w:tc>
          <w:tcPr>
            <w:tcW w:w="3240" w:type="dxa"/>
            <w:vAlign w:val="bottom"/>
          </w:tcPr>
          <w:p>
            <w:pPr>
              <w:jc w:val="center"/>
              <w:ind w:right="1452"/>
              <w:spacing w:after="0"/>
              <w:rPr>
                <w:sz w:val="20"/>
                <w:szCs w:val="20"/>
                <w:color w:val="auto"/>
              </w:rPr>
            </w:pPr>
            <w:r>
              <w:rPr>
                <w:rFonts w:ascii="Arial" w:cs="Arial" w:eastAsia="Arial" w:hAnsi="Arial"/>
                <w:sz w:val="22"/>
                <w:szCs w:val="22"/>
                <w:b w:val="1"/>
                <w:bCs w:val="1"/>
                <w:color w:val="auto"/>
                <w:w w:val="92"/>
              </w:rPr>
              <w:t>Year</w:t>
            </w:r>
          </w:p>
        </w:tc>
        <w:tc>
          <w:tcPr>
            <w:tcW w:w="2580" w:type="dxa"/>
            <w:vAlign w:val="bottom"/>
          </w:tcPr>
          <w:p>
            <w:pPr>
              <w:jc w:val="center"/>
              <w:ind w:left="1472"/>
              <w:spacing w:after="0"/>
              <w:rPr>
                <w:sz w:val="20"/>
                <w:szCs w:val="20"/>
                <w:color w:val="auto"/>
              </w:rPr>
            </w:pPr>
            <w:r>
              <w:rPr>
                <w:rFonts w:ascii="Arial" w:cs="Arial" w:eastAsia="Arial" w:hAnsi="Arial"/>
                <w:sz w:val="22"/>
                <w:szCs w:val="22"/>
                <w:b w:val="1"/>
                <w:bCs w:val="1"/>
                <w:color w:val="auto"/>
                <w:w w:val="84"/>
              </w:rPr>
              <w:t>Percentage</w:t>
            </w:r>
          </w:p>
        </w:tc>
      </w:tr>
      <w:tr>
        <w:trPr>
          <w:trHeight w:val="338"/>
        </w:trPr>
        <w:tc>
          <w:tcPr>
            <w:tcW w:w="3240" w:type="dxa"/>
            <w:vAlign w:val="bottom"/>
          </w:tcPr>
          <w:p>
            <w:pPr>
              <w:jc w:val="center"/>
              <w:ind w:right="1452"/>
              <w:spacing w:after="0"/>
              <w:rPr>
                <w:sz w:val="20"/>
                <w:szCs w:val="20"/>
                <w:color w:val="auto"/>
              </w:rPr>
            </w:pPr>
            <w:r>
              <w:rPr>
                <w:rFonts w:ascii="Arial" w:cs="Arial" w:eastAsia="Arial" w:hAnsi="Arial"/>
                <w:sz w:val="22"/>
                <w:szCs w:val="22"/>
                <w:color w:val="auto"/>
                <w:w w:val="89"/>
              </w:rPr>
              <w:t>2023</w:t>
            </w:r>
          </w:p>
        </w:tc>
        <w:tc>
          <w:tcPr>
            <w:tcW w:w="2580" w:type="dxa"/>
            <w:vAlign w:val="bottom"/>
          </w:tcPr>
          <w:p>
            <w:pPr>
              <w:jc w:val="center"/>
              <w:ind w:left="1472"/>
              <w:spacing w:after="0"/>
              <w:rPr>
                <w:sz w:val="20"/>
                <w:szCs w:val="20"/>
                <w:color w:val="auto"/>
              </w:rPr>
            </w:pPr>
            <w:r>
              <w:rPr>
                <w:rFonts w:ascii="Arial" w:cs="Arial" w:eastAsia="Arial" w:hAnsi="Arial"/>
                <w:sz w:val="22"/>
                <w:szCs w:val="22"/>
                <w:color w:val="auto"/>
                <w:w w:val="88"/>
              </w:rPr>
              <w:t>102.813%</w:t>
            </w:r>
          </w:p>
        </w:tc>
      </w:tr>
      <w:tr>
        <w:trPr>
          <w:trHeight w:val="338"/>
        </w:trPr>
        <w:tc>
          <w:tcPr>
            <w:tcW w:w="3240" w:type="dxa"/>
            <w:vAlign w:val="bottom"/>
          </w:tcPr>
          <w:p>
            <w:pPr>
              <w:jc w:val="center"/>
              <w:ind w:right="1452"/>
              <w:spacing w:after="0"/>
              <w:rPr>
                <w:sz w:val="20"/>
                <w:szCs w:val="20"/>
                <w:color w:val="auto"/>
              </w:rPr>
            </w:pPr>
            <w:r>
              <w:rPr>
                <w:rFonts w:ascii="Arial" w:cs="Arial" w:eastAsia="Arial" w:hAnsi="Arial"/>
                <w:sz w:val="22"/>
                <w:szCs w:val="22"/>
                <w:color w:val="auto"/>
                <w:w w:val="89"/>
              </w:rPr>
              <w:t>2024</w:t>
            </w:r>
          </w:p>
        </w:tc>
        <w:tc>
          <w:tcPr>
            <w:tcW w:w="2580" w:type="dxa"/>
            <w:vAlign w:val="bottom"/>
          </w:tcPr>
          <w:p>
            <w:pPr>
              <w:jc w:val="center"/>
              <w:ind w:left="1472"/>
              <w:spacing w:after="0"/>
              <w:rPr>
                <w:sz w:val="20"/>
                <w:szCs w:val="20"/>
                <w:color w:val="auto"/>
              </w:rPr>
            </w:pPr>
            <w:r>
              <w:rPr>
                <w:rFonts w:ascii="Arial" w:cs="Arial" w:eastAsia="Arial" w:hAnsi="Arial"/>
                <w:sz w:val="22"/>
                <w:szCs w:val="22"/>
                <w:color w:val="auto"/>
                <w:w w:val="88"/>
              </w:rPr>
              <w:t>101.406%</w:t>
            </w:r>
          </w:p>
        </w:tc>
      </w:tr>
      <w:tr>
        <w:trPr>
          <w:trHeight w:val="338"/>
        </w:trPr>
        <w:tc>
          <w:tcPr>
            <w:tcW w:w="3240" w:type="dxa"/>
            <w:vAlign w:val="bottom"/>
          </w:tcPr>
          <w:p>
            <w:pPr>
              <w:jc w:val="center"/>
              <w:ind w:right="1452"/>
              <w:spacing w:after="0"/>
              <w:rPr>
                <w:sz w:val="20"/>
                <w:szCs w:val="20"/>
                <w:color w:val="auto"/>
              </w:rPr>
            </w:pPr>
            <w:r>
              <w:rPr>
                <w:rFonts w:ascii="Arial" w:cs="Arial" w:eastAsia="Arial" w:hAnsi="Arial"/>
                <w:sz w:val="22"/>
                <w:szCs w:val="22"/>
                <w:color w:val="auto"/>
                <w:w w:val="87"/>
              </w:rPr>
              <w:t>2025 and thereafter</w:t>
            </w:r>
          </w:p>
        </w:tc>
        <w:tc>
          <w:tcPr>
            <w:tcW w:w="2580" w:type="dxa"/>
            <w:vAlign w:val="bottom"/>
          </w:tcPr>
          <w:p>
            <w:pPr>
              <w:jc w:val="center"/>
              <w:ind w:left="1472"/>
              <w:spacing w:after="0"/>
              <w:rPr>
                <w:sz w:val="20"/>
                <w:szCs w:val="20"/>
                <w:color w:val="auto"/>
              </w:rPr>
            </w:pPr>
            <w:r>
              <w:rPr>
                <w:rFonts w:ascii="Arial" w:cs="Arial" w:eastAsia="Arial" w:hAnsi="Arial"/>
                <w:sz w:val="22"/>
                <w:szCs w:val="22"/>
                <w:color w:val="auto"/>
                <w:w w:val="88"/>
              </w:rPr>
              <w:t>100.000%</w:t>
            </w:r>
          </w:p>
        </w:tc>
      </w:tr>
    </w:tbl>
    <w:p>
      <w:pPr>
        <w:spacing w:after="0" w:line="387" w:lineRule="exact"/>
        <w:rPr>
          <w:sz w:val="20"/>
          <w:szCs w:val="20"/>
          <w:color w:val="auto"/>
        </w:rPr>
      </w:pPr>
    </w:p>
    <w:p>
      <w:pPr>
        <w:ind w:firstLine="6"/>
        <w:spacing w:after="0" w:line="263" w:lineRule="auto"/>
        <w:rPr>
          <w:sz w:val="20"/>
          <w:szCs w:val="20"/>
          <w:color w:val="auto"/>
        </w:rPr>
      </w:pPr>
      <w:r>
        <w:rPr>
          <w:rFonts w:ascii="Arial" w:cs="Arial" w:eastAsia="Arial" w:hAnsi="Arial"/>
          <w:sz w:val="22"/>
          <w:szCs w:val="22"/>
          <w:color w:val="auto"/>
        </w:rPr>
        <w:t>Unless the Issuer defaults in the payment of the redemption price, interest shall cease to accrue on the Notes or portions thereof called for redemption on the applicable redemption date.</w:t>
      </w:r>
    </w:p>
    <w:p>
      <w:pPr>
        <w:spacing w:after="0" w:line="202" w:lineRule="exact"/>
        <w:rPr>
          <w:sz w:val="20"/>
          <w:szCs w:val="20"/>
          <w:color w:val="auto"/>
        </w:rPr>
      </w:pPr>
    </w:p>
    <w:p>
      <w:pPr>
        <w:jc w:val="both"/>
        <w:ind w:firstLine="332"/>
        <w:spacing w:after="0" w:line="259" w:lineRule="auto"/>
        <w:tabs>
          <w:tab w:leader="none" w:pos="820" w:val="left"/>
        </w:tabs>
        <w:numPr>
          <w:ilvl w:val="0"/>
          <w:numId w:val="79"/>
        </w:numPr>
        <w:rPr>
          <w:rFonts w:ascii="Arial" w:cs="Arial" w:eastAsia="Arial" w:hAnsi="Arial"/>
          <w:sz w:val="21"/>
          <w:szCs w:val="21"/>
          <w:color w:val="auto"/>
        </w:rPr>
      </w:pPr>
      <w:r>
        <w:rPr>
          <w:rFonts w:ascii="Arial" w:cs="Arial" w:eastAsia="Arial" w:hAnsi="Arial"/>
          <w:sz w:val="21"/>
          <w:szCs w:val="21"/>
          <w:color w:val="auto"/>
        </w:rPr>
        <w:t>Any redemption set forth under Section 3.07(a), (b) or (d) hereof may, at the discretion of the Issuer, be subject to the satisfaction of one or more conditions precedent. If such redemption is so subject to satisfaction of one or more conditions precedent, such notice shall describe each such condition, and if applicable, shall state that, in the Issuer’s discretion, the redemption date may be delayed until such time (provided, however, that any delayed redemption date shall not be more than 60 days after the date the relevant notice of redemption was sent) as any or all such conditions shall be satisfied, or such redemption or purchase may not occur and such notice may be rescinded in the event that any or all such conditions shall not have been satisfied by the redemption date or by the redemption date as so delayed. In addition, the Issuer may provide in such notice that payment of the redemption price and performance of the Issuer’s obligations with respect to such redemption may be performed by another Person.</w:t>
      </w:r>
    </w:p>
    <w:p>
      <w:pPr>
        <w:spacing w:after="0" w:line="206"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3.08</w:t>
      </w:r>
      <w:r>
        <w:rPr>
          <w:sz w:val="20"/>
          <w:szCs w:val="20"/>
          <w:color w:val="auto"/>
        </w:rPr>
        <w:tab/>
      </w:r>
      <w:r>
        <w:rPr>
          <w:rFonts w:ascii="Arial" w:cs="Arial" w:eastAsia="Arial" w:hAnsi="Arial"/>
          <w:sz w:val="19"/>
          <w:szCs w:val="19"/>
          <w:i w:val="1"/>
          <w:iCs w:val="1"/>
          <w:color w:val="auto"/>
        </w:rPr>
        <w:t>Mandatory Redemption</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Issuer is not required to make mandatory redemption or sinking fund payments with respect to the Notes.</w:t>
      </w:r>
    </w:p>
    <w:p>
      <w:pPr>
        <w:spacing w:after="0" w:line="247"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3.09</w:t>
      </w:r>
      <w:r>
        <w:rPr>
          <w:sz w:val="20"/>
          <w:szCs w:val="20"/>
          <w:color w:val="auto"/>
        </w:rPr>
        <w:tab/>
      </w:r>
      <w:r>
        <w:rPr>
          <w:rFonts w:ascii="Arial" w:cs="Arial" w:eastAsia="Arial" w:hAnsi="Arial"/>
          <w:sz w:val="19"/>
          <w:szCs w:val="19"/>
          <w:i w:val="1"/>
          <w:iCs w:val="1"/>
          <w:color w:val="auto"/>
        </w:rPr>
        <w:t>Mandatory Disposition or Redemption Pursuant to Gaming Laws</w:t>
      </w:r>
    </w:p>
    <w:p>
      <w:pPr>
        <w:spacing w:after="0" w:line="22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9"/>
          <w:szCs w:val="19"/>
          <w:color w:val="auto"/>
        </w:rPr>
        <w:t>Notwithstanding any other provision hereof, if any Gaming Authority requires a Holder or Beneficial Owner of Notes to be licensed, qualified or found suitable under any applicable Gaming Law and the Holder or Beneficial Owner (1) fails to apply for a license, qualification or finding of suitability within 30 days after being requested to do so (or such lesser period as</w:t>
      </w:r>
    </w:p>
    <w:p>
      <w:pPr>
        <w:spacing w:after="0" w:line="200" w:lineRule="exact"/>
        <w:rPr>
          <w:sz w:val="20"/>
          <w:szCs w:val="20"/>
          <w:color w:val="auto"/>
        </w:rPr>
      </w:pPr>
    </w:p>
    <w:p>
      <w:pPr>
        <w:spacing w:after="0" w:line="379"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40" w:right="339" w:bottom="1440" w:gutter="0" w:footer="0" w:header="0"/>
        </w:sectPr>
      </w:pPr>
    </w:p>
    <w:bookmarkStart w:id="94" w:name="page95"/>
    <w:bookmarkEnd w:id="94"/>
    <w:p>
      <w:pPr>
        <w:spacing w:after="0" w:line="263" w:lineRule="auto"/>
        <w:rPr>
          <w:sz w:val="20"/>
          <w:szCs w:val="20"/>
          <w:color w:val="auto"/>
        </w:rPr>
      </w:pPr>
      <w:r>
        <w:rPr>
          <w:rFonts w:ascii="Arial" w:cs="Arial" w:eastAsia="Arial" w:hAnsi="Arial"/>
          <w:sz w:val="22"/>
          <w:szCs w:val="22"/>
          <w:color w:val="auto"/>
        </w:rPr>
        <w:t>required by the Gaming Authority) or (2) is notified by a Gaming Authority that it shall not be licensed, qualified or found suitable, the Issuer shall have the right, at its option, to:</w:t>
      </w:r>
    </w:p>
    <w:p>
      <w:pPr>
        <w:spacing w:after="0" w:line="202" w:lineRule="exact"/>
        <w:rPr>
          <w:sz w:val="20"/>
          <w:szCs w:val="20"/>
          <w:color w:val="auto"/>
        </w:rPr>
      </w:pPr>
    </w:p>
    <w:p>
      <w:pPr>
        <w:ind w:firstLine="332"/>
        <w:spacing w:after="0" w:line="263" w:lineRule="auto"/>
        <w:tabs>
          <w:tab w:leader="none" w:pos="819" w:val="left"/>
        </w:tabs>
        <w:numPr>
          <w:ilvl w:val="0"/>
          <w:numId w:val="80"/>
        </w:numPr>
        <w:rPr>
          <w:rFonts w:ascii="Arial" w:cs="Arial" w:eastAsia="Arial" w:hAnsi="Arial"/>
          <w:sz w:val="22"/>
          <w:szCs w:val="22"/>
          <w:color w:val="auto"/>
        </w:rPr>
      </w:pPr>
      <w:r>
        <w:rPr>
          <w:rFonts w:ascii="Arial" w:cs="Arial" w:eastAsia="Arial" w:hAnsi="Arial"/>
          <w:sz w:val="22"/>
          <w:szCs w:val="22"/>
          <w:color w:val="auto"/>
        </w:rPr>
        <w:t>require the Holder or Beneficial Owner to dispose of its Notes within 30 days (or such lesser period as required by the Gaming Authority) following the earlier of:</w:t>
      </w:r>
    </w:p>
    <w:p>
      <w:pPr>
        <w:spacing w:after="0" w:line="201" w:lineRule="exact"/>
        <w:rPr>
          <w:rFonts w:ascii="Arial" w:cs="Arial" w:eastAsia="Arial" w:hAnsi="Arial"/>
          <w:sz w:val="22"/>
          <w:szCs w:val="22"/>
          <w:color w:val="auto"/>
        </w:rPr>
      </w:pPr>
    </w:p>
    <w:p>
      <w:pPr>
        <w:jc w:val="both"/>
        <w:ind w:firstLine="980"/>
        <w:spacing w:after="0" w:line="253" w:lineRule="auto"/>
        <w:tabs>
          <w:tab w:leader="none" w:pos="1602" w:val="left"/>
        </w:tabs>
        <w:numPr>
          <w:ilvl w:val="1"/>
          <w:numId w:val="80"/>
        </w:numPr>
        <w:rPr>
          <w:rFonts w:ascii="Arial" w:cs="Arial" w:eastAsia="Arial" w:hAnsi="Arial"/>
          <w:sz w:val="22"/>
          <w:szCs w:val="22"/>
          <w:color w:val="auto"/>
        </w:rPr>
      </w:pPr>
      <w:r>
        <w:rPr>
          <w:rFonts w:ascii="Arial" w:cs="Arial" w:eastAsia="Arial" w:hAnsi="Arial"/>
          <w:sz w:val="22"/>
          <w:szCs w:val="22"/>
          <w:color w:val="auto"/>
        </w:rPr>
        <w:t>the termination of the period described above for the Holder or Beneficial Owner to apply for a license, qualification or finding of suitability if the Holder fails to apply for a license, qualification or finding of suitability during such period; or</w:t>
      </w:r>
    </w:p>
    <w:p>
      <w:pPr>
        <w:spacing w:after="0" w:line="185" w:lineRule="exact"/>
        <w:rPr>
          <w:rFonts w:ascii="Arial" w:cs="Arial" w:eastAsia="Arial" w:hAnsi="Arial"/>
          <w:sz w:val="22"/>
          <w:szCs w:val="22"/>
          <w:color w:val="auto"/>
        </w:rPr>
      </w:pPr>
    </w:p>
    <w:p>
      <w:pPr>
        <w:ind w:firstLine="980"/>
        <w:spacing w:after="0" w:line="263" w:lineRule="auto"/>
        <w:tabs>
          <w:tab w:leader="none" w:pos="1491" w:val="left"/>
        </w:tabs>
        <w:numPr>
          <w:ilvl w:val="1"/>
          <w:numId w:val="80"/>
        </w:numPr>
        <w:rPr>
          <w:rFonts w:ascii="Arial" w:cs="Arial" w:eastAsia="Arial" w:hAnsi="Arial"/>
          <w:sz w:val="22"/>
          <w:szCs w:val="22"/>
          <w:color w:val="auto"/>
        </w:rPr>
      </w:pPr>
      <w:r>
        <w:rPr>
          <w:rFonts w:ascii="Arial" w:cs="Arial" w:eastAsia="Arial" w:hAnsi="Arial"/>
          <w:sz w:val="22"/>
          <w:szCs w:val="22"/>
          <w:color w:val="auto"/>
        </w:rPr>
        <w:t>the receipt of the notice from the Gaming Authority that the Holder or Beneficial Owner shall not be licensed, qualified or found suitable by the Gaming Authority; or</w:t>
      </w:r>
    </w:p>
    <w:p>
      <w:pPr>
        <w:spacing w:after="0" w:line="174" w:lineRule="exact"/>
        <w:rPr>
          <w:rFonts w:ascii="Arial" w:cs="Arial" w:eastAsia="Arial" w:hAnsi="Arial"/>
          <w:sz w:val="22"/>
          <w:szCs w:val="22"/>
          <w:color w:val="auto"/>
        </w:rPr>
      </w:pPr>
    </w:p>
    <w:p>
      <w:pPr>
        <w:ind w:left="800" w:hanging="468"/>
        <w:spacing w:after="0"/>
        <w:tabs>
          <w:tab w:leader="none" w:pos="800" w:val="left"/>
        </w:tabs>
        <w:numPr>
          <w:ilvl w:val="0"/>
          <w:numId w:val="80"/>
        </w:numPr>
        <w:rPr>
          <w:rFonts w:ascii="Arial" w:cs="Arial" w:eastAsia="Arial" w:hAnsi="Arial"/>
          <w:sz w:val="22"/>
          <w:szCs w:val="22"/>
          <w:color w:val="auto"/>
        </w:rPr>
      </w:pPr>
      <w:r>
        <w:rPr>
          <w:rFonts w:ascii="Arial" w:cs="Arial" w:eastAsia="Arial" w:hAnsi="Arial"/>
          <w:sz w:val="22"/>
          <w:szCs w:val="22"/>
          <w:color w:val="auto"/>
        </w:rPr>
        <w:t>redeem the Notes of the Holder or Beneficial Owner at a redemption price equal to:</w:t>
      </w:r>
    </w:p>
    <w:p>
      <w:pPr>
        <w:spacing w:after="0" w:line="246" w:lineRule="exact"/>
        <w:rPr>
          <w:rFonts w:ascii="Arial" w:cs="Arial" w:eastAsia="Arial" w:hAnsi="Arial"/>
          <w:sz w:val="22"/>
          <w:szCs w:val="22"/>
          <w:color w:val="auto"/>
        </w:rPr>
      </w:pPr>
    </w:p>
    <w:p>
      <w:pPr>
        <w:ind w:left="1440" w:hanging="460"/>
        <w:spacing w:after="0"/>
        <w:tabs>
          <w:tab w:leader="none" w:pos="1440" w:val="left"/>
        </w:tabs>
        <w:numPr>
          <w:ilvl w:val="1"/>
          <w:numId w:val="80"/>
        </w:numPr>
        <w:rPr>
          <w:rFonts w:ascii="Arial" w:cs="Arial" w:eastAsia="Arial" w:hAnsi="Arial"/>
          <w:sz w:val="22"/>
          <w:szCs w:val="22"/>
          <w:color w:val="auto"/>
        </w:rPr>
      </w:pPr>
      <w:r>
        <w:rPr>
          <w:rFonts w:ascii="Arial" w:cs="Arial" w:eastAsia="Arial" w:hAnsi="Arial"/>
          <w:sz w:val="22"/>
          <w:szCs w:val="22"/>
          <w:color w:val="auto"/>
        </w:rPr>
        <w:t>the price required by applicable law or by order of any Gaming Authority; or</w:t>
      </w:r>
    </w:p>
    <w:p>
      <w:pPr>
        <w:spacing w:after="0" w:line="219" w:lineRule="exact"/>
        <w:rPr>
          <w:rFonts w:ascii="Arial" w:cs="Arial" w:eastAsia="Arial" w:hAnsi="Arial"/>
          <w:sz w:val="22"/>
          <w:szCs w:val="22"/>
          <w:color w:val="auto"/>
        </w:rPr>
      </w:pPr>
    </w:p>
    <w:p>
      <w:pPr>
        <w:ind w:left="1440" w:hanging="460"/>
        <w:spacing w:after="0"/>
        <w:tabs>
          <w:tab w:leader="none" w:pos="1440" w:val="left"/>
        </w:tabs>
        <w:numPr>
          <w:ilvl w:val="1"/>
          <w:numId w:val="80"/>
        </w:numPr>
        <w:rPr>
          <w:rFonts w:ascii="Arial" w:cs="Arial" w:eastAsia="Arial" w:hAnsi="Arial"/>
          <w:sz w:val="22"/>
          <w:szCs w:val="22"/>
          <w:color w:val="auto"/>
        </w:rPr>
      </w:pPr>
      <w:r>
        <w:rPr>
          <w:rFonts w:ascii="Arial" w:cs="Arial" w:eastAsia="Arial" w:hAnsi="Arial"/>
          <w:sz w:val="22"/>
          <w:szCs w:val="22"/>
          <w:color w:val="auto"/>
        </w:rPr>
        <w:t>the lesser of:</w:t>
      </w:r>
    </w:p>
    <w:p>
      <w:pPr>
        <w:spacing w:after="0" w:line="219" w:lineRule="exact"/>
        <w:rPr>
          <w:rFonts w:ascii="Arial" w:cs="Arial" w:eastAsia="Arial" w:hAnsi="Arial"/>
          <w:sz w:val="22"/>
          <w:szCs w:val="22"/>
          <w:color w:val="auto"/>
        </w:rPr>
      </w:pPr>
    </w:p>
    <w:p>
      <w:pPr>
        <w:ind w:left="2140" w:hanging="512"/>
        <w:spacing w:after="0"/>
        <w:tabs>
          <w:tab w:leader="none" w:pos="2140" w:val="left"/>
        </w:tabs>
        <w:numPr>
          <w:ilvl w:val="2"/>
          <w:numId w:val="80"/>
        </w:numPr>
        <w:rPr>
          <w:rFonts w:ascii="Arial" w:cs="Arial" w:eastAsia="Arial" w:hAnsi="Arial"/>
          <w:sz w:val="22"/>
          <w:szCs w:val="22"/>
          <w:color w:val="auto"/>
        </w:rPr>
      </w:pPr>
      <w:r>
        <w:rPr>
          <w:rFonts w:ascii="Arial" w:cs="Arial" w:eastAsia="Arial" w:hAnsi="Arial"/>
          <w:sz w:val="22"/>
          <w:szCs w:val="22"/>
          <w:color w:val="auto"/>
        </w:rPr>
        <w:t>the principal amount of the Notes; and</w:t>
      </w:r>
    </w:p>
    <w:p>
      <w:pPr>
        <w:spacing w:after="0" w:line="219" w:lineRule="exact"/>
        <w:rPr>
          <w:rFonts w:ascii="Arial" w:cs="Arial" w:eastAsia="Arial" w:hAnsi="Arial"/>
          <w:sz w:val="22"/>
          <w:szCs w:val="22"/>
          <w:color w:val="auto"/>
        </w:rPr>
      </w:pPr>
    </w:p>
    <w:p>
      <w:pPr>
        <w:ind w:left="2140" w:hanging="512"/>
        <w:spacing w:after="0"/>
        <w:tabs>
          <w:tab w:leader="none" w:pos="2140" w:val="left"/>
        </w:tabs>
        <w:numPr>
          <w:ilvl w:val="2"/>
          <w:numId w:val="80"/>
        </w:numPr>
        <w:rPr>
          <w:rFonts w:ascii="Arial" w:cs="Arial" w:eastAsia="Arial" w:hAnsi="Arial"/>
          <w:sz w:val="22"/>
          <w:szCs w:val="22"/>
          <w:color w:val="auto"/>
        </w:rPr>
      </w:pPr>
      <w:r>
        <w:rPr>
          <w:rFonts w:ascii="Arial" w:cs="Arial" w:eastAsia="Arial" w:hAnsi="Arial"/>
          <w:sz w:val="22"/>
          <w:szCs w:val="22"/>
          <w:color w:val="auto"/>
        </w:rPr>
        <w:t>the price that the Holder or Beneficial Owner paid for the Notes,</w:t>
      </w:r>
    </w:p>
    <w:p>
      <w:pPr>
        <w:spacing w:after="0" w:line="220" w:lineRule="exact"/>
        <w:rPr>
          <w:sz w:val="20"/>
          <w:szCs w:val="20"/>
          <w:color w:val="auto"/>
        </w:rPr>
      </w:pPr>
    </w:p>
    <w:p>
      <w:pPr>
        <w:jc w:val="both"/>
        <w:ind w:left="1300" w:firstLine="648"/>
        <w:spacing w:after="0" w:line="248" w:lineRule="auto"/>
        <w:rPr>
          <w:sz w:val="20"/>
          <w:szCs w:val="20"/>
          <w:color w:val="auto"/>
        </w:rPr>
      </w:pPr>
      <w:r>
        <w:rPr>
          <w:rFonts w:ascii="Arial" w:cs="Arial" w:eastAsia="Arial" w:hAnsi="Arial"/>
          <w:sz w:val="22"/>
          <w:szCs w:val="22"/>
          <w:color w:val="auto"/>
        </w:rPr>
        <w:t>in either case, together with accrued and unpaid interest, if any, on the Notes to (but excluding) the earlier of (i) the date of redemption or such earlier date as is required by the Gaming Authority or (ii) the date of the finding of unsuitability by the Gaming Authority, which may be less than 30 days following the notice of redemption. The Issuer shall notify the Trustee in writing of any redemption pursuant to this Section 3.09 as soon as reasonably practicable.</w:t>
      </w:r>
    </w:p>
    <w:p>
      <w:pPr>
        <w:spacing w:after="0" w:line="192" w:lineRule="exact"/>
        <w:rPr>
          <w:sz w:val="20"/>
          <w:szCs w:val="20"/>
          <w:color w:val="auto"/>
        </w:rPr>
      </w:pPr>
    </w:p>
    <w:p>
      <w:pPr>
        <w:ind w:firstLine="324"/>
        <w:spacing w:after="0" w:line="343" w:lineRule="auto"/>
        <w:rPr>
          <w:sz w:val="20"/>
          <w:szCs w:val="20"/>
          <w:color w:val="auto"/>
        </w:rPr>
      </w:pPr>
      <w:r>
        <w:rPr>
          <w:rFonts w:ascii="Arial" w:cs="Arial" w:eastAsia="Arial" w:hAnsi="Arial"/>
          <w:sz w:val="19"/>
          <w:szCs w:val="19"/>
          <w:color w:val="auto"/>
        </w:rPr>
        <w:t>Immediately upon a determination by a Gaming Authority that a Holder or Beneficial Owner of Notes shall not be licensed, qualified or found suitable, the Holder or Beneficial Owner shall not have any further rights with respect to the Notes to:</w:t>
      </w:r>
    </w:p>
    <w:p>
      <w:pPr>
        <w:spacing w:after="0" w:line="145" w:lineRule="exact"/>
        <w:rPr>
          <w:sz w:val="20"/>
          <w:szCs w:val="20"/>
          <w:color w:val="auto"/>
        </w:rPr>
      </w:pPr>
    </w:p>
    <w:p>
      <w:pPr>
        <w:ind w:left="780" w:hanging="448"/>
        <w:spacing w:after="0"/>
        <w:tabs>
          <w:tab w:leader="none" w:pos="780" w:val="left"/>
        </w:tabs>
        <w:numPr>
          <w:ilvl w:val="0"/>
          <w:numId w:val="81"/>
        </w:numPr>
        <w:rPr>
          <w:rFonts w:ascii="Arial" w:cs="Arial" w:eastAsia="Arial" w:hAnsi="Arial"/>
          <w:sz w:val="22"/>
          <w:szCs w:val="22"/>
          <w:color w:val="auto"/>
        </w:rPr>
      </w:pPr>
      <w:r>
        <w:rPr>
          <w:rFonts w:ascii="Arial" w:cs="Arial" w:eastAsia="Arial" w:hAnsi="Arial"/>
          <w:sz w:val="22"/>
          <w:szCs w:val="22"/>
          <w:color w:val="auto"/>
        </w:rPr>
        <w:t>exercise, directly or indirectly, through any Person, any right conferred by the Notes; or</w:t>
      </w:r>
    </w:p>
    <w:p>
      <w:pPr>
        <w:spacing w:after="0" w:line="246" w:lineRule="exact"/>
        <w:rPr>
          <w:rFonts w:ascii="Arial" w:cs="Arial" w:eastAsia="Arial" w:hAnsi="Arial"/>
          <w:sz w:val="22"/>
          <w:szCs w:val="22"/>
          <w:color w:val="auto"/>
        </w:rPr>
      </w:pPr>
    </w:p>
    <w:p>
      <w:pPr>
        <w:ind w:firstLine="332"/>
        <w:spacing w:after="0" w:line="263" w:lineRule="auto"/>
        <w:tabs>
          <w:tab w:leader="none" w:pos="872" w:val="left"/>
        </w:tabs>
        <w:numPr>
          <w:ilvl w:val="0"/>
          <w:numId w:val="81"/>
        </w:numPr>
        <w:rPr>
          <w:rFonts w:ascii="Arial" w:cs="Arial" w:eastAsia="Arial" w:hAnsi="Arial"/>
          <w:sz w:val="22"/>
          <w:szCs w:val="22"/>
          <w:color w:val="auto"/>
        </w:rPr>
      </w:pPr>
      <w:r>
        <w:rPr>
          <w:rFonts w:ascii="Arial" w:cs="Arial" w:eastAsia="Arial" w:hAnsi="Arial"/>
          <w:sz w:val="22"/>
          <w:szCs w:val="22"/>
          <w:color w:val="auto"/>
        </w:rPr>
        <w:t>receive any interest or any other distribution or payment with respect to the Notes, or any remuneration in any form from the Issuer for services rendered or otherwise, except the redemption price of the Notes.</w:t>
      </w:r>
    </w:p>
    <w:p>
      <w:pPr>
        <w:spacing w:after="0" w:line="20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The Issuer is not required to pay or reimburse any Holder or Beneficial Owner of Notes who is required to apply for such license, qualification or finding of suitability for the costs relating thereto. Those expenses shall be the obligation of the Holder or Beneficial Owner.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28" w:right="339" w:bottom="1440" w:gutter="0" w:footer="0" w:header="0"/>
        </w:sectPr>
      </w:pPr>
    </w:p>
    <w:bookmarkStart w:id="95" w:name="page96"/>
    <w:bookmarkEnd w:id="95"/>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3.10</w:t>
      </w:r>
      <w:r>
        <w:rPr>
          <w:sz w:val="20"/>
          <w:szCs w:val="20"/>
          <w:color w:val="auto"/>
        </w:rPr>
        <w:tab/>
      </w:r>
      <w:r>
        <w:rPr>
          <w:rFonts w:ascii="Arial" w:cs="Arial" w:eastAsia="Arial" w:hAnsi="Arial"/>
          <w:sz w:val="19"/>
          <w:szCs w:val="19"/>
          <w:i w:val="1"/>
          <w:iCs w:val="1"/>
          <w:color w:val="auto"/>
        </w:rPr>
        <w:t>Redemption Upon Changes in Withholding Taxes</w:t>
      </w:r>
    </w:p>
    <w:p>
      <w:pPr>
        <w:spacing w:after="0" w:line="220" w:lineRule="exact"/>
        <w:rPr>
          <w:sz w:val="20"/>
          <w:szCs w:val="20"/>
          <w:color w:val="auto"/>
        </w:rPr>
      </w:pPr>
    </w:p>
    <w:p>
      <w:pPr>
        <w:jc w:val="both"/>
        <w:ind w:firstLine="332"/>
        <w:spacing w:after="0" w:line="250" w:lineRule="auto"/>
        <w:tabs>
          <w:tab w:leader="none" w:pos="82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Notes may be redeemed, at the option of the Issuer, as a whole but not in part, upon giving not less than 10 days’ nor more than 60 days’ notice to the Holders (which notice shall be irrevocable), at a redemption price equal to 100% of the principal amount thereof, together with accrued and unpaid interest, if any, to (but excluding) the date fixed by the Issuer or the Surviving Person, as the case may be, for redemption if, as a result of:</w:t>
      </w:r>
    </w:p>
    <w:p>
      <w:pPr>
        <w:spacing w:after="0" w:line="214" w:lineRule="exact"/>
        <w:rPr>
          <w:rFonts w:ascii="Arial" w:cs="Arial" w:eastAsia="Arial" w:hAnsi="Arial"/>
          <w:sz w:val="22"/>
          <w:szCs w:val="22"/>
          <w:color w:val="auto"/>
        </w:rPr>
      </w:pPr>
    </w:p>
    <w:p>
      <w:pPr>
        <w:ind w:firstLine="980"/>
        <w:spacing w:after="0" w:line="263" w:lineRule="auto"/>
        <w:tabs>
          <w:tab w:leader="none" w:pos="1481" w:val="left"/>
        </w:tabs>
        <w:numPr>
          <w:ilvl w:val="1"/>
          <w:numId w:val="82"/>
        </w:numPr>
        <w:rPr>
          <w:rFonts w:ascii="Arial" w:cs="Arial" w:eastAsia="Arial" w:hAnsi="Arial"/>
          <w:sz w:val="22"/>
          <w:szCs w:val="22"/>
          <w:color w:val="auto"/>
        </w:rPr>
      </w:pPr>
      <w:r>
        <w:rPr>
          <w:rFonts w:ascii="Arial" w:cs="Arial" w:eastAsia="Arial" w:hAnsi="Arial"/>
          <w:sz w:val="22"/>
          <w:szCs w:val="22"/>
          <w:color w:val="auto"/>
        </w:rPr>
        <w:t>any change in, or amendment to, the laws (or any regulations or rulings promulgated thereunder) of a Relevant Jurisdiction affecting taxation; or</w:t>
      </w:r>
    </w:p>
    <w:p>
      <w:pPr>
        <w:spacing w:after="0" w:line="174" w:lineRule="exact"/>
        <w:rPr>
          <w:rFonts w:ascii="Arial" w:cs="Arial" w:eastAsia="Arial" w:hAnsi="Arial"/>
          <w:sz w:val="22"/>
          <w:szCs w:val="22"/>
          <w:color w:val="auto"/>
        </w:rPr>
      </w:pPr>
    </w:p>
    <w:p>
      <w:pPr>
        <w:jc w:val="both"/>
        <w:ind w:firstLine="980"/>
        <w:spacing w:after="0" w:line="253" w:lineRule="auto"/>
        <w:tabs>
          <w:tab w:leader="none" w:pos="1464" w:val="left"/>
        </w:tabs>
        <w:numPr>
          <w:ilvl w:val="1"/>
          <w:numId w:val="82"/>
        </w:numPr>
        <w:rPr>
          <w:rFonts w:ascii="Arial" w:cs="Arial" w:eastAsia="Arial" w:hAnsi="Arial"/>
          <w:sz w:val="22"/>
          <w:szCs w:val="22"/>
          <w:color w:val="auto"/>
        </w:rPr>
      </w:pPr>
      <w:r>
        <w:rPr>
          <w:rFonts w:ascii="Arial" w:cs="Arial" w:eastAsia="Arial" w:hAnsi="Arial"/>
          <w:sz w:val="22"/>
          <w:szCs w:val="22"/>
          <w:color w:val="auto"/>
        </w:rPr>
        <w:t>any change in, or amendment to, an existing official position, or the stating of an official position, regarding the application, administration or interpretation of such laws, regulations or rulings (including a holding, judgment or order by a court of competent jurisdiction),</w:t>
      </w:r>
    </w:p>
    <w:p>
      <w:pPr>
        <w:spacing w:after="0" w:line="185" w:lineRule="exact"/>
        <w:rPr>
          <w:sz w:val="20"/>
          <w:szCs w:val="20"/>
          <w:color w:val="auto"/>
        </w:rPr>
      </w:pPr>
    </w:p>
    <w:p>
      <w:pPr>
        <w:jc w:val="both"/>
        <w:ind w:left="660"/>
        <w:spacing w:after="0" w:line="258" w:lineRule="auto"/>
        <w:rPr>
          <w:sz w:val="20"/>
          <w:szCs w:val="20"/>
          <w:color w:val="auto"/>
        </w:rPr>
      </w:pPr>
      <w:r>
        <w:rPr>
          <w:rFonts w:ascii="Arial" w:cs="Arial" w:eastAsia="Arial" w:hAnsi="Arial"/>
          <w:sz w:val="21"/>
          <w:szCs w:val="21"/>
          <w:color w:val="auto"/>
        </w:rPr>
        <w:t>which change, amendment, application or interpretation is proposed and becomes effective or, in the case of an official positions, is announced, on or after (i) with respect to the Issuer, the date of this Indenture or (ii) with respect to any Surviving Person, the date such Surviving Person becomes a Surviving Person with respect to any payment due or to become due under the Notes or this Indenture, the Issuer or the Surviving Person, as the case may be, is, or on the next interest payment date would be, required to pay Additional Amounts, and such requirement cannot be avoided by the Issuer or the Surviving Person, as the case may be, taking reasonable measures available to it; provided that changing the jurisdiction of incorporation of the Issuer or any Subsidiary shall not be considered a reasonable measure; and provided, further, that no such notice of redemption shall be given earlier than 90 days prior to the earliest date on which the Issuer or the Surviving Person, as the case may be, would be obligated to pay such Additional Amounts if a payment in respect of the Notes were then due and unless at the time such notice is given, the obligation to pay Additional Amounts remains in effect.</w:t>
      </w:r>
    </w:p>
    <w:p>
      <w:pPr>
        <w:spacing w:after="0" w:line="182" w:lineRule="exact"/>
        <w:rPr>
          <w:sz w:val="20"/>
          <w:szCs w:val="20"/>
          <w:color w:val="auto"/>
        </w:rPr>
      </w:pPr>
    </w:p>
    <w:p>
      <w:pPr>
        <w:ind w:right="20" w:firstLine="332"/>
        <w:spacing w:after="0" w:line="263" w:lineRule="auto"/>
        <w:tabs>
          <w:tab w:leader="none" w:pos="875" w:val="left"/>
        </w:tabs>
        <w:numPr>
          <w:ilvl w:val="0"/>
          <w:numId w:val="83"/>
        </w:numPr>
        <w:rPr>
          <w:rFonts w:ascii="Arial" w:cs="Arial" w:eastAsia="Arial" w:hAnsi="Arial"/>
          <w:sz w:val="22"/>
          <w:szCs w:val="22"/>
          <w:color w:val="auto"/>
        </w:rPr>
      </w:pPr>
      <w:r>
        <w:rPr>
          <w:rFonts w:ascii="Arial" w:cs="Arial" w:eastAsia="Arial" w:hAnsi="Arial"/>
          <w:sz w:val="22"/>
          <w:szCs w:val="22"/>
          <w:color w:val="auto"/>
        </w:rPr>
        <w:t>Prior to the delivery of any notice of redemption of the Notes pursuant to the foregoing, the Issuer or the Surviving Person, as the case may be, shall deliver to the Trustee:</w:t>
      </w:r>
    </w:p>
    <w:p>
      <w:pPr>
        <w:spacing w:after="0" w:line="201" w:lineRule="exact"/>
        <w:rPr>
          <w:rFonts w:ascii="Arial" w:cs="Arial" w:eastAsia="Arial" w:hAnsi="Arial"/>
          <w:sz w:val="22"/>
          <w:szCs w:val="22"/>
          <w:color w:val="auto"/>
        </w:rPr>
      </w:pPr>
    </w:p>
    <w:p>
      <w:pPr>
        <w:jc w:val="both"/>
        <w:ind w:firstLine="980"/>
        <w:spacing w:after="0" w:line="253" w:lineRule="auto"/>
        <w:tabs>
          <w:tab w:leader="none" w:pos="1494" w:val="left"/>
        </w:tabs>
        <w:numPr>
          <w:ilvl w:val="1"/>
          <w:numId w:val="83"/>
        </w:numPr>
        <w:rPr>
          <w:rFonts w:ascii="Arial" w:cs="Arial" w:eastAsia="Arial" w:hAnsi="Arial"/>
          <w:sz w:val="22"/>
          <w:szCs w:val="22"/>
          <w:color w:val="auto"/>
        </w:rPr>
      </w:pPr>
      <w:r>
        <w:rPr>
          <w:rFonts w:ascii="Arial" w:cs="Arial" w:eastAsia="Arial" w:hAnsi="Arial"/>
          <w:sz w:val="22"/>
          <w:szCs w:val="22"/>
          <w:color w:val="auto"/>
        </w:rPr>
        <w:t>an Officer’s Certificate stating that such change or amendment referred to in the prior paragraph has occurred, describing the facts related thereto and stating that such requirement cannot be avoided by the Issuer or the Surviving Person, as the case may be, taking reasonable measures available to it; and</w:t>
      </w:r>
    </w:p>
    <w:p>
      <w:pPr>
        <w:spacing w:after="0" w:line="185" w:lineRule="exact"/>
        <w:rPr>
          <w:rFonts w:ascii="Arial" w:cs="Arial" w:eastAsia="Arial" w:hAnsi="Arial"/>
          <w:sz w:val="22"/>
          <w:szCs w:val="22"/>
          <w:color w:val="auto"/>
        </w:rPr>
      </w:pPr>
    </w:p>
    <w:p>
      <w:pPr>
        <w:ind w:firstLine="980"/>
        <w:spacing w:after="0" w:line="263" w:lineRule="auto"/>
        <w:tabs>
          <w:tab w:leader="none" w:pos="1588" w:val="left"/>
        </w:tabs>
        <w:numPr>
          <w:ilvl w:val="1"/>
          <w:numId w:val="83"/>
        </w:numPr>
        <w:rPr>
          <w:rFonts w:ascii="Arial" w:cs="Arial" w:eastAsia="Arial" w:hAnsi="Arial"/>
          <w:sz w:val="22"/>
          <w:szCs w:val="22"/>
          <w:color w:val="auto"/>
        </w:rPr>
      </w:pPr>
      <w:r>
        <w:rPr>
          <w:rFonts w:ascii="Arial" w:cs="Arial" w:eastAsia="Arial" w:hAnsi="Arial"/>
          <w:sz w:val="22"/>
          <w:szCs w:val="22"/>
          <w:color w:val="auto"/>
        </w:rPr>
        <w:t>an Opinion of Counsel of recognized international standing to the effect that the requirement to pay such Additional Amounts results from the circumstances referred to in the prior paragraph.</w:t>
      </w:r>
    </w:p>
    <w:p>
      <w:pPr>
        <w:spacing w:after="0" w:line="174" w:lineRule="exact"/>
        <w:rPr>
          <w:rFonts w:ascii="Arial" w:cs="Arial" w:eastAsia="Arial" w:hAnsi="Arial"/>
          <w:sz w:val="22"/>
          <w:szCs w:val="22"/>
          <w:color w:val="auto"/>
        </w:rPr>
      </w:pPr>
    </w:p>
    <w:p>
      <w:pPr>
        <w:ind w:firstLine="332"/>
        <w:spacing w:after="0" w:line="263" w:lineRule="auto"/>
        <w:tabs>
          <w:tab w:leader="none" w:pos="776"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Trustee shall accept such certificate and opinion as sufficient evidence of the satisfaction of the conditions precedent described above, in which event it shall be conclusive and binding on the Holders.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428" w:right="339" w:bottom="1440" w:gutter="0" w:footer="0" w:header="0"/>
        </w:sectPr>
      </w:pPr>
    </w:p>
    <w:bookmarkStart w:id="96" w:name="page97"/>
    <w:bookmarkEnd w:id="96"/>
    <w:p>
      <w:pPr>
        <w:ind w:left="5260"/>
        <w:spacing w:after="0"/>
        <w:rPr>
          <w:sz w:val="20"/>
          <w:szCs w:val="20"/>
          <w:color w:val="auto"/>
        </w:rPr>
      </w:pPr>
      <w:r>
        <w:rPr>
          <w:rFonts w:ascii="Arial" w:cs="Arial" w:eastAsia="Arial" w:hAnsi="Arial"/>
          <w:sz w:val="22"/>
          <w:szCs w:val="22"/>
          <w:color w:val="auto"/>
        </w:rPr>
        <w:t>ARTICLE 4</w:t>
      </w:r>
    </w:p>
    <w:p>
      <w:pPr>
        <w:spacing w:after="0" w:line="220"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COVENANTS</w:t>
      </w:r>
    </w:p>
    <w:p>
      <w:pPr>
        <w:spacing w:after="0" w:line="247"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4.01</w:t>
      </w:r>
      <w:r>
        <w:rPr>
          <w:sz w:val="20"/>
          <w:szCs w:val="20"/>
          <w:color w:val="auto"/>
        </w:rPr>
        <w:tab/>
      </w:r>
      <w:r>
        <w:rPr>
          <w:rFonts w:ascii="Arial" w:cs="Arial" w:eastAsia="Arial" w:hAnsi="Arial"/>
          <w:sz w:val="19"/>
          <w:szCs w:val="19"/>
          <w:i w:val="1"/>
          <w:iCs w:val="1"/>
          <w:color w:val="auto"/>
        </w:rPr>
        <w:t>Payment of Notes</w:t>
      </w:r>
    </w:p>
    <w:p>
      <w:pPr>
        <w:spacing w:after="0" w:line="220"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2"/>
          <w:szCs w:val="22"/>
          <w:color w:val="auto"/>
        </w:rPr>
        <w:t>The Issuer shall pay or cause to be paid the principal of, premium, if any, and interest on the Notes on the dates and in the manner provided in the Notes. Principal, premium, if any, and interest shall be considered paid on the date due if the Paying Agent, if other than the Issuer or a Subsidiary thereof, holds as of 10:00 a.m. New York City Time on the due date money deposited by the Issuer in immediately available funds and designated for and sufficient to pay all principal, premium, if any, and interest then due.</w:t>
      </w:r>
    </w:p>
    <w:p>
      <w:pPr>
        <w:spacing w:after="0" w:line="219"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21"/>
          <w:szCs w:val="21"/>
          <w:color w:val="auto"/>
        </w:rPr>
        <w:t>The Issuer shall pay interest (including post-petition interest in any proceeding under any Bankruptcy Law) on overdue principal at the rate equal to 1% per annum in excess of the then applicable interest rate on the Notes to the extent lawful; it shall pay interest (including post-petition interest in any proceeding under any Bankruptcy Law) on overdue installments of interest (without regard to any applicable grace period) at the same rate to the extent lawful.</w:t>
      </w:r>
    </w:p>
    <w:p>
      <w:pPr>
        <w:spacing w:after="0" w:line="202"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4.02</w:t>
      </w:r>
      <w:r>
        <w:rPr>
          <w:sz w:val="20"/>
          <w:szCs w:val="20"/>
          <w:color w:val="auto"/>
        </w:rPr>
        <w:tab/>
      </w:r>
      <w:r>
        <w:rPr>
          <w:rFonts w:ascii="Arial" w:cs="Arial" w:eastAsia="Arial" w:hAnsi="Arial"/>
          <w:sz w:val="19"/>
          <w:szCs w:val="19"/>
          <w:i w:val="1"/>
          <w:iCs w:val="1"/>
          <w:color w:val="auto"/>
        </w:rPr>
        <w:t>Maintenance of Office or Agency</w:t>
      </w:r>
    </w:p>
    <w:p>
      <w:pPr>
        <w:spacing w:after="0" w:line="220"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9"/>
          <w:szCs w:val="19"/>
          <w:color w:val="auto"/>
        </w:rPr>
        <w:t>The Issuer shall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Issuer in respect of the Notes and this Indenture may be served. The Issuer shall give prompt written notice to the Trustee of the location, and any change in the location, of such office or agency. If at any time the Issuer fails to maintain any such required office or agency or fails to furnish the Trustee with the address thereof, such presentations, surrenders, notices and demands may be made or served at the Corporate Trust Office of the Trustee.</w:t>
      </w:r>
    </w:p>
    <w:p>
      <w:pPr>
        <w:spacing w:after="0" w:line="19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 xml:space="preserve">The Issuer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19"/>
          <w:szCs w:val="19"/>
          <w:i w:val="1"/>
          <w:iCs w:val="1"/>
          <w:color w:val="auto"/>
        </w:rPr>
        <w:t>provided, however</w:t>
      </w:r>
      <w:r>
        <w:rPr>
          <w:rFonts w:ascii="Arial" w:cs="Arial" w:eastAsia="Arial" w:hAnsi="Arial"/>
          <w:sz w:val="19"/>
          <w:szCs w:val="19"/>
          <w:color w:val="auto"/>
        </w:rPr>
        <w:t>, that no such designation or rescission shall in any manner relieve the Issuer of its obligation to maintain an office or agency in the Borough of Manhattan, the City of New York for such purposes. The Issuer shall give prompt written notice to the Trustee of any such designation or rescission and of any change in the location of any such other office or agency.</w:t>
      </w:r>
    </w:p>
    <w:p>
      <w:pPr>
        <w:spacing w:after="0" w:line="17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22"/>
          <w:szCs w:val="22"/>
          <w:color w:val="auto"/>
        </w:rPr>
        <w:t>The Issuer hereby designates the Corporate Trust Office of the Trustee as one such office or agency of the Issuer in accordance with Section 2.03 hereof.</w:t>
      </w:r>
    </w:p>
    <w:p>
      <w:pPr>
        <w:spacing w:after="0" w:line="202"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4.03</w:t>
      </w:r>
      <w:r>
        <w:rPr>
          <w:sz w:val="20"/>
          <w:szCs w:val="20"/>
          <w:color w:val="auto"/>
        </w:rPr>
        <w:tab/>
      </w:r>
      <w:r>
        <w:rPr>
          <w:rFonts w:ascii="Arial" w:cs="Arial" w:eastAsia="Arial" w:hAnsi="Arial"/>
          <w:sz w:val="18"/>
          <w:szCs w:val="18"/>
          <w:i w:val="1"/>
          <w:iCs w:val="1"/>
          <w:color w:val="auto"/>
        </w:rPr>
        <w:t>Reports</w:t>
      </w:r>
    </w:p>
    <w:p>
      <w:pPr>
        <w:spacing w:after="0" w:line="220" w:lineRule="exact"/>
        <w:rPr>
          <w:sz w:val="20"/>
          <w:szCs w:val="20"/>
          <w:color w:val="auto"/>
        </w:rPr>
      </w:pPr>
    </w:p>
    <w:p>
      <w:pPr>
        <w:jc w:val="both"/>
        <w:ind w:firstLine="980"/>
        <w:spacing w:after="0" w:line="271" w:lineRule="auto"/>
        <w:tabs>
          <w:tab w:leader="none" w:pos="1464" w:val="left"/>
        </w:tabs>
        <w:numPr>
          <w:ilvl w:val="0"/>
          <w:numId w:val="84"/>
        </w:numPr>
        <w:rPr>
          <w:rFonts w:ascii="Arial" w:cs="Arial" w:eastAsia="Arial" w:hAnsi="Arial"/>
          <w:sz w:val="21"/>
          <w:szCs w:val="21"/>
          <w:color w:val="auto"/>
        </w:rPr>
      </w:pPr>
      <w:r>
        <w:rPr>
          <w:rFonts w:ascii="Arial" w:cs="Arial" w:eastAsia="Arial" w:hAnsi="Arial"/>
          <w:sz w:val="21"/>
          <w:szCs w:val="21"/>
          <w:color w:val="auto"/>
        </w:rPr>
        <w:t>As long as any Notes are outstanding and the ordinary shares of the Issuer are listed on The Stock Exchange of Hong Kong Limited (the “</w:t>
      </w:r>
      <w:r>
        <w:rPr>
          <w:rFonts w:ascii="Arial" w:cs="Arial" w:eastAsia="Arial" w:hAnsi="Arial"/>
          <w:sz w:val="21"/>
          <w:szCs w:val="21"/>
          <w:i w:val="1"/>
          <w:iCs w:val="1"/>
          <w:color w:val="auto"/>
        </w:rPr>
        <w:t>HKSE</w:t>
      </w:r>
      <w:r>
        <w:rPr>
          <w:rFonts w:ascii="Arial" w:cs="Arial" w:eastAsia="Arial" w:hAnsi="Arial"/>
          <w:sz w:val="21"/>
          <w:szCs w:val="21"/>
          <w:color w:val="auto"/>
        </w:rPr>
        <w:t>”) or another internationally recognized stock exchange, the Issuer will file with the Trustee and furnish to the Holders upon request, within 10 days after they are filed with such exchange, true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428" w:right="339" w:bottom="1440" w:gutter="0" w:footer="0" w:header="0"/>
        </w:sectPr>
      </w:pPr>
    </w:p>
    <w:bookmarkStart w:id="97" w:name="page98"/>
    <w:bookmarkEnd w:id="97"/>
    <w:p>
      <w:pPr>
        <w:spacing w:after="0"/>
        <w:rPr>
          <w:sz w:val="20"/>
          <w:szCs w:val="20"/>
          <w:color w:val="auto"/>
        </w:rPr>
      </w:pPr>
      <w:r>
        <w:rPr>
          <w:rFonts w:ascii="Arial" w:cs="Arial" w:eastAsia="Arial" w:hAnsi="Arial"/>
          <w:sz w:val="22"/>
          <w:szCs w:val="22"/>
          <w:color w:val="auto"/>
        </w:rPr>
        <w:t>correct copies of all financial and other reports in the English language filed with such exchange.</w:t>
      </w:r>
    </w:p>
    <w:p>
      <w:pPr>
        <w:spacing w:after="0" w:line="220" w:lineRule="exact"/>
        <w:rPr>
          <w:sz w:val="20"/>
          <w:szCs w:val="20"/>
          <w:color w:val="auto"/>
        </w:rPr>
      </w:pPr>
    </w:p>
    <w:p>
      <w:pPr>
        <w:ind w:firstLine="980"/>
        <w:spacing w:after="0" w:line="263" w:lineRule="auto"/>
        <w:tabs>
          <w:tab w:leader="none" w:pos="1527" w:val="left"/>
        </w:tabs>
        <w:numPr>
          <w:ilvl w:val="0"/>
          <w:numId w:val="85"/>
        </w:numPr>
        <w:rPr>
          <w:rFonts w:ascii="Arial" w:cs="Arial" w:eastAsia="Arial" w:hAnsi="Arial"/>
          <w:sz w:val="22"/>
          <w:szCs w:val="22"/>
          <w:color w:val="auto"/>
        </w:rPr>
      </w:pPr>
      <w:r>
        <w:rPr>
          <w:rFonts w:ascii="Arial" w:cs="Arial" w:eastAsia="Arial" w:hAnsi="Arial"/>
          <w:sz w:val="22"/>
          <w:szCs w:val="22"/>
          <w:color w:val="auto"/>
        </w:rPr>
        <w:t>If at any time Notes are outstanding and the ordinary shares of the Issuer are not listed on an internationally recognized stock exchange, the Issuer will file with the Trustee:</w:t>
      </w:r>
    </w:p>
    <w:p>
      <w:pPr>
        <w:spacing w:after="0" w:line="174" w:lineRule="exact"/>
        <w:rPr>
          <w:rFonts w:ascii="Arial" w:cs="Arial" w:eastAsia="Arial" w:hAnsi="Arial"/>
          <w:sz w:val="22"/>
          <w:szCs w:val="22"/>
          <w:color w:val="auto"/>
        </w:rPr>
      </w:pPr>
    </w:p>
    <w:p>
      <w:pPr>
        <w:jc w:val="both"/>
        <w:ind w:firstLine="1628"/>
        <w:spacing w:after="0" w:line="263" w:lineRule="auto"/>
        <w:tabs>
          <w:tab w:leader="none" w:pos="2130" w:val="left"/>
        </w:tabs>
        <w:numPr>
          <w:ilvl w:val="1"/>
          <w:numId w:val="85"/>
        </w:numPr>
        <w:rPr>
          <w:rFonts w:ascii="Arial" w:cs="Arial" w:eastAsia="Arial" w:hAnsi="Arial"/>
          <w:sz w:val="21"/>
          <w:szCs w:val="21"/>
          <w:color w:val="auto"/>
        </w:rPr>
      </w:pPr>
      <w:r>
        <w:rPr>
          <w:rFonts w:ascii="Arial" w:cs="Arial" w:eastAsia="Arial" w:hAnsi="Arial"/>
          <w:sz w:val="21"/>
          <w:szCs w:val="21"/>
          <w:color w:val="auto"/>
        </w:rPr>
        <w:t>within 120 days after the end of each fiscal year, an annual report in a form substantially similar to the Issuer’s annual report for the year ended December 31, 2019 filed with the HKSE, including (A) a “Management Discussion and Analysis” of financial condition and results of operations and (B) consolidated financial statements (including statements of comprehensive income, financial position, changes in equity and cash flows) prepared in accordance with IFRS and audited by an internationally recognized firm of independent accountants; and</w:t>
      </w:r>
    </w:p>
    <w:p>
      <w:pPr>
        <w:spacing w:after="0" w:line="175" w:lineRule="exact"/>
        <w:rPr>
          <w:rFonts w:ascii="Arial" w:cs="Arial" w:eastAsia="Arial" w:hAnsi="Arial"/>
          <w:sz w:val="21"/>
          <w:szCs w:val="21"/>
          <w:color w:val="auto"/>
        </w:rPr>
      </w:pPr>
    </w:p>
    <w:p>
      <w:pPr>
        <w:jc w:val="both"/>
        <w:ind w:firstLine="1628"/>
        <w:spacing w:after="0" w:line="294" w:lineRule="auto"/>
        <w:tabs>
          <w:tab w:leader="none" w:pos="2177" w:val="left"/>
        </w:tabs>
        <w:numPr>
          <w:ilvl w:val="1"/>
          <w:numId w:val="85"/>
        </w:numPr>
        <w:rPr>
          <w:rFonts w:ascii="Arial" w:cs="Arial" w:eastAsia="Arial" w:hAnsi="Arial"/>
          <w:sz w:val="19"/>
          <w:szCs w:val="19"/>
          <w:color w:val="auto"/>
        </w:rPr>
      </w:pPr>
      <w:r>
        <w:rPr>
          <w:rFonts w:ascii="Arial" w:cs="Arial" w:eastAsia="Arial" w:hAnsi="Arial"/>
          <w:sz w:val="19"/>
          <w:szCs w:val="19"/>
          <w:color w:val="auto"/>
        </w:rPr>
        <w:t>within 90 days after the end of the second quarter of each fiscal year, a semi-annual report in a form substantially similar to the Issuer’s interim report for the six months ended June 30, 2020 filed with the HKSE, including (A) a “Management Discussion and Analysis” of financial condition and results of operations and (B) half-year condensed consolidated financial statements (including statements of comprehensive income, financial position, changes in equity and cash flows) prepared in accordance with IFRS and reviewed pursuant to Hong Kong Standard on Review Engagements 2410 (or any equivalent or successor provision) by an internationally recognized firm of independent accountants.</w:t>
      </w:r>
    </w:p>
    <w:p>
      <w:pPr>
        <w:spacing w:after="0" w:line="149" w:lineRule="exact"/>
        <w:rPr>
          <w:rFonts w:ascii="Arial" w:cs="Arial" w:eastAsia="Arial" w:hAnsi="Arial"/>
          <w:sz w:val="19"/>
          <w:szCs w:val="19"/>
          <w:color w:val="auto"/>
        </w:rPr>
      </w:pPr>
    </w:p>
    <w:p>
      <w:pPr>
        <w:jc w:val="both"/>
        <w:ind w:firstLine="980"/>
        <w:spacing w:after="0" w:line="250" w:lineRule="auto"/>
        <w:tabs>
          <w:tab w:leader="none" w:pos="1474" w:val="left"/>
        </w:tabs>
        <w:numPr>
          <w:ilvl w:val="0"/>
          <w:numId w:val="85"/>
        </w:numPr>
        <w:rPr>
          <w:rFonts w:ascii="Arial" w:cs="Arial" w:eastAsia="Arial" w:hAnsi="Arial"/>
          <w:sz w:val="22"/>
          <w:szCs w:val="22"/>
          <w:color w:val="auto"/>
        </w:rPr>
      </w:pPr>
      <w:r>
        <w:rPr>
          <w:rFonts w:ascii="Arial" w:cs="Arial" w:eastAsia="Arial" w:hAnsi="Arial"/>
          <w:sz w:val="22"/>
          <w:szCs w:val="22"/>
          <w:color w:val="auto"/>
        </w:rPr>
        <w:t>If at any time Notes are outstanding and the common stock of Wynn Resorts is not listed on the Nasdaq Global Select Market or another internationally recognized stock exchange, the Issuer will file with the Trustee, within 45 days after the end of the first and third quarters of each fiscal year, an unaudited quarterly condensed consolidated income statement of the Issuer prepared in accordance with IFRS.</w:t>
      </w:r>
    </w:p>
    <w:p>
      <w:pPr>
        <w:spacing w:after="0" w:line="187" w:lineRule="exact"/>
        <w:rPr>
          <w:rFonts w:ascii="Arial" w:cs="Arial" w:eastAsia="Arial" w:hAnsi="Arial"/>
          <w:sz w:val="22"/>
          <w:szCs w:val="22"/>
          <w:color w:val="auto"/>
        </w:rPr>
      </w:pPr>
    </w:p>
    <w:p>
      <w:pPr>
        <w:ind w:left="1440" w:hanging="460"/>
        <w:spacing w:after="0"/>
        <w:tabs>
          <w:tab w:leader="none" w:pos="1440" w:val="left"/>
        </w:tabs>
        <w:numPr>
          <w:ilvl w:val="0"/>
          <w:numId w:val="85"/>
        </w:numPr>
        <w:rPr>
          <w:rFonts w:ascii="Arial" w:cs="Arial" w:eastAsia="Arial" w:hAnsi="Arial"/>
          <w:sz w:val="22"/>
          <w:szCs w:val="22"/>
          <w:color w:val="auto"/>
        </w:rPr>
      </w:pPr>
      <w:r>
        <w:rPr>
          <w:rFonts w:ascii="Arial" w:cs="Arial" w:eastAsia="Arial" w:hAnsi="Arial"/>
          <w:sz w:val="22"/>
          <w:szCs w:val="22"/>
          <w:color w:val="auto"/>
        </w:rPr>
        <w:t>If the Issuer is required to file any reports under Section 4.03(2) or (3) hereof, the Issuer will also:</w:t>
      </w:r>
    </w:p>
    <w:p>
      <w:pPr>
        <w:spacing w:after="0" w:line="219" w:lineRule="exact"/>
        <w:rPr>
          <w:rFonts w:ascii="Arial" w:cs="Arial" w:eastAsia="Arial" w:hAnsi="Arial"/>
          <w:sz w:val="22"/>
          <w:szCs w:val="22"/>
          <w:color w:val="auto"/>
        </w:rPr>
      </w:pPr>
    </w:p>
    <w:p>
      <w:pPr>
        <w:jc w:val="both"/>
        <w:ind w:firstLine="1628"/>
        <w:spacing w:after="0" w:line="250" w:lineRule="auto"/>
        <w:tabs>
          <w:tab w:leader="none" w:pos="2076" w:val="left"/>
        </w:tabs>
        <w:numPr>
          <w:ilvl w:val="1"/>
          <w:numId w:val="85"/>
        </w:numPr>
        <w:rPr>
          <w:rFonts w:ascii="Arial" w:cs="Arial" w:eastAsia="Arial" w:hAnsi="Arial"/>
          <w:sz w:val="22"/>
          <w:szCs w:val="22"/>
          <w:color w:val="auto"/>
        </w:rPr>
      </w:pPr>
      <w:r>
        <w:rPr>
          <w:rFonts w:ascii="Arial" w:cs="Arial" w:eastAsia="Arial" w:hAnsi="Arial"/>
          <w:sz w:val="22"/>
          <w:szCs w:val="22"/>
          <w:color w:val="auto"/>
        </w:rPr>
        <w:t>issue a press release to an internationally recognized wire service no fewer than three Business Days prior to the first public disclosure of each such report, announcing the date on which such report will become publicly available and directing noteholders, prospective investors, broker-dealers and securities analysts to contact the investor relations office of the Issuer to obtain copies of such report;</w:t>
      </w:r>
    </w:p>
    <w:p>
      <w:pPr>
        <w:spacing w:after="0" w:line="187" w:lineRule="exact"/>
        <w:rPr>
          <w:rFonts w:ascii="Arial" w:cs="Arial" w:eastAsia="Arial" w:hAnsi="Arial"/>
          <w:sz w:val="22"/>
          <w:szCs w:val="22"/>
          <w:color w:val="auto"/>
        </w:rPr>
      </w:pPr>
    </w:p>
    <w:p>
      <w:pPr>
        <w:jc w:val="both"/>
        <w:ind w:firstLine="1628"/>
        <w:spacing w:after="0" w:line="302" w:lineRule="auto"/>
        <w:tabs>
          <w:tab w:leader="none" w:pos="2184" w:val="left"/>
        </w:tabs>
        <w:numPr>
          <w:ilvl w:val="1"/>
          <w:numId w:val="85"/>
        </w:numPr>
        <w:rPr>
          <w:rFonts w:ascii="Arial" w:cs="Arial" w:eastAsia="Arial" w:hAnsi="Arial"/>
          <w:sz w:val="19"/>
          <w:szCs w:val="19"/>
          <w:color w:val="auto"/>
        </w:rPr>
      </w:pPr>
      <w:r>
        <w:rPr>
          <w:rFonts w:ascii="Arial" w:cs="Arial" w:eastAsia="Arial" w:hAnsi="Arial"/>
          <w:sz w:val="19"/>
          <w:szCs w:val="19"/>
          <w:color w:val="auto"/>
        </w:rPr>
        <w:t>issue a press release to an internationally recognized wire service no fewer than three Business Days prior to the date of the conference call required to be held in accordance with Section 4.03(4)(a) hereof, announcing the time and date of such conference call and either including all information necessary to access the call or directing noteholders, prospective investors, broker-dealers and securities analysts to contact the appropriate person at the Issuer to obtain such information; and</w:t>
      </w:r>
    </w:p>
    <w:p>
      <w:pPr>
        <w:spacing w:after="0" w:line="142" w:lineRule="exact"/>
        <w:rPr>
          <w:rFonts w:ascii="Arial" w:cs="Arial" w:eastAsia="Arial" w:hAnsi="Arial"/>
          <w:sz w:val="19"/>
          <w:szCs w:val="19"/>
          <w:color w:val="auto"/>
        </w:rPr>
      </w:pPr>
    </w:p>
    <w:p>
      <w:pPr>
        <w:jc w:val="both"/>
        <w:ind w:firstLine="1628"/>
        <w:spacing w:after="0" w:line="253" w:lineRule="auto"/>
        <w:tabs>
          <w:tab w:leader="none" w:pos="2093" w:val="left"/>
        </w:tabs>
        <w:numPr>
          <w:ilvl w:val="1"/>
          <w:numId w:val="85"/>
        </w:numPr>
        <w:rPr>
          <w:rFonts w:ascii="Arial" w:cs="Arial" w:eastAsia="Arial" w:hAnsi="Arial"/>
          <w:sz w:val="22"/>
          <w:szCs w:val="22"/>
          <w:color w:val="auto"/>
        </w:rPr>
      </w:pPr>
      <w:r>
        <w:rPr>
          <w:rFonts w:ascii="Arial" w:cs="Arial" w:eastAsia="Arial" w:hAnsi="Arial"/>
          <w:sz w:val="22"/>
          <w:szCs w:val="22"/>
          <w:color w:val="auto"/>
        </w:rPr>
        <w:t>maintain a website to which noteholders, prospective investors, broker-dealers and securities analysts are given access and to which the reports and press releases required by Sections Section 4.03(2), (3), (4)(a) and (4)(b) hereof are posted within the time periods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28" w:right="339" w:bottom="1440" w:gutter="0" w:footer="0" w:header="0"/>
        </w:sectPr>
      </w:pPr>
    </w:p>
    <w:bookmarkStart w:id="98" w:name="page99"/>
    <w:bookmarkEnd w:id="98"/>
    <w:p>
      <w:pPr>
        <w:jc w:val="both"/>
        <w:ind w:firstLine="980"/>
        <w:spacing w:after="0" w:line="291" w:lineRule="auto"/>
        <w:tabs>
          <w:tab w:leader="none" w:pos="1462" w:val="left"/>
        </w:tabs>
        <w:numPr>
          <w:ilvl w:val="1"/>
          <w:numId w:val="86"/>
        </w:numPr>
        <w:rPr>
          <w:rFonts w:ascii="Arial" w:cs="Arial" w:eastAsia="Arial" w:hAnsi="Arial"/>
          <w:sz w:val="19"/>
          <w:szCs w:val="19"/>
          <w:color w:val="auto"/>
        </w:rPr>
      </w:pPr>
      <w:r>
        <w:rPr>
          <w:rFonts w:ascii="Arial" w:cs="Arial" w:eastAsia="Arial" w:hAnsi="Arial"/>
          <w:sz w:val="19"/>
          <w:szCs w:val="19"/>
          <w:color w:val="auto"/>
        </w:rPr>
        <w:t>During any period in which the Issuer is neither subject to Section 13 or 15(d) of the Exchange Act, nor exempt from reporting pursuant to Rule 12g3-2(b) thereunder, the Issuer shall provide to (i) any Holder or Beneficial Owner of a Note or</w:t>
      </w:r>
    </w:p>
    <w:p>
      <w:pPr>
        <w:spacing w:after="0" w:line="1" w:lineRule="exact"/>
        <w:rPr>
          <w:rFonts w:ascii="Arial" w:cs="Arial" w:eastAsia="Arial" w:hAnsi="Arial"/>
          <w:sz w:val="19"/>
          <w:szCs w:val="19"/>
          <w:color w:val="auto"/>
        </w:rPr>
      </w:pPr>
    </w:p>
    <w:p>
      <w:pPr>
        <w:jc w:val="both"/>
        <w:ind w:firstLine="8"/>
        <w:spacing w:after="0" w:line="245" w:lineRule="auto"/>
        <w:tabs>
          <w:tab w:leader="none" w:pos="363" w:val="left"/>
        </w:tabs>
        <w:numPr>
          <w:ilvl w:val="0"/>
          <w:numId w:val="87"/>
        </w:numPr>
        <w:rPr>
          <w:rFonts w:ascii="Arial" w:cs="Arial" w:eastAsia="Arial" w:hAnsi="Arial"/>
          <w:sz w:val="22"/>
          <w:szCs w:val="22"/>
          <w:color w:val="auto"/>
        </w:rPr>
      </w:pPr>
      <w:r>
        <w:rPr>
          <w:rFonts w:ascii="Arial" w:cs="Arial" w:eastAsia="Arial" w:hAnsi="Arial"/>
          <w:sz w:val="22"/>
          <w:szCs w:val="22"/>
          <w:color w:val="auto"/>
        </w:rPr>
        <w:t>a prospective purchaser of a Note or a beneficial interest therein designated by such Holder or Beneficial Owner, the information specified in, and meeting the requirements of, Rule 144A(d)(4) under the Securities Act upon the request of any Holder or Beneficial Owner of a Note.</w:t>
      </w:r>
    </w:p>
    <w:p>
      <w:pPr>
        <w:spacing w:after="0" w:line="192" w:lineRule="exact"/>
        <w:rPr>
          <w:rFonts w:ascii="Arial" w:cs="Arial" w:eastAsia="Arial" w:hAnsi="Arial"/>
          <w:sz w:val="22"/>
          <w:szCs w:val="22"/>
          <w:color w:val="auto"/>
        </w:rPr>
      </w:pPr>
    </w:p>
    <w:p>
      <w:pPr>
        <w:jc w:val="both"/>
        <w:ind w:firstLine="980"/>
        <w:spacing w:after="0" w:line="247" w:lineRule="auto"/>
        <w:tabs>
          <w:tab w:leader="none" w:pos="1640" w:val="left"/>
        </w:tabs>
        <w:numPr>
          <w:ilvl w:val="1"/>
          <w:numId w:val="87"/>
        </w:numPr>
        <w:rPr>
          <w:rFonts w:ascii="Arial" w:cs="Arial" w:eastAsia="Arial" w:hAnsi="Arial"/>
          <w:sz w:val="22"/>
          <w:szCs w:val="22"/>
          <w:color w:val="auto"/>
        </w:rPr>
      </w:pPr>
      <w:r>
        <w:rPr>
          <w:rFonts w:ascii="Arial" w:cs="Arial" w:eastAsia="Arial" w:hAnsi="Arial"/>
          <w:sz w:val="22"/>
          <w:szCs w:val="22"/>
          <w:color w:val="auto"/>
        </w:rPr>
        <w:t>Delivery of the reports, information and documents described in this Section 4.03 to the Trustee is for informational purposes only, and the Trustee’s receipt of such shall not constitute constructive notice of any information contained therein or determinable from information contained therein, including the Issuer’s compliance with any of its covenants hereunder (as to which the Trustee is entitled to conclusively rely exclusively on an Officer’s Certificate). The Trustee shall have no responsibility to determine if reports have been provided to Holders or if the Issuer has complied with the obligations set forth in this Section 4.03.</w:t>
      </w:r>
    </w:p>
    <w:p>
      <w:pPr>
        <w:spacing w:after="0" w:line="193"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4.04</w:t>
      </w:r>
      <w:r>
        <w:rPr>
          <w:sz w:val="20"/>
          <w:szCs w:val="20"/>
          <w:color w:val="auto"/>
        </w:rPr>
        <w:tab/>
      </w:r>
      <w:r>
        <w:rPr>
          <w:rFonts w:ascii="Arial" w:cs="Arial" w:eastAsia="Arial" w:hAnsi="Arial"/>
          <w:sz w:val="19"/>
          <w:szCs w:val="19"/>
          <w:i w:val="1"/>
          <w:iCs w:val="1"/>
          <w:color w:val="auto"/>
        </w:rPr>
        <w:t>Compliance Certificate</w:t>
      </w:r>
    </w:p>
    <w:p>
      <w:pPr>
        <w:spacing w:after="0" w:line="220" w:lineRule="exact"/>
        <w:rPr>
          <w:sz w:val="20"/>
          <w:szCs w:val="20"/>
          <w:color w:val="auto"/>
        </w:rPr>
      </w:pPr>
    </w:p>
    <w:p>
      <w:pPr>
        <w:jc w:val="both"/>
        <w:ind w:firstLine="980"/>
        <w:spacing w:after="0" w:line="258" w:lineRule="auto"/>
        <w:tabs>
          <w:tab w:leader="none" w:pos="1478" w:val="left"/>
        </w:tabs>
        <w:numPr>
          <w:ilvl w:val="0"/>
          <w:numId w:val="88"/>
        </w:numPr>
        <w:rPr>
          <w:rFonts w:ascii="Arial" w:cs="Arial" w:eastAsia="Arial" w:hAnsi="Arial"/>
          <w:sz w:val="21"/>
          <w:szCs w:val="21"/>
          <w:color w:val="auto"/>
        </w:rPr>
      </w:pPr>
      <w:r>
        <w:rPr>
          <w:rFonts w:ascii="Arial" w:cs="Arial" w:eastAsia="Arial" w:hAnsi="Arial"/>
          <w:sz w:val="21"/>
          <w:szCs w:val="21"/>
          <w:color w:val="auto"/>
        </w:rPr>
        <w:t>The Issuer shall deliver to the Trustee, within 90 days after the end of each fiscal year, an Officer’s Certificate stating that a review of the activities of the Issuer and its Subsidiaries during the preceding fiscal year has been made under the supervision of the signing Officer with a view to determining whether the Issuer has kept, observed, performed and fulfilled its obligations under this Indenture, and further stating, as to each such Officer signing such certificate, whether to the best of his or her knowledge the Issuer has kept, observed, performed and fulfilled each and every covenant contained in this Indenture and is not in default in the performance or observance of any of the terms, provisions and conditions of this Indenture (and, if a Default or Event of Default has occurred, describing all such Defaults or Events of Default of which he or she may have knowledge and what action the Issuer is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Issuer is taking or proposes to take with respect thereto.</w:t>
      </w:r>
    </w:p>
    <w:p>
      <w:pPr>
        <w:spacing w:after="0" w:line="181" w:lineRule="exact"/>
        <w:rPr>
          <w:rFonts w:ascii="Arial" w:cs="Arial" w:eastAsia="Arial" w:hAnsi="Arial"/>
          <w:sz w:val="21"/>
          <w:szCs w:val="21"/>
          <w:color w:val="auto"/>
        </w:rPr>
      </w:pPr>
    </w:p>
    <w:p>
      <w:pPr>
        <w:jc w:val="both"/>
        <w:ind w:firstLine="980"/>
        <w:spacing w:after="0" w:line="260" w:lineRule="auto"/>
        <w:tabs>
          <w:tab w:leader="none" w:pos="1538" w:val="left"/>
        </w:tabs>
        <w:numPr>
          <w:ilvl w:val="0"/>
          <w:numId w:val="88"/>
        </w:numPr>
        <w:rPr>
          <w:rFonts w:ascii="Arial" w:cs="Arial" w:eastAsia="Arial" w:hAnsi="Arial"/>
          <w:sz w:val="21"/>
          <w:szCs w:val="21"/>
          <w:color w:val="auto"/>
        </w:rPr>
      </w:pPr>
      <w:r>
        <w:rPr>
          <w:rFonts w:ascii="Arial" w:cs="Arial" w:eastAsia="Arial" w:hAnsi="Arial"/>
          <w:sz w:val="21"/>
          <w:szCs w:val="21"/>
          <w:color w:val="auto"/>
        </w:rPr>
        <w:t>So long as not contrary to the then current recommendations of the Hong Kong Institute of Certified Public Accountants, the year-end financial statements filed pursuant to Section 4.03 above shall be accompanied by a written statement of the Issuer’s independent public accountants (who shall be an internationally recognized firm) that in making the examination necessary for certification of such financial statements, nothing has come to their attention that would lead them to believe that the Issuer has violated any provisions of Article 4 or Article 5 hereof or, if any such violation has occurred, specifying the nature and period of existence thereof, it being understood that such accountants shall not be liable directly or indirectly to any Person for any failure to obtain knowledge of any such violation.</w:t>
      </w:r>
    </w:p>
    <w:p>
      <w:pPr>
        <w:spacing w:after="0" w:line="180" w:lineRule="exact"/>
        <w:rPr>
          <w:rFonts w:ascii="Arial" w:cs="Arial" w:eastAsia="Arial" w:hAnsi="Arial"/>
          <w:sz w:val="21"/>
          <w:szCs w:val="21"/>
          <w:color w:val="auto"/>
        </w:rPr>
      </w:pPr>
    </w:p>
    <w:p>
      <w:pPr>
        <w:jc w:val="both"/>
        <w:ind w:firstLine="980"/>
        <w:spacing w:after="0" w:line="253" w:lineRule="auto"/>
        <w:tabs>
          <w:tab w:leader="none" w:pos="1482" w:val="left"/>
        </w:tabs>
        <w:numPr>
          <w:ilvl w:val="0"/>
          <w:numId w:val="88"/>
        </w:numPr>
        <w:rPr>
          <w:rFonts w:ascii="Arial" w:cs="Arial" w:eastAsia="Arial" w:hAnsi="Arial"/>
          <w:sz w:val="22"/>
          <w:szCs w:val="22"/>
          <w:color w:val="auto"/>
        </w:rPr>
      </w:pPr>
      <w:r>
        <w:rPr>
          <w:rFonts w:ascii="Arial" w:cs="Arial" w:eastAsia="Arial" w:hAnsi="Arial"/>
          <w:sz w:val="22"/>
          <w:szCs w:val="22"/>
          <w:color w:val="auto"/>
        </w:rPr>
        <w:t>So long as any of the Notes are outstanding, the Issuer shall deliver to the Trustee, forthwith upon any Officer becoming aware of any Default or Event of Default, an Officer’s Certificate specifying such Default or Event of Default and what action the Issuer is taking or proposes to take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428" w:right="339" w:bottom="1440" w:gutter="0" w:footer="0" w:header="0"/>
        </w:sectPr>
      </w:pPr>
    </w:p>
    <w:bookmarkStart w:id="99" w:name="page100"/>
    <w:bookmarkEnd w:id="99"/>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4.05</w:t>
      </w:r>
      <w:r>
        <w:rPr>
          <w:sz w:val="20"/>
          <w:szCs w:val="20"/>
          <w:color w:val="auto"/>
        </w:rPr>
        <w:tab/>
      </w:r>
      <w:r>
        <w:rPr>
          <w:rFonts w:ascii="Arial" w:cs="Arial" w:eastAsia="Arial" w:hAnsi="Arial"/>
          <w:sz w:val="17"/>
          <w:szCs w:val="17"/>
          <w:i w:val="1"/>
          <w:iCs w:val="1"/>
          <w:color w:val="auto"/>
        </w:rPr>
        <w:t>Taxes</w:t>
      </w:r>
    </w:p>
    <w:p>
      <w:pPr>
        <w:spacing w:after="0" w:line="22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The Issuer shall pay, and shall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 of the Notes.</w:t>
      </w:r>
    </w:p>
    <w:p>
      <w:pPr>
        <w:spacing w:after="0" w:line="212"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4.06</w:t>
      </w:r>
      <w:r>
        <w:rPr>
          <w:sz w:val="20"/>
          <w:szCs w:val="20"/>
          <w:color w:val="auto"/>
        </w:rPr>
        <w:tab/>
      </w:r>
      <w:r>
        <w:rPr>
          <w:rFonts w:ascii="Arial" w:cs="Arial" w:eastAsia="Arial" w:hAnsi="Arial"/>
          <w:sz w:val="19"/>
          <w:szCs w:val="19"/>
          <w:i w:val="1"/>
          <w:iCs w:val="1"/>
          <w:color w:val="auto"/>
        </w:rPr>
        <w:t>Stay, Extension and Usury Laws</w:t>
      </w:r>
    </w:p>
    <w:p>
      <w:pPr>
        <w:spacing w:after="0" w:line="22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21"/>
          <w:szCs w:val="21"/>
          <w:color w:val="auto"/>
        </w:rPr>
        <w:t>The Issuer covenants (to the extent that it may lawfully do so) that it shall not at any time insist upon, plead, or in any manner whatsoever claim or take the benefit or advantage of, any stay, extension or usury law wherever enacted, now or at any time hereafter in force, that may affect the covenants or the performance of this Indenture; and the Issuer (to the extent that it may lawfully do 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w:t>
      </w:r>
    </w:p>
    <w:p>
      <w:pPr>
        <w:spacing w:after="0" w:line="206"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4.07</w:t>
      </w:r>
      <w:r>
        <w:rPr>
          <w:sz w:val="20"/>
          <w:szCs w:val="20"/>
          <w:color w:val="auto"/>
        </w:rPr>
        <w:tab/>
      </w:r>
      <w:r>
        <w:rPr>
          <w:rFonts w:ascii="Arial" w:cs="Arial" w:eastAsia="Arial" w:hAnsi="Arial"/>
          <w:sz w:val="19"/>
          <w:szCs w:val="19"/>
          <w:i w:val="1"/>
          <w:iCs w:val="1"/>
          <w:color w:val="auto"/>
        </w:rPr>
        <w:t>Corporate and Organizational Existence</w:t>
      </w:r>
    </w:p>
    <w:p>
      <w:pPr>
        <w:spacing w:after="0" w:line="22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22"/>
          <w:szCs w:val="22"/>
          <w:color w:val="auto"/>
        </w:rPr>
        <w:t>Subject to Article 5 hereof, the Issuer shall do or cause to be done all things necessary to preserve and keep in full force and effect:</w:t>
      </w:r>
    </w:p>
    <w:p>
      <w:pPr>
        <w:spacing w:after="0" w:line="202" w:lineRule="exact"/>
        <w:rPr>
          <w:sz w:val="20"/>
          <w:szCs w:val="20"/>
          <w:color w:val="auto"/>
        </w:rPr>
      </w:pPr>
    </w:p>
    <w:p>
      <w:pPr>
        <w:jc w:val="both"/>
        <w:ind w:firstLine="332"/>
        <w:spacing w:after="0" w:line="253" w:lineRule="auto"/>
        <w:tabs>
          <w:tab w:leader="none" w:pos="893" w:val="left"/>
        </w:tabs>
        <w:numPr>
          <w:ilvl w:val="0"/>
          <w:numId w:val="89"/>
        </w:numPr>
        <w:rPr>
          <w:rFonts w:ascii="Arial" w:cs="Arial" w:eastAsia="Arial" w:hAnsi="Arial"/>
          <w:sz w:val="22"/>
          <w:szCs w:val="22"/>
          <w:color w:val="auto"/>
        </w:rPr>
      </w:pPr>
      <w:r>
        <w:rPr>
          <w:rFonts w:ascii="Arial" w:cs="Arial" w:eastAsia="Arial" w:hAnsi="Arial"/>
          <w:sz w:val="22"/>
          <w:szCs w:val="22"/>
          <w:color w:val="auto"/>
        </w:rPr>
        <w:t>its corporate or limited liability company existence, and the corporate, partnership or other existence of each of its Significant Subsidiaries, in accordance with their respective organizational documents (as the same may be amended from time to time); and</w:t>
      </w:r>
    </w:p>
    <w:p>
      <w:pPr>
        <w:spacing w:after="0" w:line="225" w:lineRule="exact"/>
        <w:rPr>
          <w:rFonts w:ascii="Arial" w:cs="Arial" w:eastAsia="Arial" w:hAnsi="Arial"/>
          <w:sz w:val="22"/>
          <w:szCs w:val="22"/>
          <w:color w:val="auto"/>
        </w:rPr>
      </w:pPr>
    </w:p>
    <w:p>
      <w:pPr>
        <w:jc w:val="both"/>
        <w:ind w:firstLine="332"/>
        <w:spacing w:after="0" w:line="248" w:lineRule="auto"/>
        <w:tabs>
          <w:tab w:leader="none" w:pos="837" w:val="left"/>
        </w:tabs>
        <w:numPr>
          <w:ilvl w:val="0"/>
          <w:numId w:val="89"/>
        </w:numPr>
        <w:rPr>
          <w:rFonts w:ascii="Arial" w:cs="Arial" w:eastAsia="Arial" w:hAnsi="Arial"/>
          <w:sz w:val="22"/>
          <w:szCs w:val="22"/>
          <w:color w:val="auto"/>
        </w:rPr>
      </w:pPr>
      <w:r>
        <w:rPr>
          <w:rFonts w:ascii="Arial" w:cs="Arial" w:eastAsia="Arial" w:hAnsi="Arial"/>
          <w:sz w:val="22"/>
          <w:szCs w:val="22"/>
          <w:color w:val="auto"/>
        </w:rPr>
        <w:t xml:space="preserve">the rights (charter and statutory), licenses and franchises of the Issuer and its Subsidiaries; </w:t>
      </w:r>
      <w:r>
        <w:rPr>
          <w:rFonts w:ascii="Arial" w:cs="Arial" w:eastAsia="Arial" w:hAnsi="Arial"/>
          <w:sz w:val="22"/>
          <w:szCs w:val="22"/>
          <w:i w:val="1"/>
          <w:iCs w:val="1"/>
          <w:color w:val="auto"/>
        </w:rPr>
        <w:t>provided, however</w:t>
      </w:r>
      <w:r>
        <w:rPr>
          <w:rFonts w:ascii="Arial" w:cs="Arial" w:eastAsia="Arial" w:hAnsi="Arial"/>
          <w:sz w:val="22"/>
          <w:szCs w:val="22"/>
          <w:color w:val="auto"/>
        </w:rPr>
        <w:t>, that the Issuer shall not be required to preserve any such right, license or franchise, or the corporate, partnership or other existence of any of its Subsidiaries, if the Board of Directors of the Issuer shall determine that the preservation thereof is no longer desirable in the conduct of the business of the Issuer and its Subsidiaries, taken as a whole, and that the loss thereof is not adverse in any material respect to the Holders of the Notes.</w:t>
      </w:r>
    </w:p>
    <w:p>
      <w:pPr>
        <w:spacing w:after="0" w:line="219"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4.08</w:t>
      </w:r>
      <w:r>
        <w:rPr>
          <w:sz w:val="20"/>
          <w:szCs w:val="20"/>
          <w:color w:val="auto"/>
        </w:rPr>
        <w:tab/>
      </w:r>
      <w:r>
        <w:rPr>
          <w:rFonts w:ascii="Arial" w:cs="Arial" w:eastAsia="Arial" w:hAnsi="Arial"/>
          <w:sz w:val="19"/>
          <w:szCs w:val="19"/>
          <w:i w:val="1"/>
          <w:iCs w:val="1"/>
          <w:color w:val="auto"/>
        </w:rPr>
        <w:t>Offer to Purchase Upon Change of Control Triggering Event</w:t>
      </w:r>
    </w:p>
    <w:p>
      <w:pPr>
        <w:spacing w:after="0" w:line="220" w:lineRule="exact"/>
        <w:rPr>
          <w:sz w:val="20"/>
          <w:szCs w:val="20"/>
          <w:color w:val="auto"/>
        </w:rPr>
      </w:pPr>
    </w:p>
    <w:p>
      <w:pPr>
        <w:jc w:val="both"/>
        <w:ind w:firstLine="332"/>
        <w:spacing w:after="0" w:line="259" w:lineRule="auto"/>
        <w:tabs>
          <w:tab w:leader="none" w:pos="857" w:val="left"/>
        </w:tabs>
        <w:numPr>
          <w:ilvl w:val="0"/>
          <w:numId w:val="90"/>
        </w:numPr>
        <w:rPr>
          <w:rFonts w:ascii="Arial" w:cs="Arial" w:eastAsia="Arial" w:hAnsi="Arial"/>
          <w:sz w:val="21"/>
          <w:szCs w:val="21"/>
          <w:color w:val="auto"/>
        </w:rPr>
      </w:pPr>
      <w:r>
        <w:rPr>
          <w:rFonts w:ascii="Arial" w:cs="Arial" w:eastAsia="Arial" w:hAnsi="Arial"/>
          <w:sz w:val="21"/>
          <w:szCs w:val="21"/>
          <w:color w:val="auto"/>
        </w:rPr>
        <w:t xml:space="preserve">Upon the occurrence of a Change of Control Triggering Event, the Issuer shall make an offer (a “Change </w:t>
      </w:r>
      <w:r>
        <w:rPr>
          <w:rFonts w:ascii="Arial" w:cs="Arial" w:eastAsia="Arial" w:hAnsi="Arial"/>
          <w:sz w:val="21"/>
          <w:szCs w:val="21"/>
          <w:i w:val="1"/>
          <w:iCs w:val="1"/>
          <w:color w:val="auto"/>
        </w:rPr>
        <w:t>of Control</w:t>
      </w:r>
      <w:r>
        <w:rPr>
          <w:rFonts w:ascii="Arial" w:cs="Arial" w:eastAsia="Arial" w:hAnsi="Arial"/>
          <w:sz w:val="21"/>
          <w:szCs w:val="21"/>
          <w:color w:val="auto"/>
        </w:rPr>
        <w:t xml:space="preserve"> </w:t>
      </w:r>
      <w:r>
        <w:rPr>
          <w:rFonts w:ascii="Arial" w:cs="Arial" w:eastAsia="Arial" w:hAnsi="Arial"/>
          <w:sz w:val="21"/>
          <w:szCs w:val="21"/>
          <w:i w:val="1"/>
          <w:iCs w:val="1"/>
          <w:color w:val="auto"/>
        </w:rPr>
        <w:t>Offer</w:t>
      </w:r>
      <w:r>
        <w:rPr>
          <w:rFonts w:ascii="Arial" w:cs="Arial" w:eastAsia="Arial" w:hAnsi="Arial"/>
          <w:sz w:val="21"/>
          <w:szCs w:val="21"/>
          <w:color w:val="auto"/>
        </w:rPr>
        <w:t>”) to each Holder to repurchase all or any part (equal to US$200,000 or an integral multiple of US$1,000 in excess of</w:t>
      </w:r>
      <w:r>
        <w:rPr>
          <w:rFonts w:ascii="Arial" w:cs="Arial" w:eastAsia="Arial" w:hAnsi="Arial"/>
          <w:sz w:val="21"/>
          <w:szCs w:val="21"/>
          <w:i w:val="1"/>
          <w:iCs w:val="1"/>
          <w:color w:val="auto"/>
        </w:rPr>
        <w:t xml:space="preserve"> </w:t>
      </w:r>
      <w:r>
        <w:rPr>
          <w:rFonts w:ascii="Arial" w:cs="Arial" w:eastAsia="Arial" w:hAnsi="Arial"/>
          <w:sz w:val="21"/>
          <w:szCs w:val="21"/>
          <w:color w:val="auto"/>
        </w:rPr>
        <w:t>US$200,000) of each Holder’s Notes at a purchase price equal to 101% of the aggregate principal amount thereof plus accrued and unpaid interest on the Notes purchased, if any, to (but excluding) the date of purchase (subject to the right of holders of record on the relevant record date to receive interest due on the relevant interest payment date), except to the extent the Issuer has previously or concurrently elected to redeem the Notes in full as described in Section 3.07 or Section 3.10 (the “</w:t>
      </w:r>
      <w:r>
        <w:rPr>
          <w:rFonts w:ascii="Arial" w:cs="Arial" w:eastAsia="Arial" w:hAnsi="Arial"/>
          <w:sz w:val="21"/>
          <w:szCs w:val="21"/>
          <w:i w:val="1"/>
          <w:iCs w:val="1"/>
          <w:color w:val="auto"/>
        </w:rPr>
        <w:t>Change of</w:t>
      </w:r>
      <w:r>
        <w:rPr>
          <w:rFonts w:ascii="Arial" w:cs="Arial" w:eastAsia="Arial" w:hAnsi="Arial"/>
          <w:sz w:val="21"/>
          <w:szCs w:val="21"/>
          <w:color w:val="auto"/>
        </w:rPr>
        <w:t xml:space="preserve"> </w:t>
      </w:r>
      <w:r>
        <w:rPr>
          <w:rFonts w:ascii="Arial" w:cs="Arial" w:eastAsia="Arial" w:hAnsi="Arial"/>
          <w:sz w:val="21"/>
          <w:szCs w:val="21"/>
          <w:i w:val="1"/>
          <w:iCs w:val="1"/>
          <w:color w:val="auto"/>
        </w:rPr>
        <w:t>Control Payment</w:t>
      </w:r>
      <w:r>
        <w:rPr>
          <w:rFonts w:ascii="Arial" w:cs="Arial" w:eastAsia="Arial" w:hAnsi="Arial"/>
          <w:sz w:val="21"/>
          <w:szCs w:val="21"/>
          <w:color w:val="auto"/>
        </w:rPr>
        <w:t>”). Within ten days following any Change of Control Triggering Event, the Issuer shall mail a notice to each</w:t>
      </w:r>
      <w:r>
        <w:rPr>
          <w:rFonts w:ascii="Arial" w:cs="Arial" w:eastAsia="Arial" w:hAnsi="Arial"/>
          <w:sz w:val="21"/>
          <w:szCs w:val="21"/>
          <w:i w:val="1"/>
          <w:iCs w:val="1"/>
          <w:color w:val="auto"/>
        </w:rPr>
        <w:t xml:space="preserve"> </w:t>
      </w:r>
      <w:r>
        <w:rPr>
          <w:rFonts w:ascii="Arial" w:cs="Arial" w:eastAsia="Arial" w:hAnsi="Arial"/>
          <w:sz w:val="21"/>
          <w:szCs w:val="21"/>
          <w:color w:val="auto"/>
        </w:rPr>
        <w:t>Holder (with a copy to the Trustee) describing the transaction or transactions that constitute the Change of Control Triggering Event and stating: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1428" w:right="339" w:bottom="1440" w:gutter="0" w:footer="0" w:header="0"/>
        </w:sectPr>
      </w:pPr>
    </w:p>
    <w:bookmarkStart w:id="100" w:name="page101"/>
    <w:bookmarkEnd w:id="100"/>
    <w:p>
      <w:pPr>
        <w:ind w:firstLine="980"/>
        <w:spacing w:after="0" w:line="263" w:lineRule="auto"/>
        <w:tabs>
          <w:tab w:leader="none" w:pos="1458"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that the Change of Control Offer is being made pursuant to this Section 4.08 and that all Notes tendered shall be accepted for payment;</w:t>
      </w:r>
    </w:p>
    <w:p>
      <w:pPr>
        <w:spacing w:after="0" w:line="174" w:lineRule="exact"/>
        <w:rPr>
          <w:rFonts w:ascii="Arial" w:cs="Arial" w:eastAsia="Arial" w:hAnsi="Arial"/>
          <w:sz w:val="22"/>
          <w:szCs w:val="22"/>
          <w:color w:val="auto"/>
        </w:rPr>
      </w:pPr>
    </w:p>
    <w:p>
      <w:pPr>
        <w:ind w:firstLine="980"/>
        <w:spacing w:after="0" w:line="263" w:lineRule="auto"/>
        <w:tabs>
          <w:tab w:leader="none" w:pos="1477"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purchase price and the purchase date, which shall be no earlier than 10 days and no later than 60 days from the date such notice is delivered (the “</w:t>
      </w:r>
      <w:r>
        <w:rPr>
          <w:rFonts w:ascii="Arial" w:cs="Arial" w:eastAsia="Arial" w:hAnsi="Arial"/>
          <w:sz w:val="22"/>
          <w:szCs w:val="22"/>
          <w:i w:val="1"/>
          <w:iCs w:val="1"/>
          <w:color w:val="auto"/>
        </w:rPr>
        <w:t>Change of Control Payment Date</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1440" w:hanging="460"/>
        <w:spacing w:after="0"/>
        <w:tabs>
          <w:tab w:leader="none" w:pos="1440"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that any Note not tendered shall continue to accrue interest;</w:t>
      </w:r>
    </w:p>
    <w:p>
      <w:pPr>
        <w:spacing w:after="0" w:line="219" w:lineRule="exact"/>
        <w:rPr>
          <w:rFonts w:ascii="Arial" w:cs="Arial" w:eastAsia="Arial" w:hAnsi="Arial"/>
          <w:sz w:val="22"/>
          <w:szCs w:val="22"/>
          <w:color w:val="auto"/>
        </w:rPr>
      </w:pPr>
    </w:p>
    <w:p>
      <w:pPr>
        <w:ind w:right="20" w:firstLine="980"/>
        <w:spacing w:after="0" w:line="343" w:lineRule="auto"/>
        <w:tabs>
          <w:tab w:leader="none" w:pos="1445"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that, unless the Issuer defaults in the payment of the Change of Control Payment, all Notes accepted for payment pursuant to the Change of Control Offer shall cease to accrue interest after the Change of Control Payment Date;</w:t>
      </w:r>
    </w:p>
    <w:p>
      <w:pPr>
        <w:spacing w:after="0" w:line="104" w:lineRule="exact"/>
        <w:rPr>
          <w:rFonts w:ascii="Arial" w:cs="Arial" w:eastAsia="Arial" w:hAnsi="Arial"/>
          <w:sz w:val="19"/>
          <w:szCs w:val="19"/>
          <w:color w:val="auto"/>
        </w:rPr>
      </w:pPr>
    </w:p>
    <w:p>
      <w:pPr>
        <w:jc w:val="both"/>
        <w:ind w:firstLine="980"/>
        <w:spacing w:after="0" w:line="250" w:lineRule="auto"/>
        <w:tabs>
          <w:tab w:leader="none" w:pos="1509"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that Holders electing to have any Notes purchased pursuant to a Change of Control Offer shall be required to surrender the Notes, with the form entitled “Option of Holder to Elect Purchase” attached to the Notes completed, or transfer by book-entry transfer, to the Paying Agent at the address specified in the notice prior to the close of business on the third Business Day preceding the Change of Control Payment Date;</w:t>
      </w:r>
    </w:p>
    <w:p>
      <w:pPr>
        <w:spacing w:after="0" w:line="187" w:lineRule="exact"/>
        <w:rPr>
          <w:rFonts w:ascii="Arial" w:cs="Arial" w:eastAsia="Arial" w:hAnsi="Arial"/>
          <w:sz w:val="22"/>
          <w:szCs w:val="22"/>
          <w:color w:val="auto"/>
        </w:rPr>
      </w:pPr>
    </w:p>
    <w:p>
      <w:pPr>
        <w:jc w:val="both"/>
        <w:ind w:firstLine="980"/>
        <w:spacing w:after="0" w:line="250" w:lineRule="auto"/>
        <w:tabs>
          <w:tab w:leader="none" w:pos="1480"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that Holders shall be entitled to withdraw their election if the Paying Agent receives, not later than the close of business on the second Business Day preceding the Change of Control Payment Date, a telegram, facsimile transmission or letter setting forth the name of the Holder, the principal amount of Notes delivered for purchase, and a statement that such Holder is withdrawing his election to have the Notes purchased; and</w:t>
      </w:r>
    </w:p>
    <w:p>
      <w:pPr>
        <w:spacing w:after="0" w:line="187" w:lineRule="exact"/>
        <w:rPr>
          <w:rFonts w:ascii="Arial" w:cs="Arial" w:eastAsia="Arial" w:hAnsi="Arial"/>
          <w:sz w:val="22"/>
          <w:szCs w:val="22"/>
          <w:color w:val="auto"/>
        </w:rPr>
      </w:pPr>
    </w:p>
    <w:p>
      <w:pPr>
        <w:jc w:val="both"/>
        <w:ind w:firstLine="980"/>
        <w:spacing w:after="0" w:line="253" w:lineRule="auto"/>
        <w:tabs>
          <w:tab w:leader="none" w:pos="1472"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that Holders whose Notes are being purchased only in part shall be issued new Notes equal in principal amount to the unpurchased portion of the Notes surrendered, which unpurchased portion must be equal to US$200,000 or in integral multiples of US$1,000 in excess of US$200,000.</w:t>
      </w:r>
    </w:p>
    <w:p>
      <w:pPr>
        <w:spacing w:after="0" w:line="1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To the extent that the provisions of any applicable securities laws or regulations conflict with the provisions of this Section 4.08 and Section 4.10, the Issuer shall not be deemed to have breached its obligations under this Section 4.08 by virtue of its compliance with such laws and regulations.</w:t>
      </w:r>
    </w:p>
    <w:p>
      <w:pPr>
        <w:spacing w:after="0" w:line="212" w:lineRule="exact"/>
        <w:rPr>
          <w:sz w:val="20"/>
          <w:szCs w:val="20"/>
          <w:color w:val="auto"/>
        </w:rPr>
      </w:pPr>
    </w:p>
    <w:p>
      <w:pPr>
        <w:ind w:left="1440" w:hanging="460"/>
        <w:spacing w:after="0"/>
        <w:tabs>
          <w:tab w:leader="none" w:pos="1440" w:val="left"/>
        </w:tabs>
        <w:numPr>
          <w:ilvl w:val="0"/>
          <w:numId w:val="92"/>
        </w:numPr>
        <w:rPr>
          <w:rFonts w:ascii="Arial" w:cs="Arial" w:eastAsia="Arial" w:hAnsi="Arial"/>
          <w:sz w:val="22"/>
          <w:szCs w:val="22"/>
          <w:color w:val="auto"/>
        </w:rPr>
      </w:pPr>
      <w:r>
        <w:rPr>
          <w:rFonts w:ascii="Arial" w:cs="Arial" w:eastAsia="Arial" w:hAnsi="Arial"/>
          <w:sz w:val="22"/>
          <w:szCs w:val="22"/>
          <w:color w:val="auto"/>
        </w:rPr>
        <w:t>On the Change of Control Payment Date, the Issuer shall, to the extent lawful:</w:t>
      </w:r>
    </w:p>
    <w:p>
      <w:pPr>
        <w:spacing w:after="0" w:line="220" w:lineRule="exact"/>
        <w:rPr>
          <w:sz w:val="20"/>
          <w:szCs w:val="20"/>
          <w:color w:val="auto"/>
        </w:rPr>
      </w:pPr>
    </w:p>
    <w:p>
      <w:pPr>
        <w:ind w:left="1440" w:hanging="460"/>
        <w:spacing w:after="0"/>
        <w:tabs>
          <w:tab w:leader="none" w:pos="1440" w:val="left"/>
        </w:tabs>
        <w:numPr>
          <w:ilvl w:val="0"/>
          <w:numId w:val="93"/>
        </w:numPr>
        <w:rPr>
          <w:rFonts w:ascii="Arial" w:cs="Arial" w:eastAsia="Arial" w:hAnsi="Arial"/>
          <w:sz w:val="19"/>
          <w:szCs w:val="19"/>
          <w:color w:val="auto"/>
        </w:rPr>
      </w:pPr>
      <w:r>
        <w:rPr>
          <w:rFonts w:ascii="Arial" w:cs="Arial" w:eastAsia="Arial" w:hAnsi="Arial"/>
          <w:sz w:val="19"/>
          <w:szCs w:val="19"/>
          <w:color w:val="auto"/>
        </w:rPr>
        <w:t>accept for payment all Notes or portions thereof properly tendered pursuant to the Change of Control Offer;</w:t>
      </w:r>
    </w:p>
    <w:p>
      <w:pPr>
        <w:spacing w:after="0" w:line="254" w:lineRule="exact"/>
        <w:rPr>
          <w:rFonts w:ascii="Arial" w:cs="Arial" w:eastAsia="Arial" w:hAnsi="Arial"/>
          <w:sz w:val="19"/>
          <w:szCs w:val="19"/>
          <w:color w:val="auto"/>
        </w:rPr>
      </w:pPr>
    </w:p>
    <w:p>
      <w:pPr>
        <w:ind w:firstLine="980"/>
        <w:spacing w:after="0" w:line="263" w:lineRule="auto"/>
        <w:tabs>
          <w:tab w:leader="none" w:pos="1527" w:val="left"/>
        </w:tabs>
        <w:numPr>
          <w:ilvl w:val="0"/>
          <w:numId w:val="93"/>
        </w:numPr>
        <w:rPr>
          <w:rFonts w:ascii="Arial" w:cs="Arial" w:eastAsia="Arial" w:hAnsi="Arial"/>
          <w:sz w:val="22"/>
          <w:szCs w:val="22"/>
          <w:color w:val="auto"/>
        </w:rPr>
      </w:pPr>
      <w:r>
        <w:rPr>
          <w:rFonts w:ascii="Arial" w:cs="Arial" w:eastAsia="Arial" w:hAnsi="Arial"/>
          <w:sz w:val="22"/>
          <w:szCs w:val="22"/>
          <w:color w:val="auto"/>
        </w:rPr>
        <w:t>deposit with the Paying Agent an amount equal to the Change of Control Payment in respect of all Notes or portions of Notes properly tendered; and</w:t>
      </w:r>
    </w:p>
    <w:p>
      <w:pPr>
        <w:spacing w:after="0" w:line="174" w:lineRule="exact"/>
        <w:rPr>
          <w:rFonts w:ascii="Arial" w:cs="Arial" w:eastAsia="Arial" w:hAnsi="Arial"/>
          <w:sz w:val="22"/>
          <w:szCs w:val="22"/>
          <w:color w:val="auto"/>
        </w:rPr>
      </w:pPr>
    </w:p>
    <w:p>
      <w:pPr>
        <w:ind w:right="20" w:firstLine="980"/>
        <w:spacing w:after="0" w:line="287" w:lineRule="auto"/>
        <w:tabs>
          <w:tab w:leader="none" w:pos="1463" w:val="left"/>
        </w:tabs>
        <w:numPr>
          <w:ilvl w:val="0"/>
          <w:numId w:val="93"/>
        </w:numPr>
        <w:rPr>
          <w:rFonts w:ascii="Arial" w:cs="Arial" w:eastAsia="Arial" w:hAnsi="Arial"/>
          <w:sz w:val="21"/>
          <w:szCs w:val="21"/>
          <w:color w:val="auto"/>
        </w:rPr>
      </w:pPr>
      <w:r>
        <w:rPr>
          <w:rFonts w:ascii="Arial" w:cs="Arial" w:eastAsia="Arial" w:hAnsi="Arial"/>
          <w:sz w:val="21"/>
          <w:szCs w:val="21"/>
          <w:color w:val="auto"/>
        </w:rPr>
        <w:t>deliver or cause to be delivered to the Trustee the Notes properly accepted together with an Officer’s Certificate stating the aggregate principal amount of Notes or portions of Notes being purchased by the Issuer.</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Paying Agent shall promptly deliver to each Holder of Notes properly tendered the Change of Control Payment for such</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Notes, and the Trustee shall promptly authenticate and deliver (or cause to be transferred by book entry) to each Holder a new</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Note equal in principal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28" w:right="339" w:bottom="1440" w:gutter="0" w:footer="0" w:header="0"/>
        </w:sectPr>
      </w:pPr>
    </w:p>
    <w:bookmarkStart w:id="101" w:name="page102"/>
    <w:bookmarkEnd w:id="101"/>
    <w:p>
      <w:pPr>
        <w:jc w:val="both"/>
        <w:spacing w:after="0" w:line="271" w:lineRule="auto"/>
        <w:rPr>
          <w:sz w:val="20"/>
          <w:szCs w:val="20"/>
          <w:color w:val="auto"/>
        </w:rPr>
      </w:pPr>
      <w:r>
        <w:rPr>
          <w:rFonts w:ascii="Arial" w:cs="Arial" w:eastAsia="Arial" w:hAnsi="Arial"/>
          <w:sz w:val="21"/>
          <w:szCs w:val="21"/>
          <w:color w:val="auto"/>
        </w:rPr>
        <w:t>amount to any unpurchased portion of the Notes surrendered, if any; provided that each new Note shall be in a principal amount of US$200,000 or in integral multiples of US$1,000 in excess of US$200,000. The Issuer shall publicly announce the results of the Change of Control Offer on or as soon as practicable after the Change of Control Payment Date.</w:t>
      </w:r>
    </w:p>
    <w:p>
      <w:pPr>
        <w:spacing w:after="0" w:line="194" w:lineRule="exact"/>
        <w:rPr>
          <w:sz w:val="20"/>
          <w:szCs w:val="20"/>
          <w:color w:val="auto"/>
        </w:rPr>
      </w:pPr>
    </w:p>
    <w:p>
      <w:pPr>
        <w:jc w:val="both"/>
        <w:ind w:firstLine="332"/>
        <w:spacing w:after="0" w:line="297" w:lineRule="auto"/>
        <w:tabs>
          <w:tab w:leader="none" w:pos="876" w:val="left"/>
        </w:tabs>
        <w:numPr>
          <w:ilvl w:val="0"/>
          <w:numId w:val="94"/>
        </w:numPr>
        <w:rPr>
          <w:rFonts w:ascii="Arial" w:cs="Arial" w:eastAsia="Arial" w:hAnsi="Arial"/>
          <w:sz w:val="19"/>
          <w:szCs w:val="19"/>
          <w:color w:val="auto"/>
        </w:rPr>
      </w:pPr>
      <w:r>
        <w:rPr>
          <w:rFonts w:ascii="Arial" w:cs="Arial" w:eastAsia="Arial" w:hAnsi="Arial"/>
          <w:sz w:val="19"/>
          <w:szCs w:val="19"/>
          <w:color w:val="auto"/>
        </w:rPr>
        <w:t>Notwithstanding anything to the contrary in this Section 4.08, the Issuer shall not be required to make a Change of Control Offer upon a Change of Control Triggering Event if (1) a third party makes the Change of Control Offer in the manner, at the times and otherwise in compliance with the requirements set forth in this Section 4.08 and purchases all Notes validly tendered and not withdrawn under the Change of Control Offer or (2) a notice of redemption has been given pursuant to Section 3.07, 3.09 or 3.10 hereof, unless and until there is a default in payment of the applicable redemption price.</w:t>
      </w:r>
    </w:p>
    <w:p>
      <w:pPr>
        <w:spacing w:after="0" w:line="174"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4.09</w:t>
      </w:r>
      <w:r>
        <w:rPr>
          <w:sz w:val="20"/>
          <w:szCs w:val="20"/>
          <w:color w:val="auto"/>
        </w:rPr>
        <w:tab/>
      </w:r>
      <w:r>
        <w:rPr>
          <w:rFonts w:ascii="Arial" w:cs="Arial" w:eastAsia="Arial" w:hAnsi="Arial"/>
          <w:sz w:val="19"/>
          <w:szCs w:val="19"/>
          <w:i w:val="1"/>
          <w:iCs w:val="1"/>
          <w:color w:val="auto"/>
        </w:rPr>
        <w:t>Additional Amounts</w:t>
      </w:r>
    </w:p>
    <w:p>
      <w:pPr>
        <w:spacing w:after="0" w:line="220" w:lineRule="exact"/>
        <w:rPr>
          <w:sz w:val="20"/>
          <w:szCs w:val="20"/>
          <w:color w:val="auto"/>
        </w:rPr>
      </w:pPr>
    </w:p>
    <w:p>
      <w:pPr>
        <w:jc w:val="both"/>
        <w:ind w:firstLine="332"/>
        <w:spacing w:after="0" w:line="245" w:lineRule="auto"/>
        <w:tabs>
          <w:tab w:leader="none" w:pos="822" w:val="left"/>
        </w:tabs>
        <w:numPr>
          <w:ilvl w:val="0"/>
          <w:numId w:val="95"/>
        </w:numPr>
        <w:rPr>
          <w:rFonts w:ascii="Arial" w:cs="Arial" w:eastAsia="Arial" w:hAnsi="Arial"/>
          <w:sz w:val="22"/>
          <w:szCs w:val="22"/>
          <w:color w:val="auto"/>
        </w:rPr>
      </w:pPr>
      <w:r>
        <w:rPr>
          <w:rFonts w:ascii="Arial" w:cs="Arial" w:eastAsia="Arial" w:hAnsi="Arial"/>
          <w:sz w:val="22"/>
          <w:szCs w:val="22"/>
          <w:color w:val="auto"/>
        </w:rPr>
        <w:t>All payments by or on behalf of the Issuer or the surviving entity described under Section 5.01 hereof (the “</w:t>
      </w:r>
      <w:r>
        <w:rPr>
          <w:rFonts w:ascii="Arial" w:cs="Arial" w:eastAsia="Arial" w:hAnsi="Arial"/>
          <w:sz w:val="22"/>
          <w:szCs w:val="22"/>
          <w:i w:val="1"/>
          <w:iCs w:val="1"/>
          <w:color w:val="auto"/>
        </w:rPr>
        <w:t>Surviving</w:t>
      </w:r>
      <w:r>
        <w:rPr>
          <w:rFonts w:ascii="Arial" w:cs="Arial" w:eastAsia="Arial" w:hAnsi="Arial"/>
          <w:sz w:val="22"/>
          <w:szCs w:val="22"/>
          <w:color w:val="auto"/>
        </w:rPr>
        <w:t xml:space="preserve"> </w:t>
      </w:r>
      <w:r>
        <w:rPr>
          <w:rFonts w:ascii="Arial" w:cs="Arial" w:eastAsia="Arial" w:hAnsi="Arial"/>
          <w:sz w:val="22"/>
          <w:szCs w:val="22"/>
          <w:i w:val="1"/>
          <w:iCs w:val="1"/>
          <w:color w:val="auto"/>
        </w:rPr>
        <w:t>Person</w:t>
      </w:r>
      <w:r>
        <w:rPr>
          <w:rFonts w:ascii="Arial" w:cs="Arial" w:eastAsia="Arial" w:hAnsi="Arial"/>
          <w:sz w:val="22"/>
          <w:szCs w:val="22"/>
          <w:color w:val="auto"/>
        </w:rPr>
        <w:t>”) under or with respect to (including any principal of, and premium (if any) and interest on) the Notes shall be made</w:t>
      </w:r>
      <w:r>
        <w:rPr>
          <w:rFonts w:ascii="Arial" w:cs="Arial" w:eastAsia="Arial" w:hAnsi="Arial"/>
          <w:sz w:val="22"/>
          <w:szCs w:val="22"/>
          <w:i w:val="1"/>
          <w:iCs w:val="1"/>
          <w:color w:val="auto"/>
        </w:rPr>
        <w:t xml:space="preserve"> </w:t>
      </w:r>
      <w:r>
        <w:rPr>
          <w:rFonts w:ascii="Arial" w:cs="Arial" w:eastAsia="Arial" w:hAnsi="Arial"/>
          <w:sz w:val="22"/>
          <w:szCs w:val="22"/>
          <w:color w:val="auto"/>
        </w:rPr>
        <w:t>without withholding or deduction for, or on account of, any present or future taxes, duties, assessments or governmental charges (including, without limitation, penalties, interest and other similar liabilities related thereto) of whatever nature (“</w:t>
      </w:r>
      <w:r>
        <w:rPr>
          <w:rFonts w:ascii="Arial" w:cs="Arial" w:eastAsia="Arial" w:hAnsi="Arial"/>
          <w:sz w:val="22"/>
          <w:szCs w:val="22"/>
          <w:i w:val="1"/>
          <w:iCs w:val="1"/>
          <w:color w:val="auto"/>
        </w:rPr>
        <w:t>Taxes</w:t>
      </w:r>
      <w:r>
        <w:rPr>
          <w:rFonts w:ascii="Arial" w:cs="Arial" w:eastAsia="Arial" w:hAnsi="Arial"/>
          <w:sz w:val="22"/>
          <w:szCs w:val="22"/>
          <w:color w:val="auto"/>
        </w:rPr>
        <w:t>”) imposed or levied by or within any jurisdiction in which the Issuer or the Surviving Person is organized, resident or doing business for tax purposes or any jurisdiction from or through which payment is made (including the jurisdiction of any Paying Agent), or, in each case, any political subdivision or taxing authority thereof or therein (each, as applicable, a “</w:t>
      </w:r>
      <w:r>
        <w:rPr>
          <w:rFonts w:ascii="Arial" w:cs="Arial" w:eastAsia="Arial" w:hAnsi="Arial"/>
          <w:sz w:val="22"/>
          <w:szCs w:val="22"/>
          <w:i w:val="1"/>
          <w:iCs w:val="1"/>
          <w:color w:val="auto"/>
        </w:rPr>
        <w:t>Relevant</w:t>
      </w:r>
      <w:r>
        <w:rPr>
          <w:rFonts w:ascii="Arial" w:cs="Arial" w:eastAsia="Arial" w:hAnsi="Arial"/>
          <w:sz w:val="22"/>
          <w:szCs w:val="22"/>
          <w:color w:val="auto"/>
        </w:rPr>
        <w:t xml:space="preserve"> </w:t>
      </w:r>
      <w:r>
        <w:rPr>
          <w:rFonts w:ascii="Arial" w:cs="Arial" w:eastAsia="Arial" w:hAnsi="Arial"/>
          <w:sz w:val="22"/>
          <w:szCs w:val="22"/>
          <w:i w:val="1"/>
          <w:iCs w:val="1"/>
          <w:color w:val="auto"/>
        </w:rPr>
        <w:t>Jurisdiction</w:t>
      </w:r>
      <w:r>
        <w:rPr>
          <w:rFonts w:ascii="Arial" w:cs="Arial" w:eastAsia="Arial" w:hAnsi="Arial"/>
          <w:sz w:val="22"/>
          <w:szCs w:val="22"/>
          <w:color w:val="auto"/>
        </w:rPr>
        <w:t>”), unless such withholding or deduction is required by law or by regulation or governmental policy having the force</w:t>
      </w:r>
      <w:r>
        <w:rPr>
          <w:rFonts w:ascii="Arial" w:cs="Arial" w:eastAsia="Arial" w:hAnsi="Arial"/>
          <w:sz w:val="22"/>
          <w:szCs w:val="22"/>
          <w:i w:val="1"/>
          <w:iCs w:val="1"/>
          <w:color w:val="auto"/>
        </w:rPr>
        <w:t xml:space="preserve"> </w:t>
      </w:r>
      <w:r>
        <w:rPr>
          <w:rFonts w:ascii="Arial" w:cs="Arial" w:eastAsia="Arial" w:hAnsi="Arial"/>
          <w:sz w:val="22"/>
          <w:szCs w:val="22"/>
          <w:color w:val="auto"/>
        </w:rPr>
        <w:t>of law.</w:t>
      </w:r>
    </w:p>
    <w:p>
      <w:pPr>
        <w:spacing w:after="0" w:line="227" w:lineRule="exact"/>
        <w:rPr>
          <w:rFonts w:ascii="Arial" w:cs="Arial" w:eastAsia="Arial" w:hAnsi="Arial"/>
          <w:sz w:val="22"/>
          <w:szCs w:val="22"/>
          <w:color w:val="auto"/>
        </w:rPr>
      </w:pPr>
    </w:p>
    <w:p>
      <w:pPr>
        <w:jc w:val="both"/>
        <w:ind w:firstLine="332"/>
        <w:spacing w:after="0" w:line="263" w:lineRule="auto"/>
        <w:tabs>
          <w:tab w:leader="none" w:pos="835" w:val="left"/>
        </w:tabs>
        <w:numPr>
          <w:ilvl w:val="0"/>
          <w:numId w:val="95"/>
        </w:numPr>
        <w:rPr>
          <w:rFonts w:ascii="Arial" w:cs="Arial" w:eastAsia="Arial" w:hAnsi="Arial"/>
          <w:sz w:val="21"/>
          <w:szCs w:val="21"/>
          <w:color w:val="auto"/>
        </w:rPr>
      </w:pPr>
      <w:r>
        <w:rPr>
          <w:rFonts w:ascii="Arial" w:cs="Arial" w:eastAsia="Arial" w:hAnsi="Arial"/>
          <w:sz w:val="21"/>
          <w:szCs w:val="21"/>
          <w:color w:val="auto"/>
        </w:rPr>
        <w:t>In the event that any such withholding or deduction is so required, the Issuer or the Surviving Person, as the case may be, shall make such withholding or deduction, make payment of the amount so withheld or deducted to the appropriate governmental authority as required by applicable law and pay such additional amounts (“</w:t>
      </w:r>
      <w:r>
        <w:rPr>
          <w:rFonts w:ascii="Arial" w:cs="Arial" w:eastAsia="Arial" w:hAnsi="Arial"/>
          <w:sz w:val="21"/>
          <w:szCs w:val="21"/>
          <w:i w:val="1"/>
          <w:iCs w:val="1"/>
          <w:color w:val="auto"/>
        </w:rPr>
        <w:t>Additional Amounts</w:t>
      </w:r>
      <w:r>
        <w:rPr>
          <w:rFonts w:ascii="Arial" w:cs="Arial" w:eastAsia="Arial" w:hAnsi="Arial"/>
          <w:sz w:val="21"/>
          <w:szCs w:val="21"/>
          <w:color w:val="auto"/>
        </w:rPr>
        <w:t>”) as shall result in receipt of such amounts that would have been received had no such withholding or deduction been required, provided that no Additional Amounts shall be payable with respect to any Note:</w:t>
      </w:r>
    </w:p>
    <w:p>
      <w:pPr>
        <w:spacing w:after="0" w:line="215" w:lineRule="exact"/>
        <w:rPr>
          <w:rFonts w:ascii="Arial" w:cs="Arial" w:eastAsia="Arial" w:hAnsi="Arial"/>
          <w:sz w:val="21"/>
          <w:szCs w:val="21"/>
          <w:color w:val="auto"/>
        </w:rPr>
      </w:pPr>
    </w:p>
    <w:p>
      <w:pPr>
        <w:ind w:left="1440" w:hanging="460"/>
        <w:spacing w:after="0"/>
        <w:tabs>
          <w:tab w:leader="none" w:pos="1440" w:val="left"/>
        </w:tabs>
        <w:numPr>
          <w:ilvl w:val="1"/>
          <w:numId w:val="95"/>
        </w:numPr>
        <w:rPr>
          <w:rFonts w:ascii="Arial" w:cs="Arial" w:eastAsia="Arial" w:hAnsi="Arial"/>
          <w:sz w:val="22"/>
          <w:szCs w:val="22"/>
          <w:color w:val="auto"/>
        </w:rPr>
      </w:pPr>
      <w:r>
        <w:rPr>
          <w:rFonts w:ascii="Arial" w:cs="Arial" w:eastAsia="Arial" w:hAnsi="Arial"/>
          <w:sz w:val="22"/>
          <w:szCs w:val="22"/>
          <w:color w:val="auto"/>
        </w:rPr>
        <w:t>for or on account of:</w:t>
      </w:r>
    </w:p>
    <w:p>
      <w:pPr>
        <w:spacing w:after="0" w:line="219" w:lineRule="exact"/>
        <w:rPr>
          <w:rFonts w:ascii="Arial" w:cs="Arial" w:eastAsia="Arial" w:hAnsi="Arial"/>
          <w:sz w:val="22"/>
          <w:szCs w:val="22"/>
          <w:color w:val="auto"/>
        </w:rPr>
      </w:pPr>
    </w:p>
    <w:p>
      <w:pPr>
        <w:ind w:left="2140" w:hanging="512"/>
        <w:spacing w:after="0"/>
        <w:tabs>
          <w:tab w:leader="none" w:pos="2140" w:val="left"/>
        </w:tabs>
        <w:numPr>
          <w:ilvl w:val="2"/>
          <w:numId w:val="95"/>
        </w:numPr>
        <w:rPr>
          <w:rFonts w:ascii="Arial" w:cs="Arial" w:eastAsia="Arial" w:hAnsi="Arial"/>
          <w:sz w:val="22"/>
          <w:szCs w:val="22"/>
          <w:color w:val="auto"/>
        </w:rPr>
      </w:pPr>
      <w:r>
        <w:rPr>
          <w:rFonts w:ascii="Arial" w:cs="Arial" w:eastAsia="Arial" w:hAnsi="Arial"/>
          <w:sz w:val="22"/>
          <w:szCs w:val="22"/>
          <w:color w:val="auto"/>
        </w:rPr>
        <w:t>any Taxes that would not have been imposed but for:</w:t>
      </w:r>
    </w:p>
    <w:p>
      <w:pPr>
        <w:spacing w:after="0" w:line="219" w:lineRule="exact"/>
        <w:rPr>
          <w:rFonts w:ascii="Arial" w:cs="Arial" w:eastAsia="Arial" w:hAnsi="Arial"/>
          <w:sz w:val="22"/>
          <w:szCs w:val="22"/>
          <w:color w:val="auto"/>
        </w:rPr>
      </w:pPr>
    </w:p>
    <w:p>
      <w:pPr>
        <w:jc w:val="both"/>
        <w:ind w:left="1300" w:firstLine="976"/>
        <w:spacing w:after="0" w:line="259" w:lineRule="auto"/>
        <w:tabs>
          <w:tab w:leader="none" w:pos="2779" w:val="left"/>
        </w:tabs>
        <w:numPr>
          <w:ilvl w:val="3"/>
          <w:numId w:val="95"/>
        </w:numPr>
        <w:rPr>
          <w:rFonts w:ascii="Arial" w:cs="Arial" w:eastAsia="Arial" w:hAnsi="Arial"/>
          <w:sz w:val="21"/>
          <w:szCs w:val="21"/>
          <w:color w:val="auto"/>
        </w:rPr>
      </w:pPr>
      <w:r>
        <w:rPr>
          <w:rFonts w:ascii="Arial" w:cs="Arial" w:eastAsia="Arial" w:hAnsi="Arial"/>
          <w:sz w:val="21"/>
          <w:szCs w:val="21"/>
          <w:color w:val="auto"/>
        </w:rPr>
        <w:t>the existence of any present or former connection between the Holder or Beneficial Owner (or between a fiduciary, settlor, beneficiary, member or shareholder of, or possession of power over, such Holder or Beneficial Owner, if such Holder or Beneficial Owner is an estate, a trust, a partnership, or a corporation) of such Note, as the case may be, and the Relevant Jurisdiction, including without limitation, such Holder or Beneficial Owner being or having been a citizen, domiciliary or resident of such Relevant Jurisdiction, being or having been treated as a resident of such Relevant Jurisdiction, being or having been present or engaged in a trade or business in such Relevant Jurisdiction or having or having had a permanent establishment in such Relevant Jurisdiction, other than any connection arising from the mere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428" w:right="339" w:bottom="1440" w:gutter="0" w:footer="0" w:header="0"/>
        </w:sectPr>
      </w:pPr>
    </w:p>
    <w:bookmarkStart w:id="102" w:name="page103"/>
    <w:bookmarkEnd w:id="102"/>
    <w:p>
      <w:pPr>
        <w:ind w:left="1300"/>
        <w:spacing w:after="0" w:line="263" w:lineRule="auto"/>
        <w:rPr>
          <w:sz w:val="20"/>
          <w:szCs w:val="20"/>
          <w:color w:val="auto"/>
        </w:rPr>
      </w:pPr>
      <w:r>
        <w:rPr>
          <w:rFonts w:ascii="Arial" w:cs="Arial" w:eastAsia="Arial" w:hAnsi="Arial"/>
          <w:sz w:val="22"/>
          <w:szCs w:val="22"/>
          <w:color w:val="auto"/>
        </w:rPr>
        <w:t>receipt, ownership, holding or disposition of such Note or the receipt of payments thereunder or merely by reason of the exercise or enforcement of rights under such Note;</w:t>
      </w:r>
    </w:p>
    <w:p>
      <w:pPr>
        <w:spacing w:after="0" w:line="175" w:lineRule="exact"/>
        <w:rPr>
          <w:sz w:val="20"/>
          <w:szCs w:val="20"/>
          <w:color w:val="auto"/>
        </w:rPr>
      </w:pPr>
    </w:p>
    <w:p>
      <w:pPr>
        <w:jc w:val="both"/>
        <w:ind w:left="1300" w:firstLine="976"/>
        <w:spacing w:after="0" w:line="248" w:lineRule="auto"/>
        <w:tabs>
          <w:tab w:leader="none" w:pos="2763" w:val="left"/>
        </w:tabs>
        <w:numPr>
          <w:ilvl w:val="2"/>
          <w:numId w:val="96"/>
        </w:numPr>
        <w:rPr>
          <w:rFonts w:ascii="Arial" w:cs="Arial" w:eastAsia="Arial" w:hAnsi="Arial"/>
          <w:sz w:val="22"/>
          <w:szCs w:val="22"/>
          <w:color w:val="auto"/>
        </w:rPr>
      </w:pPr>
      <w:r>
        <w:rPr>
          <w:rFonts w:ascii="Arial" w:cs="Arial" w:eastAsia="Arial" w:hAnsi="Arial"/>
          <w:sz w:val="22"/>
          <w:szCs w:val="22"/>
          <w:color w:val="auto"/>
        </w:rPr>
        <w:t>the presentation of such Note (where presentation is required) more than 30 days after the later of the date on which the payment of the principal of, premium (if any) or interest on, such Note became due and payable pursuant to the terms thereof or was made or duly provided for, except to the extent that the Holder thereof would have been entitled to such Additional Amounts if it had presented such Note for payment on any date within such 30-day period;</w:t>
      </w:r>
    </w:p>
    <w:p>
      <w:pPr>
        <w:spacing w:after="0" w:line="191" w:lineRule="exact"/>
        <w:rPr>
          <w:rFonts w:ascii="Arial" w:cs="Arial" w:eastAsia="Arial" w:hAnsi="Arial"/>
          <w:sz w:val="22"/>
          <w:szCs w:val="22"/>
          <w:color w:val="auto"/>
        </w:rPr>
      </w:pPr>
    </w:p>
    <w:p>
      <w:pPr>
        <w:jc w:val="both"/>
        <w:ind w:left="1300" w:firstLine="976"/>
        <w:spacing w:after="0" w:line="250" w:lineRule="auto"/>
        <w:tabs>
          <w:tab w:leader="none" w:pos="2814" w:val="left"/>
        </w:tabs>
        <w:numPr>
          <w:ilvl w:val="2"/>
          <w:numId w:val="96"/>
        </w:numPr>
        <w:rPr>
          <w:rFonts w:ascii="Arial" w:cs="Arial" w:eastAsia="Arial" w:hAnsi="Arial"/>
          <w:sz w:val="22"/>
          <w:szCs w:val="22"/>
          <w:color w:val="auto"/>
        </w:rPr>
      </w:pPr>
      <w:r>
        <w:rPr>
          <w:rFonts w:ascii="Arial" w:cs="Arial" w:eastAsia="Arial" w:hAnsi="Arial"/>
          <w:sz w:val="22"/>
          <w:szCs w:val="22"/>
          <w:color w:val="auto"/>
        </w:rPr>
        <w:t>the failure of the Holder or Beneficial Owner of such Note to comply with a timely request of the Issuer or the Surviving Person addressed to such Holder or Beneficial Owner to provide information or other evidence concerning such Holder’s or Beneficial Owner’s nationality, residence, identity or connection with the Relevant Jurisdiction; or</w:t>
      </w:r>
    </w:p>
    <w:p>
      <w:pPr>
        <w:spacing w:after="0" w:line="187" w:lineRule="exact"/>
        <w:rPr>
          <w:rFonts w:ascii="Arial" w:cs="Arial" w:eastAsia="Arial" w:hAnsi="Arial"/>
          <w:sz w:val="22"/>
          <w:szCs w:val="22"/>
          <w:color w:val="auto"/>
        </w:rPr>
      </w:pPr>
    </w:p>
    <w:p>
      <w:pPr>
        <w:ind w:left="1300" w:firstLine="976"/>
        <w:spacing w:after="0" w:line="343" w:lineRule="auto"/>
        <w:tabs>
          <w:tab w:leader="none" w:pos="2839" w:val="left"/>
        </w:tabs>
        <w:numPr>
          <w:ilvl w:val="2"/>
          <w:numId w:val="96"/>
        </w:numPr>
        <w:rPr>
          <w:rFonts w:ascii="Arial" w:cs="Arial" w:eastAsia="Arial" w:hAnsi="Arial"/>
          <w:sz w:val="19"/>
          <w:szCs w:val="19"/>
          <w:color w:val="auto"/>
        </w:rPr>
      </w:pPr>
      <w:r>
        <w:rPr>
          <w:rFonts w:ascii="Arial" w:cs="Arial" w:eastAsia="Arial" w:hAnsi="Arial"/>
          <w:sz w:val="19"/>
          <w:szCs w:val="19"/>
          <w:color w:val="auto"/>
        </w:rPr>
        <w:t>the presentation of such Note for payment by or on behalf of a Holder of such Note who would have been able to avoid such withholding or deduction by presenting such Note to another Paying Agent;</w:t>
      </w:r>
    </w:p>
    <w:p>
      <w:pPr>
        <w:spacing w:after="0" w:line="104" w:lineRule="exact"/>
        <w:rPr>
          <w:rFonts w:ascii="Arial" w:cs="Arial" w:eastAsia="Arial" w:hAnsi="Arial"/>
          <w:sz w:val="19"/>
          <w:szCs w:val="19"/>
          <w:color w:val="auto"/>
        </w:rPr>
      </w:pPr>
    </w:p>
    <w:p>
      <w:pPr>
        <w:ind w:left="660" w:right="20" w:firstLine="968"/>
        <w:spacing w:after="0" w:line="263" w:lineRule="auto"/>
        <w:tabs>
          <w:tab w:leader="none" w:pos="2179" w:val="left"/>
        </w:tabs>
        <w:numPr>
          <w:ilvl w:val="1"/>
          <w:numId w:val="97"/>
        </w:numPr>
        <w:rPr>
          <w:rFonts w:ascii="Arial" w:cs="Arial" w:eastAsia="Arial" w:hAnsi="Arial"/>
          <w:sz w:val="22"/>
          <w:szCs w:val="22"/>
          <w:color w:val="auto"/>
        </w:rPr>
      </w:pPr>
      <w:r>
        <w:rPr>
          <w:rFonts w:ascii="Arial" w:cs="Arial" w:eastAsia="Arial" w:hAnsi="Arial"/>
          <w:sz w:val="22"/>
          <w:szCs w:val="22"/>
          <w:color w:val="auto"/>
        </w:rPr>
        <w:t>any estate, inheritance, gift, sales, transfer, capital gains, personal property or similar Tax or any excise Tax imposed on the transfer of Notes;</w:t>
      </w:r>
    </w:p>
    <w:p>
      <w:pPr>
        <w:spacing w:after="0" w:line="174" w:lineRule="exact"/>
        <w:rPr>
          <w:rFonts w:ascii="Arial" w:cs="Arial" w:eastAsia="Arial" w:hAnsi="Arial"/>
          <w:sz w:val="22"/>
          <w:szCs w:val="22"/>
          <w:color w:val="auto"/>
        </w:rPr>
      </w:pPr>
    </w:p>
    <w:p>
      <w:pPr>
        <w:ind w:left="660" w:right="20" w:firstLine="968"/>
        <w:spacing w:after="0" w:line="263" w:lineRule="auto"/>
        <w:tabs>
          <w:tab w:leader="none" w:pos="2225" w:val="left"/>
        </w:tabs>
        <w:numPr>
          <w:ilvl w:val="1"/>
          <w:numId w:val="97"/>
        </w:numPr>
        <w:rPr>
          <w:rFonts w:ascii="Arial" w:cs="Arial" w:eastAsia="Arial" w:hAnsi="Arial"/>
          <w:sz w:val="22"/>
          <w:szCs w:val="22"/>
          <w:color w:val="auto"/>
        </w:rPr>
      </w:pPr>
      <w:r>
        <w:rPr>
          <w:rFonts w:ascii="Arial" w:cs="Arial" w:eastAsia="Arial" w:hAnsi="Arial"/>
          <w:sz w:val="22"/>
          <w:szCs w:val="22"/>
          <w:color w:val="auto"/>
        </w:rPr>
        <w:t>any Taxes that are payable other than by withholding or deduction from payments of principal of, or premium (if any) or interest on the Note;</w:t>
      </w:r>
    </w:p>
    <w:p>
      <w:pPr>
        <w:spacing w:after="0" w:line="174" w:lineRule="exact"/>
        <w:rPr>
          <w:rFonts w:ascii="Arial" w:cs="Arial" w:eastAsia="Arial" w:hAnsi="Arial"/>
          <w:sz w:val="22"/>
          <w:szCs w:val="22"/>
          <w:color w:val="auto"/>
        </w:rPr>
      </w:pPr>
    </w:p>
    <w:p>
      <w:pPr>
        <w:jc w:val="both"/>
        <w:ind w:left="660" w:firstLine="968"/>
        <w:spacing w:after="0" w:line="297" w:lineRule="auto"/>
        <w:tabs>
          <w:tab w:leader="none" w:pos="2233" w:val="left"/>
        </w:tabs>
        <w:numPr>
          <w:ilvl w:val="1"/>
          <w:numId w:val="97"/>
        </w:numPr>
        <w:rPr>
          <w:rFonts w:ascii="Arial" w:cs="Arial" w:eastAsia="Arial" w:hAnsi="Arial"/>
          <w:sz w:val="19"/>
          <w:szCs w:val="19"/>
          <w:color w:val="auto"/>
        </w:rPr>
      </w:pPr>
      <w:r>
        <w:rPr>
          <w:rFonts w:ascii="Arial" w:cs="Arial" w:eastAsia="Arial" w:hAnsi="Arial"/>
          <w:sz w:val="19"/>
          <w:szCs w:val="19"/>
          <w:color w:val="auto"/>
        </w:rPr>
        <w:t>any tax, duty, assessment or other governmental charge which is required to be deducted or withheld under Sections 1471 through 1474 of the U.S. Internal Revenue Code of 1986, as amended, or any amended or successor versions of such Sections (“</w:t>
      </w:r>
      <w:r>
        <w:rPr>
          <w:rFonts w:ascii="Arial" w:cs="Arial" w:eastAsia="Arial" w:hAnsi="Arial"/>
          <w:sz w:val="19"/>
          <w:szCs w:val="19"/>
          <w:i w:val="1"/>
          <w:iCs w:val="1"/>
          <w:color w:val="auto"/>
        </w:rPr>
        <w:t>FATCA</w:t>
      </w:r>
      <w:r>
        <w:rPr>
          <w:rFonts w:ascii="Arial" w:cs="Arial" w:eastAsia="Arial" w:hAnsi="Arial"/>
          <w:sz w:val="19"/>
          <w:szCs w:val="19"/>
          <w:color w:val="auto"/>
        </w:rPr>
        <w:t>”), any regulations or other guidance thereunder, or any agreement (including any intergovernmental agreement) entered into in connection therewith, or any law, regulation or other official guidance enacted in any jurisdiction implementing FATCA or an intergovernmental agreement in respect of FATCA; or</w:t>
      </w:r>
    </w:p>
    <w:p>
      <w:pPr>
        <w:spacing w:after="0" w:line="146" w:lineRule="exact"/>
        <w:rPr>
          <w:rFonts w:ascii="Arial" w:cs="Arial" w:eastAsia="Arial" w:hAnsi="Arial"/>
          <w:sz w:val="19"/>
          <w:szCs w:val="19"/>
          <w:color w:val="auto"/>
        </w:rPr>
      </w:pPr>
    </w:p>
    <w:p>
      <w:pPr>
        <w:ind w:left="2120" w:hanging="492"/>
        <w:spacing w:after="0"/>
        <w:tabs>
          <w:tab w:leader="none" w:pos="2120" w:val="left"/>
        </w:tabs>
        <w:numPr>
          <w:ilvl w:val="1"/>
          <w:numId w:val="97"/>
        </w:numPr>
        <w:rPr>
          <w:rFonts w:ascii="Arial" w:cs="Arial" w:eastAsia="Arial" w:hAnsi="Arial"/>
          <w:sz w:val="22"/>
          <w:szCs w:val="22"/>
          <w:color w:val="auto"/>
        </w:rPr>
      </w:pPr>
      <w:r>
        <w:rPr>
          <w:rFonts w:ascii="Arial" w:cs="Arial" w:eastAsia="Arial" w:hAnsi="Arial"/>
          <w:sz w:val="22"/>
          <w:szCs w:val="22"/>
          <w:color w:val="auto"/>
        </w:rPr>
        <w:t>any combination of Taxes referred to in the preceding clauses (A), (B), (C) and (D); or</w:t>
      </w:r>
    </w:p>
    <w:p>
      <w:pPr>
        <w:spacing w:after="0" w:line="219" w:lineRule="exact"/>
        <w:rPr>
          <w:rFonts w:ascii="Arial" w:cs="Arial" w:eastAsia="Arial" w:hAnsi="Arial"/>
          <w:sz w:val="22"/>
          <w:szCs w:val="22"/>
          <w:color w:val="auto"/>
        </w:rPr>
      </w:pPr>
    </w:p>
    <w:p>
      <w:pPr>
        <w:jc w:val="both"/>
        <w:ind w:firstLine="980"/>
        <w:spacing w:after="0" w:line="246" w:lineRule="auto"/>
        <w:tabs>
          <w:tab w:leader="none" w:pos="1548" w:val="left"/>
        </w:tabs>
        <w:numPr>
          <w:ilvl w:val="0"/>
          <w:numId w:val="98"/>
        </w:numPr>
        <w:rPr>
          <w:rFonts w:ascii="Arial" w:cs="Arial" w:eastAsia="Arial" w:hAnsi="Arial"/>
          <w:sz w:val="22"/>
          <w:szCs w:val="22"/>
          <w:color w:val="auto"/>
        </w:rPr>
      </w:pPr>
      <w:r>
        <w:rPr>
          <w:rFonts w:ascii="Arial" w:cs="Arial" w:eastAsia="Arial" w:hAnsi="Arial"/>
          <w:sz w:val="22"/>
          <w:szCs w:val="22"/>
          <w:color w:val="auto"/>
        </w:rPr>
        <w:t>with respect to any payment of the principal of, or premium (if any) or interest on, such Note to or for the account of a fiduciary, partnership, limited liability company or other fiscally transparent entity or any other person (other than the sole Beneficial Owner of such payment) to the extent that a beneficiary or settlor with respect to that fiduciary, or a partner or member of that partnership or an interest Holder in that limited liability company or fiscally transparent entity or a Beneficial Owner with respect to such other person, as the case may be, would not have been entitled to such Additional Amounts had such beneficiary, settlor, partner, member, interest Holder or Beneficial Owner held directly the Note with respect to which such payment was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1428" w:right="339" w:bottom="1440" w:gutter="0" w:footer="0" w:header="0"/>
        </w:sectPr>
      </w:pPr>
    </w:p>
    <w:bookmarkStart w:id="103" w:name="page104"/>
    <w:bookmarkEnd w:id="103"/>
    <w:p>
      <w:pPr>
        <w:jc w:val="both"/>
        <w:ind w:firstLine="332"/>
        <w:spacing w:after="0" w:line="290" w:lineRule="auto"/>
        <w:tabs>
          <w:tab w:leader="none" w:pos="813" w:val="left"/>
        </w:tabs>
        <w:numPr>
          <w:ilvl w:val="0"/>
          <w:numId w:val="99"/>
        </w:numPr>
        <w:rPr>
          <w:rFonts w:ascii="Arial" w:cs="Arial" w:eastAsia="Arial" w:hAnsi="Arial"/>
          <w:sz w:val="19"/>
          <w:szCs w:val="19"/>
          <w:color w:val="auto"/>
        </w:rPr>
      </w:pPr>
      <w:r>
        <w:rPr>
          <w:rFonts w:ascii="Arial" w:cs="Arial" w:eastAsia="Arial" w:hAnsi="Arial"/>
          <w:sz w:val="19"/>
          <w:szCs w:val="19"/>
          <w:color w:val="auto"/>
        </w:rPr>
        <w:t>In addition to the foregoing, the Issuer and the Surviving Person shall pay and indemnify the Holder for any present or future stamp, issue, registration, court, property or documentary taxes, or any other excise or property taxes, charges or similar levies or taxes (including without limitation, interest and penalties with respect thereto) levied by any Relevant Jurisdiction on the execution, delivery, registration or enforcement of any of the Notes, this Indenture or any other document or instrument referred to therein or on the receipt of any payments with respect thereto (limited, solely in the case of taxes attributable to the receipt of any payments with respect thereto, to any such taxes imposed in a Relevant Jurisdiction that are not excluded under Sections 4.09(b)(1)(A) thorough (C) hereof (or any combination thereof) or Section 4.09(b)(2) hereof and excluding, for the avoidance of doubt, any net income taxes imposed on the receipt of any payments with respect thereto).</w:t>
      </w:r>
    </w:p>
    <w:p>
      <w:pPr>
        <w:spacing w:after="0" w:line="182" w:lineRule="exact"/>
        <w:rPr>
          <w:rFonts w:ascii="Arial" w:cs="Arial" w:eastAsia="Arial" w:hAnsi="Arial"/>
          <w:sz w:val="19"/>
          <w:szCs w:val="19"/>
          <w:color w:val="auto"/>
        </w:rPr>
      </w:pPr>
    </w:p>
    <w:p>
      <w:pPr>
        <w:jc w:val="both"/>
        <w:ind w:firstLine="332"/>
        <w:spacing w:after="0" w:line="287" w:lineRule="auto"/>
        <w:tabs>
          <w:tab w:leader="none" w:pos="865" w:val="left"/>
        </w:tabs>
        <w:numPr>
          <w:ilvl w:val="0"/>
          <w:numId w:val="99"/>
        </w:numPr>
        <w:rPr>
          <w:rFonts w:ascii="Arial" w:cs="Arial" w:eastAsia="Arial" w:hAnsi="Arial"/>
          <w:sz w:val="19"/>
          <w:szCs w:val="19"/>
          <w:color w:val="auto"/>
        </w:rPr>
      </w:pPr>
      <w:r>
        <w:rPr>
          <w:rFonts w:ascii="Arial" w:cs="Arial" w:eastAsia="Arial" w:hAnsi="Arial"/>
          <w:sz w:val="19"/>
          <w:szCs w:val="19"/>
          <w:color w:val="auto"/>
        </w:rPr>
        <w:t>If the Issuer or the Surviving Person, as the case may be, becomes aware that it shall be obligated to pay Additional Amounts with respect to any payment under or with respect to the Notes, the Issuer or the Surviving Person, as the case may be, shall deliver to the Trustee on a date that is at least 30 days prior to the date of that payment (unless the obligation to pay Additional Amounts arises, or the Issuer or the Surviving Person becomes aware of such obligation, after the 30th day prior to that payment date, in which case the Issuer or the Surviving Person, as the case may be, shall notify the Trustee in writing promptly thereafter) an Officer’s Certificate stating the fact that Additional Amounts shall be payable and the amount estimated to be payable. The Officer’s Certificate must also set forth any other information reasonably necessary to enable the Paying Agent to pay Additional Amounts to Holders on the relevant payment date. The Trustee shall be entitled to rely solely on such Officer’s Certificate as conclusive proof that such payments are necessary and shall not be responsible for the calculation of any Additional Amounts. Upon request, the Issuer or the Surviving Person shall provide the Trustee with documentation reasonably satisfactory to the Trustee evidencing the payment of Additional Amounts.</w:t>
      </w:r>
    </w:p>
    <w:p>
      <w:pPr>
        <w:spacing w:after="0" w:line="190" w:lineRule="exact"/>
        <w:rPr>
          <w:rFonts w:ascii="Arial" w:cs="Arial" w:eastAsia="Arial" w:hAnsi="Arial"/>
          <w:sz w:val="19"/>
          <w:szCs w:val="19"/>
          <w:color w:val="auto"/>
        </w:rPr>
      </w:pPr>
    </w:p>
    <w:p>
      <w:pPr>
        <w:jc w:val="both"/>
        <w:ind w:firstLine="332"/>
        <w:spacing w:after="0" w:line="294" w:lineRule="auto"/>
        <w:tabs>
          <w:tab w:leader="none" w:pos="816"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Issuer or the Surviving Person shall make all withholdings and deductions required by law and shall remit the full amount deducted or withheld to the relevant tax authority in accordance with applicable law. The Issuer or the Surviving Person shall provide to the Trustee an official receipt or, if official receipts are not obtainable, other documentation reasonably satisfactory to the Trustee evidencing the payment of any Taxes so deducted or withheld. Upon written request, the Trustee shall make available to Holders copies of those receipts or other documentation, as the case may be. The Trustee shall not be responsible for ensuring that the withholding and deduction of any amount has been properly made.</w:t>
      </w:r>
    </w:p>
    <w:p>
      <w:pPr>
        <w:spacing w:after="0" w:line="176" w:lineRule="exact"/>
        <w:rPr>
          <w:rFonts w:ascii="Arial" w:cs="Arial" w:eastAsia="Arial" w:hAnsi="Arial"/>
          <w:sz w:val="19"/>
          <w:szCs w:val="19"/>
          <w:color w:val="auto"/>
        </w:rPr>
      </w:pPr>
    </w:p>
    <w:p>
      <w:pPr>
        <w:jc w:val="both"/>
        <w:ind w:firstLine="332"/>
        <w:spacing w:after="0" w:line="253" w:lineRule="auto"/>
        <w:tabs>
          <w:tab w:leader="none" w:pos="759" w:val="left"/>
        </w:tabs>
        <w:numPr>
          <w:ilvl w:val="0"/>
          <w:numId w:val="99"/>
        </w:numPr>
        <w:rPr>
          <w:rFonts w:ascii="Arial" w:cs="Arial" w:eastAsia="Arial" w:hAnsi="Arial"/>
          <w:sz w:val="22"/>
          <w:szCs w:val="22"/>
          <w:color w:val="auto"/>
        </w:rPr>
      </w:pPr>
      <w:r>
        <w:rPr>
          <w:rFonts w:ascii="Arial" w:cs="Arial" w:eastAsia="Arial" w:hAnsi="Arial"/>
          <w:sz w:val="22"/>
          <w:szCs w:val="22"/>
          <w:color w:val="auto"/>
        </w:rPr>
        <w:t>Whenever there is mentioned in any context the payment of principal of, and any premium or interest on, any Note, such mention shall be deemed to include payment of Additional Amounts provided for in this Indenture to the extent that, in such context, Additional Amounts are, were or would be payable in respect thereof.</w:t>
      </w:r>
    </w:p>
    <w:p>
      <w:pPr>
        <w:spacing w:after="0" w:line="225" w:lineRule="exact"/>
        <w:rPr>
          <w:rFonts w:ascii="Arial" w:cs="Arial" w:eastAsia="Arial" w:hAnsi="Arial"/>
          <w:sz w:val="22"/>
          <w:szCs w:val="22"/>
          <w:color w:val="auto"/>
        </w:rPr>
      </w:pPr>
    </w:p>
    <w:p>
      <w:pPr>
        <w:jc w:val="both"/>
        <w:ind w:firstLine="332"/>
        <w:spacing w:after="0" w:line="250" w:lineRule="auto"/>
        <w:tabs>
          <w:tab w:leader="none" w:pos="850"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obligations set forth in this Section 4.09 shall survive any termination, defeasance or discharge of this Indenture, any transfer by a Holder or Beneficial Owner of its Notes, and shall apply, mutatis mutandis, to any jurisdiction in which any successor Person to the Issuer is organized, resident or doing business for tax purposes or any jurisdiction from or through which payment is made.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428" w:right="339" w:bottom="1440" w:gutter="0" w:footer="0" w:header="0"/>
        </w:sectPr>
      </w:pPr>
    </w:p>
    <w:bookmarkStart w:id="104" w:name="page105"/>
    <w:bookmarkEnd w:id="104"/>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4.10</w:t>
      </w:r>
      <w:r>
        <w:rPr>
          <w:sz w:val="20"/>
          <w:szCs w:val="20"/>
          <w:color w:val="auto"/>
        </w:rPr>
        <w:tab/>
      </w:r>
      <w:r>
        <w:rPr>
          <w:rFonts w:ascii="Arial" w:cs="Arial" w:eastAsia="Arial" w:hAnsi="Arial"/>
          <w:sz w:val="19"/>
          <w:szCs w:val="19"/>
          <w:i w:val="1"/>
          <w:iCs w:val="1"/>
          <w:color w:val="auto"/>
        </w:rPr>
        <w:t>Special Put Option.</w:t>
      </w:r>
    </w:p>
    <w:p>
      <w:pPr>
        <w:spacing w:after="0" w:line="220" w:lineRule="exact"/>
        <w:rPr>
          <w:sz w:val="20"/>
          <w:szCs w:val="20"/>
          <w:color w:val="auto"/>
        </w:rPr>
      </w:pPr>
    </w:p>
    <w:p>
      <w:pPr>
        <w:jc w:val="both"/>
        <w:ind w:firstLine="332"/>
        <w:spacing w:after="0" w:line="258" w:lineRule="auto"/>
        <w:tabs>
          <w:tab w:leader="none" w:pos="861" w:val="left"/>
        </w:tabs>
        <w:numPr>
          <w:ilvl w:val="0"/>
          <w:numId w:val="100"/>
        </w:numPr>
        <w:rPr>
          <w:rFonts w:ascii="Arial" w:cs="Arial" w:eastAsia="Arial" w:hAnsi="Arial"/>
          <w:sz w:val="21"/>
          <w:szCs w:val="21"/>
          <w:color w:val="auto"/>
        </w:rPr>
      </w:pPr>
      <w:r>
        <w:rPr>
          <w:rFonts w:ascii="Arial" w:cs="Arial" w:eastAsia="Arial" w:hAnsi="Arial"/>
          <w:sz w:val="21"/>
          <w:szCs w:val="21"/>
          <w:color w:val="auto"/>
        </w:rPr>
        <w:t>Upon the occurrence of a Special Put Option Triggering Event, each Holder shall have the right to require the Issuer to repurchase all or any part of such Holder’s Notes pursuant to a Special Put Option Offer (as defined below) as set forth below. In the Special Put Option Offer, the Issuer shall offer to purchase the Notes at a purchase price in cash equal to 100% of the principal amount thereof, plus accrued and unpaid interest, if any, and Additional Amounts, if any, to (but excluding) the date of repurchase (subject to the right of Holders on the relevant record date to receive interest due on the relevant interest payment date), except to the extent the Issuer has exercised its right to redeem the Notes in full by delivery of a notice of redemption pursuant to Section 3.03 hereof. Within ten (10) days following the occurrence of a Special Put Option Triggering Event, except to the extent that the Issuer has exercised its right to redeem the Notes in full by delivery of a notice of redemption pursuant to Section 3.03 or Section 3.09 hereof, the Issuer shall deliver a notice (a “</w:t>
      </w:r>
      <w:r>
        <w:rPr>
          <w:rFonts w:ascii="Arial" w:cs="Arial" w:eastAsia="Arial" w:hAnsi="Arial"/>
          <w:sz w:val="21"/>
          <w:szCs w:val="21"/>
          <w:i w:val="1"/>
          <w:iCs w:val="1"/>
          <w:color w:val="auto"/>
        </w:rPr>
        <w:t>Special Put Option Offer</w:t>
      </w:r>
      <w:r>
        <w:rPr>
          <w:rFonts w:ascii="Arial" w:cs="Arial" w:eastAsia="Arial" w:hAnsi="Arial"/>
          <w:sz w:val="21"/>
          <w:szCs w:val="21"/>
          <w:color w:val="auto"/>
        </w:rPr>
        <w:t>”) to each Holder with a copy to the Trustee and the Paying Agent stating:</w:t>
      </w:r>
    </w:p>
    <w:p>
      <w:pPr>
        <w:spacing w:after="0" w:line="212" w:lineRule="exact"/>
        <w:rPr>
          <w:rFonts w:ascii="Arial" w:cs="Arial" w:eastAsia="Arial" w:hAnsi="Arial"/>
          <w:sz w:val="21"/>
          <w:szCs w:val="21"/>
          <w:color w:val="auto"/>
        </w:rPr>
      </w:pPr>
    </w:p>
    <w:p>
      <w:pPr>
        <w:jc w:val="both"/>
        <w:ind w:firstLine="980"/>
        <w:spacing w:after="0" w:line="265" w:lineRule="auto"/>
        <w:tabs>
          <w:tab w:leader="none" w:pos="1475" w:val="left"/>
        </w:tabs>
        <w:numPr>
          <w:ilvl w:val="1"/>
          <w:numId w:val="100"/>
        </w:numPr>
        <w:rPr>
          <w:rFonts w:ascii="Arial" w:cs="Arial" w:eastAsia="Arial" w:hAnsi="Arial"/>
          <w:sz w:val="21"/>
          <w:szCs w:val="21"/>
          <w:color w:val="auto"/>
        </w:rPr>
      </w:pPr>
      <w:r>
        <w:rPr>
          <w:rFonts w:ascii="Arial" w:cs="Arial" w:eastAsia="Arial" w:hAnsi="Arial"/>
          <w:sz w:val="21"/>
          <w:szCs w:val="21"/>
          <w:color w:val="auto"/>
        </w:rPr>
        <w:t>that a Special Put Option Triggering Event has occurred and that such Holder has the right to require the Issuer to repurchase such Holder’s Notes at a repurchase price in cash equal to 100% of the principal amount thereof, plus accrued and unpaid interest, if any, and Additional Amounts, if any, to (but excluding) the date of repurchase (subject to the right of Holders of record on a record date to receive interest on the relevant interest payment date);</w:t>
      </w:r>
    </w:p>
    <w:p>
      <w:pPr>
        <w:spacing w:after="0" w:line="175" w:lineRule="exact"/>
        <w:rPr>
          <w:rFonts w:ascii="Arial" w:cs="Arial" w:eastAsia="Arial" w:hAnsi="Arial"/>
          <w:sz w:val="21"/>
          <w:szCs w:val="21"/>
          <w:color w:val="auto"/>
        </w:rPr>
      </w:pPr>
    </w:p>
    <w:p>
      <w:pPr>
        <w:ind w:left="1500" w:hanging="520"/>
        <w:spacing w:after="0"/>
        <w:tabs>
          <w:tab w:leader="none" w:pos="1500" w:val="left"/>
        </w:tabs>
        <w:numPr>
          <w:ilvl w:val="1"/>
          <w:numId w:val="100"/>
        </w:numPr>
        <w:rPr>
          <w:rFonts w:ascii="Arial" w:cs="Arial" w:eastAsia="Arial" w:hAnsi="Arial"/>
          <w:sz w:val="19"/>
          <w:szCs w:val="19"/>
          <w:color w:val="auto"/>
        </w:rPr>
      </w:pPr>
      <w:r>
        <w:rPr>
          <w:rFonts w:ascii="Arial" w:cs="Arial" w:eastAsia="Arial" w:hAnsi="Arial"/>
          <w:sz w:val="19"/>
          <w:szCs w:val="19"/>
          <w:color w:val="auto"/>
        </w:rPr>
        <w:t>the repurchase date (which shall be no earlier than 10 days nor later than 60 days from the date such notice is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delivered); and</w:t>
      </w:r>
    </w:p>
    <w:p>
      <w:pPr>
        <w:spacing w:after="0" w:line="201" w:lineRule="exact"/>
        <w:rPr>
          <w:rFonts w:ascii="Arial" w:cs="Arial" w:eastAsia="Arial" w:hAnsi="Arial"/>
          <w:sz w:val="19"/>
          <w:szCs w:val="19"/>
          <w:color w:val="auto"/>
        </w:rPr>
      </w:pPr>
    </w:p>
    <w:p>
      <w:pPr>
        <w:ind w:firstLine="980"/>
        <w:spacing w:after="0" w:line="263" w:lineRule="auto"/>
        <w:tabs>
          <w:tab w:leader="none" w:pos="1514" w:val="left"/>
        </w:tabs>
        <w:numPr>
          <w:ilvl w:val="1"/>
          <w:numId w:val="100"/>
        </w:numPr>
        <w:rPr>
          <w:rFonts w:ascii="Arial" w:cs="Arial" w:eastAsia="Arial" w:hAnsi="Arial"/>
          <w:sz w:val="22"/>
          <w:szCs w:val="22"/>
          <w:color w:val="auto"/>
        </w:rPr>
      </w:pPr>
      <w:r>
        <w:rPr>
          <w:rFonts w:ascii="Arial" w:cs="Arial" w:eastAsia="Arial" w:hAnsi="Arial"/>
          <w:sz w:val="22"/>
          <w:szCs w:val="22"/>
          <w:color w:val="auto"/>
        </w:rPr>
        <w:t>the instructions determined by the Issuer, consistent with this covenant, that a Holder must follow in order to have its Notes repurchased.</w:t>
      </w:r>
    </w:p>
    <w:p>
      <w:pPr>
        <w:spacing w:after="0" w:line="174" w:lineRule="exact"/>
        <w:rPr>
          <w:rFonts w:ascii="Arial" w:cs="Arial" w:eastAsia="Arial" w:hAnsi="Arial"/>
          <w:sz w:val="22"/>
          <w:szCs w:val="22"/>
          <w:color w:val="auto"/>
        </w:rPr>
      </w:pPr>
    </w:p>
    <w:p>
      <w:pPr>
        <w:ind w:left="800" w:hanging="468"/>
        <w:spacing w:after="0"/>
        <w:tabs>
          <w:tab w:leader="none" w:pos="80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On the date of repurchase pursuant to a Special Put Option Offer, the Issuer shall, to the extent lawful:</w:t>
      </w:r>
    </w:p>
    <w:p>
      <w:pPr>
        <w:spacing w:after="0" w:line="246" w:lineRule="exact"/>
        <w:rPr>
          <w:rFonts w:ascii="Arial" w:cs="Arial" w:eastAsia="Arial" w:hAnsi="Arial"/>
          <w:sz w:val="22"/>
          <w:szCs w:val="22"/>
          <w:color w:val="auto"/>
        </w:rPr>
      </w:pPr>
    </w:p>
    <w:p>
      <w:pPr>
        <w:ind w:left="1440" w:hanging="460"/>
        <w:spacing w:after="0"/>
        <w:tabs>
          <w:tab w:leader="none" w:pos="1440" w:val="left"/>
        </w:tabs>
        <w:numPr>
          <w:ilvl w:val="1"/>
          <w:numId w:val="100"/>
        </w:numPr>
        <w:rPr>
          <w:rFonts w:ascii="Arial" w:cs="Arial" w:eastAsia="Arial" w:hAnsi="Arial"/>
          <w:sz w:val="19"/>
          <w:szCs w:val="19"/>
          <w:color w:val="auto"/>
        </w:rPr>
      </w:pPr>
      <w:r>
        <w:rPr>
          <w:rFonts w:ascii="Arial" w:cs="Arial" w:eastAsia="Arial" w:hAnsi="Arial"/>
          <w:sz w:val="19"/>
          <w:szCs w:val="19"/>
          <w:color w:val="auto"/>
        </w:rPr>
        <w:t>accept for payment all Notes or portions of Notes properly tendered pursuant to the Special Put Option Offer;</w:t>
      </w:r>
    </w:p>
    <w:p>
      <w:pPr>
        <w:spacing w:after="0" w:line="254" w:lineRule="exact"/>
        <w:rPr>
          <w:rFonts w:ascii="Arial" w:cs="Arial" w:eastAsia="Arial" w:hAnsi="Arial"/>
          <w:sz w:val="19"/>
          <w:szCs w:val="19"/>
          <w:color w:val="auto"/>
        </w:rPr>
      </w:pPr>
    </w:p>
    <w:p>
      <w:pPr>
        <w:jc w:val="both"/>
        <w:ind w:firstLine="980"/>
        <w:spacing w:after="0" w:line="253" w:lineRule="auto"/>
        <w:tabs>
          <w:tab w:leader="none" w:pos="1464" w:val="left"/>
        </w:tabs>
        <w:numPr>
          <w:ilvl w:val="1"/>
          <w:numId w:val="100"/>
        </w:numPr>
        <w:rPr>
          <w:rFonts w:ascii="Arial" w:cs="Arial" w:eastAsia="Arial" w:hAnsi="Arial"/>
          <w:sz w:val="22"/>
          <w:szCs w:val="22"/>
          <w:color w:val="auto"/>
        </w:rPr>
      </w:pPr>
      <w:r>
        <w:rPr>
          <w:rFonts w:ascii="Arial" w:cs="Arial" w:eastAsia="Arial" w:hAnsi="Arial"/>
          <w:sz w:val="22"/>
          <w:szCs w:val="22"/>
          <w:color w:val="auto"/>
        </w:rPr>
        <w:t>deposit with the Paying Agent an amount equal to the repurchase price, plus accrued and unpaid interest, if any, and Additional Amounts, if any, to but excluding the date of repurchase (the “</w:t>
      </w:r>
      <w:r>
        <w:rPr>
          <w:rFonts w:ascii="Arial" w:cs="Arial" w:eastAsia="Arial" w:hAnsi="Arial"/>
          <w:sz w:val="22"/>
          <w:szCs w:val="22"/>
          <w:i w:val="1"/>
          <w:iCs w:val="1"/>
          <w:color w:val="auto"/>
        </w:rPr>
        <w:t>Special Put Option Payment</w:t>
      </w:r>
      <w:r>
        <w:rPr>
          <w:rFonts w:ascii="Arial" w:cs="Arial" w:eastAsia="Arial" w:hAnsi="Arial"/>
          <w:sz w:val="22"/>
          <w:szCs w:val="22"/>
          <w:color w:val="auto"/>
        </w:rPr>
        <w:t>”), in respect of all Notes or portions of Notes properly tendered; and</w:t>
      </w:r>
    </w:p>
    <w:p>
      <w:pPr>
        <w:spacing w:after="0" w:line="185" w:lineRule="exact"/>
        <w:rPr>
          <w:rFonts w:ascii="Arial" w:cs="Arial" w:eastAsia="Arial" w:hAnsi="Arial"/>
          <w:sz w:val="22"/>
          <w:szCs w:val="22"/>
          <w:color w:val="auto"/>
        </w:rPr>
      </w:pPr>
    </w:p>
    <w:p>
      <w:pPr>
        <w:ind w:right="20" w:firstLine="980"/>
        <w:spacing w:after="0" w:line="287" w:lineRule="auto"/>
        <w:tabs>
          <w:tab w:leader="none" w:pos="1453" w:val="left"/>
        </w:tabs>
        <w:numPr>
          <w:ilvl w:val="1"/>
          <w:numId w:val="100"/>
        </w:numPr>
        <w:rPr>
          <w:rFonts w:ascii="Arial" w:cs="Arial" w:eastAsia="Arial" w:hAnsi="Arial"/>
          <w:sz w:val="21"/>
          <w:szCs w:val="21"/>
          <w:color w:val="auto"/>
        </w:rPr>
      </w:pPr>
      <w:r>
        <w:rPr>
          <w:rFonts w:ascii="Arial" w:cs="Arial" w:eastAsia="Arial" w:hAnsi="Arial"/>
          <w:sz w:val="21"/>
          <w:szCs w:val="21"/>
          <w:color w:val="auto"/>
        </w:rPr>
        <w:t>deliver or cause to be delivered to the Trustee, the Notes properly accepted together with an Officer’s Certificate stating the aggregate principal amount of Notes or portions of Notes being purchased by the Issuer.</w:t>
      </w:r>
    </w:p>
    <w:p>
      <w:pPr>
        <w:spacing w:after="0" w:line="15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9"/>
          <w:szCs w:val="19"/>
          <w:color w:val="auto"/>
        </w:rPr>
        <w:t>The Paying Agent shall promptly deliver to each Holder of Notes properly tendered the Special Put Option Payment for such Notes, and upon receipt of an Authentication Order, the Trustee shall promptly authenticate and deliver (or cause to be transferred by book-entry) to each Holder a new Note equal in principal amount to any unpurchased portion of the Notes surrendered, if any.</w:t>
      </w:r>
    </w:p>
    <w:p>
      <w:pPr>
        <w:spacing w:after="0" w:line="200" w:lineRule="exact"/>
        <w:rPr>
          <w:sz w:val="20"/>
          <w:szCs w:val="20"/>
          <w:color w:val="auto"/>
        </w:rPr>
      </w:pPr>
    </w:p>
    <w:p>
      <w:pPr>
        <w:spacing w:after="0" w:line="379"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28" w:right="339" w:bottom="1440" w:gutter="0" w:footer="0" w:header="0"/>
        </w:sectPr>
      </w:pPr>
    </w:p>
    <w:bookmarkStart w:id="105" w:name="page106"/>
    <w:bookmarkEnd w:id="105"/>
    <w:p>
      <w:pPr>
        <w:jc w:val="both"/>
        <w:ind w:firstLine="332"/>
        <w:spacing w:after="0" w:line="260" w:lineRule="auto"/>
        <w:tabs>
          <w:tab w:leader="none" w:pos="874" w:val="left"/>
        </w:tabs>
        <w:numPr>
          <w:ilvl w:val="0"/>
          <w:numId w:val="101"/>
        </w:numPr>
        <w:rPr>
          <w:rFonts w:ascii="Arial" w:cs="Arial" w:eastAsia="Arial" w:hAnsi="Arial"/>
          <w:sz w:val="21"/>
          <w:szCs w:val="21"/>
          <w:color w:val="auto"/>
        </w:rPr>
      </w:pPr>
      <w:r>
        <w:rPr>
          <w:rFonts w:ascii="Arial" w:cs="Arial" w:eastAsia="Arial" w:hAnsi="Arial"/>
          <w:sz w:val="21"/>
          <w:szCs w:val="21"/>
          <w:color w:val="auto"/>
        </w:rPr>
        <w:t>Notwithstanding anything to the contrary in this Section 4.10, the Issuer will not be required to make a Special Put Option Offer upon a Special Put Option Triggering Event if (1) a third party makes the Special Put Option Offer in the manner, at the times and otherwise in compliance with the requirements set forth in the Indenture applicable to a Special Put Option Offer made by the Issuer and purchases all Notes properly tendered and not withdrawn under the Special Put Option Offer, or (2) notice of redemption has been given in accordance with the terms of the Indenture, as described above under Section 3.07 hereof or Section 3.09 hereof pursuant to which the Issuer has exercised its right to redeem the Notes in full, unless and until there is a default in payment of the applicable redemption price.</w:t>
      </w:r>
    </w:p>
    <w:p>
      <w:pPr>
        <w:spacing w:after="0" w:line="207" w:lineRule="exact"/>
        <w:rPr>
          <w:rFonts w:ascii="Arial" w:cs="Arial" w:eastAsia="Arial" w:hAnsi="Arial"/>
          <w:sz w:val="21"/>
          <w:szCs w:val="21"/>
          <w:color w:val="auto"/>
        </w:rPr>
      </w:pPr>
    </w:p>
    <w:p>
      <w:pPr>
        <w:jc w:val="both"/>
        <w:ind w:firstLine="332"/>
        <w:spacing w:after="0" w:line="271" w:lineRule="auto"/>
        <w:tabs>
          <w:tab w:leader="none" w:pos="882" w:val="left"/>
        </w:tabs>
        <w:numPr>
          <w:ilvl w:val="0"/>
          <w:numId w:val="101"/>
        </w:numPr>
        <w:rPr>
          <w:rFonts w:ascii="Arial" w:cs="Arial" w:eastAsia="Arial" w:hAnsi="Arial"/>
          <w:sz w:val="21"/>
          <w:szCs w:val="21"/>
          <w:color w:val="auto"/>
        </w:rPr>
      </w:pPr>
      <w:r>
        <w:rPr>
          <w:rFonts w:ascii="Arial" w:cs="Arial" w:eastAsia="Arial" w:hAnsi="Arial"/>
          <w:sz w:val="21"/>
          <w:szCs w:val="21"/>
          <w:color w:val="auto"/>
        </w:rPr>
        <w:t>Notes repurchased by the Issuer pursuant to a Special Put Option Offer will have the status of Notes issued but not outstanding or will be retired and canceled at the option of the Issuer. Subject to Section 2.09 hereof, Notes purchased by a third party pursuant to the preceding paragraph will have the status of Notes issued and outstanding.</w:t>
      </w:r>
    </w:p>
    <w:p>
      <w:pPr>
        <w:spacing w:after="0" w:line="194" w:lineRule="exact"/>
        <w:rPr>
          <w:rFonts w:ascii="Arial" w:cs="Arial" w:eastAsia="Arial" w:hAnsi="Arial"/>
          <w:sz w:val="21"/>
          <w:szCs w:val="21"/>
          <w:color w:val="auto"/>
        </w:rPr>
      </w:pPr>
    </w:p>
    <w:p>
      <w:pPr>
        <w:ind w:firstLine="332"/>
        <w:spacing w:after="0" w:line="287" w:lineRule="auto"/>
        <w:tabs>
          <w:tab w:leader="none" w:pos="886" w:val="left"/>
        </w:tabs>
        <w:numPr>
          <w:ilvl w:val="0"/>
          <w:numId w:val="101"/>
        </w:numPr>
        <w:rPr>
          <w:rFonts w:ascii="Arial" w:cs="Arial" w:eastAsia="Arial" w:hAnsi="Arial"/>
          <w:sz w:val="21"/>
          <w:szCs w:val="21"/>
          <w:color w:val="auto"/>
        </w:rPr>
      </w:pPr>
      <w:r>
        <w:rPr>
          <w:rFonts w:ascii="Arial" w:cs="Arial" w:eastAsia="Arial" w:hAnsi="Arial"/>
          <w:sz w:val="21"/>
          <w:szCs w:val="21"/>
          <w:color w:val="auto"/>
        </w:rPr>
        <w:t>The provisions described above that require the Issuer to make a Special Put Option Offer following a Special Put Option Triggering Event will be applicable whether or not any other provisions of this Indenture are applicable.</w:t>
      </w:r>
    </w:p>
    <w:p>
      <w:pPr>
        <w:spacing w:after="0" w:line="178" w:lineRule="exact"/>
        <w:rPr>
          <w:rFonts w:ascii="Arial" w:cs="Arial" w:eastAsia="Arial" w:hAnsi="Arial"/>
          <w:sz w:val="21"/>
          <w:szCs w:val="21"/>
          <w:color w:val="auto"/>
        </w:rPr>
      </w:pPr>
    </w:p>
    <w:p>
      <w:pPr>
        <w:jc w:val="both"/>
        <w:ind w:firstLine="332"/>
        <w:spacing w:after="0" w:line="253" w:lineRule="auto"/>
        <w:tabs>
          <w:tab w:leader="none" w:pos="756" w:val="left"/>
        </w:tabs>
        <w:numPr>
          <w:ilvl w:val="0"/>
          <w:numId w:val="101"/>
        </w:numPr>
        <w:rPr>
          <w:rFonts w:ascii="Arial" w:cs="Arial" w:eastAsia="Arial" w:hAnsi="Arial"/>
          <w:sz w:val="22"/>
          <w:szCs w:val="22"/>
          <w:color w:val="auto"/>
        </w:rPr>
      </w:pPr>
      <w:r>
        <w:rPr>
          <w:rFonts w:ascii="Arial" w:cs="Arial" w:eastAsia="Arial" w:hAnsi="Arial"/>
          <w:sz w:val="22"/>
          <w:szCs w:val="22"/>
          <w:color w:val="auto"/>
        </w:rPr>
        <w:t>For the avoidance of doubt, following the repurchase date applicable to a Special Put Option Offer, holders of Notes who did not properly tender their Notes in the Special Put Option Offer will not have the further right to require Wynn Macau to repurchase such holders’ Notes with respect to that Special Put Option Triggering Event.</w:t>
      </w:r>
    </w:p>
    <w:p>
      <w:pPr>
        <w:spacing w:after="0" w:line="226"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5</w:t>
      </w:r>
    </w:p>
    <w:p>
      <w:pPr>
        <w:spacing w:after="0" w:line="220"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SUCCESSORS</w:t>
      </w:r>
    </w:p>
    <w:p>
      <w:pPr>
        <w:spacing w:after="0" w:line="247"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5.01</w:t>
      </w:r>
      <w:r>
        <w:rPr>
          <w:sz w:val="20"/>
          <w:szCs w:val="20"/>
          <w:color w:val="auto"/>
        </w:rPr>
        <w:tab/>
      </w:r>
      <w:r>
        <w:rPr>
          <w:rFonts w:ascii="Arial" w:cs="Arial" w:eastAsia="Arial" w:hAnsi="Arial"/>
          <w:sz w:val="19"/>
          <w:szCs w:val="19"/>
          <w:i w:val="1"/>
          <w:iCs w:val="1"/>
          <w:color w:val="auto"/>
        </w:rPr>
        <w:t>Merger, Consolidation or Sale of Assets</w:t>
      </w:r>
    </w:p>
    <w:p>
      <w:pPr>
        <w:spacing w:after="0" w:line="22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9"/>
          <w:szCs w:val="19"/>
          <w:color w:val="auto"/>
        </w:rPr>
        <w:t>The Issuer shall not, directly or indirectly, (1) consolidate or merge with or into another Person (whether or not the Issuer is the surviving entity) or (2) sell, assign, transfer, convey or otherwise dispose of all or substantially all of the properties or assets of the Issuer and its Subsidiaries, taken as a whole, in one or more related transactions, to another Person, unless:</w:t>
      </w:r>
    </w:p>
    <w:p>
      <w:pPr>
        <w:spacing w:after="0" w:line="160" w:lineRule="exact"/>
        <w:rPr>
          <w:sz w:val="20"/>
          <w:szCs w:val="20"/>
          <w:color w:val="auto"/>
        </w:rPr>
      </w:pPr>
    </w:p>
    <w:p>
      <w:pPr>
        <w:jc w:val="both"/>
        <w:ind w:firstLine="980"/>
        <w:spacing w:after="0" w:line="302" w:lineRule="auto"/>
        <w:tabs>
          <w:tab w:leader="none" w:pos="1503" w:val="left"/>
        </w:tabs>
        <w:numPr>
          <w:ilvl w:val="0"/>
          <w:numId w:val="102"/>
        </w:numPr>
        <w:rPr>
          <w:rFonts w:ascii="Arial" w:cs="Arial" w:eastAsia="Arial" w:hAnsi="Arial"/>
          <w:sz w:val="19"/>
          <w:szCs w:val="19"/>
          <w:color w:val="auto"/>
        </w:rPr>
      </w:pPr>
      <w:r>
        <w:rPr>
          <w:rFonts w:ascii="Arial" w:cs="Arial" w:eastAsia="Arial" w:hAnsi="Arial"/>
          <w:sz w:val="19"/>
          <w:szCs w:val="19"/>
          <w:color w:val="auto"/>
        </w:rPr>
        <w:t>either (a) the Issuer is the surviving entity or (b) the Person formed by or surviving any such consolidation or merger (if other than the Issuer) or to which such sale, assignment, transfer, conveyance or other disposition shall have been made is a corporation organized or existing under the laws of Hong Kong, Macau, Singapore, the Cayman Islands, the British Virgin Islands, Bermuda, the Isle of Man, the United States, any state of the United States or the District of Columbia;</w:t>
      </w:r>
    </w:p>
    <w:p>
      <w:pPr>
        <w:spacing w:after="0" w:line="142" w:lineRule="exact"/>
        <w:rPr>
          <w:rFonts w:ascii="Arial" w:cs="Arial" w:eastAsia="Arial" w:hAnsi="Arial"/>
          <w:sz w:val="19"/>
          <w:szCs w:val="19"/>
          <w:color w:val="auto"/>
        </w:rPr>
      </w:pPr>
    </w:p>
    <w:p>
      <w:pPr>
        <w:jc w:val="both"/>
        <w:ind w:firstLine="980"/>
        <w:spacing w:after="0" w:line="253" w:lineRule="auto"/>
        <w:tabs>
          <w:tab w:leader="none" w:pos="1499"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 Person formed by or surviving any such consolidation or merger (if other than the Issuer) or the Person to which such sale, assignment, transfer, conveyance or other disposition shall have been made assumes all the obligations of the Issuer under the Notes and this Indenture pursuant to a supplemental indenture; and</w:t>
      </w:r>
    </w:p>
    <w:p>
      <w:pPr>
        <w:spacing w:after="0" w:line="185" w:lineRule="exact"/>
        <w:rPr>
          <w:rFonts w:ascii="Arial" w:cs="Arial" w:eastAsia="Arial" w:hAnsi="Arial"/>
          <w:sz w:val="22"/>
          <w:szCs w:val="22"/>
          <w:color w:val="auto"/>
        </w:rPr>
      </w:pPr>
    </w:p>
    <w:p>
      <w:pPr>
        <w:ind w:left="1440" w:hanging="460"/>
        <w:spacing w:after="0"/>
        <w:tabs>
          <w:tab w:leader="none" w:pos="1440" w:val="left"/>
        </w:tabs>
        <w:numPr>
          <w:ilvl w:val="0"/>
          <w:numId w:val="102"/>
        </w:numPr>
        <w:rPr>
          <w:rFonts w:ascii="Arial" w:cs="Arial" w:eastAsia="Arial" w:hAnsi="Arial"/>
          <w:sz w:val="21"/>
          <w:szCs w:val="21"/>
          <w:color w:val="auto"/>
        </w:rPr>
      </w:pPr>
      <w:r>
        <w:rPr>
          <w:rFonts w:ascii="Arial" w:cs="Arial" w:eastAsia="Arial" w:hAnsi="Arial"/>
          <w:sz w:val="21"/>
          <w:szCs w:val="21"/>
          <w:color w:val="auto"/>
        </w:rPr>
        <w:t>immediately after such transaction, no Default or Event of Default shall have occurred and is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28" w:right="339" w:bottom="1440" w:gutter="0" w:footer="0" w:header="0"/>
        </w:sectPr>
      </w:pPr>
    </w:p>
    <w:bookmarkStart w:id="106" w:name="page107"/>
    <w:bookmarkEnd w:id="106"/>
    <w:p>
      <w:pPr>
        <w:jc w:val="both"/>
        <w:ind w:firstLine="648"/>
        <w:spacing w:after="0" w:line="253" w:lineRule="auto"/>
        <w:rPr>
          <w:sz w:val="20"/>
          <w:szCs w:val="20"/>
          <w:color w:val="auto"/>
        </w:rPr>
      </w:pPr>
      <w:r>
        <w:rPr>
          <w:rFonts w:ascii="Arial" w:cs="Arial" w:eastAsia="Arial" w:hAnsi="Arial"/>
          <w:sz w:val="22"/>
          <w:szCs w:val="22"/>
          <w:color w:val="auto"/>
        </w:rPr>
        <w:t>For the avoidance of doubt, a pledge, mortgage, charge, lien, encumbrance, hypothecation or grant of any other security interest on an asset or property shall not be considered as a sale, assignment, transfer, conveyance or disposal of such asset or property.</w:t>
      </w:r>
    </w:p>
    <w:p>
      <w:pPr>
        <w:spacing w:after="0" w:line="185"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5.02</w:t>
      </w:r>
      <w:r>
        <w:rPr>
          <w:sz w:val="20"/>
          <w:szCs w:val="20"/>
          <w:color w:val="auto"/>
        </w:rPr>
        <w:tab/>
      </w:r>
      <w:r>
        <w:rPr>
          <w:rFonts w:ascii="Arial" w:cs="Arial" w:eastAsia="Arial" w:hAnsi="Arial"/>
          <w:sz w:val="19"/>
          <w:szCs w:val="19"/>
          <w:i w:val="1"/>
          <w:iCs w:val="1"/>
          <w:color w:val="auto"/>
        </w:rPr>
        <w:t>Successor Corporation Substituted</w:t>
      </w:r>
    </w:p>
    <w:p>
      <w:pPr>
        <w:spacing w:after="0" w:line="22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9"/>
          <w:szCs w:val="19"/>
          <w:color w:val="auto"/>
        </w:rPr>
        <w:t xml:space="preserve">Upon any consolidation or merger, or any sale, assignment, transfer, lease, conveyance or other disposition of all or substantially all of the assets of the Issuer in a transaction that is subject to, and that complies with the provisions of, Section 5.01 hereof, the successor Person formed by such consolidation or into or with which the Issuer is merged or to which such sale, assignment, transfer, lease, conveyance or other disposition is made shall succeed to, and be substituted for (so that from and after the date of such consolidation, merger, sale, lease, conveyance or other disposition, the provisions of this Indenture referring to the “Issuer” shall refer instead to the successor Person and not to the Issuer), and may exercise every right and power of the Issuer under this Indenture with the same effect as if such successor Person had been named as the Issuer herein;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predecessor Issuer shall not be relieved from the obligation to pay the principal of and interest and premium, if</w:t>
      </w:r>
      <w:r>
        <w:rPr>
          <w:rFonts w:ascii="Arial" w:cs="Arial" w:eastAsia="Arial" w:hAnsi="Arial"/>
          <w:sz w:val="19"/>
          <w:szCs w:val="19"/>
          <w:i w:val="1"/>
          <w:iCs w:val="1"/>
          <w:color w:val="auto"/>
        </w:rPr>
        <w:t xml:space="preserve"> </w:t>
      </w:r>
      <w:r>
        <w:rPr>
          <w:rFonts w:ascii="Arial" w:cs="Arial" w:eastAsia="Arial" w:hAnsi="Arial"/>
          <w:sz w:val="19"/>
          <w:szCs w:val="19"/>
          <w:color w:val="auto"/>
        </w:rPr>
        <w:t>any, on the Notes, except in the case of a sale of all of the Issuer’s assets in a transaction that is subject to, and that complies with the provisions of Section 5.01 hereof.</w:t>
      </w:r>
    </w:p>
    <w:p>
      <w:pPr>
        <w:spacing w:after="0" w:line="186"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6</w:t>
      </w:r>
    </w:p>
    <w:p>
      <w:pPr>
        <w:spacing w:after="0" w:line="220"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DEFAULTS AND REMEDIES</w:t>
      </w:r>
    </w:p>
    <w:p>
      <w:pPr>
        <w:spacing w:after="0" w:line="247"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6.01</w:t>
      </w:r>
      <w:r>
        <w:rPr>
          <w:sz w:val="20"/>
          <w:szCs w:val="20"/>
          <w:color w:val="auto"/>
        </w:rPr>
        <w:tab/>
      </w:r>
      <w:r>
        <w:rPr>
          <w:rFonts w:ascii="Arial" w:cs="Arial" w:eastAsia="Arial" w:hAnsi="Arial"/>
          <w:sz w:val="19"/>
          <w:szCs w:val="19"/>
          <w:i w:val="1"/>
          <w:iCs w:val="1"/>
          <w:color w:val="auto"/>
        </w:rPr>
        <w:t>Events of Default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of the following is an “Event of Default”:</w:t>
      </w:r>
    </w:p>
    <w:p>
      <w:pPr>
        <w:spacing w:after="0" w:line="220" w:lineRule="exact"/>
        <w:rPr>
          <w:sz w:val="20"/>
          <w:szCs w:val="20"/>
          <w:color w:val="auto"/>
        </w:rPr>
      </w:pPr>
    </w:p>
    <w:p>
      <w:pPr>
        <w:ind w:left="780" w:hanging="448"/>
        <w:spacing w:after="0"/>
        <w:tabs>
          <w:tab w:leader="none" w:pos="78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default for 30 days in the payment when due of interest on the Notes;</w:t>
      </w:r>
    </w:p>
    <w:p>
      <w:pPr>
        <w:spacing w:after="0" w:line="246" w:lineRule="exact"/>
        <w:rPr>
          <w:rFonts w:ascii="Arial" w:cs="Arial" w:eastAsia="Arial" w:hAnsi="Arial"/>
          <w:sz w:val="22"/>
          <w:szCs w:val="22"/>
          <w:color w:val="auto"/>
        </w:rPr>
      </w:pPr>
    </w:p>
    <w:p>
      <w:pPr>
        <w:ind w:firstLine="332"/>
        <w:spacing w:after="0" w:line="263" w:lineRule="auto"/>
        <w:tabs>
          <w:tab w:leader="none" w:pos="951" w:val="left"/>
        </w:tabs>
        <w:numPr>
          <w:ilvl w:val="0"/>
          <w:numId w:val="103"/>
        </w:numPr>
        <w:rPr>
          <w:rFonts w:ascii="Arial" w:cs="Arial" w:eastAsia="Arial" w:hAnsi="Arial"/>
          <w:sz w:val="22"/>
          <w:szCs w:val="22"/>
          <w:color w:val="auto"/>
        </w:rPr>
      </w:pPr>
      <w:r>
        <w:rPr>
          <w:rFonts w:ascii="Arial" w:cs="Arial" w:eastAsia="Arial" w:hAnsi="Arial"/>
          <w:sz w:val="22"/>
          <w:szCs w:val="22"/>
          <w:color w:val="auto"/>
        </w:rPr>
        <w:t>default in the payment when due (at maturity, upon redemption, repurchase or otherwise) of the principal of, or premium, if any, on the Notes;</w:t>
      </w:r>
    </w:p>
    <w:p>
      <w:pPr>
        <w:spacing w:after="0" w:line="215" w:lineRule="exact"/>
        <w:rPr>
          <w:rFonts w:ascii="Arial" w:cs="Arial" w:eastAsia="Arial" w:hAnsi="Arial"/>
          <w:sz w:val="22"/>
          <w:szCs w:val="22"/>
          <w:color w:val="auto"/>
        </w:rPr>
      </w:pPr>
    </w:p>
    <w:p>
      <w:pPr>
        <w:ind w:left="780" w:hanging="448"/>
        <w:spacing w:after="0"/>
        <w:tabs>
          <w:tab w:leader="none" w:pos="78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failure by the Issuer:</w:t>
      </w:r>
    </w:p>
    <w:p>
      <w:pPr>
        <w:spacing w:after="0" w:line="246" w:lineRule="exact"/>
        <w:rPr>
          <w:rFonts w:ascii="Arial" w:cs="Arial" w:eastAsia="Arial" w:hAnsi="Arial"/>
          <w:sz w:val="22"/>
          <w:szCs w:val="22"/>
          <w:color w:val="auto"/>
        </w:rPr>
      </w:pPr>
    </w:p>
    <w:p>
      <w:pPr>
        <w:ind w:firstLine="980"/>
        <w:spacing w:after="0" w:line="263" w:lineRule="auto"/>
        <w:tabs>
          <w:tab w:leader="none" w:pos="1453" w:val="left"/>
        </w:tabs>
        <w:numPr>
          <w:ilvl w:val="1"/>
          <w:numId w:val="103"/>
        </w:numPr>
        <w:rPr>
          <w:rFonts w:ascii="Arial" w:cs="Arial" w:eastAsia="Arial" w:hAnsi="Arial"/>
          <w:sz w:val="22"/>
          <w:szCs w:val="22"/>
          <w:color w:val="auto"/>
        </w:rPr>
      </w:pPr>
      <w:r>
        <w:rPr>
          <w:rFonts w:ascii="Arial" w:cs="Arial" w:eastAsia="Arial" w:hAnsi="Arial"/>
          <w:sz w:val="22"/>
          <w:szCs w:val="22"/>
          <w:color w:val="auto"/>
        </w:rPr>
        <w:t>to comply with any payment obligations (including, without limitation, obligations as to the timing or amount of such payments) described under Section 4.08 and Section 4.10 hereof; or</w:t>
      </w:r>
    </w:p>
    <w:p>
      <w:pPr>
        <w:spacing w:after="0" w:line="174" w:lineRule="exact"/>
        <w:rPr>
          <w:rFonts w:ascii="Arial" w:cs="Arial" w:eastAsia="Arial" w:hAnsi="Arial"/>
          <w:sz w:val="22"/>
          <w:szCs w:val="22"/>
          <w:color w:val="auto"/>
        </w:rPr>
      </w:pPr>
    </w:p>
    <w:p>
      <w:pPr>
        <w:ind w:left="1440" w:hanging="460"/>
        <w:spacing w:after="0"/>
        <w:tabs>
          <w:tab w:leader="none" w:pos="1440" w:val="left"/>
        </w:tabs>
        <w:numPr>
          <w:ilvl w:val="1"/>
          <w:numId w:val="103"/>
        </w:numPr>
        <w:rPr>
          <w:rFonts w:ascii="Arial" w:cs="Arial" w:eastAsia="Arial" w:hAnsi="Arial"/>
          <w:sz w:val="22"/>
          <w:szCs w:val="22"/>
          <w:color w:val="auto"/>
        </w:rPr>
      </w:pPr>
      <w:r>
        <w:rPr>
          <w:rFonts w:ascii="Arial" w:cs="Arial" w:eastAsia="Arial" w:hAnsi="Arial"/>
          <w:sz w:val="22"/>
          <w:szCs w:val="22"/>
          <w:color w:val="auto"/>
        </w:rPr>
        <w:t>to comply with Section 5.01 hereof;</w:t>
      </w:r>
    </w:p>
    <w:p>
      <w:pPr>
        <w:spacing w:after="0" w:line="219" w:lineRule="exact"/>
        <w:rPr>
          <w:rFonts w:ascii="Arial" w:cs="Arial" w:eastAsia="Arial" w:hAnsi="Arial"/>
          <w:sz w:val="22"/>
          <w:szCs w:val="22"/>
          <w:color w:val="auto"/>
        </w:rPr>
      </w:pPr>
    </w:p>
    <w:p>
      <w:pPr>
        <w:jc w:val="both"/>
        <w:ind w:firstLine="332"/>
        <w:spacing w:after="0" w:line="253" w:lineRule="auto"/>
        <w:tabs>
          <w:tab w:leader="none" w:pos="91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failure by the Issuer for 60 days after receipt of written notice from the Trustee or the Holders of at least 25% in aggregate principal amount of the Notes then outstanding voting as a single class to comply with any of the other agreements in this Indenture not identified in Sections 6.01(a), (b) or (c) hereof;</w:t>
      </w:r>
    </w:p>
    <w:p>
      <w:pPr>
        <w:spacing w:after="0" w:line="212" w:lineRule="exact"/>
        <w:rPr>
          <w:rFonts w:ascii="Arial" w:cs="Arial" w:eastAsia="Arial" w:hAnsi="Arial"/>
          <w:sz w:val="22"/>
          <w:szCs w:val="22"/>
          <w:color w:val="auto"/>
        </w:rPr>
      </w:pPr>
    </w:p>
    <w:p>
      <w:pPr>
        <w:jc w:val="both"/>
        <w:ind w:firstLine="332"/>
        <w:spacing w:after="0" w:line="253" w:lineRule="auto"/>
        <w:tabs>
          <w:tab w:leader="none" w:pos="791" w:val="left"/>
        </w:tabs>
        <w:numPr>
          <w:ilvl w:val="0"/>
          <w:numId w:val="103"/>
        </w:numPr>
        <w:rPr>
          <w:rFonts w:ascii="Arial" w:cs="Arial" w:eastAsia="Arial" w:hAnsi="Arial"/>
          <w:sz w:val="22"/>
          <w:szCs w:val="22"/>
          <w:color w:val="auto"/>
        </w:rPr>
      </w:pPr>
      <w:r>
        <w:rPr>
          <w:rFonts w:ascii="Arial" w:cs="Arial" w:eastAsia="Arial" w:hAnsi="Arial"/>
          <w:sz w:val="22"/>
          <w:szCs w:val="22"/>
          <w:color w:val="auto"/>
        </w:rPr>
        <w:t>default under any mortgage, indenture or instrument under which there may be issued or by which there may be secured or evidenced any Indebtedness for money borrowed by the Issuer or any of its Subsidiaries (or the payment of which is guaranteed by the Issuer or any of its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1428" w:right="339" w:bottom="1440" w:gutter="0" w:footer="0" w:header="0"/>
        </w:sectPr>
      </w:pPr>
    </w:p>
    <w:bookmarkStart w:id="107" w:name="page108"/>
    <w:bookmarkEnd w:id="107"/>
    <w:p>
      <w:pPr>
        <w:jc w:val="both"/>
        <w:spacing w:after="0" w:line="263" w:lineRule="auto"/>
        <w:rPr>
          <w:sz w:val="20"/>
          <w:szCs w:val="20"/>
          <w:color w:val="auto"/>
        </w:rPr>
      </w:pPr>
      <w:r>
        <w:rPr>
          <w:rFonts w:ascii="Arial" w:cs="Arial" w:eastAsia="Arial" w:hAnsi="Arial"/>
          <w:sz w:val="21"/>
          <w:szCs w:val="21"/>
          <w:color w:val="auto"/>
        </w:rPr>
        <w:t>Subsidiaries), whether such Indebtedness or guarantee exists on the date of this Indenture, or is created after the date of this Indenture, if that default results in the acceleration of such Indebtedness prior to its express maturity, and, in each case, the principal amount of any such Indebtedness, together with the principal amount of any other such Indebtedness the maturity of which has been so accelerated, aggregates US$50.0 million (or the Dollar Equivalent thereof) or more, if such acceleration is not annulled within 30 days after written notice as provided in this Indenture;</w:t>
      </w:r>
    </w:p>
    <w:p>
      <w:pPr>
        <w:spacing w:after="0" w:line="202" w:lineRule="exact"/>
        <w:rPr>
          <w:sz w:val="20"/>
          <w:szCs w:val="20"/>
          <w:color w:val="auto"/>
        </w:rPr>
      </w:pPr>
    </w:p>
    <w:p>
      <w:pPr>
        <w:jc w:val="both"/>
        <w:ind w:firstLine="332"/>
        <w:spacing w:after="0" w:line="250" w:lineRule="auto"/>
        <w:tabs>
          <w:tab w:leader="none" w:pos="775" w:val="left"/>
        </w:tabs>
        <w:numPr>
          <w:ilvl w:val="0"/>
          <w:numId w:val="104"/>
        </w:numPr>
        <w:rPr>
          <w:rFonts w:ascii="Arial" w:cs="Arial" w:eastAsia="Arial" w:hAnsi="Arial"/>
          <w:sz w:val="22"/>
          <w:szCs w:val="22"/>
          <w:color w:val="auto"/>
        </w:rPr>
      </w:pPr>
      <w:r>
        <w:rPr>
          <w:rFonts w:ascii="Arial" w:cs="Arial" w:eastAsia="Arial" w:hAnsi="Arial"/>
          <w:sz w:val="22"/>
          <w:szCs w:val="22"/>
          <w:color w:val="auto"/>
        </w:rPr>
        <w:t>failure by the Issuer or any of its Significant Subsidiaries to pay final non-appealable judgments (not paid or covered by insurance as to which the relevant insurance company has not denied responsibility) rendered against the Issuer or any Significant Subsidiary aggregating in excess of US$50.0 million (or the Dollar Equivalent thereof), which judgments are not paid, bonded, discharged or stayed for a period of 60 days;</w:t>
      </w:r>
    </w:p>
    <w:p>
      <w:pPr>
        <w:spacing w:after="0" w:line="214" w:lineRule="exact"/>
        <w:rPr>
          <w:rFonts w:ascii="Arial" w:cs="Arial" w:eastAsia="Arial" w:hAnsi="Arial"/>
          <w:sz w:val="22"/>
          <w:szCs w:val="22"/>
          <w:color w:val="auto"/>
        </w:rPr>
      </w:pPr>
    </w:p>
    <w:p>
      <w:pPr>
        <w:ind w:firstLine="332"/>
        <w:spacing w:after="0" w:line="287" w:lineRule="auto"/>
        <w:tabs>
          <w:tab w:leader="none" w:pos="811" w:val="left"/>
        </w:tabs>
        <w:numPr>
          <w:ilvl w:val="0"/>
          <w:numId w:val="104"/>
        </w:numPr>
        <w:rPr>
          <w:rFonts w:ascii="Arial" w:cs="Arial" w:eastAsia="Arial" w:hAnsi="Arial"/>
          <w:sz w:val="21"/>
          <w:szCs w:val="21"/>
          <w:color w:val="auto"/>
        </w:rPr>
      </w:pPr>
      <w:r>
        <w:rPr>
          <w:rFonts w:ascii="Arial" w:cs="Arial" w:eastAsia="Arial" w:hAnsi="Arial"/>
          <w:sz w:val="21"/>
          <w:szCs w:val="21"/>
          <w:color w:val="auto"/>
        </w:rPr>
        <w:t>the Issuer or any of its Subsidiaries that is a Significant Subsidiary or any group of Subsidiaries of the Issuer that, taken together, would constitute a Significant Subsidiary pursuant to or within the meaning of Bankruptcy Law:</w:t>
      </w:r>
    </w:p>
    <w:p>
      <w:pPr>
        <w:spacing w:after="0" w:line="178" w:lineRule="exact"/>
        <w:rPr>
          <w:rFonts w:ascii="Arial" w:cs="Arial" w:eastAsia="Arial" w:hAnsi="Arial"/>
          <w:sz w:val="21"/>
          <w:szCs w:val="21"/>
          <w:color w:val="auto"/>
        </w:rPr>
      </w:pPr>
    </w:p>
    <w:p>
      <w:pPr>
        <w:ind w:left="1440" w:hanging="460"/>
        <w:spacing w:after="0"/>
        <w:tabs>
          <w:tab w:leader="none" w:pos="144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commences a voluntary case;</w:t>
      </w:r>
    </w:p>
    <w:p>
      <w:pPr>
        <w:spacing w:after="0" w:line="219" w:lineRule="exact"/>
        <w:rPr>
          <w:rFonts w:ascii="Arial" w:cs="Arial" w:eastAsia="Arial" w:hAnsi="Arial"/>
          <w:sz w:val="22"/>
          <w:szCs w:val="22"/>
          <w:color w:val="auto"/>
        </w:rPr>
      </w:pPr>
    </w:p>
    <w:p>
      <w:pPr>
        <w:ind w:left="1440" w:hanging="460"/>
        <w:spacing w:after="0"/>
        <w:tabs>
          <w:tab w:leader="none" w:pos="144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consents to the entry of an order for relief against it in an involuntary case;</w:t>
      </w:r>
    </w:p>
    <w:p>
      <w:pPr>
        <w:spacing w:after="0" w:line="219" w:lineRule="exact"/>
        <w:rPr>
          <w:rFonts w:ascii="Arial" w:cs="Arial" w:eastAsia="Arial" w:hAnsi="Arial"/>
          <w:sz w:val="22"/>
          <w:szCs w:val="22"/>
          <w:color w:val="auto"/>
        </w:rPr>
      </w:pPr>
    </w:p>
    <w:p>
      <w:pPr>
        <w:ind w:left="1440" w:hanging="460"/>
        <w:spacing w:after="0"/>
        <w:tabs>
          <w:tab w:leader="none" w:pos="144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consents to the appointment of a custodian of it or for all or substantially all of its property;</w:t>
      </w:r>
    </w:p>
    <w:p>
      <w:pPr>
        <w:spacing w:after="0" w:line="219" w:lineRule="exact"/>
        <w:rPr>
          <w:rFonts w:ascii="Arial" w:cs="Arial" w:eastAsia="Arial" w:hAnsi="Arial"/>
          <w:sz w:val="22"/>
          <w:szCs w:val="22"/>
          <w:color w:val="auto"/>
        </w:rPr>
      </w:pPr>
    </w:p>
    <w:p>
      <w:pPr>
        <w:ind w:left="1440" w:hanging="460"/>
        <w:spacing w:after="0"/>
        <w:tabs>
          <w:tab w:leader="none" w:pos="144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makes a general assignment for the benefit of its creditors; or</w:t>
      </w:r>
    </w:p>
    <w:p>
      <w:pPr>
        <w:spacing w:after="0" w:line="219" w:lineRule="exact"/>
        <w:rPr>
          <w:rFonts w:ascii="Arial" w:cs="Arial" w:eastAsia="Arial" w:hAnsi="Arial"/>
          <w:sz w:val="22"/>
          <w:szCs w:val="22"/>
          <w:color w:val="auto"/>
        </w:rPr>
      </w:pPr>
    </w:p>
    <w:p>
      <w:pPr>
        <w:ind w:left="1440" w:hanging="460"/>
        <w:spacing w:after="0"/>
        <w:tabs>
          <w:tab w:leader="none" w:pos="144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generally is not paying its debts as they become due; or</w:t>
      </w:r>
    </w:p>
    <w:p>
      <w:pPr>
        <w:spacing w:after="0" w:line="219" w:lineRule="exact"/>
        <w:rPr>
          <w:rFonts w:ascii="Arial" w:cs="Arial" w:eastAsia="Arial" w:hAnsi="Arial"/>
          <w:sz w:val="22"/>
          <w:szCs w:val="22"/>
          <w:color w:val="auto"/>
        </w:rPr>
      </w:pPr>
    </w:p>
    <w:p>
      <w:pPr>
        <w:ind w:left="800" w:hanging="468"/>
        <w:spacing w:after="0"/>
        <w:tabs>
          <w:tab w:leader="none" w:pos="80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a court of competent jurisdiction enters an order or decree under any Bankruptcy Law that:</w:t>
      </w:r>
    </w:p>
    <w:p>
      <w:pPr>
        <w:spacing w:after="0" w:line="260" w:lineRule="exact"/>
        <w:rPr>
          <w:rFonts w:ascii="Arial" w:cs="Arial" w:eastAsia="Arial" w:hAnsi="Arial"/>
          <w:sz w:val="22"/>
          <w:szCs w:val="22"/>
          <w:color w:val="auto"/>
        </w:rPr>
      </w:pPr>
    </w:p>
    <w:p>
      <w:pPr>
        <w:ind w:firstLine="980"/>
        <w:spacing w:after="0" w:line="263" w:lineRule="auto"/>
        <w:tabs>
          <w:tab w:leader="none" w:pos="1609" w:val="left"/>
        </w:tabs>
        <w:numPr>
          <w:ilvl w:val="1"/>
          <w:numId w:val="104"/>
        </w:numPr>
        <w:rPr>
          <w:rFonts w:ascii="Arial" w:cs="Arial" w:eastAsia="Arial" w:hAnsi="Arial"/>
          <w:sz w:val="22"/>
          <w:szCs w:val="22"/>
          <w:color w:val="auto"/>
        </w:rPr>
      </w:pPr>
      <w:r>
        <w:rPr>
          <w:rFonts w:ascii="Arial" w:cs="Arial" w:eastAsia="Arial" w:hAnsi="Arial"/>
          <w:sz w:val="22"/>
          <w:szCs w:val="22"/>
          <w:color w:val="auto"/>
        </w:rPr>
        <w:t>is for relief against the Issuer or any of its Subsidiaries that is a Significant Subsidiary or any group of Subsidiaries of the Issuer that, taken together, would constitute a Significant Subsidiary in an involuntary case;</w:t>
      </w:r>
    </w:p>
    <w:p>
      <w:pPr>
        <w:spacing w:after="0" w:line="174" w:lineRule="exact"/>
        <w:rPr>
          <w:rFonts w:ascii="Arial" w:cs="Arial" w:eastAsia="Arial" w:hAnsi="Arial"/>
          <w:sz w:val="22"/>
          <w:szCs w:val="22"/>
          <w:color w:val="auto"/>
        </w:rPr>
      </w:pPr>
    </w:p>
    <w:p>
      <w:pPr>
        <w:jc w:val="both"/>
        <w:ind w:firstLine="980"/>
        <w:spacing w:after="0" w:line="250" w:lineRule="auto"/>
        <w:tabs>
          <w:tab w:leader="none" w:pos="1546" w:val="left"/>
        </w:tabs>
        <w:numPr>
          <w:ilvl w:val="1"/>
          <w:numId w:val="104"/>
        </w:numPr>
        <w:rPr>
          <w:rFonts w:ascii="Arial" w:cs="Arial" w:eastAsia="Arial" w:hAnsi="Arial"/>
          <w:sz w:val="22"/>
          <w:szCs w:val="22"/>
          <w:color w:val="auto"/>
        </w:rPr>
      </w:pPr>
      <w:r>
        <w:rPr>
          <w:rFonts w:ascii="Arial" w:cs="Arial" w:eastAsia="Arial" w:hAnsi="Arial"/>
          <w:sz w:val="22"/>
          <w:szCs w:val="22"/>
          <w:color w:val="auto"/>
        </w:rPr>
        <w:t>appoints a custodian of the Issuer or any of its Subsidiaries that is a Significant Subsidiary or any group of Subsidiaries of the Issuer that, taken together, would constitute a Significant Subsidiary or for all or substantially all of the property of the Issuer or any of its Subsidiaries that is a Significant Subsidiary or any group of Subsidiaries of the Issuer that, taken together, would constitute a Significant Subsidiary; or</w:t>
      </w:r>
    </w:p>
    <w:p>
      <w:pPr>
        <w:spacing w:after="0" w:line="187" w:lineRule="exact"/>
        <w:rPr>
          <w:rFonts w:ascii="Arial" w:cs="Arial" w:eastAsia="Arial" w:hAnsi="Arial"/>
          <w:sz w:val="22"/>
          <w:szCs w:val="22"/>
          <w:color w:val="auto"/>
        </w:rPr>
      </w:pPr>
    </w:p>
    <w:p>
      <w:pPr>
        <w:ind w:right="20" w:firstLine="980"/>
        <w:spacing w:after="0" w:line="263" w:lineRule="auto"/>
        <w:tabs>
          <w:tab w:leader="none" w:pos="1529" w:val="left"/>
        </w:tabs>
        <w:numPr>
          <w:ilvl w:val="1"/>
          <w:numId w:val="104"/>
        </w:numPr>
        <w:rPr>
          <w:rFonts w:ascii="Arial" w:cs="Arial" w:eastAsia="Arial" w:hAnsi="Arial"/>
          <w:sz w:val="22"/>
          <w:szCs w:val="22"/>
          <w:color w:val="auto"/>
        </w:rPr>
      </w:pPr>
      <w:r>
        <w:rPr>
          <w:rFonts w:ascii="Arial" w:cs="Arial" w:eastAsia="Arial" w:hAnsi="Arial"/>
          <w:sz w:val="22"/>
          <w:szCs w:val="22"/>
          <w:color w:val="auto"/>
        </w:rPr>
        <w:t>orders the liquidation of the Issuer or any of its Subsidiaries that is a Significant Subsidiary or any group of Subsidiaries of the Issuer that, taken together, would constitute a Significant Subsidiary;</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and the order or decree remains unstayed and in effect for 60 consecutive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1428" w:right="339" w:bottom="1440" w:gutter="0" w:footer="0" w:header="0"/>
        </w:sectPr>
      </w:pPr>
    </w:p>
    <w:bookmarkStart w:id="108" w:name="page109"/>
    <w:bookmarkEnd w:id="108"/>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6.02</w:t>
      </w:r>
      <w:r>
        <w:rPr>
          <w:sz w:val="20"/>
          <w:szCs w:val="20"/>
          <w:color w:val="auto"/>
        </w:rPr>
        <w:tab/>
      </w:r>
      <w:r>
        <w:rPr>
          <w:rFonts w:ascii="Arial" w:cs="Arial" w:eastAsia="Arial" w:hAnsi="Arial"/>
          <w:sz w:val="19"/>
          <w:szCs w:val="19"/>
          <w:i w:val="1"/>
          <w:iCs w:val="1"/>
          <w:color w:val="auto"/>
        </w:rPr>
        <w:t>Acceleration</w:t>
      </w:r>
    </w:p>
    <w:p>
      <w:pPr>
        <w:spacing w:after="0" w:line="22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In the case of an Event of Default specified in clause (g) or (h) of Section 6.01 hereof, all outstanding Notes shall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Upon any such declaration, the Notes shall become due and payable immediately.</w:t>
      </w:r>
    </w:p>
    <w:p>
      <w:pPr>
        <w:spacing w:after="0" w:line="247"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9"/>
          <w:szCs w:val="19"/>
          <w:color w:val="auto"/>
        </w:rPr>
        <w:t>The Holders of a majority in aggregate principal amount of the then outstanding Notes by written notice to the Trustee may on behalf of all of the Holders rescind an acceleration and its consequences if (i) the rescission would not conflict with any judgment or decree, (ii) all existing Events of Default (except nonpayment of principal, interest or premium, if any, that has become due solely because of the acceleration) have been cured or waived and (iii) there has been paid to or deposited with the Trustee a sum sufficient to pay all amounts due to the Trustee and to reimburse the Trustee for any and all fees, expenses and disbursements advanced by the Trustee, its agents and its counsel incurred in connection with such Default.</w:t>
      </w:r>
    </w:p>
    <w:p>
      <w:pPr>
        <w:spacing w:after="0" w:line="176"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6.03</w:t>
      </w:r>
      <w:r>
        <w:rPr>
          <w:sz w:val="20"/>
          <w:szCs w:val="20"/>
          <w:color w:val="auto"/>
        </w:rPr>
        <w:tab/>
      </w:r>
      <w:r>
        <w:rPr>
          <w:rFonts w:ascii="Arial" w:cs="Arial" w:eastAsia="Arial" w:hAnsi="Arial"/>
          <w:sz w:val="18"/>
          <w:szCs w:val="18"/>
          <w:i w:val="1"/>
          <w:iCs w:val="1"/>
          <w:color w:val="auto"/>
        </w:rPr>
        <w:t>Other Remedies</w:t>
      </w:r>
    </w:p>
    <w:p>
      <w:pPr>
        <w:spacing w:after="0" w:line="22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If an Event of Default occurs and is continuing, the Trustee may pursue any available remedy to collect the payment of principal, premium, if any, and interest on the Notes or to enforce the performance of any provision of the Notes or this Indenture.</w:t>
      </w:r>
    </w:p>
    <w:p>
      <w:pPr>
        <w:spacing w:after="0" w:line="226"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215"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6.04</w:t>
      </w:r>
      <w:r>
        <w:rPr>
          <w:sz w:val="20"/>
          <w:szCs w:val="20"/>
          <w:color w:val="auto"/>
        </w:rPr>
        <w:tab/>
      </w:r>
      <w:r>
        <w:rPr>
          <w:rFonts w:ascii="Arial" w:cs="Arial" w:eastAsia="Arial" w:hAnsi="Arial"/>
          <w:sz w:val="19"/>
          <w:szCs w:val="19"/>
          <w:i w:val="1"/>
          <w:iCs w:val="1"/>
          <w:color w:val="auto"/>
        </w:rPr>
        <w:t>Waiver of Defaults</w:t>
      </w:r>
    </w:p>
    <w:p>
      <w:pPr>
        <w:spacing w:after="0" w:line="22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9"/>
          <w:szCs w:val="19"/>
          <w:color w:val="auto"/>
        </w:rPr>
        <w:t xml:space="preserve">Subject to Section 6.02 hereof, Holders of not less than a majority in aggregate principal amount of the then outstanding Notes by notice to the Trustee may, on behalf of the Holders of all of the Notes, waive an existing Default or Event of Default and its consequences hereunder, except a continuing Default or Event of Default in the payment of the principal of, premium, if any, or interest on, the Notes (including in connection with an offer to purchase);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Holders of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3"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6.05</w:t>
      </w:r>
      <w:r>
        <w:rPr>
          <w:sz w:val="20"/>
          <w:szCs w:val="20"/>
          <w:color w:val="auto"/>
        </w:rPr>
        <w:tab/>
      </w:r>
      <w:r>
        <w:rPr>
          <w:rFonts w:ascii="Arial" w:cs="Arial" w:eastAsia="Arial" w:hAnsi="Arial"/>
          <w:sz w:val="19"/>
          <w:szCs w:val="19"/>
          <w:i w:val="1"/>
          <w:iCs w:val="1"/>
          <w:color w:val="auto"/>
        </w:rPr>
        <w:t>Control by Majority</w:t>
      </w:r>
    </w:p>
    <w:p>
      <w:pPr>
        <w:spacing w:after="0" w:line="22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22"/>
          <w:szCs w:val="22"/>
          <w:color w:val="auto"/>
        </w:rPr>
        <w:t xml:space="preserve">Holders of a majority in principal amount of the then outstanding Notes may direct the time, method and place of </w:t>
      </w:r>
      <w:r>
        <w:rPr>
          <w:rFonts w:ascii="Arial" w:cs="Arial" w:eastAsia="Arial" w:hAnsi="Arial"/>
          <w:sz w:val="22"/>
          <w:szCs w:val="22"/>
          <w:i w:val="1"/>
          <w:iCs w:val="1"/>
          <w:color w:val="auto"/>
        </w:rPr>
        <w:t>conducting</w:t>
      </w:r>
      <w:r>
        <w:rPr>
          <w:rFonts w:ascii="Arial" w:cs="Arial" w:eastAsia="Arial" w:hAnsi="Arial"/>
          <w:sz w:val="22"/>
          <w:szCs w:val="22"/>
          <w:color w:val="auto"/>
        </w:rPr>
        <w:t xml:space="preserve"> any proceeding for exercising any remedy available to the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1428" w:right="339" w:bottom="1440" w:gutter="0" w:footer="0" w:header="0"/>
        </w:sectPr>
      </w:pPr>
    </w:p>
    <w:bookmarkStart w:id="109" w:name="page110"/>
    <w:bookmarkEnd w:id="109"/>
    <w:p>
      <w:pPr>
        <w:jc w:val="both"/>
        <w:spacing w:after="0" w:line="271" w:lineRule="auto"/>
        <w:rPr>
          <w:sz w:val="20"/>
          <w:szCs w:val="20"/>
          <w:color w:val="auto"/>
        </w:rPr>
      </w:pPr>
      <w:r>
        <w:rPr>
          <w:rFonts w:ascii="Arial" w:cs="Arial" w:eastAsia="Arial" w:hAnsi="Arial"/>
          <w:sz w:val="21"/>
          <w:szCs w:val="21"/>
          <w:color w:val="auto"/>
        </w:rPr>
        <w:t>Trustee or exercising any trust or power conferred on it. In addition, the Trustee may refuse to follow any direction that conflicts with law or this Indenture that the Trustee determines in good faith may be unduly prejudicial to the rights of other Holders of Notes not joining in the giving of such direction or that may involve the Trustee in personal liability.</w:t>
      </w:r>
    </w:p>
    <w:p>
      <w:pPr>
        <w:spacing w:after="0" w:line="194"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6.06</w:t>
      </w:r>
      <w:r>
        <w:rPr>
          <w:sz w:val="20"/>
          <w:szCs w:val="20"/>
          <w:color w:val="auto"/>
        </w:rPr>
        <w:tab/>
      </w:r>
      <w:r>
        <w:rPr>
          <w:rFonts w:ascii="Arial" w:cs="Arial" w:eastAsia="Arial" w:hAnsi="Arial"/>
          <w:sz w:val="19"/>
          <w:szCs w:val="19"/>
          <w:i w:val="1"/>
          <w:iCs w:val="1"/>
          <w:color w:val="auto"/>
        </w:rPr>
        <w:t>Limitation on Suits</w:t>
      </w:r>
    </w:p>
    <w:p>
      <w:pPr>
        <w:spacing w:after="0" w:line="22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22"/>
          <w:szCs w:val="22"/>
          <w:color w:val="auto"/>
        </w:rPr>
        <w:t>Except to enforce the right to receive payment of principal, interest or premium, if any, when due, a Holder of a Note may pursue a remedy with respect to this Indenture or the Notes only if:</w:t>
      </w:r>
    </w:p>
    <w:p>
      <w:pPr>
        <w:spacing w:after="0" w:line="202" w:lineRule="exact"/>
        <w:rPr>
          <w:sz w:val="20"/>
          <w:szCs w:val="20"/>
          <w:color w:val="auto"/>
        </w:rPr>
      </w:pPr>
    </w:p>
    <w:p>
      <w:pPr>
        <w:ind w:left="780" w:hanging="448"/>
        <w:spacing w:after="0"/>
        <w:tabs>
          <w:tab w:leader="none" w:pos="78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such Holder of a Note gives to the Trustee written notice that an Event of Default is continuing;</w:t>
      </w:r>
    </w:p>
    <w:p>
      <w:pPr>
        <w:spacing w:after="0" w:line="246" w:lineRule="exact"/>
        <w:rPr>
          <w:rFonts w:ascii="Arial" w:cs="Arial" w:eastAsia="Arial" w:hAnsi="Arial"/>
          <w:sz w:val="22"/>
          <w:szCs w:val="22"/>
          <w:color w:val="auto"/>
        </w:rPr>
      </w:pPr>
    </w:p>
    <w:p>
      <w:pPr>
        <w:ind w:firstLine="332"/>
        <w:spacing w:after="0" w:line="263" w:lineRule="auto"/>
        <w:tabs>
          <w:tab w:leader="none" w:pos="841"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Holders of at least 25% in aggregate principal amount of the then outstanding Notes make a written request to the Trustee to pursue the remedy;</w:t>
      </w:r>
    </w:p>
    <w:p>
      <w:pPr>
        <w:spacing w:after="0" w:line="215" w:lineRule="exact"/>
        <w:rPr>
          <w:rFonts w:ascii="Arial" w:cs="Arial" w:eastAsia="Arial" w:hAnsi="Arial"/>
          <w:sz w:val="22"/>
          <w:szCs w:val="22"/>
          <w:color w:val="auto"/>
        </w:rPr>
      </w:pPr>
    </w:p>
    <w:p>
      <w:pPr>
        <w:ind w:right="20" w:firstLine="332"/>
        <w:spacing w:after="0" w:line="263" w:lineRule="auto"/>
        <w:tabs>
          <w:tab w:leader="none" w:pos="836" w:val="left"/>
        </w:tabs>
        <w:numPr>
          <w:ilvl w:val="0"/>
          <w:numId w:val="105"/>
        </w:numPr>
        <w:rPr>
          <w:rFonts w:ascii="Arial" w:cs="Arial" w:eastAsia="Arial" w:hAnsi="Arial"/>
          <w:sz w:val="22"/>
          <w:szCs w:val="22"/>
          <w:color w:val="auto"/>
        </w:rPr>
      </w:pPr>
      <w:r>
        <w:rPr>
          <w:rFonts w:ascii="Arial" w:cs="Arial" w:eastAsia="Arial" w:hAnsi="Arial"/>
          <w:sz w:val="22"/>
          <w:szCs w:val="22"/>
          <w:color w:val="auto"/>
        </w:rPr>
        <w:t>such Holder or Holders offer and, if requested, provide to the Trustee security or indemnity reasonably satisfactory to the Trustee against any loss, liability, claim or expense;</w:t>
      </w:r>
    </w:p>
    <w:p>
      <w:pPr>
        <w:spacing w:after="0" w:line="201" w:lineRule="exact"/>
        <w:rPr>
          <w:rFonts w:ascii="Arial" w:cs="Arial" w:eastAsia="Arial" w:hAnsi="Arial"/>
          <w:sz w:val="22"/>
          <w:szCs w:val="22"/>
          <w:color w:val="auto"/>
        </w:rPr>
      </w:pPr>
    </w:p>
    <w:p>
      <w:pPr>
        <w:ind w:firstLine="332"/>
        <w:spacing w:after="0" w:line="263" w:lineRule="auto"/>
        <w:tabs>
          <w:tab w:leader="none" w:pos="88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Trustee does not comply with the request within 60 days after receipt of the request and the offer of security or indemnity; and</w:t>
      </w:r>
    </w:p>
    <w:p>
      <w:pPr>
        <w:spacing w:after="0" w:line="201" w:lineRule="exact"/>
        <w:rPr>
          <w:rFonts w:ascii="Arial" w:cs="Arial" w:eastAsia="Arial" w:hAnsi="Arial"/>
          <w:sz w:val="22"/>
          <w:szCs w:val="22"/>
          <w:color w:val="auto"/>
        </w:rPr>
      </w:pPr>
    </w:p>
    <w:p>
      <w:pPr>
        <w:ind w:firstLine="332"/>
        <w:spacing w:after="0" w:line="263" w:lineRule="auto"/>
        <w:tabs>
          <w:tab w:leader="none" w:pos="789" w:val="left"/>
        </w:tabs>
        <w:numPr>
          <w:ilvl w:val="0"/>
          <w:numId w:val="105"/>
        </w:numPr>
        <w:rPr>
          <w:rFonts w:ascii="Arial" w:cs="Arial" w:eastAsia="Arial" w:hAnsi="Arial"/>
          <w:sz w:val="22"/>
          <w:szCs w:val="22"/>
          <w:color w:val="auto"/>
        </w:rPr>
      </w:pPr>
      <w:r>
        <w:rPr>
          <w:rFonts w:ascii="Arial" w:cs="Arial" w:eastAsia="Arial" w:hAnsi="Arial"/>
          <w:sz w:val="22"/>
          <w:szCs w:val="22"/>
          <w:color w:val="auto"/>
        </w:rPr>
        <w:t>during such 60-day period, the Holders of a majority in aggregate principal amount of the then outstanding Notes do not give the Trustee a direction inconsistent with such request within such 60-day period.</w:t>
      </w:r>
    </w:p>
    <w:p>
      <w:pPr>
        <w:spacing w:after="0" w:line="20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A Holder of a Note may not use this Indenture to prejudice the rights of another Holder of a Note or to obtain a preference or priority over another Holder of a Note (it being understood that the Trustee does not have an affirmative duty to ascertain whether or not such actions or forbearances are unduly prejudicial to such Holders).</w:t>
      </w:r>
    </w:p>
    <w:p>
      <w:pPr>
        <w:spacing w:after="0" w:line="212"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6.07</w:t>
      </w:r>
      <w:r>
        <w:rPr>
          <w:sz w:val="20"/>
          <w:szCs w:val="20"/>
          <w:color w:val="auto"/>
        </w:rPr>
        <w:tab/>
      </w:r>
      <w:r>
        <w:rPr>
          <w:rFonts w:ascii="Arial" w:cs="Arial" w:eastAsia="Arial" w:hAnsi="Arial"/>
          <w:sz w:val="19"/>
          <w:szCs w:val="19"/>
          <w:i w:val="1"/>
          <w:iCs w:val="1"/>
          <w:color w:val="auto"/>
        </w:rPr>
        <w:t>Rights of Holders of Notes to Receive Payment</w:t>
      </w:r>
    </w:p>
    <w:p>
      <w:pPr>
        <w:spacing w:after="0" w:line="220"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21"/>
          <w:szCs w:val="21"/>
          <w:color w:val="auto"/>
        </w:rPr>
        <w:t>Notwithstanding any other provision of this Indenture, but except as provided in Section 9.02, the right of any Holder of a Note to receive payment of principal, premium, if any, and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w:t>
      </w:r>
    </w:p>
    <w:p>
      <w:pPr>
        <w:spacing w:after="0" w:line="202"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6.08</w:t>
      </w:r>
      <w:r>
        <w:rPr>
          <w:sz w:val="20"/>
          <w:szCs w:val="20"/>
          <w:color w:val="auto"/>
        </w:rPr>
        <w:tab/>
      </w:r>
      <w:r>
        <w:rPr>
          <w:rFonts w:ascii="Arial" w:cs="Arial" w:eastAsia="Arial" w:hAnsi="Arial"/>
          <w:sz w:val="19"/>
          <w:szCs w:val="19"/>
          <w:i w:val="1"/>
          <w:iCs w:val="1"/>
          <w:color w:val="auto"/>
        </w:rPr>
        <w:t>Collection Suit by Trustee</w:t>
      </w:r>
    </w:p>
    <w:p>
      <w:pPr>
        <w:spacing w:after="0" w:line="22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21"/>
          <w:szCs w:val="21"/>
          <w:color w:val="auto"/>
        </w:rPr>
        <w:t>If an Event of Default specified in Section 6.01(a) or (b) hereof occurs and is continuing, the Trustee is authorized to recover judgment in its own name and as trustee of an express trust against the Issuer for the whole amount of principal of, premium,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40"/>
          </w:cols>
          <w:pgMar w:left="320" w:top="1428" w:right="339" w:bottom="1440" w:gutter="0" w:footer="0" w:header="0"/>
        </w:sectPr>
      </w:pPr>
    </w:p>
    <w:bookmarkStart w:id="110" w:name="page111"/>
    <w:bookmarkEnd w:id="110"/>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6.09</w:t>
      </w:r>
      <w:r>
        <w:rPr>
          <w:sz w:val="20"/>
          <w:szCs w:val="20"/>
          <w:color w:val="auto"/>
        </w:rPr>
        <w:tab/>
      </w:r>
      <w:r>
        <w:rPr>
          <w:rFonts w:ascii="Arial" w:cs="Arial" w:eastAsia="Arial" w:hAnsi="Arial"/>
          <w:sz w:val="19"/>
          <w:szCs w:val="19"/>
          <w:i w:val="1"/>
          <w:iCs w:val="1"/>
          <w:color w:val="auto"/>
        </w:rPr>
        <w:t>Trustee May File Proofs of Claim</w:t>
      </w:r>
    </w:p>
    <w:p>
      <w:pPr>
        <w:spacing w:after="0" w:line="22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9"/>
          <w:szCs w:val="19"/>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Issuer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7.06 hereof. To the extent that the payment of any such compensation, expenses, disbursements and advances of the Trustee, its agents and counsel, and any other amounts due the Trustee under Section 7.06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96"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6.10</w:t>
      </w:r>
      <w:r>
        <w:rPr>
          <w:sz w:val="20"/>
          <w:szCs w:val="20"/>
          <w:color w:val="auto"/>
        </w:rPr>
        <w:tab/>
      </w:r>
      <w:r>
        <w:rPr>
          <w:rFonts w:ascii="Arial" w:cs="Arial" w:eastAsia="Arial" w:hAnsi="Arial"/>
          <w:sz w:val="21"/>
          <w:szCs w:val="21"/>
          <w:i w:val="1"/>
          <w:iCs w:val="1"/>
          <w:color w:val="auto"/>
        </w:rPr>
        <w:t>Priorities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If the Trustee collects any money pursuant to this Article 6, it shall pay out the money in the following order:</w:t>
      </w:r>
    </w:p>
    <w:p>
      <w:pPr>
        <w:spacing w:after="0" w:line="247" w:lineRule="exact"/>
        <w:rPr>
          <w:sz w:val="20"/>
          <w:szCs w:val="20"/>
          <w:color w:val="auto"/>
        </w:rPr>
      </w:pPr>
    </w:p>
    <w:p>
      <w:pPr>
        <w:jc w:val="both"/>
        <w:ind w:left="660" w:firstLine="648"/>
        <w:spacing w:after="0" w:line="343" w:lineRule="auto"/>
        <w:rPr>
          <w:sz w:val="20"/>
          <w:szCs w:val="20"/>
          <w:color w:val="auto"/>
        </w:rPr>
      </w:pPr>
      <w:r>
        <w:rPr>
          <w:rFonts w:ascii="Arial" w:cs="Arial" w:eastAsia="Arial" w:hAnsi="Arial"/>
          <w:sz w:val="19"/>
          <w:szCs w:val="19"/>
          <w:i w:val="1"/>
          <w:iCs w:val="1"/>
          <w:color w:val="auto"/>
        </w:rPr>
        <w:t>First</w:t>
      </w:r>
      <w:r>
        <w:rPr>
          <w:rFonts w:ascii="Arial" w:cs="Arial" w:eastAsia="Arial" w:hAnsi="Arial"/>
          <w:sz w:val="19"/>
          <w:szCs w:val="19"/>
          <w:color w:val="auto"/>
        </w:rPr>
        <w:t>: to the Trustee, for amounts due under this Indenture, including payment of all compensation, expenses and</w:t>
      </w:r>
      <w:r>
        <w:rPr>
          <w:rFonts w:ascii="Arial" w:cs="Arial" w:eastAsia="Arial" w:hAnsi="Arial"/>
          <w:sz w:val="19"/>
          <w:szCs w:val="19"/>
          <w:i w:val="1"/>
          <w:iCs w:val="1"/>
          <w:color w:val="auto"/>
        </w:rPr>
        <w:t xml:space="preserve"> </w:t>
      </w:r>
      <w:r>
        <w:rPr>
          <w:rFonts w:ascii="Arial" w:cs="Arial" w:eastAsia="Arial" w:hAnsi="Arial"/>
          <w:sz w:val="19"/>
          <w:szCs w:val="19"/>
          <w:color w:val="auto"/>
        </w:rPr>
        <w:t>liabilities incurred, and all advances made, by the Trustee and the costs and expenses of collection;</w:t>
      </w:r>
    </w:p>
    <w:p>
      <w:pPr>
        <w:spacing w:after="0" w:line="104"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i w:val="1"/>
          <w:iCs w:val="1"/>
          <w:color w:val="auto"/>
        </w:rPr>
        <w:t>Second</w:t>
      </w:r>
      <w:r>
        <w:rPr>
          <w:rFonts w:ascii="Arial" w:cs="Arial" w:eastAsia="Arial" w:hAnsi="Arial"/>
          <w:sz w:val="22"/>
          <w:szCs w:val="22"/>
          <w:color w:val="auto"/>
        </w:rPr>
        <w:t>: to Holders of Notes for amounts due and unpaid on the Notes for principal, premium, if any, and interest,</w:t>
      </w:r>
      <w:r>
        <w:rPr>
          <w:rFonts w:ascii="Arial" w:cs="Arial" w:eastAsia="Arial" w:hAnsi="Arial"/>
          <w:sz w:val="22"/>
          <w:szCs w:val="22"/>
          <w:i w:val="1"/>
          <w:iCs w:val="1"/>
          <w:color w:val="auto"/>
        </w:rPr>
        <w:t xml:space="preserve"> </w:t>
      </w:r>
      <w:r>
        <w:rPr>
          <w:rFonts w:ascii="Arial" w:cs="Arial" w:eastAsia="Arial" w:hAnsi="Arial"/>
          <w:sz w:val="22"/>
          <w:szCs w:val="22"/>
          <w:color w:val="auto"/>
        </w:rPr>
        <w:t>ratably, without preference or priority of any kind, according to the amounts due and payable on the Notes for principal, premium, if any and interest, respectively; and</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Third</w:t>
      </w:r>
      <w:r>
        <w:rPr>
          <w:rFonts w:ascii="Arial" w:cs="Arial" w:eastAsia="Arial" w:hAnsi="Arial"/>
          <w:sz w:val="22"/>
          <w:szCs w:val="22"/>
          <w:color w:val="auto"/>
        </w:rPr>
        <w:t>: to the Issuer or to such party as a court of competent jurisdiction shall direct.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Trustee may fix a record date and payment date for any payment to Holders of Notes pursuant to this Section 6.10.</w:t>
      </w:r>
    </w:p>
    <w:p>
      <w:pPr>
        <w:spacing w:after="0" w:line="254" w:lineRule="exact"/>
        <w:rPr>
          <w:sz w:val="20"/>
          <w:szCs w:val="20"/>
          <w:color w:val="auto"/>
        </w:rPr>
      </w:pPr>
    </w:p>
    <w:p>
      <w:pPr>
        <w:ind w:left="340"/>
        <w:spacing w:after="0"/>
        <w:tabs>
          <w:tab w:leader="none" w:pos="1580" w:val="left"/>
        </w:tabs>
        <w:rPr>
          <w:sz w:val="20"/>
          <w:szCs w:val="20"/>
          <w:color w:val="auto"/>
        </w:rPr>
      </w:pPr>
      <w:r>
        <w:rPr>
          <w:rFonts w:ascii="Arial" w:cs="Arial" w:eastAsia="Arial" w:hAnsi="Arial"/>
          <w:sz w:val="22"/>
          <w:szCs w:val="22"/>
          <w:i w:val="1"/>
          <w:iCs w:val="1"/>
          <w:color w:val="auto"/>
        </w:rPr>
        <w:t>Section 6.11</w:t>
      </w:r>
      <w:r>
        <w:rPr>
          <w:sz w:val="20"/>
          <w:szCs w:val="20"/>
          <w:color w:val="auto"/>
        </w:rPr>
        <w:tab/>
      </w:r>
      <w:r>
        <w:rPr>
          <w:rFonts w:ascii="Arial" w:cs="Arial" w:eastAsia="Arial" w:hAnsi="Arial"/>
          <w:sz w:val="19"/>
          <w:szCs w:val="19"/>
          <w:i w:val="1"/>
          <w:iCs w:val="1"/>
          <w:color w:val="auto"/>
        </w:rPr>
        <w:t>Undertaking for Costs</w:t>
      </w:r>
    </w:p>
    <w:p>
      <w:pPr>
        <w:spacing w:after="0" w:line="22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428" w:right="339" w:bottom="1440" w:gutter="0" w:footer="0" w:header="0"/>
        </w:sectPr>
      </w:pPr>
    </w:p>
    <w:bookmarkStart w:id="111" w:name="page112"/>
    <w:bookmarkEnd w:id="111"/>
    <w:p>
      <w:pPr>
        <w:jc w:val="both"/>
        <w:spacing w:after="0" w:line="250" w:lineRule="auto"/>
        <w:rPr>
          <w:sz w:val="20"/>
          <w:szCs w:val="20"/>
          <w:color w:val="auto"/>
        </w:rPr>
      </w:pPr>
      <w:r>
        <w:rPr>
          <w:rFonts w:ascii="Arial" w:cs="Arial" w:eastAsia="Arial" w:hAnsi="Arial"/>
          <w:sz w:val="22"/>
          <w:szCs w:val="22"/>
          <w:color w:val="auto"/>
        </w:rPr>
        <w:t>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 Section 6.07 hereof, or a suit by Holders of more than 10% in principal amount of the then outstanding Notes.</w:t>
      </w:r>
    </w:p>
    <w:p>
      <w:pPr>
        <w:spacing w:after="0" w:line="215"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7</w:t>
      </w:r>
    </w:p>
    <w:p>
      <w:pPr>
        <w:spacing w:after="0" w:line="220"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TRUSTEE</w:t>
      </w:r>
    </w:p>
    <w:p>
      <w:pPr>
        <w:spacing w:after="0" w:line="247"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7.01</w:t>
      </w:r>
      <w:r>
        <w:rPr>
          <w:sz w:val="20"/>
          <w:szCs w:val="20"/>
          <w:color w:val="auto"/>
        </w:rPr>
        <w:tab/>
      </w:r>
      <w:r>
        <w:rPr>
          <w:rFonts w:ascii="Arial" w:cs="Arial" w:eastAsia="Arial" w:hAnsi="Arial"/>
          <w:sz w:val="19"/>
          <w:szCs w:val="19"/>
          <w:i w:val="1"/>
          <w:iCs w:val="1"/>
          <w:color w:val="auto"/>
        </w:rPr>
        <w:t>Duties of Trustee</w:t>
      </w:r>
    </w:p>
    <w:p>
      <w:pPr>
        <w:spacing w:after="0" w:line="220" w:lineRule="exact"/>
        <w:rPr>
          <w:sz w:val="20"/>
          <w:szCs w:val="20"/>
          <w:color w:val="auto"/>
        </w:rPr>
      </w:pPr>
    </w:p>
    <w:p>
      <w:pPr>
        <w:jc w:val="both"/>
        <w:ind w:firstLine="332"/>
        <w:spacing w:after="0" w:line="253" w:lineRule="auto"/>
        <w:tabs>
          <w:tab w:leader="none" w:pos="803" w:val="left"/>
        </w:tabs>
        <w:numPr>
          <w:ilvl w:val="0"/>
          <w:numId w:val="106"/>
        </w:numPr>
        <w:rPr>
          <w:rFonts w:ascii="Arial" w:cs="Arial" w:eastAsia="Arial" w:hAnsi="Arial"/>
          <w:sz w:val="22"/>
          <w:szCs w:val="22"/>
          <w:color w:val="auto"/>
        </w:rPr>
      </w:pPr>
      <w:r>
        <w:rPr>
          <w:rFonts w:ascii="Arial" w:cs="Arial" w:eastAsia="Arial" w:hAnsi="Arial"/>
          <w:sz w:val="22"/>
          <w:szCs w:val="22"/>
          <w:color w:val="auto"/>
        </w:rPr>
        <w:t>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212" w:lineRule="exact"/>
        <w:rPr>
          <w:rFonts w:ascii="Arial" w:cs="Arial" w:eastAsia="Arial" w:hAnsi="Arial"/>
          <w:sz w:val="22"/>
          <w:szCs w:val="22"/>
          <w:color w:val="auto"/>
        </w:rPr>
      </w:pPr>
    </w:p>
    <w:p>
      <w:pPr>
        <w:ind w:left="800" w:hanging="468"/>
        <w:spacing w:after="0"/>
        <w:tabs>
          <w:tab w:leader="none" w:pos="80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Except during the continuance of an Event of Default:</w:t>
      </w:r>
    </w:p>
    <w:p>
      <w:pPr>
        <w:spacing w:after="0" w:line="260" w:lineRule="exact"/>
        <w:rPr>
          <w:rFonts w:ascii="Arial" w:cs="Arial" w:eastAsia="Arial" w:hAnsi="Arial"/>
          <w:sz w:val="22"/>
          <w:szCs w:val="22"/>
          <w:color w:val="auto"/>
        </w:rPr>
      </w:pPr>
    </w:p>
    <w:p>
      <w:pPr>
        <w:jc w:val="both"/>
        <w:ind w:firstLine="980"/>
        <w:spacing w:after="0" w:line="253" w:lineRule="auto"/>
        <w:tabs>
          <w:tab w:leader="none" w:pos="1491" w:val="left"/>
        </w:tabs>
        <w:numPr>
          <w:ilvl w:val="1"/>
          <w:numId w:val="106"/>
        </w:numPr>
        <w:rPr>
          <w:rFonts w:ascii="Arial" w:cs="Arial" w:eastAsia="Arial" w:hAnsi="Arial"/>
          <w:sz w:val="22"/>
          <w:szCs w:val="22"/>
          <w:color w:val="auto"/>
        </w:rPr>
      </w:pPr>
      <w:r>
        <w:rPr>
          <w:rFonts w:ascii="Arial" w:cs="Arial" w:eastAsia="Arial" w:hAnsi="Arial"/>
          <w:sz w:val="22"/>
          <w:szCs w:val="22"/>
          <w:color w:val="auto"/>
        </w:rPr>
        <w:t>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85" w:lineRule="exact"/>
        <w:rPr>
          <w:rFonts w:ascii="Arial" w:cs="Arial" w:eastAsia="Arial" w:hAnsi="Arial"/>
          <w:sz w:val="22"/>
          <w:szCs w:val="22"/>
          <w:color w:val="auto"/>
        </w:rPr>
      </w:pPr>
    </w:p>
    <w:p>
      <w:pPr>
        <w:jc w:val="both"/>
        <w:ind w:firstLine="980"/>
        <w:spacing w:after="0" w:line="302" w:lineRule="auto"/>
        <w:tabs>
          <w:tab w:leader="none" w:pos="1456" w:val="left"/>
        </w:tabs>
        <w:numPr>
          <w:ilvl w:val="1"/>
          <w:numId w:val="106"/>
        </w:numPr>
        <w:rPr>
          <w:rFonts w:ascii="Arial" w:cs="Arial" w:eastAsia="Arial" w:hAnsi="Arial"/>
          <w:sz w:val="19"/>
          <w:szCs w:val="19"/>
          <w:color w:val="auto"/>
        </w:rPr>
      </w:pPr>
      <w:r>
        <w:rPr>
          <w:rFonts w:ascii="Arial" w:cs="Arial" w:eastAsia="Arial" w:hAnsi="Arial"/>
          <w:sz w:val="19"/>
          <w:szCs w:val="19"/>
          <w:color w:val="auto"/>
        </w:rPr>
        <w:t>in the absence of gross negligence on its part, the Trustee may conclusively rely, as to the truth of the statements and the correctness of the opinions expressed therein, upon certificates or opinions furnished to the Trustee and conforming to the requirements of this Indenture. However, the Trustee shall examine the certificates and opinions to determine whether or not they conform to the requirements of this Indenture (but need not confirm the accuracy of mathematical calculations set forth therein).</w:t>
      </w:r>
    </w:p>
    <w:p>
      <w:pPr>
        <w:spacing w:after="0" w:line="142" w:lineRule="exact"/>
        <w:rPr>
          <w:rFonts w:ascii="Arial" w:cs="Arial" w:eastAsia="Arial" w:hAnsi="Arial"/>
          <w:sz w:val="19"/>
          <w:szCs w:val="19"/>
          <w:color w:val="auto"/>
        </w:rPr>
      </w:pPr>
    </w:p>
    <w:p>
      <w:pPr>
        <w:ind w:right="20" w:firstLine="332"/>
        <w:spacing w:after="0" w:line="263" w:lineRule="auto"/>
        <w:tabs>
          <w:tab w:leader="none" w:pos="80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Trustee may not be relieved from liabilities for its own negligent action, its own negligent failure to act, or its own willful misconduct, except that:</w:t>
      </w:r>
    </w:p>
    <w:p>
      <w:pPr>
        <w:spacing w:after="0" w:line="201" w:lineRule="exact"/>
        <w:rPr>
          <w:rFonts w:ascii="Arial" w:cs="Arial" w:eastAsia="Arial" w:hAnsi="Arial"/>
          <w:sz w:val="22"/>
          <w:szCs w:val="22"/>
          <w:color w:val="auto"/>
        </w:rPr>
      </w:pPr>
    </w:p>
    <w:p>
      <w:pPr>
        <w:ind w:left="1440" w:hanging="460"/>
        <w:spacing w:after="0"/>
        <w:tabs>
          <w:tab w:leader="none" w:pos="1440" w:val="left"/>
        </w:tabs>
        <w:numPr>
          <w:ilvl w:val="1"/>
          <w:numId w:val="106"/>
        </w:numPr>
        <w:rPr>
          <w:rFonts w:ascii="Arial" w:cs="Arial" w:eastAsia="Arial" w:hAnsi="Arial"/>
          <w:sz w:val="22"/>
          <w:szCs w:val="22"/>
          <w:color w:val="auto"/>
        </w:rPr>
      </w:pPr>
      <w:r>
        <w:rPr>
          <w:rFonts w:ascii="Arial" w:cs="Arial" w:eastAsia="Arial" w:hAnsi="Arial"/>
          <w:sz w:val="22"/>
          <w:szCs w:val="22"/>
          <w:color w:val="auto"/>
        </w:rPr>
        <w:t>this Section 7.01(c) does not limit the effect of paragraph (b) of this Section 7.01;</w:t>
      </w:r>
    </w:p>
    <w:p>
      <w:pPr>
        <w:spacing w:after="0" w:line="219" w:lineRule="exact"/>
        <w:rPr>
          <w:rFonts w:ascii="Arial" w:cs="Arial" w:eastAsia="Arial" w:hAnsi="Arial"/>
          <w:sz w:val="22"/>
          <w:szCs w:val="22"/>
          <w:color w:val="auto"/>
        </w:rPr>
      </w:pPr>
    </w:p>
    <w:p>
      <w:pPr>
        <w:ind w:right="20" w:firstLine="980"/>
        <w:spacing w:after="0" w:line="263" w:lineRule="auto"/>
        <w:tabs>
          <w:tab w:leader="none" w:pos="1455" w:val="left"/>
        </w:tabs>
        <w:numPr>
          <w:ilvl w:val="1"/>
          <w:numId w:val="106"/>
        </w:numPr>
        <w:rPr>
          <w:rFonts w:ascii="Arial" w:cs="Arial" w:eastAsia="Arial" w:hAnsi="Arial"/>
          <w:sz w:val="22"/>
          <w:szCs w:val="22"/>
          <w:color w:val="auto"/>
        </w:rPr>
      </w:pPr>
      <w:r>
        <w:rPr>
          <w:rFonts w:ascii="Arial" w:cs="Arial" w:eastAsia="Arial" w:hAnsi="Arial"/>
          <w:sz w:val="22"/>
          <w:szCs w:val="22"/>
          <w:color w:val="auto"/>
        </w:rPr>
        <w:t>the Trustee shall not be liable for any error of judgment made in good faith by a Responsible Officer, unless it is proved that the Trustee was negligent in ascertaining the pertinent facts; and</w:t>
      </w:r>
    </w:p>
    <w:p>
      <w:pPr>
        <w:spacing w:after="0" w:line="174" w:lineRule="exact"/>
        <w:rPr>
          <w:rFonts w:ascii="Arial" w:cs="Arial" w:eastAsia="Arial" w:hAnsi="Arial"/>
          <w:sz w:val="22"/>
          <w:szCs w:val="22"/>
          <w:color w:val="auto"/>
        </w:rPr>
      </w:pPr>
    </w:p>
    <w:p>
      <w:pPr>
        <w:ind w:firstLine="980"/>
        <w:spacing w:after="0" w:line="263" w:lineRule="auto"/>
        <w:tabs>
          <w:tab w:leader="none" w:pos="1448" w:val="left"/>
        </w:tabs>
        <w:numPr>
          <w:ilvl w:val="1"/>
          <w:numId w:val="106"/>
        </w:numPr>
        <w:rPr>
          <w:rFonts w:ascii="Arial" w:cs="Arial" w:eastAsia="Arial" w:hAnsi="Arial"/>
          <w:sz w:val="22"/>
          <w:szCs w:val="22"/>
          <w:color w:val="auto"/>
        </w:rPr>
      </w:pPr>
      <w:r>
        <w:rPr>
          <w:rFonts w:ascii="Arial" w:cs="Arial" w:eastAsia="Arial" w:hAnsi="Arial"/>
          <w:sz w:val="22"/>
          <w:szCs w:val="22"/>
          <w:color w:val="auto"/>
        </w:rPr>
        <w:t>the Trustee shall not be liable with respect to any action it takes or omits to take in good faith in accordance with a direction received by it pursuant to Section 6.05 hereof.</w:t>
      </w:r>
    </w:p>
    <w:p>
      <w:pPr>
        <w:spacing w:after="0" w:line="174" w:lineRule="exact"/>
        <w:rPr>
          <w:rFonts w:ascii="Arial" w:cs="Arial" w:eastAsia="Arial" w:hAnsi="Arial"/>
          <w:sz w:val="22"/>
          <w:szCs w:val="22"/>
          <w:color w:val="auto"/>
        </w:rPr>
      </w:pPr>
    </w:p>
    <w:p>
      <w:pPr>
        <w:ind w:firstLine="332"/>
        <w:spacing w:after="0" w:line="263" w:lineRule="auto"/>
        <w:tabs>
          <w:tab w:leader="none" w:pos="817" w:val="left"/>
        </w:tabs>
        <w:numPr>
          <w:ilvl w:val="0"/>
          <w:numId w:val="106"/>
        </w:numPr>
        <w:rPr>
          <w:rFonts w:ascii="Arial" w:cs="Arial" w:eastAsia="Arial" w:hAnsi="Arial"/>
          <w:sz w:val="22"/>
          <w:szCs w:val="22"/>
          <w:color w:val="auto"/>
        </w:rPr>
      </w:pPr>
      <w:r>
        <w:rPr>
          <w:rFonts w:ascii="Arial" w:cs="Arial" w:eastAsia="Arial" w:hAnsi="Arial"/>
          <w:sz w:val="22"/>
          <w:szCs w:val="22"/>
          <w:color w:val="auto"/>
        </w:rPr>
        <w:t>Whether or not therein expressly so provided, every provision of this Indenture that in any way relates to the Trustee is subject to paragraphs (a), (b), and (c) of this Section 7.01.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40"/>
          </w:cols>
          <w:pgMar w:left="320" w:top="1428" w:right="339" w:bottom="1440" w:gutter="0" w:footer="0" w:header="0"/>
        </w:sectPr>
      </w:pPr>
    </w:p>
    <w:bookmarkStart w:id="112" w:name="page113"/>
    <w:bookmarkEnd w:id="112"/>
    <w:p>
      <w:pPr>
        <w:jc w:val="both"/>
        <w:ind w:firstLine="332"/>
        <w:spacing w:after="0" w:line="250" w:lineRule="auto"/>
        <w:tabs>
          <w:tab w:leader="none" w:pos="782" w:val="left"/>
        </w:tabs>
        <w:numPr>
          <w:ilvl w:val="0"/>
          <w:numId w:val="107"/>
        </w:numPr>
        <w:rPr>
          <w:rFonts w:ascii="Arial" w:cs="Arial" w:eastAsia="Arial" w:hAnsi="Arial"/>
          <w:sz w:val="22"/>
          <w:szCs w:val="22"/>
          <w:color w:val="auto"/>
        </w:rPr>
      </w:pPr>
      <w:r>
        <w:rPr>
          <w:rFonts w:ascii="Arial" w:cs="Arial" w:eastAsia="Arial" w:hAnsi="Arial"/>
          <w:sz w:val="22"/>
          <w:szCs w:val="22"/>
          <w:color w:val="auto"/>
        </w:rPr>
        <w:t>No provision of this Indenture shall require the Trustee to expend or risk its own funds or incur any liability. The Trustee shall be under no obligation to exercise any of its rights and powers under this Indenture at the request of any Holders, unless such Holder shall have offered to the Trustee security and indemnity reasonably satisfactory to it against any loss, liability, claim or expense.</w:t>
      </w:r>
    </w:p>
    <w:p>
      <w:pPr>
        <w:spacing w:after="0" w:line="214" w:lineRule="exact"/>
        <w:rPr>
          <w:rFonts w:ascii="Arial" w:cs="Arial" w:eastAsia="Arial" w:hAnsi="Arial"/>
          <w:sz w:val="22"/>
          <w:szCs w:val="22"/>
          <w:color w:val="auto"/>
        </w:rPr>
      </w:pPr>
    </w:p>
    <w:p>
      <w:pPr>
        <w:ind w:right="20" w:firstLine="332"/>
        <w:spacing w:after="0" w:line="343" w:lineRule="auto"/>
        <w:tabs>
          <w:tab w:leader="none" w:pos="783"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The Trustee shall not be liable for interest on any money received by it except as the Trustee may agree in writing with the Issuer. Money held in trust by the Trustee need not be segregated from other funds except to the extent required by law.</w:t>
      </w:r>
    </w:p>
    <w:p>
      <w:pPr>
        <w:spacing w:after="0" w:line="131"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7.02</w:t>
      </w:r>
      <w:r>
        <w:rPr>
          <w:sz w:val="20"/>
          <w:szCs w:val="20"/>
          <w:color w:val="auto"/>
        </w:rPr>
        <w:tab/>
      </w:r>
      <w:r>
        <w:rPr>
          <w:rFonts w:ascii="Arial" w:cs="Arial" w:eastAsia="Arial" w:hAnsi="Arial"/>
          <w:sz w:val="19"/>
          <w:szCs w:val="19"/>
          <w:i w:val="1"/>
          <w:iCs w:val="1"/>
          <w:color w:val="auto"/>
        </w:rPr>
        <w:t>Rights of Trustee</w:t>
      </w:r>
    </w:p>
    <w:p>
      <w:pPr>
        <w:spacing w:after="0" w:line="220" w:lineRule="exact"/>
        <w:rPr>
          <w:sz w:val="20"/>
          <w:szCs w:val="20"/>
          <w:color w:val="auto"/>
        </w:rPr>
      </w:pPr>
    </w:p>
    <w:p>
      <w:pPr>
        <w:ind w:firstLine="332"/>
        <w:spacing w:after="0" w:line="287" w:lineRule="auto"/>
        <w:tabs>
          <w:tab w:leader="none" w:pos="778" w:val="left"/>
        </w:tabs>
        <w:numPr>
          <w:ilvl w:val="0"/>
          <w:numId w:val="108"/>
        </w:numPr>
        <w:rPr>
          <w:rFonts w:ascii="Arial" w:cs="Arial" w:eastAsia="Arial" w:hAnsi="Arial"/>
          <w:sz w:val="21"/>
          <w:szCs w:val="21"/>
          <w:color w:val="auto"/>
        </w:rPr>
      </w:pPr>
      <w:r>
        <w:rPr>
          <w:rFonts w:ascii="Arial" w:cs="Arial" w:eastAsia="Arial" w:hAnsi="Arial"/>
          <w:sz w:val="21"/>
          <w:szCs w:val="21"/>
          <w:color w:val="auto"/>
        </w:rPr>
        <w:t>The Trustee may conclusively rely upon any document believed by it to be genuine and to have been signed or presented by the proper Person. The Trustee need not investigate any fact or matter stated in the document.</w:t>
      </w:r>
    </w:p>
    <w:p>
      <w:pPr>
        <w:spacing w:after="0" w:line="178" w:lineRule="exact"/>
        <w:rPr>
          <w:rFonts w:ascii="Arial" w:cs="Arial" w:eastAsia="Arial" w:hAnsi="Arial"/>
          <w:sz w:val="21"/>
          <w:szCs w:val="21"/>
          <w:color w:val="auto"/>
        </w:rPr>
      </w:pPr>
    </w:p>
    <w:p>
      <w:pPr>
        <w:jc w:val="both"/>
        <w:ind w:firstLine="332"/>
        <w:spacing w:after="0" w:line="248" w:lineRule="auto"/>
        <w:tabs>
          <w:tab w:leader="none" w:pos="808" w:val="left"/>
        </w:tabs>
        <w:numPr>
          <w:ilvl w:val="0"/>
          <w:numId w:val="108"/>
        </w:numPr>
        <w:rPr>
          <w:rFonts w:ascii="Arial" w:cs="Arial" w:eastAsia="Arial" w:hAnsi="Arial"/>
          <w:sz w:val="22"/>
          <w:szCs w:val="22"/>
          <w:color w:val="auto"/>
        </w:rPr>
      </w:pPr>
      <w:r>
        <w:rPr>
          <w:rFonts w:ascii="Arial" w:cs="Arial" w:eastAsia="Arial" w:hAnsi="Arial"/>
          <w:sz w:val="22"/>
          <w:szCs w:val="22"/>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of its selection and the advice of such counsel or any Opinion of Counsel shall be full and complete authorization and protection from liability in respect of any action taken, suffered or omitted by it hereunder in good faith and in reliance thereon.</w:t>
      </w:r>
    </w:p>
    <w:p>
      <w:pPr>
        <w:spacing w:after="0" w:line="232" w:lineRule="exact"/>
        <w:rPr>
          <w:rFonts w:ascii="Arial" w:cs="Arial" w:eastAsia="Arial" w:hAnsi="Arial"/>
          <w:sz w:val="22"/>
          <w:szCs w:val="22"/>
          <w:color w:val="auto"/>
        </w:rPr>
      </w:pPr>
    </w:p>
    <w:p>
      <w:pPr>
        <w:ind w:right="20" w:firstLine="332"/>
        <w:spacing w:after="0" w:line="263" w:lineRule="auto"/>
        <w:tabs>
          <w:tab w:leader="none" w:pos="827"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Trustee may act through its attorneys and agents and shall not be responsible for the misconduct or negligence of any agent appointed with due care.</w:t>
      </w:r>
    </w:p>
    <w:p>
      <w:pPr>
        <w:spacing w:after="0" w:line="201" w:lineRule="exact"/>
        <w:rPr>
          <w:rFonts w:ascii="Arial" w:cs="Arial" w:eastAsia="Arial" w:hAnsi="Arial"/>
          <w:sz w:val="22"/>
          <w:szCs w:val="22"/>
          <w:color w:val="auto"/>
        </w:rPr>
      </w:pPr>
    </w:p>
    <w:p>
      <w:pPr>
        <w:ind w:right="20" w:firstLine="332"/>
        <w:spacing w:after="0" w:line="263" w:lineRule="auto"/>
        <w:tabs>
          <w:tab w:leader="none" w:pos="836"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Trustee shall not be liable for any action it takes or omits to take in good faith that it believes to be authorized or within the rights or powers conferred upon it by this Indenture.</w:t>
      </w:r>
    </w:p>
    <w:p>
      <w:pPr>
        <w:spacing w:after="0" w:line="201" w:lineRule="exact"/>
        <w:rPr>
          <w:rFonts w:ascii="Arial" w:cs="Arial" w:eastAsia="Arial" w:hAnsi="Arial"/>
          <w:sz w:val="22"/>
          <w:szCs w:val="22"/>
          <w:color w:val="auto"/>
        </w:rPr>
      </w:pPr>
    </w:p>
    <w:p>
      <w:pPr>
        <w:ind w:firstLine="332"/>
        <w:spacing w:after="0" w:line="263" w:lineRule="auto"/>
        <w:tabs>
          <w:tab w:leader="none" w:pos="823" w:val="left"/>
        </w:tabs>
        <w:numPr>
          <w:ilvl w:val="0"/>
          <w:numId w:val="108"/>
        </w:numPr>
        <w:rPr>
          <w:rFonts w:ascii="Arial" w:cs="Arial" w:eastAsia="Arial" w:hAnsi="Arial"/>
          <w:sz w:val="22"/>
          <w:szCs w:val="22"/>
          <w:color w:val="auto"/>
        </w:rPr>
      </w:pPr>
      <w:r>
        <w:rPr>
          <w:rFonts w:ascii="Arial" w:cs="Arial" w:eastAsia="Arial" w:hAnsi="Arial"/>
          <w:sz w:val="22"/>
          <w:szCs w:val="22"/>
          <w:color w:val="auto"/>
        </w:rPr>
        <w:t>Unless otherwise specifically provided in this Indenture, any demand, request, direction or notice from the Issuer shall be sufficient if signed by an Officer of the Issuer.</w:t>
      </w:r>
    </w:p>
    <w:p>
      <w:pPr>
        <w:spacing w:after="0" w:line="201" w:lineRule="exact"/>
        <w:rPr>
          <w:rFonts w:ascii="Arial" w:cs="Arial" w:eastAsia="Arial" w:hAnsi="Arial"/>
          <w:sz w:val="22"/>
          <w:szCs w:val="22"/>
          <w:color w:val="auto"/>
        </w:rPr>
      </w:pPr>
    </w:p>
    <w:p>
      <w:pPr>
        <w:jc w:val="both"/>
        <w:ind w:right="20" w:firstLine="332"/>
        <w:spacing w:after="0" w:line="250" w:lineRule="auto"/>
        <w:tabs>
          <w:tab w:leader="none" w:pos="839"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Trustee shall be under no obligation to exercise any of the rights or powers vested in it by this Indenture at the request or direction of any of the Holders unless such Holders have offered to the Trustee security or indemnity reasonably satisfactory to the Trustee against the costs, expenses and liabilities that might be incurred by it in compliance with such request or direction.</w:t>
      </w:r>
    </w:p>
    <w:p>
      <w:pPr>
        <w:spacing w:after="0" w:line="214" w:lineRule="exact"/>
        <w:rPr>
          <w:rFonts w:ascii="Arial" w:cs="Arial" w:eastAsia="Arial" w:hAnsi="Arial"/>
          <w:sz w:val="22"/>
          <w:szCs w:val="22"/>
          <w:color w:val="auto"/>
        </w:rPr>
      </w:pPr>
    </w:p>
    <w:p>
      <w:pPr>
        <w:ind w:firstLine="332"/>
        <w:spacing w:after="0" w:line="263" w:lineRule="auto"/>
        <w:tabs>
          <w:tab w:leader="none" w:pos="835" w:val="left"/>
        </w:tabs>
        <w:numPr>
          <w:ilvl w:val="0"/>
          <w:numId w:val="108"/>
        </w:numPr>
        <w:rPr>
          <w:rFonts w:ascii="Arial" w:cs="Arial" w:eastAsia="Arial" w:hAnsi="Arial"/>
          <w:sz w:val="22"/>
          <w:szCs w:val="22"/>
          <w:color w:val="auto"/>
        </w:rPr>
      </w:pPr>
      <w:r>
        <w:rPr>
          <w:rFonts w:ascii="Arial" w:cs="Arial" w:eastAsia="Arial" w:hAnsi="Arial"/>
          <w:sz w:val="22"/>
          <w:szCs w:val="22"/>
          <w:color w:val="auto"/>
        </w:rPr>
        <w:t>Except as expressly provided herein, the Trustee shall have no duty to inquire as to the performance of the Issuer with respect to the covenants contained in Articles 4 and 5 hereof.</w:t>
      </w:r>
    </w:p>
    <w:p>
      <w:pPr>
        <w:spacing w:after="0" w:line="201" w:lineRule="exact"/>
        <w:rPr>
          <w:rFonts w:ascii="Arial" w:cs="Arial" w:eastAsia="Arial" w:hAnsi="Arial"/>
          <w:sz w:val="22"/>
          <w:szCs w:val="22"/>
          <w:color w:val="auto"/>
        </w:rPr>
      </w:pPr>
    </w:p>
    <w:p>
      <w:pPr>
        <w:jc w:val="both"/>
        <w:ind w:firstLine="332"/>
        <w:spacing w:after="0" w:line="253" w:lineRule="auto"/>
        <w:tabs>
          <w:tab w:leader="none" w:pos="835"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Trustee shall not be deemed to have knowledge of an Event of Default except (i) any Default or Event of Default occurring pursuant to Sections 6.01(a) and (b) hereof or (ii) any Default or Event of Default of which the Trustee shall have received written notification thereof in accordance with Section 11.01.</w:t>
      </w:r>
    </w:p>
    <w:p>
      <w:pPr>
        <w:spacing w:after="0" w:line="225" w:lineRule="exact"/>
        <w:rPr>
          <w:rFonts w:ascii="Arial" w:cs="Arial" w:eastAsia="Arial" w:hAnsi="Arial"/>
          <w:sz w:val="22"/>
          <w:szCs w:val="22"/>
          <w:color w:val="auto"/>
        </w:rPr>
      </w:pPr>
    </w:p>
    <w:p>
      <w:pPr>
        <w:ind w:firstLine="332"/>
        <w:spacing w:after="0" w:line="263" w:lineRule="auto"/>
        <w:tabs>
          <w:tab w:leader="none" w:pos="83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Trustee may request that the Issuer deliver Officer’s Certificates setting forth the names of individuals and their titles and specimen signatures of officers authorized at such time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40"/>
          </w:cols>
          <w:pgMar w:left="320" w:top="1428" w:right="339" w:bottom="1440" w:gutter="0" w:footer="0" w:header="0"/>
        </w:sectPr>
      </w:pPr>
    </w:p>
    <w:bookmarkStart w:id="113" w:name="page114"/>
    <w:bookmarkEnd w:id="113"/>
    <w:p>
      <w:pPr>
        <w:jc w:val="both"/>
        <w:spacing w:after="0" w:line="253" w:lineRule="auto"/>
        <w:rPr>
          <w:sz w:val="20"/>
          <w:szCs w:val="20"/>
          <w:color w:val="auto"/>
        </w:rPr>
      </w:pPr>
      <w:r>
        <w:rPr>
          <w:rFonts w:ascii="Arial" w:cs="Arial" w:eastAsia="Arial" w:hAnsi="Arial"/>
          <w:sz w:val="22"/>
          <w:szCs w:val="22"/>
          <w:color w:val="auto"/>
        </w:rPr>
        <w:t>to take specified actions pursuant to this Indenture, which Officer’s Certificates may be signed by any person authorized to sign an Officer’s Certificate, as the case may be, including any person specified as so authorized in any such certificate previously delivered and not superseded.</w:t>
      </w:r>
    </w:p>
    <w:p>
      <w:pPr>
        <w:spacing w:after="0" w:line="212" w:lineRule="exact"/>
        <w:rPr>
          <w:sz w:val="20"/>
          <w:szCs w:val="20"/>
          <w:color w:val="auto"/>
        </w:rPr>
      </w:pPr>
    </w:p>
    <w:p>
      <w:pPr>
        <w:ind w:left="740" w:hanging="408"/>
        <w:spacing w:after="0"/>
        <w:tabs>
          <w:tab w:leader="none" w:pos="74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Any permissive right granted to the Trustee shall not be construed as a mandatory duty.</w:t>
      </w:r>
    </w:p>
    <w:p>
      <w:pPr>
        <w:spacing w:after="0" w:line="246" w:lineRule="exact"/>
        <w:rPr>
          <w:rFonts w:ascii="Arial" w:cs="Arial" w:eastAsia="Arial" w:hAnsi="Arial"/>
          <w:sz w:val="22"/>
          <w:szCs w:val="22"/>
          <w:color w:val="auto"/>
        </w:rPr>
      </w:pPr>
    </w:p>
    <w:p>
      <w:pPr>
        <w:ind w:firstLine="332"/>
        <w:spacing w:after="0" w:line="263" w:lineRule="auto"/>
        <w:tabs>
          <w:tab w:leader="none" w:pos="881"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Trustee shall not be required to give any bond or surety in respect of the performance of its powers and duties hereunder.</w:t>
      </w:r>
    </w:p>
    <w:p>
      <w:pPr>
        <w:spacing w:after="0" w:line="201" w:lineRule="exact"/>
        <w:rPr>
          <w:rFonts w:ascii="Arial" w:cs="Arial" w:eastAsia="Arial" w:hAnsi="Arial"/>
          <w:sz w:val="22"/>
          <w:szCs w:val="22"/>
          <w:color w:val="auto"/>
        </w:rPr>
      </w:pPr>
    </w:p>
    <w:p>
      <w:pPr>
        <w:jc w:val="both"/>
        <w:ind w:firstLine="332"/>
        <w:spacing w:after="0" w:line="294" w:lineRule="auto"/>
        <w:tabs>
          <w:tab w:leader="none" w:pos="868" w:val="left"/>
        </w:tabs>
        <w:numPr>
          <w:ilvl w:val="0"/>
          <w:numId w:val="109"/>
        </w:numPr>
        <w:rPr>
          <w:rFonts w:ascii="Arial" w:cs="Arial" w:eastAsia="Arial" w:hAnsi="Arial"/>
          <w:sz w:val="19"/>
          <w:szCs w:val="19"/>
          <w:color w:val="auto"/>
        </w:rPr>
      </w:pPr>
      <w:r>
        <w:rPr>
          <w:rFonts w:ascii="Arial" w:cs="Arial" w:eastAsia="Arial" w:hAnsi="Arial"/>
          <w:sz w:val="19"/>
          <w:szCs w:val="19"/>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epidemics, pandemics, recognized emergencies or acts of God, and interruptions, loss or malfunctions or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89" w:lineRule="exact"/>
        <w:rPr>
          <w:rFonts w:ascii="Arial" w:cs="Arial" w:eastAsia="Arial" w:hAnsi="Arial"/>
          <w:sz w:val="19"/>
          <w:szCs w:val="19"/>
          <w:color w:val="auto"/>
        </w:rPr>
      </w:pPr>
    </w:p>
    <w:p>
      <w:pPr>
        <w:jc w:val="both"/>
        <w:ind w:firstLine="332"/>
        <w:spacing w:after="0" w:line="253" w:lineRule="auto"/>
        <w:tabs>
          <w:tab w:leader="none" w:pos="852" w:val="left"/>
        </w:tabs>
        <w:numPr>
          <w:ilvl w:val="0"/>
          <w:numId w:val="109"/>
        </w:numPr>
        <w:rPr>
          <w:rFonts w:ascii="Arial" w:cs="Arial" w:eastAsia="Arial" w:hAnsi="Arial"/>
          <w:sz w:val="22"/>
          <w:szCs w:val="22"/>
          <w:color w:val="auto"/>
        </w:rPr>
      </w:pPr>
      <w:r>
        <w:rPr>
          <w:rFonts w:ascii="Arial" w:cs="Arial" w:eastAsia="Arial" w:hAnsi="Arial"/>
          <w:sz w:val="22"/>
          <w:szCs w:val="22"/>
          <w:color w:val="auto"/>
        </w:rPr>
        <w:t>In no event shall the Trustee be responsible or liable for special, punitive, indirect or consequential losses or damages of any kind whatsoever (including, but not limited to, loss of profit) irrespective of whether the Trustee has been advised of the likelihood of such loss or damage and regardless of the form of action.</w:t>
      </w:r>
    </w:p>
    <w:p>
      <w:pPr>
        <w:spacing w:after="0" w:line="212" w:lineRule="exact"/>
        <w:rPr>
          <w:rFonts w:ascii="Arial" w:cs="Arial" w:eastAsia="Arial" w:hAnsi="Arial"/>
          <w:sz w:val="22"/>
          <w:szCs w:val="22"/>
          <w:color w:val="auto"/>
        </w:rPr>
      </w:pPr>
    </w:p>
    <w:p>
      <w:pPr>
        <w:jc w:val="both"/>
        <w:ind w:firstLine="332"/>
        <w:spacing w:after="0" w:line="253" w:lineRule="auto"/>
        <w:tabs>
          <w:tab w:leader="none" w:pos="794"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rights, privileges, protections, immunities and benefits given to the Trustee hereunder, including, without limitation, its right to be indemnified, are extended to, and shall be enforceable by, the Trustee in each of its capacities hereunder and each agent, custodian and other Person employed to act hereunder.</w:t>
      </w:r>
    </w:p>
    <w:p>
      <w:pPr>
        <w:spacing w:after="0" w:line="212"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7.03</w:t>
      </w:r>
      <w:r>
        <w:rPr>
          <w:sz w:val="20"/>
          <w:szCs w:val="20"/>
          <w:color w:val="auto"/>
        </w:rPr>
        <w:tab/>
      </w:r>
      <w:r>
        <w:rPr>
          <w:rFonts w:ascii="Arial" w:cs="Arial" w:eastAsia="Arial" w:hAnsi="Arial"/>
          <w:sz w:val="19"/>
          <w:szCs w:val="19"/>
          <w:i w:val="1"/>
          <w:iCs w:val="1"/>
          <w:color w:val="auto"/>
        </w:rPr>
        <w:t>Individual Rights of Trustee</w:t>
      </w:r>
    </w:p>
    <w:p>
      <w:pPr>
        <w:spacing w:after="0" w:line="220"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21"/>
          <w:szCs w:val="21"/>
          <w:color w:val="auto"/>
        </w:rPr>
        <w:t>The Trustee, in its individual or any other capacity, may become the owner or pledgee of Notes and may otherwise deal with the Issuer or any Affiliate of the Issuer with the same rights it would have if it were not Trustee. However, in the event that the Trustee acquires any conflicting interest it must eliminate such conflict within 90 days or resign. Any Agent may do the same with like rights and duties. The Trustee is also subject to Section 7.09 hereof.</w:t>
      </w:r>
    </w:p>
    <w:p>
      <w:pPr>
        <w:spacing w:after="0" w:line="202"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7.04</w:t>
      </w:r>
      <w:r>
        <w:rPr>
          <w:sz w:val="20"/>
          <w:szCs w:val="20"/>
          <w:color w:val="auto"/>
        </w:rPr>
        <w:tab/>
      </w:r>
      <w:r>
        <w:rPr>
          <w:rFonts w:ascii="Arial" w:cs="Arial" w:eastAsia="Arial" w:hAnsi="Arial"/>
          <w:sz w:val="19"/>
          <w:szCs w:val="19"/>
          <w:i w:val="1"/>
          <w:iCs w:val="1"/>
          <w:color w:val="auto"/>
        </w:rPr>
        <w:t>Trustee’s Disclaimer</w:t>
      </w:r>
    </w:p>
    <w:p>
      <w:pPr>
        <w:spacing w:after="0" w:line="220"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22"/>
          <w:szCs w:val="22"/>
          <w:color w:val="auto"/>
        </w:rPr>
        <w:t>The Trustee shall not be responsible for and makes no representation as to the validity or adequacy of this Indenture or the Notes, it shall not be accountable for the Issuer’s use of the proceeds from the Notes or any money paid to the Issuer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1428" w:right="339" w:bottom="1440" w:gutter="0" w:footer="0" w:header="0"/>
        </w:sectPr>
      </w:pPr>
    </w:p>
    <w:bookmarkStart w:id="114" w:name="page115"/>
    <w:bookmarkEnd w:id="114"/>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7.05</w:t>
      </w:r>
      <w:r>
        <w:rPr>
          <w:sz w:val="20"/>
          <w:szCs w:val="20"/>
          <w:color w:val="auto"/>
        </w:rPr>
        <w:tab/>
      </w:r>
      <w:r>
        <w:rPr>
          <w:rFonts w:ascii="Arial" w:cs="Arial" w:eastAsia="Arial" w:hAnsi="Arial"/>
          <w:sz w:val="19"/>
          <w:szCs w:val="19"/>
          <w:i w:val="1"/>
          <w:iCs w:val="1"/>
          <w:color w:val="auto"/>
        </w:rPr>
        <w:t>Notice of Defaults</w:t>
      </w:r>
    </w:p>
    <w:p>
      <w:pPr>
        <w:spacing w:after="0" w:line="220"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2"/>
          <w:szCs w:val="22"/>
          <w:color w:val="auto"/>
        </w:rPr>
        <w:t>If a Default or Event of Default occurs and is continuing and if it is actually known to a Responsible Officer of the Trustee, the Trustee shall mail a notice of the Default or Event of Default to Holders within 90 days after it occurs. Except in the case of a Default or Event of Default in payment of principal of, premium, if any, or interest on, any Note, the Trustee may withhold the notice if and so long as a committee of its Responsible Officers in good faith determines that withholding the notice is in the interests of the Holders of the Notes. The Trustee shall not be deemed to have knowledge of a Default or Event of Default unless and until it obtains actual knowledge of such Default or Event of Default through written notification made in accordance with Section 11.01 describing the circumstances of such, and identifying the circumstances constituting such Default or Event of Default. In the absence of receipt of such notice, the Trustee may conclusively assume that there is no Default or Event of Default.</w:t>
      </w:r>
    </w:p>
    <w:p>
      <w:pPr>
        <w:spacing w:after="0" w:line="227"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7.06</w:t>
      </w:r>
      <w:r>
        <w:rPr>
          <w:sz w:val="20"/>
          <w:szCs w:val="20"/>
          <w:color w:val="auto"/>
        </w:rPr>
        <w:tab/>
      </w:r>
      <w:r>
        <w:rPr>
          <w:rFonts w:ascii="Arial" w:cs="Arial" w:eastAsia="Arial" w:hAnsi="Arial"/>
          <w:sz w:val="19"/>
          <w:szCs w:val="19"/>
          <w:i w:val="1"/>
          <w:iCs w:val="1"/>
          <w:color w:val="auto"/>
        </w:rPr>
        <w:t>Compensation and Indemnity</w:t>
      </w:r>
    </w:p>
    <w:p>
      <w:pPr>
        <w:spacing w:after="0" w:line="220" w:lineRule="exact"/>
        <w:rPr>
          <w:sz w:val="20"/>
          <w:szCs w:val="20"/>
          <w:color w:val="auto"/>
        </w:rPr>
      </w:pPr>
    </w:p>
    <w:p>
      <w:pPr>
        <w:jc w:val="both"/>
        <w:ind w:firstLine="332"/>
        <w:spacing w:after="0" w:line="297" w:lineRule="auto"/>
        <w:tabs>
          <w:tab w:leader="none" w:pos="874"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Issuer shall pay to the Trustee compensation as agreed upon in writing for its acceptance of this Indenture and services hereunder. The Trustee’s compensation shall not be limited by any law on compensation of a trustee of an express trust. The Issuer shall reimburse the Trustee promptly upon request for all reasonable and properly incurred disbursements, advances and expenses incurred or made by it in addition to the compensation for its services. Such expenses shall include the reasonable and properly incurred compensation, disbursements and expenses of the Trustee’s agents and counsel.</w:t>
      </w:r>
    </w:p>
    <w:p>
      <w:pPr>
        <w:spacing w:after="0" w:line="173" w:lineRule="exact"/>
        <w:rPr>
          <w:rFonts w:ascii="Arial" w:cs="Arial" w:eastAsia="Arial" w:hAnsi="Arial"/>
          <w:sz w:val="19"/>
          <w:szCs w:val="19"/>
          <w:color w:val="auto"/>
        </w:rPr>
      </w:pPr>
    </w:p>
    <w:p>
      <w:pPr>
        <w:jc w:val="both"/>
        <w:ind w:firstLine="332"/>
        <w:spacing w:after="0" w:line="289" w:lineRule="auto"/>
        <w:tabs>
          <w:tab w:leader="none" w:pos="79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Issuer shall indemnify the Trustee against any and all losses, liabilities or expenses incurred by it arising out of or in connection with the acceptance or administration of its duties under this Indenture, including the costs and expenses of enforcing this Indenture against the Issuer (including this Section 7.06) and defending itself against any claim (whether asserted by the Issuer, any Holder or any other Person) or liability in connection with the exercise or performance of any of its powers or duties hereunder, except to the extent any such loss, liability, claim or expense may be attributable to its negligence or willful misconduct. The Trustee shall notify the Issuer promptly of any claim for which it may seek indemnity. Failure by the Trustee to so notify the Issuer shall not relieve the Issuer of its obligations hereunder. The Issuer shall defend the claim and the Trustee shall cooperate in the defense. The Trustee may have separate counsel and the Issuer shall pay the reasonable fees and expenses of such counsel. The Issuer need not pay for any settlement made without its consent.</w:t>
      </w:r>
    </w:p>
    <w:p>
      <w:pPr>
        <w:spacing w:after="0" w:line="183" w:lineRule="exact"/>
        <w:rPr>
          <w:rFonts w:ascii="Arial" w:cs="Arial" w:eastAsia="Arial" w:hAnsi="Arial"/>
          <w:sz w:val="19"/>
          <w:szCs w:val="19"/>
          <w:color w:val="auto"/>
        </w:rPr>
      </w:pPr>
    </w:p>
    <w:p>
      <w:pPr>
        <w:ind w:firstLine="332"/>
        <w:spacing w:after="0" w:line="263" w:lineRule="auto"/>
        <w:tabs>
          <w:tab w:leader="none" w:pos="778"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obligations of the Issuer under this Section 7.06 shall survive the satisfaction and discharge of this Indenture and the resignation or removal of the Trustee.</w:t>
      </w:r>
    </w:p>
    <w:p>
      <w:pPr>
        <w:spacing w:after="0" w:line="215" w:lineRule="exact"/>
        <w:rPr>
          <w:rFonts w:ascii="Arial" w:cs="Arial" w:eastAsia="Arial" w:hAnsi="Arial"/>
          <w:sz w:val="22"/>
          <w:szCs w:val="22"/>
          <w:color w:val="auto"/>
        </w:rPr>
      </w:pPr>
    </w:p>
    <w:p>
      <w:pPr>
        <w:jc w:val="both"/>
        <w:ind w:firstLine="332"/>
        <w:spacing w:after="0" w:line="253" w:lineRule="auto"/>
        <w:tabs>
          <w:tab w:leader="none" w:pos="842"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To secure the Issuer’s payment obligations in this Section 7.06, the Trustee shall have a Lien prior to the Notes on all money or property held or collected by the Trustee, except money or property held in trust to pay principal and interest on particular Notes. Such Lien shall survive the satisfaction and discharge of this Indenture.</w:t>
      </w:r>
    </w:p>
    <w:p>
      <w:pPr>
        <w:spacing w:after="0" w:line="212" w:lineRule="exact"/>
        <w:rPr>
          <w:rFonts w:ascii="Arial" w:cs="Arial" w:eastAsia="Arial" w:hAnsi="Arial"/>
          <w:sz w:val="22"/>
          <w:szCs w:val="22"/>
          <w:color w:val="auto"/>
        </w:rPr>
      </w:pPr>
    </w:p>
    <w:p>
      <w:pPr>
        <w:jc w:val="both"/>
        <w:ind w:firstLine="332"/>
        <w:spacing w:after="0" w:line="253" w:lineRule="auto"/>
        <w:tabs>
          <w:tab w:leader="none" w:pos="783" w:val="left"/>
        </w:tabs>
        <w:numPr>
          <w:ilvl w:val="0"/>
          <w:numId w:val="110"/>
        </w:numPr>
        <w:rPr>
          <w:rFonts w:ascii="Arial" w:cs="Arial" w:eastAsia="Arial" w:hAnsi="Arial"/>
          <w:sz w:val="22"/>
          <w:szCs w:val="22"/>
          <w:color w:val="auto"/>
        </w:rPr>
      </w:pPr>
      <w:r>
        <w:rPr>
          <w:rFonts w:ascii="Arial" w:cs="Arial" w:eastAsia="Arial" w:hAnsi="Arial"/>
          <w:sz w:val="22"/>
          <w:szCs w:val="22"/>
          <w:color w:val="auto"/>
        </w:rPr>
        <w:t>When the Trustee incurs expenses or renders services after an Event of Default specified in Section 6.01(g) or (h) hereof occurs, the expenses and the compensation for the services (including the fees and expenses of its agents and counsel) are intended to constitute expenses of administration under any Bankruptcy Law.</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240"/>
          </w:cols>
          <w:pgMar w:left="320" w:top="1428" w:right="339" w:bottom="1440" w:gutter="0" w:footer="0" w:header="0"/>
        </w:sectPr>
      </w:pPr>
    </w:p>
    <w:bookmarkStart w:id="115" w:name="page116"/>
    <w:bookmarkEnd w:id="115"/>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7.07</w:t>
      </w:r>
      <w:r>
        <w:rPr>
          <w:sz w:val="20"/>
          <w:szCs w:val="20"/>
          <w:color w:val="auto"/>
        </w:rPr>
        <w:tab/>
      </w:r>
      <w:r>
        <w:rPr>
          <w:rFonts w:ascii="Arial" w:cs="Arial" w:eastAsia="Arial" w:hAnsi="Arial"/>
          <w:sz w:val="18"/>
          <w:szCs w:val="18"/>
          <w:i w:val="1"/>
          <w:iCs w:val="1"/>
          <w:color w:val="auto"/>
        </w:rPr>
        <w:t>Replacement of Trustee</w:t>
      </w:r>
    </w:p>
    <w:p>
      <w:pPr>
        <w:spacing w:after="0" w:line="220" w:lineRule="exact"/>
        <w:rPr>
          <w:sz w:val="20"/>
          <w:szCs w:val="20"/>
          <w:color w:val="auto"/>
        </w:rPr>
      </w:pPr>
    </w:p>
    <w:p>
      <w:pPr>
        <w:ind w:firstLine="332"/>
        <w:spacing w:after="0" w:line="263" w:lineRule="auto"/>
        <w:tabs>
          <w:tab w:leader="none" w:pos="832" w:val="left"/>
        </w:tabs>
        <w:numPr>
          <w:ilvl w:val="0"/>
          <w:numId w:val="111"/>
        </w:numPr>
        <w:rPr>
          <w:rFonts w:ascii="Arial" w:cs="Arial" w:eastAsia="Arial" w:hAnsi="Arial"/>
          <w:sz w:val="22"/>
          <w:szCs w:val="22"/>
          <w:color w:val="auto"/>
        </w:rPr>
      </w:pPr>
      <w:r>
        <w:rPr>
          <w:rFonts w:ascii="Arial" w:cs="Arial" w:eastAsia="Arial" w:hAnsi="Arial"/>
          <w:sz w:val="22"/>
          <w:szCs w:val="22"/>
          <w:color w:val="auto"/>
        </w:rPr>
        <w:t>A resignation or removal of the Trustee and appointment of a successor Trustee shall become effective only upon the successor Trustee’s acceptance of appointment as provided in this Section 7.07.</w:t>
      </w:r>
    </w:p>
    <w:p>
      <w:pPr>
        <w:spacing w:after="0" w:line="201" w:lineRule="exact"/>
        <w:rPr>
          <w:rFonts w:ascii="Arial" w:cs="Arial" w:eastAsia="Arial" w:hAnsi="Arial"/>
          <w:sz w:val="22"/>
          <w:szCs w:val="22"/>
          <w:color w:val="auto"/>
        </w:rPr>
      </w:pPr>
    </w:p>
    <w:p>
      <w:pPr>
        <w:jc w:val="both"/>
        <w:ind w:firstLine="332"/>
        <w:spacing w:after="0" w:line="253" w:lineRule="auto"/>
        <w:tabs>
          <w:tab w:leader="none" w:pos="801"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The Trustee may resign in writing at any time and be discharged from the trust hereby created by so notifying the Issuer in writing. The Holders of a majority in principal amount of the then outstanding Notes may remove the Trustee by so notifying the Trustee and the Issuer in writing. The Issuer may remove the Trustee if:</w:t>
      </w:r>
    </w:p>
    <w:p>
      <w:pPr>
        <w:spacing w:after="0" w:line="212" w:lineRule="exact"/>
        <w:rPr>
          <w:rFonts w:ascii="Arial" w:cs="Arial" w:eastAsia="Arial" w:hAnsi="Arial"/>
          <w:sz w:val="22"/>
          <w:szCs w:val="22"/>
          <w:color w:val="auto"/>
        </w:rPr>
      </w:pPr>
    </w:p>
    <w:p>
      <w:pPr>
        <w:ind w:left="1440" w:hanging="460"/>
        <w:spacing w:after="0"/>
        <w:tabs>
          <w:tab w:leader="none" w:pos="1440" w:val="left"/>
        </w:tabs>
        <w:numPr>
          <w:ilvl w:val="1"/>
          <w:numId w:val="111"/>
        </w:numPr>
        <w:rPr>
          <w:rFonts w:ascii="Arial" w:cs="Arial" w:eastAsia="Arial" w:hAnsi="Arial"/>
          <w:sz w:val="22"/>
          <w:szCs w:val="22"/>
          <w:color w:val="auto"/>
        </w:rPr>
      </w:pPr>
      <w:r>
        <w:rPr>
          <w:rFonts w:ascii="Arial" w:cs="Arial" w:eastAsia="Arial" w:hAnsi="Arial"/>
          <w:sz w:val="22"/>
          <w:szCs w:val="22"/>
          <w:color w:val="auto"/>
        </w:rPr>
        <w:t>the Trustee fails to comply with Section 7.09 hereof;</w:t>
      </w:r>
    </w:p>
    <w:p>
      <w:pPr>
        <w:spacing w:after="0" w:line="219" w:lineRule="exact"/>
        <w:rPr>
          <w:rFonts w:ascii="Arial" w:cs="Arial" w:eastAsia="Arial" w:hAnsi="Arial"/>
          <w:sz w:val="22"/>
          <w:szCs w:val="22"/>
          <w:color w:val="auto"/>
        </w:rPr>
      </w:pPr>
    </w:p>
    <w:p>
      <w:pPr>
        <w:ind w:firstLine="980"/>
        <w:spacing w:after="0" w:line="263" w:lineRule="auto"/>
        <w:tabs>
          <w:tab w:leader="none" w:pos="1512" w:val="left"/>
        </w:tabs>
        <w:numPr>
          <w:ilvl w:val="1"/>
          <w:numId w:val="111"/>
        </w:numPr>
        <w:rPr>
          <w:rFonts w:ascii="Arial" w:cs="Arial" w:eastAsia="Arial" w:hAnsi="Arial"/>
          <w:sz w:val="22"/>
          <w:szCs w:val="22"/>
          <w:color w:val="auto"/>
        </w:rPr>
      </w:pPr>
      <w:r>
        <w:rPr>
          <w:rFonts w:ascii="Arial" w:cs="Arial" w:eastAsia="Arial" w:hAnsi="Arial"/>
          <w:sz w:val="22"/>
          <w:szCs w:val="22"/>
          <w:color w:val="auto"/>
        </w:rPr>
        <w:t>the Trustee is adjudged a bankrupt or an insolvent or an order for relief is entered with respect to the Trustee under any Bankruptcy Law;</w:t>
      </w:r>
    </w:p>
    <w:p>
      <w:pPr>
        <w:spacing w:after="0" w:line="174" w:lineRule="exact"/>
        <w:rPr>
          <w:rFonts w:ascii="Arial" w:cs="Arial" w:eastAsia="Arial" w:hAnsi="Arial"/>
          <w:sz w:val="22"/>
          <w:szCs w:val="22"/>
          <w:color w:val="auto"/>
        </w:rPr>
      </w:pPr>
    </w:p>
    <w:p>
      <w:pPr>
        <w:ind w:left="1440" w:hanging="460"/>
        <w:spacing w:after="0"/>
        <w:tabs>
          <w:tab w:leader="none" w:pos="1440" w:val="left"/>
        </w:tabs>
        <w:numPr>
          <w:ilvl w:val="1"/>
          <w:numId w:val="111"/>
        </w:numPr>
        <w:rPr>
          <w:rFonts w:ascii="Arial" w:cs="Arial" w:eastAsia="Arial" w:hAnsi="Arial"/>
          <w:sz w:val="22"/>
          <w:szCs w:val="22"/>
          <w:color w:val="auto"/>
        </w:rPr>
      </w:pPr>
      <w:r>
        <w:rPr>
          <w:rFonts w:ascii="Arial" w:cs="Arial" w:eastAsia="Arial" w:hAnsi="Arial"/>
          <w:sz w:val="22"/>
          <w:szCs w:val="22"/>
          <w:color w:val="auto"/>
        </w:rPr>
        <w:t>a custodian or public officer takes charge of the Trustee or its property; or</w:t>
      </w:r>
    </w:p>
    <w:p>
      <w:pPr>
        <w:spacing w:after="0" w:line="219" w:lineRule="exact"/>
        <w:rPr>
          <w:rFonts w:ascii="Arial" w:cs="Arial" w:eastAsia="Arial" w:hAnsi="Arial"/>
          <w:sz w:val="22"/>
          <w:szCs w:val="22"/>
          <w:color w:val="auto"/>
        </w:rPr>
      </w:pPr>
    </w:p>
    <w:p>
      <w:pPr>
        <w:ind w:left="1440" w:hanging="460"/>
        <w:spacing w:after="0"/>
        <w:tabs>
          <w:tab w:leader="none" w:pos="1440" w:val="left"/>
        </w:tabs>
        <w:numPr>
          <w:ilvl w:val="1"/>
          <w:numId w:val="111"/>
        </w:numPr>
        <w:rPr>
          <w:rFonts w:ascii="Arial" w:cs="Arial" w:eastAsia="Arial" w:hAnsi="Arial"/>
          <w:sz w:val="22"/>
          <w:szCs w:val="22"/>
          <w:color w:val="auto"/>
        </w:rPr>
      </w:pPr>
      <w:r>
        <w:rPr>
          <w:rFonts w:ascii="Arial" w:cs="Arial" w:eastAsia="Arial" w:hAnsi="Arial"/>
          <w:sz w:val="22"/>
          <w:szCs w:val="22"/>
          <w:color w:val="auto"/>
        </w:rPr>
        <w:t>the Trustee becomes incapable of acting.</w:t>
      </w:r>
    </w:p>
    <w:p>
      <w:pPr>
        <w:spacing w:after="0" w:line="219" w:lineRule="exact"/>
        <w:rPr>
          <w:rFonts w:ascii="Arial" w:cs="Arial" w:eastAsia="Arial" w:hAnsi="Arial"/>
          <w:sz w:val="22"/>
          <w:szCs w:val="22"/>
          <w:color w:val="auto"/>
        </w:rPr>
      </w:pPr>
    </w:p>
    <w:p>
      <w:pPr>
        <w:jc w:val="both"/>
        <w:ind w:firstLine="332"/>
        <w:spacing w:after="0" w:line="250" w:lineRule="auto"/>
        <w:tabs>
          <w:tab w:leader="none" w:pos="902" w:val="left"/>
        </w:tabs>
        <w:numPr>
          <w:ilvl w:val="0"/>
          <w:numId w:val="111"/>
        </w:numPr>
        <w:rPr>
          <w:rFonts w:ascii="Arial" w:cs="Arial" w:eastAsia="Arial" w:hAnsi="Arial"/>
          <w:sz w:val="22"/>
          <w:szCs w:val="22"/>
          <w:color w:val="auto"/>
        </w:rPr>
      </w:pPr>
      <w:r>
        <w:rPr>
          <w:rFonts w:ascii="Arial" w:cs="Arial" w:eastAsia="Arial" w:hAnsi="Arial"/>
          <w:sz w:val="22"/>
          <w:szCs w:val="22"/>
          <w:color w:val="auto"/>
        </w:rPr>
        <w:t>If the Trustee resigns or is removed or if a vacancy exists in the office of Trustee for any reason, the Issuer shall promptly appoint a successor Trustee. Within one year after the successor Trustee takes office, the Holders of a majority in principal amount of the then outstanding Notes may appoint a successor Trustee to replace the successor Trustee appointed by the Issuer.</w:t>
      </w:r>
    </w:p>
    <w:p>
      <w:pPr>
        <w:spacing w:after="0" w:line="214" w:lineRule="exact"/>
        <w:rPr>
          <w:rFonts w:ascii="Arial" w:cs="Arial" w:eastAsia="Arial" w:hAnsi="Arial"/>
          <w:sz w:val="22"/>
          <w:szCs w:val="22"/>
          <w:color w:val="auto"/>
        </w:rPr>
      </w:pPr>
    </w:p>
    <w:p>
      <w:pPr>
        <w:jc w:val="both"/>
        <w:ind w:firstLine="332"/>
        <w:spacing w:after="0" w:line="271" w:lineRule="auto"/>
        <w:tabs>
          <w:tab w:leader="none" w:pos="853" w:val="left"/>
        </w:tabs>
        <w:numPr>
          <w:ilvl w:val="0"/>
          <w:numId w:val="111"/>
        </w:numPr>
        <w:rPr>
          <w:rFonts w:ascii="Arial" w:cs="Arial" w:eastAsia="Arial" w:hAnsi="Arial"/>
          <w:sz w:val="21"/>
          <w:szCs w:val="21"/>
          <w:color w:val="auto"/>
        </w:rPr>
      </w:pPr>
      <w:r>
        <w:rPr>
          <w:rFonts w:ascii="Arial" w:cs="Arial" w:eastAsia="Arial" w:hAnsi="Arial"/>
          <w:sz w:val="21"/>
          <w:szCs w:val="21"/>
          <w:color w:val="auto"/>
        </w:rPr>
        <w:t>If a successor Trustee does not take office within 60 days after the retiring Trustee resigns or is removed, the retiring Trustee, the Issuer or the Holders of at least 10% in principal amount of the then outstanding Notes may petition any court of competent jurisdiction, at the expense of the Issuer, for the appointment of a successor Trustee.</w:t>
      </w:r>
    </w:p>
    <w:p>
      <w:pPr>
        <w:spacing w:after="0" w:line="207" w:lineRule="exact"/>
        <w:rPr>
          <w:rFonts w:ascii="Arial" w:cs="Arial" w:eastAsia="Arial" w:hAnsi="Arial"/>
          <w:sz w:val="21"/>
          <w:szCs w:val="21"/>
          <w:color w:val="auto"/>
        </w:rPr>
      </w:pPr>
    </w:p>
    <w:p>
      <w:pPr>
        <w:jc w:val="both"/>
        <w:ind w:firstLine="332"/>
        <w:spacing w:after="0" w:line="253" w:lineRule="auto"/>
        <w:tabs>
          <w:tab w:leader="none" w:pos="827" w:val="left"/>
        </w:tabs>
        <w:numPr>
          <w:ilvl w:val="0"/>
          <w:numId w:val="111"/>
        </w:numPr>
        <w:rPr>
          <w:rFonts w:ascii="Arial" w:cs="Arial" w:eastAsia="Arial" w:hAnsi="Arial"/>
          <w:sz w:val="22"/>
          <w:szCs w:val="22"/>
          <w:color w:val="auto"/>
        </w:rPr>
      </w:pPr>
      <w:r>
        <w:rPr>
          <w:rFonts w:ascii="Arial" w:cs="Arial" w:eastAsia="Arial" w:hAnsi="Arial"/>
          <w:sz w:val="22"/>
          <w:szCs w:val="22"/>
          <w:color w:val="auto"/>
        </w:rPr>
        <w:t>If the Trustee, after written request by any Holder who has been a Holder for at least six months, fails to comply with Section 7.09 hereof, such Holder may petition any court of competent jurisdiction, at the expense of the Issuer, for the removal of the Trustee and the appointment of a successor Trustee.</w:t>
      </w:r>
    </w:p>
    <w:p>
      <w:pPr>
        <w:spacing w:after="0" w:line="212" w:lineRule="exact"/>
        <w:rPr>
          <w:rFonts w:ascii="Arial" w:cs="Arial" w:eastAsia="Arial" w:hAnsi="Arial"/>
          <w:sz w:val="22"/>
          <w:szCs w:val="22"/>
          <w:color w:val="auto"/>
        </w:rPr>
      </w:pPr>
    </w:p>
    <w:p>
      <w:pPr>
        <w:jc w:val="both"/>
        <w:ind w:firstLine="332"/>
        <w:spacing w:after="0" w:line="246" w:lineRule="auto"/>
        <w:tabs>
          <w:tab w:leader="none" w:pos="881" w:val="left"/>
        </w:tabs>
        <w:numPr>
          <w:ilvl w:val="0"/>
          <w:numId w:val="111"/>
        </w:numPr>
        <w:rPr>
          <w:rFonts w:ascii="Arial" w:cs="Arial" w:eastAsia="Arial" w:hAnsi="Arial"/>
          <w:sz w:val="22"/>
          <w:szCs w:val="22"/>
          <w:color w:val="auto"/>
        </w:rPr>
      </w:pPr>
      <w:r>
        <w:rPr>
          <w:rFonts w:ascii="Arial" w:cs="Arial" w:eastAsia="Arial" w:hAnsi="Arial"/>
          <w:sz w:val="22"/>
          <w:szCs w:val="22"/>
          <w:color w:val="auto"/>
        </w:rPr>
        <w:t xml:space="preserve">A successor Trustee shall deliver a written acceptance of its appointment to the retiring Trustee and to the Issuer. Thereupon, the resignation or removal of the retiring Trustee shall become effective, and the successor Trustee shall have all the rights, powers and duties of the Trustee under this Indenture. The successor Trustee shall mail a notice of its succession to Holders. The retiring Trustee shall promptly transfer all property held by it as Trustee to the successor Trustee,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all sums owing to the Trustee hereunder have been paid and subject to the Lien provided for in Section 7.06 hereof. Notwithstanding replacement of the Trustee pursuant to this Section 7.07, the Issuer’s obligations under Section 7.06 hereof shall continue for the benefit of the retiring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40"/>
          </w:cols>
          <w:pgMar w:left="320" w:top="1428" w:right="339" w:bottom="1440" w:gutter="0" w:footer="0" w:header="0"/>
        </w:sectPr>
      </w:pPr>
    </w:p>
    <w:bookmarkStart w:id="116" w:name="page117"/>
    <w:bookmarkEnd w:id="116"/>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7.08</w:t>
      </w:r>
      <w:r>
        <w:rPr>
          <w:sz w:val="20"/>
          <w:szCs w:val="20"/>
          <w:color w:val="auto"/>
        </w:rPr>
        <w:tab/>
      </w:r>
      <w:r>
        <w:rPr>
          <w:rFonts w:ascii="Arial" w:cs="Arial" w:eastAsia="Arial" w:hAnsi="Arial"/>
          <w:sz w:val="18"/>
          <w:szCs w:val="18"/>
          <w:i w:val="1"/>
          <w:iCs w:val="1"/>
          <w:color w:val="auto"/>
        </w:rPr>
        <w:t>Successor Trustee by Merger, etc.</w:t>
      </w:r>
    </w:p>
    <w:p>
      <w:pPr>
        <w:spacing w:after="0" w:line="22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If the Trustee consolidates, merges or converts into, or transfers all or substantially all of its corporate trust business to, another corporation, the successor corporation without any further act shall be the successor Trustee with the same effect as if the successor Trustee had been named as the Trustee in this Indenture.</w:t>
      </w:r>
    </w:p>
    <w:p>
      <w:pPr>
        <w:spacing w:after="0" w:line="212"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7.09</w:t>
      </w:r>
      <w:r>
        <w:rPr>
          <w:sz w:val="20"/>
          <w:szCs w:val="20"/>
          <w:color w:val="auto"/>
        </w:rPr>
        <w:tab/>
      </w:r>
      <w:r>
        <w:rPr>
          <w:rFonts w:ascii="Arial" w:cs="Arial" w:eastAsia="Arial" w:hAnsi="Arial"/>
          <w:sz w:val="21"/>
          <w:szCs w:val="21"/>
          <w:i w:val="1"/>
          <w:iCs w:val="1"/>
          <w:color w:val="auto"/>
        </w:rPr>
        <w:t>Eligibility; Disqualification</w:t>
      </w:r>
    </w:p>
    <w:p>
      <w:pPr>
        <w:spacing w:after="0" w:line="220"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21"/>
          <w:szCs w:val="21"/>
          <w:color w:val="auto"/>
        </w:rPr>
        <w:t>There shall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US$50 million as set forth in its most recent published annual report of condition.</w:t>
      </w:r>
    </w:p>
    <w:p>
      <w:pPr>
        <w:spacing w:after="0" w:line="202"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8</w:t>
      </w:r>
    </w:p>
    <w:p>
      <w:pPr>
        <w:spacing w:after="0" w:line="220"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LEGAL DEFEASANCE AND COVENANT DEFEASANCE</w:t>
      </w:r>
    </w:p>
    <w:p>
      <w:pPr>
        <w:spacing w:after="0" w:line="247"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8.01</w:t>
      </w:r>
      <w:r>
        <w:rPr>
          <w:sz w:val="20"/>
          <w:szCs w:val="20"/>
          <w:color w:val="auto"/>
        </w:rPr>
        <w:tab/>
      </w:r>
      <w:r>
        <w:rPr>
          <w:rFonts w:ascii="Arial" w:cs="Arial" w:eastAsia="Arial" w:hAnsi="Arial"/>
          <w:sz w:val="19"/>
          <w:szCs w:val="19"/>
          <w:i w:val="1"/>
          <w:iCs w:val="1"/>
          <w:color w:val="auto"/>
        </w:rPr>
        <w:t>Option to Effect Legal Defeasance or Covenant Defeasance</w:t>
      </w:r>
    </w:p>
    <w:p>
      <w:pPr>
        <w:spacing w:after="0" w:line="22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The Issuer may, at the option of its Board of Directors evidenced by a resolution set forth in an Officer’s Certificate of the Issuer, at any time, elect to have either Section 8.02 or 8.03 hereof be applied to all outstanding Notes upon compliance with the conditions set forth below in this Article 8.</w:t>
      </w:r>
    </w:p>
    <w:p>
      <w:pPr>
        <w:spacing w:after="0" w:line="226"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8.02</w:t>
      </w:r>
      <w:r>
        <w:rPr>
          <w:sz w:val="20"/>
          <w:szCs w:val="20"/>
          <w:color w:val="auto"/>
        </w:rPr>
        <w:tab/>
      </w:r>
      <w:r>
        <w:rPr>
          <w:rFonts w:ascii="Arial" w:cs="Arial" w:eastAsia="Arial" w:hAnsi="Arial"/>
          <w:sz w:val="19"/>
          <w:szCs w:val="19"/>
          <w:i w:val="1"/>
          <w:iCs w:val="1"/>
          <w:color w:val="auto"/>
        </w:rPr>
        <w:t>Legal Defeasance and Discharge</w:t>
      </w:r>
    </w:p>
    <w:p>
      <w:pPr>
        <w:spacing w:after="0" w:line="22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21"/>
          <w:szCs w:val="21"/>
          <w:color w:val="auto"/>
        </w:rPr>
        <w:t>Upon the Issuer’s exercise under Section 8.01 hereof of the option applicable to this Section 8.02, the Issuer shall, subject to the satisfaction of the conditions set forth in Section 8.04 hereof, be deemed to have been discharged from its obligations with respect to all outstanding Notes on the date the conditions set forth below are satisfied (hereinafter, “</w:t>
      </w:r>
      <w:r>
        <w:rPr>
          <w:rFonts w:ascii="Arial" w:cs="Arial" w:eastAsia="Arial" w:hAnsi="Arial"/>
          <w:sz w:val="21"/>
          <w:szCs w:val="21"/>
          <w:i w:val="1"/>
          <w:iCs w:val="1"/>
          <w:color w:val="auto"/>
        </w:rPr>
        <w:t>Legal Defeasance</w:t>
      </w:r>
      <w:r>
        <w:rPr>
          <w:rFonts w:ascii="Arial" w:cs="Arial" w:eastAsia="Arial" w:hAnsi="Arial"/>
          <w:sz w:val="21"/>
          <w:szCs w:val="21"/>
          <w:color w:val="auto"/>
        </w:rPr>
        <w:t>”). For this purpose, Legal Defeasance means that the Issuer shall be deemed to have paid and discharged the entire Indebtedness represented by the outstanding Notes, which shall thereafter be deemed to be “outstanding” only for the purposes of Section 8.05 hereof and the other Sections of this Indenture referred to in Sections 8.02(a) and (b) below, and to have satisfied all its other obligations under such Notes and this Indenture (and the Trustee, on demand of and at the expense of the Issuer, shall execute proper instruments acknowledging the same), except for the following provisions which shall survive until otherwise terminated or discharged hereunder:</w:t>
      </w:r>
    </w:p>
    <w:p>
      <w:pPr>
        <w:spacing w:after="0" w:line="206" w:lineRule="exact"/>
        <w:rPr>
          <w:sz w:val="20"/>
          <w:szCs w:val="20"/>
          <w:color w:val="auto"/>
        </w:rPr>
      </w:pPr>
    </w:p>
    <w:p>
      <w:pPr>
        <w:ind w:firstLine="1628"/>
        <w:spacing w:after="0" w:line="287" w:lineRule="auto"/>
        <w:tabs>
          <w:tab w:leader="none" w:pos="2081" w:val="left"/>
        </w:tabs>
        <w:numPr>
          <w:ilvl w:val="0"/>
          <w:numId w:val="112"/>
        </w:numPr>
        <w:rPr>
          <w:rFonts w:ascii="Arial" w:cs="Arial" w:eastAsia="Arial" w:hAnsi="Arial"/>
          <w:sz w:val="21"/>
          <w:szCs w:val="21"/>
          <w:color w:val="auto"/>
        </w:rPr>
      </w:pPr>
      <w:r>
        <w:rPr>
          <w:rFonts w:ascii="Arial" w:cs="Arial" w:eastAsia="Arial" w:hAnsi="Arial"/>
          <w:sz w:val="21"/>
          <w:szCs w:val="21"/>
          <w:color w:val="auto"/>
        </w:rPr>
        <w:t>the rights of Holders of outstanding Notes to receive payments in respect of the principal of, or interest or premium, if any, on such Notes when such payments are due from the trust referred to in Section 8.04 hereof;</w:t>
      </w:r>
    </w:p>
    <w:p>
      <w:pPr>
        <w:spacing w:after="0" w:line="151" w:lineRule="exact"/>
        <w:rPr>
          <w:rFonts w:ascii="Arial" w:cs="Arial" w:eastAsia="Arial" w:hAnsi="Arial"/>
          <w:sz w:val="21"/>
          <w:szCs w:val="21"/>
          <w:color w:val="auto"/>
        </w:rPr>
      </w:pPr>
    </w:p>
    <w:p>
      <w:pPr>
        <w:ind w:left="2100" w:hanging="472"/>
        <w:spacing w:after="0"/>
        <w:tabs>
          <w:tab w:leader="none" w:pos="210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Issuer’s obligations with respect to such Notes under Article 2 and Section 4.02 hereof;</w:t>
      </w:r>
    </w:p>
    <w:p>
      <w:pPr>
        <w:spacing w:after="0" w:line="219" w:lineRule="exact"/>
        <w:rPr>
          <w:rFonts w:ascii="Arial" w:cs="Arial" w:eastAsia="Arial" w:hAnsi="Arial"/>
          <w:sz w:val="22"/>
          <w:szCs w:val="22"/>
          <w:color w:val="auto"/>
        </w:rPr>
      </w:pPr>
    </w:p>
    <w:p>
      <w:pPr>
        <w:ind w:firstLine="1628"/>
        <w:spacing w:after="0" w:line="263" w:lineRule="auto"/>
        <w:tabs>
          <w:tab w:leader="none" w:pos="2121"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rights, powers, trusts, duties and immunities of the Trustee hereunder and the Issuer’s obligations in connection therewith;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240"/>
          </w:cols>
          <w:pgMar w:left="320" w:top="1428" w:right="339" w:bottom="1440" w:gutter="0" w:footer="0" w:header="0"/>
        </w:sectPr>
      </w:pPr>
    </w:p>
    <w:bookmarkStart w:id="117" w:name="page118"/>
    <w:bookmarkEnd w:id="117"/>
    <w:p>
      <w:pPr>
        <w:ind w:left="2100" w:hanging="472"/>
        <w:spacing w:after="0"/>
        <w:tabs>
          <w:tab w:leader="none" w:pos="210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this Article 8.</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Subject to compliance with this Article 8, the Issuer may exercise its option under this Section 8.02 notwithstanding the prior exercise of its option under Section 8.03 hereof.</w:t>
      </w:r>
    </w:p>
    <w:p>
      <w:pPr>
        <w:spacing w:after="0" w:line="175"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8.03</w:t>
      </w:r>
      <w:r>
        <w:rPr>
          <w:sz w:val="20"/>
          <w:szCs w:val="20"/>
          <w:color w:val="auto"/>
        </w:rPr>
        <w:tab/>
      </w:r>
      <w:r>
        <w:rPr>
          <w:rFonts w:ascii="Arial" w:cs="Arial" w:eastAsia="Arial" w:hAnsi="Arial"/>
          <w:sz w:val="18"/>
          <w:szCs w:val="18"/>
          <w:i w:val="1"/>
          <w:iCs w:val="1"/>
          <w:color w:val="auto"/>
        </w:rPr>
        <w:t>Covenant Defeasance</w:t>
      </w:r>
    </w:p>
    <w:p>
      <w:pPr>
        <w:spacing w:after="0" w:line="22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9"/>
          <w:szCs w:val="19"/>
          <w:color w:val="auto"/>
        </w:rPr>
        <w:t>Upon the Issuer’s exercise under Section 8.01 hereof of the option applicable to this Section 8.03, the Issuer shall, subject to the satisfaction of the conditions set forth in Section 8.04 hereof, be released from its obligations under the covenants contained in Sections 4.07 and 4.08 hereof with respect to the outstanding Notes on and after the date the conditions set forth in Section 8.04 hereof are satisfied (hereinafter, “</w:t>
      </w:r>
      <w:r>
        <w:rPr>
          <w:rFonts w:ascii="Arial" w:cs="Arial" w:eastAsia="Arial" w:hAnsi="Arial"/>
          <w:sz w:val="19"/>
          <w:szCs w:val="19"/>
          <w:i w:val="1"/>
          <w:iCs w:val="1"/>
          <w:color w:val="auto"/>
        </w:rPr>
        <w:t>Covenant Defeasance</w:t>
      </w:r>
      <w:r>
        <w:rPr>
          <w:rFonts w:ascii="Arial" w:cs="Arial" w:eastAsia="Arial" w:hAnsi="Arial"/>
          <w:sz w:val="19"/>
          <w:szCs w:val="19"/>
          <w:color w:val="auto"/>
        </w:rPr>
        <w:t>”),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hereof, but, except as specified above, the remainder of this Indenture and such Notes shall be unaffected thereby. In addition, upon the Issuer’s exercise under Section 8.01 hereof of the option applicable to this Section 8.03 hereof, subject to the satisfaction of the conditions set forth in Section 8.04 hereof, Sections 6.01(c) through 6.01(f) hereof shall not constitute Events of Default.</w:t>
      </w:r>
    </w:p>
    <w:p>
      <w:pPr>
        <w:spacing w:after="0" w:line="189"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22"/>
          <w:szCs w:val="22"/>
          <w:i w:val="1"/>
          <w:iCs w:val="1"/>
          <w:color w:val="auto"/>
        </w:rPr>
        <w:t>8.04</w:t>
      </w:r>
      <w:r>
        <w:rPr>
          <w:sz w:val="20"/>
          <w:szCs w:val="20"/>
          <w:color w:val="auto"/>
        </w:rPr>
        <w:tab/>
      </w:r>
      <w:r>
        <w:rPr>
          <w:rFonts w:ascii="Arial" w:cs="Arial" w:eastAsia="Arial" w:hAnsi="Arial"/>
          <w:sz w:val="19"/>
          <w:szCs w:val="19"/>
          <w:i w:val="1"/>
          <w:iCs w:val="1"/>
          <w:color w:val="auto"/>
        </w:rPr>
        <w:t>Conditions to Legal or Covenant Defeasance</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In order to exercise either Legal Defeasance or Covenant Defeasance under either Section 8.02 or 8.03 hereof:</w:t>
      </w:r>
    </w:p>
    <w:p>
      <w:pPr>
        <w:spacing w:after="0" w:line="247" w:lineRule="exact"/>
        <w:rPr>
          <w:sz w:val="20"/>
          <w:szCs w:val="20"/>
          <w:color w:val="auto"/>
        </w:rPr>
      </w:pPr>
    </w:p>
    <w:p>
      <w:pPr>
        <w:jc w:val="both"/>
        <w:ind w:firstLine="332"/>
        <w:spacing w:after="0" w:line="294" w:lineRule="auto"/>
        <w:tabs>
          <w:tab w:leader="none" w:pos="883"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Issuer must irrevocably deposit with the Trustee or its designee, in trust, for the benefit of the Holders, cash in U.S. dollars, non-callable Government Securities, or a combination of cash in U.S. dollars and non-callable Government Securities, in amounts as shall be sufficient, in the opinion of an internationally recognized investment bank, appraisal firm or firm of independent public accountants, to pay the principal of, or interest and premium, if any, on the outstanding Notes on the stated date for payment thereof or on the applicable redemption date, as the case may be, and the Issuer must specify whether the Notes are being defeased to such stated date for payment or to a particular redemption date;</w:t>
      </w:r>
    </w:p>
    <w:p>
      <w:pPr>
        <w:spacing w:after="0" w:line="176" w:lineRule="exact"/>
        <w:rPr>
          <w:rFonts w:ascii="Arial" w:cs="Arial" w:eastAsia="Arial" w:hAnsi="Arial"/>
          <w:sz w:val="19"/>
          <w:szCs w:val="19"/>
          <w:color w:val="auto"/>
        </w:rPr>
      </w:pPr>
    </w:p>
    <w:p>
      <w:pPr>
        <w:jc w:val="both"/>
        <w:ind w:firstLine="332"/>
        <w:spacing w:after="0" w:line="247" w:lineRule="auto"/>
        <w:tabs>
          <w:tab w:leader="none" w:pos="907" w:val="left"/>
        </w:tabs>
        <w:numPr>
          <w:ilvl w:val="0"/>
          <w:numId w:val="114"/>
        </w:numPr>
        <w:rPr>
          <w:rFonts w:ascii="Arial" w:cs="Arial" w:eastAsia="Arial" w:hAnsi="Arial"/>
          <w:sz w:val="22"/>
          <w:szCs w:val="22"/>
          <w:color w:val="auto"/>
        </w:rPr>
      </w:pPr>
      <w:r>
        <w:rPr>
          <w:rFonts w:ascii="Arial" w:cs="Arial" w:eastAsia="Arial" w:hAnsi="Arial"/>
          <w:sz w:val="22"/>
          <w:szCs w:val="22"/>
          <w:color w:val="auto"/>
        </w:rPr>
        <w:t>in the case of an election under Section 8.02 hereof, the Issuer must deliver to the Trustee an Opinion of Counsel reasonably acceptable to the Trustee confirming that (1) the Issuer has received from, or there has been published by, the Internal Revenue Service a ruling or (2) since the date of this Indenture, there has been a change in the applicable United States federal income tax law, in either case to the effect that, and based thereon such Opinion of Counsel shall confirm that, the Holders of the outstanding Notes shall not recognize income, gain or loss for United States federal income tax purposes as a result of such Legal Defeasance and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40"/>
          </w:cols>
          <w:pgMar w:left="320" w:top="1428" w:right="339" w:bottom="1440" w:gutter="0" w:footer="0" w:header="0"/>
        </w:sectPr>
      </w:pPr>
    </w:p>
    <w:bookmarkStart w:id="118" w:name="page119"/>
    <w:bookmarkEnd w:id="118"/>
    <w:p>
      <w:pPr>
        <w:spacing w:after="0" w:line="263" w:lineRule="auto"/>
        <w:rPr>
          <w:sz w:val="20"/>
          <w:szCs w:val="20"/>
          <w:color w:val="auto"/>
        </w:rPr>
      </w:pPr>
      <w:r>
        <w:rPr>
          <w:rFonts w:ascii="Arial" w:cs="Arial" w:eastAsia="Arial" w:hAnsi="Arial"/>
          <w:sz w:val="22"/>
          <w:szCs w:val="22"/>
          <w:color w:val="auto"/>
        </w:rPr>
        <w:t>shall be subject to United States federal income tax on the same amounts, in the same manner and at the same times as would have been the case if such Legal Defeasance had not occurred;</w:t>
      </w:r>
    </w:p>
    <w:p>
      <w:pPr>
        <w:spacing w:after="0" w:line="202" w:lineRule="exact"/>
        <w:rPr>
          <w:sz w:val="20"/>
          <w:szCs w:val="20"/>
          <w:color w:val="auto"/>
        </w:rPr>
      </w:pPr>
    </w:p>
    <w:p>
      <w:pPr>
        <w:jc w:val="both"/>
        <w:ind w:firstLine="332"/>
        <w:spacing w:after="0" w:line="248" w:lineRule="auto"/>
        <w:tabs>
          <w:tab w:leader="none" w:pos="885" w:val="left"/>
        </w:tabs>
        <w:numPr>
          <w:ilvl w:val="0"/>
          <w:numId w:val="115"/>
        </w:numPr>
        <w:rPr>
          <w:rFonts w:ascii="Arial" w:cs="Arial" w:eastAsia="Arial" w:hAnsi="Arial"/>
          <w:sz w:val="22"/>
          <w:szCs w:val="22"/>
          <w:color w:val="auto"/>
        </w:rPr>
      </w:pPr>
      <w:r>
        <w:rPr>
          <w:rFonts w:ascii="Arial" w:cs="Arial" w:eastAsia="Arial" w:hAnsi="Arial"/>
          <w:sz w:val="22"/>
          <w:szCs w:val="22"/>
          <w:color w:val="auto"/>
        </w:rPr>
        <w:t>in the case of an election under Section 8.03 hereof, the Issuer has delivered to the Trustee an Opinion of Counsel reasonably acceptable to the Trustee confirming that the Holders of the outstanding Notes shall not recognize income, gain or loss for United States federal income tax purposes as a result of such Covenant Defeasance and shall be subject to United States federal income tax on the same amounts, in the same manner and at the same times as would have been the case if such Covenant Defeasance had not occurred;</w:t>
      </w:r>
    </w:p>
    <w:p>
      <w:pPr>
        <w:spacing w:after="0" w:line="218" w:lineRule="exact"/>
        <w:rPr>
          <w:rFonts w:ascii="Arial" w:cs="Arial" w:eastAsia="Arial" w:hAnsi="Arial"/>
          <w:sz w:val="22"/>
          <w:szCs w:val="22"/>
          <w:color w:val="auto"/>
        </w:rPr>
      </w:pPr>
    </w:p>
    <w:p>
      <w:pPr>
        <w:jc w:val="both"/>
        <w:ind w:firstLine="332"/>
        <w:spacing w:after="0" w:line="312" w:lineRule="auto"/>
        <w:tabs>
          <w:tab w:leader="none" w:pos="806" w:val="left"/>
        </w:tabs>
        <w:numPr>
          <w:ilvl w:val="0"/>
          <w:numId w:val="115"/>
        </w:numPr>
        <w:rPr>
          <w:rFonts w:ascii="Arial" w:cs="Arial" w:eastAsia="Arial" w:hAnsi="Arial"/>
          <w:sz w:val="19"/>
          <w:szCs w:val="19"/>
          <w:color w:val="auto"/>
        </w:rPr>
      </w:pPr>
      <w:r>
        <w:rPr>
          <w:rFonts w:ascii="Arial" w:cs="Arial" w:eastAsia="Arial" w:hAnsi="Arial"/>
          <w:sz w:val="19"/>
          <w:szCs w:val="19"/>
          <w:color w:val="auto"/>
        </w:rPr>
        <w:t>no Default or Event of Default has occurred and is continuing on the date of such deposit (other than a Default or Event of Default resulting from the borrowing of funds to be applied to such deposit) and the deposit shall not result in a breach or violation of, or constitute a default under, any other instrument to which the Issuer is a party or by which the Issuer is bound;</w:t>
      </w:r>
    </w:p>
    <w:p>
      <w:pPr>
        <w:spacing w:after="0" w:line="160" w:lineRule="exact"/>
        <w:rPr>
          <w:rFonts w:ascii="Arial" w:cs="Arial" w:eastAsia="Arial" w:hAnsi="Arial"/>
          <w:sz w:val="19"/>
          <w:szCs w:val="19"/>
          <w:color w:val="auto"/>
        </w:rPr>
      </w:pPr>
    </w:p>
    <w:p>
      <w:pPr>
        <w:jc w:val="both"/>
        <w:ind w:firstLine="332"/>
        <w:spacing w:after="0" w:line="253" w:lineRule="auto"/>
        <w:tabs>
          <w:tab w:leader="none" w:pos="796" w:val="left"/>
        </w:tabs>
        <w:numPr>
          <w:ilvl w:val="0"/>
          <w:numId w:val="115"/>
        </w:numPr>
        <w:rPr>
          <w:rFonts w:ascii="Arial" w:cs="Arial" w:eastAsia="Arial" w:hAnsi="Arial"/>
          <w:sz w:val="22"/>
          <w:szCs w:val="22"/>
          <w:color w:val="auto"/>
        </w:rPr>
      </w:pPr>
      <w:r>
        <w:rPr>
          <w:rFonts w:ascii="Arial" w:cs="Arial" w:eastAsia="Arial" w:hAnsi="Arial"/>
          <w:sz w:val="22"/>
          <w:szCs w:val="22"/>
          <w:color w:val="auto"/>
        </w:rPr>
        <w:t>such Legal Defeasance or Covenant Defeasance shall not result in a breach or violation of, or constitute a default under, any material agreement or instrument (other than this Indenture) to which the Issuer is a party or by which any such Person is bound;</w:t>
      </w:r>
    </w:p>
    <w:p>
      <w:pPr>
        <w:spacing w:after="0" w:line="225" w:lineRule="exact"/>
        <w:rPr>
          <w:rFonts w:ascii="Arial" w:cs="Arial" w:eastAsia="Arial" w:hAnsi="Arial"/>
          <w:sz w:val="22"/>
          <w:szCs w:val="22"/>
          <w:color w:val="auto"/>
        </w:rPr>
      </w:pPr>
    </w:p>
    <w:p>
      <w:pPr>
        <w:jc w:val="both"/>
        <w:ind w:firstLine="332"/>
        <w:spacing w:after="0" w:line="248" w:lineRule="auto"/>
        <w:tabs>
          <w:tab w:leader="none" w:pos="785" w:val="left"/>
        </w:tabs>
        <w:numPr>
          <w:ilvl w:val="0"/>
          <w:numId w:val="115"/>
        </w:numPr>
        <w:rPr>
          <w:rFonts w:ascii="Arial" w:cs="Arial" w:eastAsia="Arial" w:hAnsi="Arial"/>
          <w:sz w:val="22"/>
          <w:szCs w:val="22"/>
          <w:color w:val="auto"/>
        </w:rPr>
      </w:pPr>
      <w:r>
        <w:rPr>
          <w:rFonts w:ascii="Arial" w:cs="Arial" w:eastAsia="Arial" w:hAnsi="Arial"/>
          <w:sz w:val="22"/>
          <w:szCs w:val="22"/>
          <w:color w:val="auto"/>
        </w:rPr>
        <w:t>in the case of an election under Section 8.02 hereof, the Issuer must deliver to the Trustee an Opinion of Counsel to the effect that, assuming no intervening bankruptcy of the Issuer between the date of deposit and the 183rd day following the deposit and assuming that no Holder of Notes is an “insider” of the Issuer under applicable bankruptcy law, after the 183rd day following the deposit, the trust funds shall not be subject to the effect of any applicable bankruptcy, insolvency, reorganization or similar laws affecting creditors’ rights generally;</w:t>
      </w:r>
    </w:p>
    <w:p>
      <w:pPr>
        <w:spacing w:after="0" w:line="218" w:lineRule="exact"/>
        <w:rPr>
          <w:rFonts w:ascii="Arial" w:cs="Arial" w:eastAsia="Arial" w:hAnsi="Arial"/>
          <w:sz w:val="22"/>
          <w:szCs w:val="22"/>
          <w:color w:val="auto"/>
        </w:rPr>
      </w:pPr>
    </w:p>
    <w:p>
      <w:pPr>
        <w:jc w:val="both"/>
        <w:ind w:firstLine="332"/>
        <w:spacing w:after="0" w:line="253" w:lineRule="auto"/>
        <w:tabs>
          <w:tab w:leader="none" w:pos="796"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Issuer must deliver to the Trustee an Officer’s Certificate stating that the deposit was not made by the Issuer with the intent of preferring the Holders of Notes over the other creditors of the Issuer with the intent of defeating, hindering, delaying or defrauding any creditors of the Issuer or others; and</w:t>
      </w:r>
    </w:p>
    <w:p>
      <w:pPr>
        <w:spacing w:after="0" w:line="212" w:lineRule="exact"/>
        <w:rPr>
          <w:rFonts w:ascii="Arial" w:cs="Arial" w:eastAsia="Arial" w:hAnsi="Arial"/>
          <w:sz w:val="22"/>
          <w:szCs w:val="22"/>
          <w:color w:val="auto"/>
        </w:rPr>
      </w:pPr>
    </w:p>
    <w:p>
      <w:pPr>
        <w:ind w:right="20" w:firstLine="332"/>
        <w:spacing w:after="0" w:line="263" w:lineRule="auto"/>
        <w:tabs>
          <w:tab w:leader="none" w:pos="804"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Issuer must deliver to the Trustee an Officer’s Certificate and an Opinion of Counsel, each stating that all conditions precedent relating to the Legal Defeasance or the Covenant Defeasance have been complied with.</w:t>
      </w:r>
    </w:p>
    <w:p>
      <w:pPr>
        <w:spacing w:after="0" w:line="20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i w:val="1"/>
          <w:iCs w:val="1"/>
          <w:color w:val="auto"/>
        </w:rPr>
        <w:t>Section 8.05</w:t>
      </w:r>
      <w:r>
        <w:rPr>
          <w:sz w:val="20"/>
          <w:szCs w:val="20"/>
          <w:color w:val="auto"/>
        </w:rPr>
        <w:tab/>
      </w:r>
      <w:r>
        <w:rPr>
          <w:rFonts w:ascii="Arial" w:cs="Arial" w:eastAsia="Arial" w:hAnsi="Arial"/>
          <w:sz w:val="19"/>
          <w:szCs w:val="19"/>
          <w:i w:val="1"/>
          <w:iCs w:val="1"/>
          <w:color w:val="auto"/>
        </w:rPr>
        <w:t>Deposited Money and Government Securities to be Held in Trust; Other Miscellaneous Provisions</w:t>
      </w:r>
    </w:p>
    <w:p>
      <w:pPr>
        <w:spacing w:after="0" w:line="22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2"/>
          <w:szCs w:val="22"/>
          <w:color w:val="auto"/>
        </w:rPr>
        <w:t>Subject to Section 8.06 hereof, all money and Government Securities (including the proceeds thereof) deposited with the Trustee (or other qualifying trustee, collectively for purposes of this Section 8.05, the “</w:t>
      </w:r>
      <w:r>
        <w:rPr>
          <w:rFonts w:ascii="Arial" w:cs="Arial" w:eastAsia="Arial" w:hAnsi="Arial"/>
          <w:sz w:val="22"/>
          <w:szCs w:val="22"/>
          <w:i w:val="1"/>
          <w:iCs w:val="1"/>
          <w:color w:val="auto"/>
        </w:rPr>
        <w:t>Trustee</w:t>
      </w:r>
      <w:r>
        <w:rPr>
          <w:rFonts w:ascii="Arial" w:cs="Arial" w:eastAsia="Arial" w:hAnsi="Arial"/>
          <w:sz w:val="22"/>
          <w:szCs w:val="22"/>
          <w:color w:val="auto"/>
        </w:rPr>
        <w:t>”) pursuant to Section 8.04 hereof in respect of the outstanding Notes shall be held in trust and applied by the Trustee, in accordance with the provisions of such Notes and this Indenture, to the payment, either directly or through any Paying Agent (including the Issuer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1428" w:right="339" w:bottom="1440" w:gutter="0" w:footer="0" w:header="0"/>
        </w:sectPr>
      </w:pPr>
    </w:p>
    <w:bookmarkStart w:id="119" w:name="page120"/>
    <w:bookmarkEnd w:id="119"/>
    <w:p>
      <w:pPr>
        <w:jc w:val="both"/>
        <w:ind w:firstLine="324"/>
        <w:spacing w:after="0" w:line="312" w:lineRule="auto"/>
        <w:rPr>
          <w:sz w:val="20"/>
          <w:szCs w:val="20"/>
          <w:color w:val="auto"/>
        </w:rPr>
      </w:pPr>
      <w:r>
        <w:rPr>
          <w:rFonts w:ascii="Arial" w:cs="Arial" w:eastAsia="Arial" w:hAnsi="Arial"/>
          <w:sz w:val="19"/>
          <w:szCs w:val="19"/>
          <w:color w:val="auto"/>
        </w:rPr>
        <w:t>The Issuer shall pay and indemnify the Trustee against any tax, fee or other charge imposed on or assessed against the cash or Government Securities deposited pursuant to Section 8.04 hereof or the principal and interest received in respect thereof other than any such tax, fee or other charge which by law is for the account of the Holders of the outstanding Notes.</w:t>
      </w:r>
    </w:p>
    <w:p>
      <w:pPr>
        <w:spacing w:after="0" w:line="16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Notwithstanding anything in this Article 8 to the contrary, the Trustee shall deliver or pay to the Issuer from time to time upon the request of the Issuer any money or Government Securities held by it as provided in Section 8.04 hereof which, in the opinion of an internationally recognized firm of independent public accountants expressed in a written certification thereof delivered to the Trustee (which may be the opinion delivered under Section 8.04(b) hereof), are in excess of the amount thereof that would then be required to be deposited to effect an equivalent Legal Defeasance or Covenant Defeasance.</w:t>
      </w:r>
    </w:p>
    <w:p>
      <w:pPr>
        <w:spacing w:after="0" w:line="174"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8.06</w:t>
      </w:r>
      <w:r>
        <w:rPr>
          <w:sz w:val="20"/>
          <w:szCs w:val="20"/>
          <w:color w:val="auto"/>
        </w:rPr>
        <w:tab/>
      </w:r>
      <w:r>
        <w:rPr>
          <w:rFonts w:ascii="Arial" w:cs="Arial" w:eastAsia="Arial" w:hAnsi="Arial"/>
          <w:sz w:val="19"/>
          <w:szCs w:val="19"/>
          <w:i w:val="1"/>
          <w:iCs w:val="1"/>
          <w:color w:val="auto"/>
        </w:rPr>
        <w:t>Repayment to Issuer</w:t>
      </w:r>
    </w:p>
    <w:p>
      <w:pPr>
        <w:spacing w:after="0" w:line="22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9"/>
          <w:szCs w:val="19"/>
          <w:color w:val="auto"/>
        </w:rPr>
        <w:t xml:space="preserve">Any money deposited with the Trustee or any Paying Agent, or then held by the Issuer, in trust for the payment of the principal of, premium, if any, or interest on any Note and remaining unclaimed for two years after such principal, premium, if any, or interest has become due and payable shall be paid to the Issuer on its request or (if then held by the Issuer) shall be discharged from such trust; and the Holder of such Note shall thereafter be permitted to look only to the Issuer for payment thereof, and all liability of the Trustee or such Paying Agent with respect to such trust money, and all liability of the Issuer as trustee thereof, shall thereupon cease;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Trustee or such Paying Agent, before being required to make any such repayment, may at the expense of the Issuer cause to be published once, in the New York Times (United States national edition) and The Wall Street Journal (United States national edition and The Wall Street Journal Asia), notice that such money remains unclaimed and that, after a date specified therein, which shall not be less than 30 days from the date of such notification or publication, any unclaimed balance of such money then remaining shall be repaid to the Issuer.</w:t>
      </w:r>
    </w:p>
    <w:p>
      <w:pPr>
        <w:spacing w:after="0" w:line="186"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8.07</w:t>
      </w:r>
      <w:r>
        <w:rPr>
          <w:sz w:val="20"/>
          <w:szCs w:val="20"/>
          <w:color w:val="auto"/>
        </w:rPr>
        <w:tab/>
      </w:r>
      <w:r>
        <w:rPr>
          <w:rFonts w:ascii="Arial" w:cs="Arial" w:eastAsia="Arial" w:hAnsi="Arial"/>
          <w:sz w:val="18"/>
          <w:szCs w:val="18"/>
          <w:i w:val="1"/>
          <w:iCs w:val="1"/>
          <w:color w:val="auto"/>
        </w:rPr>
        <w:t>Reinstatement</w:t>
      </w:r>
    </w:p>
    <w:p>
      <w:pPr>
        <w:spacing w:after="0" w:line="22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9"/>
          <w:szCs w:val="19"/>
          <w:color w:val="auto"/>
        </w:rPr>
        <w:t xml:space="preserve">If the Trustee or Paying Agent is unable to apply any United States dollars or non-callable Government Securities in accordance with Section 8.02 or 8.03 hereof, as the case may be, by reason of any order or judgment of any court or governmental authority enjoining, restraining or otherwise prohibiting such application, then the Issuer’s obligations under this Indenture and the Notes shall be revived and reinstated as though no deposit had occurred pursuant to Section 8.02 or 8.03 hereof until such time as the Trustee or Paying Agent is permitted to apply all such money in accordance with Section 8.02 or 8.03 hereof, as the case may be;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Issuer makes any payment of principal of, premium, if any, or interest on any Note following the reinstatement of its obligations, the Issuer shall be subrogated to the rights of the Holders of such Notes to receive such payment from the money held by the Trustee or Paying Agent.</w:t>
      </w:r>
    </w:p>
    <w:p>
      <w:pPr>
        <w:spacing w:after="0" w:line="196"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9</w:t>
      </w:r>
    </w:p>
    <w:p>
      <w:pPr>
        <w:spacing w:after="0" w:line="220"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AMENDMENT, SUPPLEMENT AND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240"/>
          </w:cols>
          <w:pgMar w:left="320" w:top="1428" w:right="339" w:bottom="1440" w:gutter="0" w:footer="0" w:header="0"/>
        </w:sectPr>
      </w:pPr>
    </w:p>
    <w:bookmarkStart w:id="120" w:name="page121"/>
    <w:bookmarkEnd w:id="120"/>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9.01</w:t>
      </w:r>
      <w:r>
        <w:rPr>
          <w:sz w:val="20"/>
          <w:szCs w:val="20"/>
          <w:color w:val="auto"/>
        </w:rPr>
        <w:tab/>
      </w:r>
      <w:r>
        <w:rPr>
          <w:rFonts w:ascii="Arial" w:cs="Arial" w:eastAsia="Arial" w:hAnsi="Arial"/>
          <w:sz w:val="19"/>
          <w:szCs w:val="19"/>
          <w:i w:val="1"/>
          <w:iCs w:val="1"/>
          <w:color w:val="auto"/>
        </w:rPr>
        <w:t>Without Consent of Holders of Notes</w:t>
      </w:r>
    </w:p>
    <w:p>
      <w:pPr>
        <w:spacing w:after="0" w:line="220" w:lineRule="exact"/>
        <w:rPr>
          <w:sz w:val="20"/>
          <w:szCs w:val="20"/>
          <w:color w:val="auto"/>
        </w:rPr>
      </w:pPr>
    </w:p>
    <w:p>
      <w:pPr>
        <w:ind w:right="20" w:firstLine="324"/>
        <w:spacing w:after="0" w:line="263" w:lineRule="auto"/>
        <w:rPr>
          <w:sz w:val="20"/>
          <w:szCs w:val="20"/>
          <w:color w:val="auto"/>
        </w:rPr>
      </w:pPr>
      <w:r>
        <w:rPr>
          <w:rFonts w:ascii="Arial" w:cs="Arial" w:eastAsia="Arial" w:hAnsi="Arial"/>
          <w:sz w:val="22"/>
          <w:szCs w:val="22"/>
          <w:color w:val="auto"/>
        </w:rPr>
        <w:t>Notwithstanding Section 9.02 hereof, without the consent of any Holder, the Issuer and the Trustee may amend or supplement this Indenture or the Notes to:</w:t>
      </w:r>
    </w:p>
    <w:p>
      <w:pPr>
        <w:spacing w:after="0" w:line="202" w:lineRule="exact"/>
        <w:rPr>
          <w:sz w:val="20"/>
          <w:szCs w:val="20"/>
          <w:color w:val="auto"/>
        </w:rPr>
      </w:pPr>
    </w:p>
    <w:p>
      <w:pPr>
        <w:ind w:left="780" w:hanging="448"/>
        <w:spacing w:after="0"/>
        <w:tabs>
          <w:tab w:leader="none" w:pos="78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cure any ambiguity, defect or inconsistency;</w:t>
      </w:r>
    </w:p>
    <w:p>
      <w:pPr>
        <w:spacing w:after="0" w:line="246" w:lineRule="exact"/>
        <w:rPr>
          <w:rFonts w:ascii="Arial" w:cs="Arial" w:eastAsia="Arial" w:hAnsi="Arial"/>
          <w:sz w:val="22"/>
          <w:szCs w:val="22"/>
          <w:color w:val="auto"/>
        </w:rPr>
      </w:pPr>
    </w:p>
    <w:p>
      <w:pPr>
        <w:ind w:firstLine="332"/>
        <w:spacing w:after="0" w:line="343" w:lineRule="auto"/>
        <w:tabs>
          <w:tab w:leader="none" w:pos="804" w:val="left"/>
        </w:tabs>
        <w:numPr>
          <w:ilvl w:val="0"/>
          <w:numId w:val="116"/>
        </w:numPr>
        <w:rPr>
          <w:rFonts w:ascii="Arial" w:cs="Arial" w:eastAsia="Arial" w:hAnsi="Arial"/>
          <w:sz w:val="19"/>
          <w:szCs w:val="19"/>
          <w:color w:val="auto"/>
        </w:rPr>
      </w:pPr>
      <w:r>
        <w:rPr>
          <w:rFonts w:ascii="Arial" w:cs="Arial" w:eastAsia="Arial" w:hAnsi="Arial"/>
          <w:sz w:val="19"/>
          <w:szCs w:val="19"/>
          <w:color w:val="auto"/>
        </w:rPr>
        <w:t>provide for uncertificated Notes in addition to or in place of Definitive Notes (provided that the uncertificated Notes are issued in registered form for purposes of Section 163(f) of the U.S. Internal Revenue Code of 1986, as amended);</w:t>
      </w:r>
    </w:p>
    <w:p>
      <w:pPr>
        <w:spacing w:after="0" w:line="131" w:lineRule="exact"/>
        <w:rPr>
          <w:rFonts w:ascii="Arial" w:cs="Arial" w:eastAsia="Arial" w:hAnsi="Arial"/>
          <w:sz w:val="19"/>
          <w:szCs w:val="19"/>
          <w:color w:val="auto"/>
        </w:rPr>
      </w:pPr>
    </w:p>
    <w:p>
      <w:pPr>
        <w:ind w:right="20" w:firstLine="332"/>
        <w:spacing w:after="0" w:line="287" w:lineRule="auto"/>
        <w:tabs>
          <w:tab w:leader="none" w:pos="790" w:val="left"/>
        </w:tabs>
        <w:numPr>
          <w:ilvl w:val="0"/>
          <w:numId w:val="116"/>
        </w:numPr>
        <w:rPr>
          <w:rFonts w:ascii="Arial" w:cs="Arial" w:eastAsia="Arial" w:hAnsi="Arial"/>
          <w:sz w:val="21"/>
          <w:szCs w:val="21"/>
          <w:color w:val="auto"/>
        </w:rPr>
      </w:pPr>
      <w:r>
        <w:rPr>
          <w:rFonts w:ascii="Arial" w:cs="Arial" w:eastAsia="Arial" w:hAnsi="Arial"/>
          <w:sz w:val="21"/>
          <w:szCs w:val="21"/>
          <w:color w:val="auto"/>
        </w:rPr>
        <w:t>provide for the assumption of the Issuer’s obligations to the Holders of the Notes by a successor to the Issuer in the case of a merger or consolidation or sale of all or substantially all of the Issuer’s assets pursuant to Article 5 hereof;</w:t>
      </w:r>
    </w:p>
    <w:p>
      <w:pPr>
        <w:spacing w:after="0" w:line="191" w:lineRule="exact"/>
        <w:rPr>
          <w:rFonts w:ascii="Arial" w:cs="Arial" w:eastAsia="Arial" w:hAnsi="Arial"/>
          <w:sz w:val="21"/>
          <w:szCs w:val="21"/>
          <w:color w:val="auto"/>
        </w:rPr>
      </w:pPr>
    </w:p>
    <w:p>
      <w:pPr>
        <w:ind w:right="20" w:firstLine="332"/>
        <w:spacing w:after="0" w:line="263" w:lineRule="auto"/>
        <w:tabs>
          <w:tab w:leader="none" w:pos="902" w:val="left"/>
        </w:tabs>
        <w:numPr>
          <w:ilvl w:val="0"/>
          <w:numId w:val="116"/>
        </w:numPr>
        <w:rPr>
          <w:rFonts w:ascii="Arial" w:cs="Arial" w:eastAsia="Arial" w:hAnsi="Arial"/>
          <w:sz w:val="22"/>
          <w:szCs w:val="22"/>
          <w:color w:val="auto"/>
        </w:rPr>
      </w:pPr>
      <w:r>
        <w:rPr>
          <w:rFonts w:ascii="Arial" w:cs="Arial" w:eastAsia="Arial" w:hAnsi="Arial"/>
          <w:sz w:val="22"/>
          <w:szCs w:val="22"/>
          <w:color w:val="auto"/>
        </w:rPr>
        <w:t>make any change that would provide any additional rights or benefits to the Holders of the Notes or that does not adversely affect the legal rights hereunder of any such Holder;</w:t>
      </w:r>
    </w:p>
    <w:p>
      <w:pPr>
        <w:spacing w:after="0" w:line="201" w:lineRule="exact"/>
        <w:rPr>
          <w:rFonts w:ascii="Arial" w:cs="Arial" w:eastAsia="Arial" w:hAnsi="Arial"/>
          <w:sz w:val="22"/>
          <w:szCs w:val="22"/>
          <w:color w:val="auto"/>
        </w:rPr>
      </w:pPr>
    </w:p>
    <w:p>
      <w:pPr>
        <w:jc w:val="both"/>
        <w:ind w:firstLine="332"/>
        <w:spacing w:after="0" w:line="312" w:lineRule="auto"/>
        <w:tabs>
          <w:tab w:leader="none" w:pos="786" w:val="left"/>
        </w:tabs>
        <w:numPr>
          <w:ilvl w:val="0"/>
          <w:numId w:val="116"/>
        </w:numPr>
        <w:rPr>
          <w:rFonts w:ascii="Arial" w:cs="Arial" w:eastAsia="Arial" w:hAnsi="Arial"/>
          <w:sz w:val="19"/>
          <w:szCs w:val="19"/>
          <w:color w:val="auto"/>
        </w:rPr>
      </w:pPr>
      <w:r>
        <w:rPr>
          <w:rFonts w:ascii="Arial" w:cs="Arial" w:eastAsia="Arial" w:hAnsi="Arial"/>
          <w:sz w:val="19"/>
          <w:szCs w:val="19"/>
          <w:color w:val="auto"/>
        </w:rPr>
        <w:t>conform the text of this Indenture or the Notes to any provision of the “Description of the Notes” in the Issuer’s offering memorandum dated as of August 19, 2020, relating to the offering of the Initial Notes, to the extent that such provision in the “Description of the Notes” was intended to be a verbatim recitation of a provision of this Indenture or the Notes;</w:t>
      </w:r>
    </w:p>
    <w:p>
      <w:pPr>
        <w:spacing w:after="0" w:line="160" w:lineRule="exact"/>
        <w:rPr>
          <w:rFonts w:ascii="Arial" w:cs="Arial" w:eastAsia="Arial" w:hAnsi="Arial"/>
          <w:sz w:val="19"/>
          <w:szCs w:val="19"/>
          <w:color w:val="auto"/>
        </w:rPr>
      </w:pPr>
    </w:p>
    <w:p>
      <w:pPr>
        <w:ind w:firstLine="332"/>
        <w:spacing w:after="0" w:line="263" w:lineRule="auto"/>
        <w:tabs>
          <w:tab w:leader="none" w:pos="792" w:val="left"/>
        </w:tabs>
        <w:numPr>
          <w:ilvl w:val="0"/>
          <w:numId w:val="116"/>
        </w:numPr>
        <w:rPr>
          <w:rFonts w:ascii="Arial" w:cs="Arial" w:eastAsia="Arial" w:hAnsi="Arial"/>
          <w:sz w:val="22"/>
          <w:szCs w:val="22"/>
          <w:color w:val="auto"/>
        </w:rPr>
      </w:pPr>
      <w:r>
        <w:rPr>
          <w:rFonts w:ascii="Arial" w:cs="Arial" w:eastAsia="Arial" w:hAnsi="Arial"/>
          <w:sz w:val="22"/>
          <w:szCs w:val="22"/>
          <w:color w:val="auto"/>
        </w:rPr>
        <w:t>provide for the issuance of Additional Notes in accordance with the limitations set forth in this Indenture as of the date of this Indenture;</w:t>
      </w:r>
    </w:p>
    <w:p>
      <w:pPr>
        <w:spacing w:after="0" w:line="201" w:lineRule="exact"/>
        <w:rPr>
          <w:rFonts w:ascii="Arial" w:cs="Arial" w:eastAsia="Arial" w:hAnsi="Arial"/>
          <w:sz w:val="22"/>
          <w:szCs w:val="22"/>
          <w:color w:val="auto"/>
        </w:rPr>
      </w:pPr>
    </w:p>
    <w:p>
      <w:pPr>
        <w:ind w:left="800" w:hanging="468"/>
        <w:spacing w:after="0"/>
        <w:tabs>
          <w:tab w:leader="none" w:pos="80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evidence and provide for the acceptance of appointment by a successor Trustee;</w:t>
      </w:r>
    </w:p>
    <w:p>
      <w:pPr>
        <w:spacing w:after="0" w:line="246" w:lineRule="exact"/>
        <w:rPr>
          <w:rFonts w:ascii="Arial" w:cs="Arial" w:eastAsia="Arial" w:hAnsi="Arial"/>
          <w:sz w:val="22"/>
          <w:szCs w:val="22"/>
          <w:color w:val="auto"/>
        </w:rPr>
      </w:pPr>
    </w:p>
    <w:p>
      <w:pPr>
        <w:ind w:left="800" w:hanging="468"/>
        <w:spacing w:after="0"/>
        <w:tabs>
          <w:tab w:leader="none" w:pos="80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comply with the procedures of DTC, Euroclear or Clearstream;</w:t>
      </w:r>
    </w:p>
    <w:p>
      <w:pPr>
        <w:spacing w:after="0" w:line="246" w:lineRule="exact"/>
        <w:rPr>
          <w:rFonts w:ascii="Arial" w:cs="Arial" w:eastAsia="Arial" w:hAnsi="Arial"/>
          <w:sz w:val="22"/>
          <w:szCs w:val="22"/>
          <w:color w:val="auto"/>
        </w:rPr>
      </w:pPr>
    </w:p>
    <w:p>
      <w:pPr>
        <w:jc w:val="both"/>
        <w:ind w:firstLine="332"/>
        <w:spacing w:after="0" w:line="253" w:lineRule="auto"/>
        <w:tabs>
          <w:tab w:leader="none" w:pos="826" w:val="left"/>
        </w:tabs>
        <w:numPr>
          <w:ilvl w:val="0"/>
          <w:numId w:val="116"/>
        </w:numPr>
        <w:rPr>
          <w:rFonts w:ascii="Arial" w:cs="Arial" w:eastAsia="Arial" w:hAnsi="Arial"/>
          <w:sz w:val="22"/>
          <w:szCs w:val="22"/>
          <w:color w:val="auto"/>
        </w:rPr>
      </w:pPr>
      <w:r>
        <w:rPr>
          <w:rFonts w:ascii="Arial" w:cs="Arial" w:eastAsia="Arial" w:hAnsi="Arial"/>
          <w:sz w:val="22"/>
          <w:szCs w:val="22"/>
          <w:color w:val="auto"/>
        </w:rPr>
        <w:t>allow a Person to Guarantee the Issuer’s obligations under this Indenture and the Notes by executing a supplemental indenture with respect to the Notes (or to release any such Person from such a Guarantee as provided or permitted by the terms of this Indenture and such Guarantee);</w:t>
      </w:r>
    </w:p>
    <w:p>
      <w:pPr>
        <w:spacing w:after="0" w:line="225" w:lineRule="exact"/>
        <w:rPr>
          <w:rFonts w:ascii="Arial" w:cs="Arial" w:eastAsia="Arial" w:hAnsi="Arial"/>
          <w:sz w:val="22"/>
          <w:szCs w:val="22"/>
          <w:color w:val="auto"/>
        </w:rPr>
      </w:pPr>
    </w:p>
    <w:p>
      <w:pPr>
        <w:ind w:firstLine="332"/>
        <w:spacing w:after="0" w:line="263" w:lineRule="auto"/>
        <w:tabs>
          <w:tab w:leader="none" w:pos="821" w:val="left"/>
        </w:tabs>
        <w:numPr>
          <w:ilvl w:val="0"/>
          <w:numId w:val="116"/>
        </w:numPr>
        <w:rPr>
          <w:rFonts w:ascii="Arial" w:cs="Arial" w:eastAsia="Arial" w:hAnsi="Arial"/>
          <w:sz w:val="22"/>
          <w:szCs w:val="22"/>
          <w:color w:val="auto"/>
        </w:rPr>
      </w:pPr>
      <w:r>
        <w:rPr>
          <w:rFonts w:ascii="Arial" w:cs="Arial" w:eastAsia="Arial" w:hAnsi="Arial"/>
          <w:sz w:val="22"/>
          <w:szCs w:val="22"/>
          <w:color w:val="auto"/>
        </w:rPr>
        <w:t>comply with requirements of applicable Gaming Laws or to provide for requirements imposed by applicable Gaming Authorities; or</w:t>
      </w:r>
    </w:p>
    <w:p>
      <w:pPr>
        <w:spacing w:after="0" w:line="201" w:lineRule="exact"/>
        <w:rPr>
          <w:rFonts w:ascii="Arial" w:cs="Arial" w:eastAsia="Arial" w:hAnsi="Arial"/>
          <w:sz w:val="22"/>
          <w:szCs w:val="22"/>
          <w:color w:val="auto"/>
        </w:rPr>
      </w:pPr>
    </w:p>
    <w:p>
      <w:pPr>
        <w:ind w:right="20" w:firstLine="332"/>
        <w:spacing w:after="0" w:line="263" w:lineRule="auto"/>
        <w:tabs>
          <w:tab w:leader="none" w:pos="844" w:val="left"/>
        </w:tabs>
        <w:numPr>
          <w:ilvl w:val="0"/>
          <w:numId w:val="116"/>
        </w:numPr>
        <w:rPr>
          <w:rFonts w:ascii="Arial" w:cs="Arial" w:eastAsia="Arial" w:hAnsi="Arial"/>
          <w:sz w:val="22"/>
          <w:szCs w:val="22"/>
          <w:color w:val="auto"/>
        </w:rPr>
      </w:pPr>
      <w:r>
        <w:rPr>
          <w:rFonts w:ascii="Arial" w:cs="Arial" w:eastAsia="Arial" w:hAnsi="Arial"/>
          <w:sz w:val="22"/>
          <w:szCs w:val="22"/>
          <w:color w:val="auto"/>
        </w:rPr>
        <w:t>provide for the Notes to become secured (or to release such security as permitted by this Indenture and the applicable security documents).</w:t>
      </w:r>
    </w:p>
    <w:p>
      <w:pPr>
        <w:spacing w:after="0" w:line="202"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2"/>
          <w:szCs w:val="22"/>
          <w:color w:val="auto"/>
        </w:rPr>
        <w:t>Upon the request of the Issuer accompanied by a resolution of its Board of Directors authorizing the execution of any such amended or supplemental indenture, and upon receipt by the Trustee of the documents described in Sections 7.02 and 11.02 hereof, the Trustee shall join with the Issuer in the execution of any amended or supplemental indenture authorized or permitted by the terms of this Indenture and to make any further appropriate agreements and stipulations that may be therein contained, but the Trustee shall not be obligated to enter into</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240"/>
          </w:cols>
          <w:pgMar w:left="320" w:top="1428" w:right="339" w:bottom="1440" w:gutter="0" w:footer="0" w:header="0"/>
        </w:sectPr>
      </w:pPr>
    </w:p>
    <w:bookmarkStart w:id="121" w:name="page122"/>
    <w:bookmarkEnd w:id="121"/>
    <w:p>
      <w:pPr>
        <w:spacing w:after="0"/>
        <w:rPr>
          <w:sz w:val="20"/>
          <w:szCs w:val="20"/>
          <w:color w:val="auto"/>
        </w:rPr>
      </w:pPr>
      <w:r>
        <w:rPr>
          <w:rFonts w:ascii="Arial" w:cs="Arial" w:eastAsia="Arial" w:hAnsi="Arial"/>
          <w:sz w:val="19"/>
          <w:szCs w:val="19"/>
          <w:color w:val="auto"/>
        </w:rPr>
        <w:t>such amended or supplemental indenture that affects its own rights, duties or immunities under this Indenture or otherwise.</w:t>
      </w:r>
    </w:p>
    <w:p>
      <w:pPr>
        <w:spacing w:after="0" w:line="281"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9.02</w:t>
      </w:r>
      <w:r>
        <w:rPr>
          <w:sz w:val="20"/>
          <w:szCs w:val="20"/>
          <w:color w:val="auto"/>
        </w:rPr>
        <w:tab/>
      </w:r>
      <w:r>
        <w:rPr>
          <w:rFonts w:ascii="Arial" w:cs="Arial" w:eastAsia="Arial" w:hAnsi="Arial"/>
          <w:sz w:val="19"/>
          <w:szCs w:val="19"/>
          <w:i w:val="1"/>
          <w:iCs w:val="1"/>
          <w:color w:val="auto"/>
        </w:rPr>
        <w:t>With Consent of Holders of Notes</w:t>
      </w:r>
    </w:p>
    <w:p>
      <w:pPr>
        <w:spacing w:after="0" w:line="220"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21"/>
          <w:szCs w:val="21"/>
          <w:color w:val="auto"/>
        </w:rPr>
        <w:t>Except as provided below in this Section 9.02, the Issuer and the Trustee may amend or supplement this Indenture (including, without limitation, Section 4.08 hereof) and the Notes with the consent of the Holders of at least a majority in aggregate principal amount of the then outstanding Notes (including, without limitation, Additional Notes, if any) voting as a single class (including, without limitation, consents obtained in connection with a purchase of, or tender offer or exchange offer for, Notes), and, subject to Sections 6.04 and 6.07 hereof, any existing Default or Event of Default (other than a Default or Event of Default in the payment of the principal of, premium, if any, or interest on the Notes, except a payment default resulting from an acceleration that has been rescinded) or compliance with any provision of this Indenture or the Notes may be waived with the consent of the Holders of a majority in aggregate principal amount of the then outstanding Notes (including, without limitation, Additional Notes, if any) voting as a single class (including, without limitation, consents obtained in connection with purchase of, or a tender offer or exchange offer for, the Notes). Section 2.08 hereof shall determine which Notes are considered to be “outstanding” for purposes of this Section 9.02.</w:t>
      </w:r>
    </w:p>
    <w:p>
      <w:pPr>
        <w:spacing w:after="0" w:line="209"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9"/>
          <w:szCs w:val="19"/>
          <w:color w:val="auto"/>
        </w:rPr>
        <w:t>Upon the request of the Issuer accompanied by a resolution of its Board of Directors authorizing the execution of any such amended or supplemental Indenture, and upon the filing with the Trustee of evidence satisfactory to the Trustee of the consent of the Holders of Notes as aforesaid, and upon receipt by the Trustee of the documents described in Section 7.02 hereof, the Trustee shall join with the Issuer in the execution of such amended or supplemental Indenture unless such amended or supplemental Indenture directly affects the Trustee’s own rights, duties or immunities under this Indenture or otherwise, in which case the Trustee may in its discretion, but shall not be obligated to, enter into such amended or supplemental Indenture.</w:t>
      </w:r>
    </w:p>
    <w:p>
      <w:pPr>
        <w:spacing w:after="0" w:line="17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22"/>
          <w:szCs w:val="22"/>
          <w:color w:val="auto"/>
        </w:rPr>
        <w:t>It is not necessary for the consent of the Holders of Notes under this Section 9.02 to approve the particular form of any proposed amendment or waiver, but it is sufficient if such consent approves the substance thereof.</w:t>
      </w:r>
    </w:p>
    <w:p>
      <w:pPr>
        <w:spacing w:after="0" w:line="21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9"/>
          <w:szCs w:val="19"/>
          <w:color w:val="auto"/>
        </w:rPr>
        <w:t>After an amendment, supplement or waiver under this Section 9.02 becomes effective, the Issuer shall mail to the Holders of Notes affected thereby a notice briefly describing the amendment, supplement or waiver. Any failure of the Issuer to mail such notice, or any defect therein, shall not, however, in any way impair or affect the validity of any such amended or supplemental indenture or waiver. Subject to Sections 6.04 and 6.07 hereof, the Holders of a majority in aggregate principal amount of the Notes then outstanding voting as a single class may waive compliance in a particular instance by the Issuer with any provision of this Indenture or the Notes. However, without the consent of at least 90% in aggregate principal amount of the then outstanding Notes, an amendment, supplement or waiver under this Section 9.02 may not:</w:t>
      </w:r>
    </w:p>
    <w:p>
      <w:pPr>
        <w:spacing w:after="0" w:line="178" w:lineRule="exact"/>
        <w:rPr>
          <w:sz w:val="20"/>
          <w:szCs w:val="20"/>
          <w:color w:val="auto"/>
        </w:rPr>
      </w:pPr>
    </w:p>
    <w:p>
      <w:pPr>
        <w:ind w:left="780" w:hanging="448"/>
        <w:spacing w:after="0"/>
        <w:tabs>
          <w:tab w:leader="none" w:pos="780" w:val="left"/>
        </w:tabs>
        <w:numPr>
          <w:ilvl w:val="0"/>
          <w:numId w:val="117"/>
        </w:numPr>
        <w:rPr>
          <w:rFonts w:ascii="Arial" w:cs="Arial" w:eastAsia="Arial" w:hAnsi="Arial"/>
          <w:sz w:val="21"/>
          <w:szCs w:val="21"/>
          <w:color w:val="auto"/>
        </w:rPr>
      </w:pPr>
      <w:r>
        <w:rPr>
          <w:rFonts w:ascii="Arial" w:cs="Arial" w:eastAsia="Arial" w:hAnsi="Arial"/>
          <w:sz w:val="21"/>
          <w:szCs w:val="21"/>
          <w:color w:val="auto"/>
        </w:rPr>
        <w:t>reduce the principal amount of Notes whose Holders must consent to an amendment, supplement or waiver;</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19" w:lineRule="exact"/>
        <w:rPr>
          <w:rFonts w:ascii="Arial" w:cs="Arial" w:eastAsia="Arial" w:hAnsi="Arial"/>
          <w:sz w:val="21"/>
          <w:szCs w:val="21"/>
          <w:color w:val="auto"/>
        </w:rPr>
      </w:pPr>
    </w:p>
    <w:p>
      <w:pPr>
        <w:ind w:left="5440"/>
        <w:spacing w:after="0"/>
        <w:rPr>
          <w:rFonts w:ascii="Arial" w:cs="Arial" w:eastAsia="Arial" w:hAnsi="Arial"/>
          <w:sz w:val="21"/>
          <w:szCs w:val="21"/>
          <w:color w:val="auto"/>
        </w:rPr>
      </w:pPr>
      <w:r>
        <w:rPr>
          <w:rFonts w:ascii="Arial" w:cs="Arial" w:eastAsia="Arial" w:hAnsi="Arial"/>
          <w:sz w:val="22"/>
          <w:szCs w:val="22"/>
          <w:color w:val="auto"/>
        </w:rPr>
        <w:t>61</w:t>
      </w:r>
    </w:p>
    <w:p>
      <w:pPr>
        <w:sectPr>
          <w:pgSz w:w="11900" w:h="16838" w:orient="portrait"/>
          <w:cols w:equalWidth="0" w:num="1">
            <w:col w:w="11240"/>
          </w:cols>
          <w:pgMar w:left="320" w:top="1428" w:right="339" w:bottom="1440" w:gutter="0" w:footer="0" w:header="0"/>
        </w:sectPr>
      </w:pPr>
    </w:p>
    <w:bookmarkStart w:id="122" w:name="page123"/>
    <w:bookmarkEnd w:id="122"/>
    <w:p>
      <w:pPr>
        <w:ind w:firstLine="332"/>
        <w:spacing w:after="0" w:line="263" w:lineRule="auto"/>
        <w:tabs>
          <w:tab w:leader="none" w:pos="829" w:val="left"/>
        </w:tabs>
        <w:numPr>
          <w:ilvl w:val="0"/>
          <w:numId w:val="118"/>
        </w:numPr>
        <w:rPr>
          <w:rFonts w:ascii="Arial" w:cs="Arial" w:eastAsia="Arial" w:hAnsi="Arial"/>
          <w:sz w:val="22"/>
          <w:szCs w:val="22"/>
          <w:color w:val="auto"/>
        </w:rPr>
      </w:pPr>
      <w:r>
        <w:rPr>
          <w:rFonts w:ascii="Arial" w:cs="Arial" w:eastAsia="Arial" w:hAnsi="Arial"/>
          <w:sz w:val="22"/>
          <w:szCs w:val="22"/>
          <w:color w:val="auto"/>
        </w:rPr>
        <w:t>reduce the principal of or change the fixed maturity of any Note or alter or waive any of the provisions with respect to the redemption of the Notes, except as provided above with respect to Section 4.08 hereof;</w:t>
      </w:r>
    </w:p>
    <w:p>
      <w:pPr>
        <w:spacing w:after="0" w:line="201" w:lineRule="exact"/>
        <w:rPr>
          <w:rFonts w:ascii="Arial" w:cs="Arial" w:eastAsia="Arial" w:hAnsi="Arial"/>
          <w:sz w:val="22"/>
          <w:szCs w:val="22"/>
          <w:color w:val="auto"/>
        </w:rPr>
      </w:pPr>
    </w:p>
    <w:p>
      <w:pPr>
        <w:ind w:left="780" w:hanging="448"/>
        <w:spacing w:after="0"/>
        <w:tabs>
          <w:tab w:leader="none" w:pos="78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reduce the rate of or change the time for payment of interest, including default interest, on any Note;</w:t>
      </w:r>
    </w:p>
    <w:p>
      <w:pPr>
        <w:spacing w:after="0" w:line="246" w:lineRule="exact"/>
        <w:rPr>
          <w:rFonts w:ascii="Arial" w:cs="Arial" w:eastAsia="Arial" w:hAnsi="Arial"/>
          <w:sz w:val="22"/>
          <w:szCs w:val="22"/>
          <w:color w:val="auto"/>
        </w:rPr>
      </w:pPr>
    </w:p>
    <w:p>
      <w:pPr>
        <w:jc w:val="both"/>
        <w:ind w:firstLine="332"/>
        <w:spacing w:after="0" w:line="253" w:lineRule="auto"/>
        <w:tabs>
          <w:tab w:leader="none" w:pos="798" w:val="left"/>
        </w:tabs>
        <w:numPr>
          <w:ilvl w:val="0"/>
          <w:numId w:val="118"/>
        </w:numPr>
        <w:rPr>
          <w:rFonts w:ascii="Arial" w:cs="Arial" w:eastAsia="Arial" w:hAnsi="Arial"/>
          <w:sz w:val="22"/>
          <w:szCs w:val="22"/>
          <w:color w:val="auto"/>
        </w:rPr>
      </w:pPr>
      <w:r>
        <w:rPr>
          <w:rFonts w:ascii="Arial" w:cs="Arial" w:eastAsia="Arial" w:hAnsi="Arial"/>
          <w:sz w:val="22"/>
          <w:szCs w:val="22"/>
          <w:color w:val="auto"/>
        </w:rPr>
        <w:t>waive a Default or Event of Default in the payment of principal of, or interest or premium, if any, on the Notes (except a rescission of acceleration of the Notes by the Holders of at least a majority in aggregate principal amount of the then outstanding Notes and a waiver of the payment default that resulted from such acceleration);</w:t>
      </w:r>
    </w:p>
    <w:p>
      <w:pPr>
        <w:spacing w:after="0" w:line="212" w:lineRule="exact"/>
        <w:rPr>
          <w:rFonts w:ascii="Arial" w:cs="Arial" w:eastAsia="Arial" w:hAnsi="Arial"/>
          <w:sz w:val="22"/>
          <w:szCs w:val="22"/>
          <w:color w:val="auto"/>
        </w:rPr>
      </w:pPr>
    </w:p>
    <w:p>
      <w:pPr>
        <w:ind w:left="780" w:hanging="448"/>
        <w:spacing w:after="0"/>
        <w:tabs>
          <w:tab w:leader="none" w:pos="78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make any Note payable in money other than that stated in the Notes;</w:t>
      </w:r>
    </w:p>
    <w:p>
      <w:pPr>
        <w:spacing w:after="0" w:line="260" w:lineRule="exact"/>
        <w:rPr>
          <w:rFonts w:ascii="Arial" w:cs="Arial" w:eastAsia="Arial" w:hAnsi="Arial"/>
          <w:sz w:val="22"/>
          <w:szCs w:val="22"/>
          <w:color w:val="auto"/>
        </w:rPr>
      </w:pPr>
    </w:p>
    <w:p>
      <w:pPr>
        <w:ind w:firstLine="332"/>
        <w:spacing w:after="0" w:line="263" w:lineRule="auto"/>
        <w:tabs>
          <w:tab w:leader="none" w:pos="764" w:val="left"/>
        </w:tabs>
        <w:numPr>
          <w:ilvl w:val="0"/>
          <w:numId w:val="118"/>
        </w:numPr>
        <w:rPr>
          <w:rFonts w:ascii="Arial" w:cs="Arial" w:eastAsia="Arial" w:hAnsi="Arial"/>
          <w:sz w:val="22"/>
          <w:szCs w:val="22"/>
          <w:color w:val="auto"/>
        </w:rPr>
      </w:pPr>
      <w:r>
        <w:rPr>
          <w:rFonts w:ascii="Arial" w:cs="Arial" w:eastAsia="Arial" w:hAnsi="Arial"/>
          <w:sz w:val="22"/>
          <w:szCs w:val="22"/>
          <w:color w:val="auto"/>
        </w:rPr>
        <w:t>make any change in the provisions of this Indenture relating to waivers of past Defaults or the rights of Holders of Notes to receive payments of principal of, or interest or premium, if any, on the Notes;</w:t>
      </w:r>
    </w:p>
    <w:p>
      <w:pPr>
        <w:spacing w:after="0" w:line="201" w:lineRule="exact"/>
        <w:rPr>
          <w:rFonts w:ascii="Arial" w:cs="Arial" w:eastAsia="Arial" w:hAnsi="Arial"/>
          <w:sz w:val="22"/>
          <w:szCs w:val="22"/>
          <w:color w:val="auto"/>
        </w:rPr>
      </w:pPr>
    </w:p>
    <w:p>
      <w:pPr>
        <w:ind w:left="800" w:hanging="468"/>
        <w:spacing w:after="0"/>
        <w:tabs>
          <w:tab w:leader="none" w:pos="80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waive a redemption payment with respect to any Note (other than a payment required by Section 4.08 hereof); or</w:t>
      </w:r>
    </w:p>
    <w:p>
      <w:pPr>
        <w:spacing w:after="0" w:line="281" w:lineRule="exact"/>
        <w:rPr>
          <w:rFonts w:ascii="Arial" w:cs="Arial" w:eastAsia="Arial" w:hAnsi="Arial"/>
          <w:sz w:val="19"/>
          <w:szCs w:val="19"/>
          <w:color w:val="auto"/>
        </w:rPr>
      </w:pPr>
    </w:p>
    <w:p>
      <w:pPr>
        <w:ind w:left="800" w:hanging="468"/>
        <w:spacing w:after="0"/>
        <w:tabs>
          <w:tab w:leader="none" w:pos="80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make any change in the foregoing amendment and waiver provisions.</w:t>
      </w:r>
    </w:p>
    <w:p>
      <w:pPr>
        <w:spacing w:after="0" w:line="247"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9.03</w:t>
      </w:r>
      <w:r>
        <w:rPr>
          <w:sz w:val="20"/>
          <w:szCs w:val="20"/>
          <w:color w:val="auto"/>
        </w:rPr>
        <w:tab/>
      </w:r>
      <w:r>
        <w:rPr>
          <w:rFonts w:ascii="Arial" w:cs="Arial" w:eastAsia="Arial" w:hAnsi="Arial"/>
          <w:sz w:val="19"/>
          <w:szCs w:val="19"/>
          <w:i w:val="1"/>
          <w:iCs w:val="1"/>
          <w:color w:val="auto"/>
        </w:rPr>
        <w:t>Revocation and Effect of Consents</w:t>
      </w:r>
    </w:p>
    <w:p>
      <w:pPr>
        <w:spacing w:after="0" w:line="22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21"/>
          <w:szCs w:val="21"/>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spacing w:after="0" w:line="206"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9.04</w:t>
      </w:r>
      <w:r>
        <w:rPr>
          <w:sz w:val="20"/>
          <w:szCs w:val="20"/>
          <w:color w:val="auto"/>
        </w:rPr>
        <w:tab/>
      </w:r>
      <w:r>
        <w:rPr>
          <w:rFonts w:ascii="Arial" w:cs="Arial" w:eastAsia="Arial" w:hAnsi="Arial"/>
          <w:sz w:val="19"/>
          <w:szCs w:val="19"/>
          <w:i w:val="1"/>
          <w:iCs w:val="1"/>
          <w:color w:val="auto"/>
        </w:rPr>
        <w:t>Notation on or Exchange of Notes</w:t>
      </w:r>
    </w:p>
    <w:p>
      <w:pPr>
        <w:spacing w:after="0" w:line="22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The Trustee may place an appropriate notation about an amendment, supplement or waiver on any Note thereafter authenticated. The Issuer in exchange for all Notes may issue and the Trustee shall, upon receipt of an Authentication Order, authenticate new Notes that reflect the amendment, supplement or waiver.</w:t>
      </w:r>
    </w:p>
    <w:p>
      <w:pPr>
        <w:spacing w:after="0" w:line="21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22"/>
          <w:szCs w:val="22"/>
          <w:color w:val="auto"/>
        </w:rPr>
        <w:t>Failure to make the appropriate notation or issue a new Note shall not affect the validity and effect of such amendment, supplement or waiver.</w:t>
      </w:r>
    </w:p>
    <w:p>
      <w:pPr>
        <w:spacing w:after="0" w:line="215" w:lineRule="exact"/>
        <w:rPr>
          <w:sz w:val="20"/>
          <w:szCs w:val="20"/>
          <w:color w:val="auto"/>
        </w:rPr>
      </w:pPr>
    </w:p>
    <w:p>
      <w:pPr>
        <w:ind w:left="340"/>
        <w:spacing w:after="0"/>
        <w:tabs>
          <w:tab w:leader="none" w:pos="1600" w:val="left"/>
        </w:tabs>
        <w:rPr>
          <w:sz w:val="20"/>
          <w:szCs w:val="20"/>
          <w:color w:val="auto"/>
        </w:rPr>
      </w:pPr>
      <w:r>
        <w:rPr>
          <w:rFonts w:ascii="Arial" w:cs="Arial" w:eastAsia="Arial" w:hAnsi="Arial"/>
          <w:sz w:val="22"/>
          <w:szCs w:val="22"/>
          <w:i w:val="1"/>
          <w:iCs w:val="1"/>
          <w:color w:val="auto"/>
        </w:rPr>
        <w:t>Section 9.05</w:t>
      </w:r>
      <w:r>
        <w:rPr>
          <w:sz w:val="20"/>
          <w:szCs w:val="20"/>
          <w:color w:val="auto"/>
        </w:rPr>
        <w:tab/>
      </w:r>
      <w:r>
        <w:rPr>
          <w:rFonts w:ascii="Arial" w:cs="Arial" w:eastAsia="Arial" w:hAnsi="Arial"/>
          <w:sz w:val="18"/>
          <w:szCs w:val="18"/>
          <w:i w:val="1"/>
          <w:iCs w:val="1"/>
          <w:color w:val="auto"/>
        </w:rPr>
        <w:t>Trustee to Sign Amendments, etc.</w:t>
      </w:r>
    </w:p>
    <w:p>
      <w:pPr>
        <w:spacing w:after="0" w:line="22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The Trustee shall sign any amended or supplemental indenture authorized pursuant to this Article 9 if the amendment or supplement does not adversely affect the rights, duties, liabilities or immunities of the Trustee. The Issuer may not sign an amendment or supplemental indenture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40"/>
          </w:cols>
          <w:pgMar w:left="320" w:top="1428" w:right="339" w:bottom="1440" w:gutter="0" w:footer="0" w:header="0"/>
        </w:sectPr>
      </w:pPr>
    </w:p>
    <w:bookmarkStart w:id="123" w:name="page124"/>
    <w:bookmarkEnd w:id="123"/>
    <w:p>
      <w:pPr>
        <w:jc w:val="both"/>
        <w:spacing w:after="0" w:line="248" w:lineRule="auto"/>
        <w:rPr>
          <w:sz w:val="20"/>
          <w:szCs w:val="20"/>
          <w:color w:val="auto"/>
        </w:rPr>
      </w:pPr>
      <w:r>
        <w:rPr>
          <w:rFonts w:ascii="Arial" w:cs="Arial" w:eastAsia="Arial" w:hAnsi="Arial"/>
          <w:sz w:val="22"/>
          <w:szCs w:val="22"/>
          <w:color w:val="auto"/>
        </w:rPr>
        <w:t>until its Board of Directors approves it. In executing any amended or supplemental indenture, the Trustee shall be entitled to receive and (subject to Section 7.01 hereof) shall be fully protected in relying upon, in addition to the documents required by Section 11.02 hereof, an Officer’s Certificate and an Opinion of Counsel stating that the execution of such amended or supplemental indenture is authorized or permitted by this Indenture and is the legal, valid and binding obligation of the Issuer, enforceable against it in accordance with its terms.</w:t>
      </w:r>
    </w:p>
    <w:p>
      <w:pPr>
        <w:spacing w:after="0" w:line="219"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ARTICLE 10</w:t>
      </w:r>
    </w:p>
    <w:p>
      <w:pPr>
        <w:spacing w:after="0" w:line="220"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SATISFACTION AND DISCHARGE</w:t>
      </w:r>
    </w:p>
    <w:p>
      <w:pPr>
        <w:spacing w:after="0" w:line="247" w:lineRule="exact"/>
        <w:rPr>
          <w:sz w:val="20"/>
          <w:szCs w:val="20"/>
          <w:color w:val="auto"/>
        </w:rPr>
      </w:pPr>
    </w:p>
    <w:p>
      <w:pPr>
        <w:ind w:left="340"/>
        <w:spacing w:after="0"/>
        <w:tabs>
          <w:tab w:leader="none" w:pos="1700" w:val="left"/>
        </w:tabs>
        <w:rPr>
          <w:sz w:val="20"/>
          <w:szCs w:val="20"/>
          <w:color w:val="auto"/>
        </w:rPr>
      </w:pPr>
      <w:r>
        <w:rPr>
          <w:rFonts w:ascii="Arial" w:cs="Arial" w:eastAsia="Arial" w:hAnsi="Arial"/>
          <w:sz w:val="22"/>
          <w:szCs w:val="22"/>
          <w:i w:val="1"/>
          <w:iCs w:val="1"/>
          <w:color w:val="auto"/>
        </w:rPr>
        <w:t>Section 10.01</w:t>
      </w:r>
      <w:r>
        <w:rPr>
          <w:sz w:val="20"/>
          <w:szCs w:val="20"/>
          <w:color w:val="auto"/>
        </w:rPr>
        <w:tab/>
      </w:r>
      <w:r>
        <w:rPr>
          <w:rFonts w:ascii="Arial" w:cs="Arial" w:eastAsia="Arial" w:hAnsi="Arial"/>
          <w:sz w:val="19"/>
          <w:szCs w:val="19"/>
          <w:i w:val="1"/>
          <w:iCs w:val="1"/>
          <w:color w:val="auto"/>
        </w:rPr>
        <w:t>Satisfaction and Discharge</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21"/>
          <w:szCs w:val="21"/>
          <w:color w:val="auto"/>
        </w:rPr>
        <w:t>This Indenture shall be discharged and shall cease to be of further effect as to all Notes issued hereunder, when:</w:t>
      </w:r>
    </w:p>
    <w:p>
      <w:pPr>
        <w:spacing w:after="0" w:line="258" w:lineRule="exact"/>
        <w:rPr>
          <w:sz w:val="20"/>
          <w:szCs w:val="20"/>
          <w:color w:val="auto"/>
        </w:rPr>
      </w:pPr>
    </w:p>
    <w:p>
      <w:pPr>
        <w:ind w:left="780" w:hanging="448"/>
        <w:spacing w:after="0"/>
        <w:tabs>
          <w:tab w:leader="none" w:pos="78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either:</w:t>
      </w:r>
    </w:p>
    <w:p>
      <w:pPr>
        <w:spacing w:after="0" w:line="21" w:lineRule="exact"/>
        <w:rPr>
          <w:rFonts w:ascii="Arial" w:cs="Arial" w:eastAsia="Arial" w:hAnsi="Arial"/>
          <w:sz w:val="22"/>
          <w:szCs w:val="22"/>
          <w:color w:val="auto"/>
        </w:rPr>
      </w:pPr>
    </w:p>
    <w:p>
      <w:pPr>
        <w:jc w:val="both"/>
        <w:ind w:left="340" w:firstLine="964"/>
        <w:spacing w:after="0" w:line="251" w:lineRule="auto"/>
        <w:tabs>
          <w:tab w:leader="none" w:pos="1795" w:val="left"/>
        </w:tabs>
        <w:numPr>
          <w:ilvl w:val="1"/>
          <w:numId w:val="119"/>
        </w:numPr>
        <w:rPr>
          <w:rFonts w:ascii="Arial" w:cs="Arial" w:eastAsia="Arial" w:hAnsi="Arial"/>
          <w:sz w:val="22"/>
          <w:szCs w:val="22"/>
          <w:color w:val="auto"/>
        </w:rPr>
      </w:pPr>
      <w:r>
        <w:rPr>
          <w:rFonts w:ascii="Arial" w:cs="Arial" w:eastAsia="Arial" w:hAnsi="Arial"/>
          <w:sz w:val="22"/>
          <w:szCs w:val="22"/>
          <w:color w:val="auto"/>
        </w:rPr>
        <w:t>all Notes that have been authenticated, except lost, stolen or destroyed Notes that have been replaced or paid and Notes for whose payment money has theretofore been deposited in trust and thereafter repaid to the Issuer, have been delivered to the Trustee for cancelation; or</w:t>
      </w:r>
    </w:p>
    <w:p>
      <w:pPr>
        <w:spacing w:after="0" w:line="187" w:lineRule="exact"/>
        <w:rPr>
          <w:rFonts w:ascii="Arial" w:cs="Arial" w:eastAsia="Arial" w:hAnsi="Arial"/>
          <w:sz w:val="22"/>
          <w:szCs w:val="22"/>
          <w:color w:val="auto"/>
        </w:rPr>
      </w:pPr>
    </w:p>
    <w:p>
      <w:pPr>
        <w:jc w:val="both"/>
        <w:ind w:left="340" w:firstLine="964"/>
        <w:spacing w:after="0" w:line="290" w:lineRule="auto"/>
        <w:tabs>
          <w:tab w:leader="none" w:pos="1809" w:val="left"/>
        </w:tabs>
        <w:numPr>
          <w:ilvl w:val="1"/>
          <w:numId w:val="119"/>
        </w:numPr>
        <w:rPr>
          <w:rFonts w:ascii="Arial" w:cs="Arial" w:eastAsia="Arial" w:hAnsi="Arial"/>
          <w:sz w:val="19"/>
          <w:szCs w:val="19"/>
          <w:color w:val="auto"/>
        </w:rPr>
      </w:pPr>
      <w:r>
        <w:rPr>
          <w:rFonts w:ascii="Arial" w:cs="Arial" w:eastAsia="Arial" w:hAnsi="Arial"/>
          <w:sz w:val="19"/>
          <w:szCs w:val="19"/>
          <w:color w:val="auto"/>
        </w:rPr>
        <w:t>all Notes that have not been delivered to the Trustee for cancelation will become due and payable by reason of the delivery of a notice of redemption or otherwise or will become due and payable within one year and the Issuer has irrevocably deposited or caused to be deposited with the Trustee or its designee as trust funds in trust solely for the benefit of the Holders, cash in U.S. dollars, non-callable Government Securities, or a combination of cash in U.S. dollars and non-callable Government Securities, in amounts as shall be sufficient, in the opinion of an internationally recognized investment bank, appraisal firm or firm of independent public accountants, without consideration of any reinvestment of interest, to pay and discharge the entire Indebtedness on the Notes not delivered to the Trustee for cancelation for principal and premium, if any, and accrued interest to the date of maturity or redemption;</w:t>
      </w:r>
    </w:p>
    <w:p>
      <w:pPr>
        <w:spacing w:after="0" w:line="155" w:lineRule="exact"/>
        <w:rPr>
          <w:rFonts w:ascii="Arial" w:cs="Arial" w:eastAsia="Arial" w:hAnsi="Arial"/>
          <w:sz w:val="19"/>
          <w:szCs w:val="19"/>
          <w:color w:val="auto"/>
        </w:rPr>
      </w:pPr>
    </w:p>
    <w:p>
      <w:pPr>
        <w:jc w:val="both"/>
        <w:ind w:firstLine="332"/>
        <w:spacing w:after="0" w:line="250" w:lineRule="auto"/>
        <w:tabs>
          <w:tab w:leader="none" w:pos="815" w:val="left"/>
        </w:tabs>
        <w:numPr>
          <w:ilvl w:val="0"/>
          <w:numId w:val="119"/>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 on the date of the deposit or shall occur as a result of the deposit (other than a Default or Event of Default resulting from the borrowing of funds to be applied to such deposit) and the deposit shall not result in a breach or violation of, or constitute a default under, any other instrument to which the Issuer is a party or by which the Issuer is bound;</w:t>
      </w:r>
    </w:p>
    <w:p>
      <w:pPr>
        <w:spacing w:after="0" w:line="214" w:lineRule="exact"/>
        <w:rPr>
          <w:rFonts w:ascii="Arial" w:cs="Arial" w:eastAsia="Arial" w:hAnsi="Arial"/>
          <w:sz w:val="22"/>
          <w:szCs w:val="22"/>
          <w:color w:val="auto"/>
        </w:rPr>
      </w:pPr>
    </w:p>
    <w:p>
      <w:pPr>
        <w:ind w:left="780" w:hanging="448"/>
        <w:spacing w:after="0"/>
        <w:tabs>
          <w:tab w:leader="none" w:pos="78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Issuer has paid or caused to be paid all sums payable by the Issuer under this Indenture; and</w:t>
      </w:r>
    </w:p>
    <w:p>
      <w:pPr>
        <w:spacing w:after="0" w:line="246" w:lineRule="exact"/>
        <w:rPr>
          <w:rFonts w:ascii="Arial" w:cs="Arial" w:eastAsia="Arial" w:hAnsi="Arial"/>
          <w:sz w:val="22"/>
          <w:szCs w:val="22"/>
          <w:color w:val="auto"/>
        </w:rPr>
      </w:pPr>
    </w:p>
    <w:p>
      <w:pPr>
        <w:ind w:firstLine="332"/>
        <w:spacing w:after="0" w:line="263" w:lineRule="auto"/>
        <w:tabs>
          <w:tab w:leader="none" w:pos="80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Issuer has delivered irrevocable instructions to the Trustee under this Indenture to apply the deposited money toward the payment of the Notes at maturity or on the redemption date, as the case may be.</w:t>
      </w:r>
    </w:p>
    <w:p>
      <w:pPr>
        <w:spacing w:after="0" w:line="202" w:lineRule="exact"/>
        <w:rPr>
          <w:sz w:val="20"/>
          <w:szCs w:val="20"/>
          <w:color w:val="auto"/>
        </w:rPr>
      </w:pPr>
    </w:p>
    <w:p>
      <w:pPr>
        <w:ind w:firstLine="324"/>
        <w:spacing w:after="0" w:line="263" w:lineRule="auto"/>
        <w:rPr>
          <w:sz w:val="20"/>
          <w:szCs w:val="20"/>
          <w:color w:val="auto"/>
        </w:rPr>
      </w:pPr>
      <w:r>
        <w:rPr>
          <w:rFonts w:ascii="Arial" w:cs="Arial" w:eastAsia="Arial" w:hAnsi="Arial"/>
          <w:sz w:val="22"/>
          <w:szCs w:val="22"/>
          <w:color w:val="auto"/>
        </w:rPr>
        <w:t>In addition, the Issuer must deliver an Officer’s Certificate and an Opinion of Counsel to the Trustee stating that all conditions precedent to satisfaction and discharge have been satisfied.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240"/>
          </w:cols>
          <w:pgMar w:left="320" w:top="1428" w:right="339" w:bottom="1440" w:gutter="0" w:footer="0" w:header="0"/>
        </w:sectPr>
      </w:pPr>
    </w:p>
    <w:bookmarkStart w:id="124" w:name="page125"/>
    <w:bookmarkEnd w:id="124"/>
    <w:p>
      <w:pPr>
        <w:jc w:val="both"/>
        <w:ind w:firstLine="324"/>
        <w:spacing w:after="0" w:line="250" w:lineRule="auto"/>
        <w:rPr>
          <w:sz w:val="20"/>
          <w:szCs w:val="20"/>
          <w:color w:val="auto"/>
        </w:rPr>
      </w:pPr>
      <w:r>
        <w:rPr>
          <w:rFonts w:ascii="Arial" w:cs="Arial" w:eastAsia="Arial" w:hAnsi="Arial"/>
          <w:sz w:val="22"/>
          <w:szCs w:val="22"/>
          <w:color w:val="auto"/>
        </w:rPr>
        <w:t>Notwithstanding the satisfaction and discharge of this Indenture, if money has been deposited with the Trustee pursuant to subclause (2) of clause (a) of this Section, the provisions of Section 10.02 and Section 8.06 hereof shall survive. In addition, nothing in this Section 10.01 shall be deemed to discharge those provisions of Section 7.06 hereof, that, by their terms, survive the satisfaction and discharge of this Indenture.</w:t>
      </w:r>
    </w:p>
    <w:p>
      <w:pPr>
        <w:spacing w:after="0" w:line="215" w:lineRule="exact"/>
        <w:rPr>
          <w:sz w:val="20"/>
          <w:szCs w:val="20"/>
          <w:color w:val="auto"/>
        </w:rPr>
      </w:pPr>
    </w:p>
    <w:p>
      <w:pPr>
        <w:ind w:left="340"/>
        <w:spacing w:after="0"/>
        <w:tabs>
          <w:tab w:leader="none" w:pos="1700" w:val="left"/>
        </w:tabs>
        <w:rPr>
          <w:sz w:val="20"/>
          <w:szCs w:val="20"/>
          <w:color w:val="auto"/>
        </w:rPr>
      </w:pPr>
      <w:r>
        <w:rPr>
          <w:rFonts w:ascii="Arial" w:cs="Arial" w:eastAsia="Arial" w:hAnsi="Arial"/>
          <w:sz w:val="22"/>
          <w:szCs w:val="22"/>
          <w:i w:val="1"/>
          <w:iCs w:val="1"/>
          <w:color w:val="auto"/>
        </w:rPr>
        <w:t>Section 10.02</w:t>
      </w:r>
      <w:r>
        <w:rPr>
          <w:sz w:val="20"/>
          <w:szCs w:val="20"/>
          <w:color w:val="auto"/>
        </w:rPr>
        <w:tab/>
      </w:r>
      <w:r>
        <w:rPr>
          <w:rFonts w:ascii="Arial" w:cs="Arial" w:eastAsia="Arial" w:hAnsi="Arial"/>
          <w:sz w:val="19"/>
          <w:szCs w:val="19"/>
          <w:i w:val="1"/>
          <w:iCs w:val="1"/>
          <w:color w:val="auto"/>
        </w:rPr>
        <w:t>Application of Trust Money</w:t>
      </w:r>
    </w:p>
    <w:p>
      <w:pPr>
        <w:spacing w:after="0" w:line="22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Subject to the provisions of Section 8.06 hereof, all money deposited with the Trustee pursuant to Section 10.01 hereof shall be held in trust and applied by it, in accordance with the provisions of the Notes and this Indenture, to the payment, either directly or through any Paying Agent (including the Issuer acting as its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spacing w:after="0" w:line="17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1"/>
          <w:szCs w:val="21"/>
          <w:color w:val="auto"/>
        </w:rPr>
        <w:t>If the Trustee or Paying Agent is unable to apply any money or Government Securities in accordance with Section 10.01 hereof by reason of any legal proceeding or by reason of any order or judgment of any court or governmental authority enjoining, restraining or otherwise prohibiting such application, the Issuer’s obligations under this Indenture and the Notes shall be revived and reinstated as though no deposit had occurred pursuant to Section 10.01 hereof; provided that if the Issuer has made any payment of principal of, premium, if any, or interest on any Notes because of the reinstatement of its obligations, the Issuer shall be subrogated to the rights of the Holders of such Notes to receive such payment from the money or Government Securities held by the Trustee or Paying Agent.</w:t>
      </w:r>
    </w:p>
    <w:p>
      <w:pPr>
        <w:spacing w:after="0" w:line="207"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ARTICLE 11</w:t>
      </w:r>
    </w:p>
    <w:p>
      <w:pPr>
        <w:spacing w:after="0" w:line="220"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MISCELLANEOUS</w:t>
      </w:r>
    </w:p>
    <w:p>
      <w:pPr>
        <w:spacing w:after="0" w:line="260" w:lineRule="exact"/>
        <w:rPr>
          <w:sz w:val="20"/>
          <w:szCs w:val="20"/>
          <w:color w:val="auto"/>
        </w:rPr>
      </w:pPr>
    </w:p>
    <w:p>
      <w:pPr>
        <w:ind w:left="340"/>
        <w:spacing w:after="0"/>
        <w:tabs>
          <w:tab w:leader="none" w:pos="1680" w:val="left"/>
        </w:tabs>
        <w:rPr>
          <w:sz w:val="20"/>
          <w:szCs w:val="20"/>
          <w:color w:val="auto"/>
        </w:rPr>
      </w:pPr>
      <w:r>
        <w:rPr>
          <w:rFonts w:ascii="Arial" w:cs="Arial" w:eastAsia="Arial" w:hAnsi="Arial"/>
          <w:sz w:val="22"/>
          <w:szCs w:val="22"/>
          <w:i w:val="1"/>
          <w:iCs w:val="1"/>
          <w:color w:val="auto"/>
        </w:rPr>
        <w:t>Section 11.01</w:t>
      </w:r>
      <w:r>
        <w:rPr>
          <w:sz w:val="20"/>
          <w:szCs w:val="20"/>
          <w:color w:val="auto"/>
        </w:rPr>
        <w:tab/>
      </w:r>
      <w:r>
        <w:rPr>
          <w:rFonts w:ascii="Arial" w:cs="Arial" w:eastAsia="Arial" w:hAnsi="Arial"/>
          <w:sz w:val="19"/>
          <w:szCs w:val="19"/>
          <w:i w:val="1"/>
          <w:iCs w:val="1"/>
          <w:color w:val="auto"/>
        </w:rPr>
        <w:t>Notices</w:t>
      </w:r>
    </w:p>
    <w:p>
      <w:pPr>
        <w:spacing w:after="0" w:line="22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Any notice or communication by the Issuer or the Trustee to the others is duly given if in writing and delivered in Person or mailed by first class mail (registered or certified, return receipt requested), facsimile or overnight air courier guaranteeing next day delivery, to the others’ address: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Issuer: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Wynn Macau, Limited</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Avenida da Nave Desportiva</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Cotai</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Macau SAR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Facsimile No.: +853-8986-5500</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Mr. Jason Schall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240"/>
          </w:cols>
          <w:pgMar w:left="320" w:top="1428" w:right="339" w:bottom="1440" w:gutter="0" w:footer="0" w:header="0"/>
        </w:sectPr>
      </w:pPr>
    </w:p>
    <w:bookmarkStart w:id="125" w:name="page126"/>
    <w:bookmarkEnd w:id="125"/>
    <w:p>
      <w:pPr>
        <w:ind w:left="660"/>
        <w:spacing w:after="0"/>
        <w:rPr>
          <w:sz w:val="20"/>
          <w:szCs w:val="20"/>
          <w:color w:val="auto"/>
        </w:rPr>
      </w:pPr>
      <w:r>
        <w:rPr>
          <w:rFonts w:ascii="Arial" w:cs="Arial" w:eastAsia="Arial" w:hAnsi="Arial"/>
          <w:sz w:val="22"/>
          <w:szCs w:val="22"/>
          <w:color w:val="auto"/>
        </w:rPr>
        <w:t>With a copy 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Kirkland &amp; Ellis</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26th Floor, Gloucester Tower,The Landmark</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15 Queen’s Road Central</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Hong Kong</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Facsimile No.: +852-3761-3301</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Mr. Ben James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Trustee: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Deutsche Bank Trust Company Americas</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Trust and Agency Services</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60 Wall Street, 24th Floor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Mail Stop: NYC60-2405</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New York, NY 10005</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USA</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Facsimile No.: +1-732-578-4635</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Corporates Team, Wynn Macau</w:t>
      </w:r>
    </w:p>
    <w:p>
      <w:pPr>
        <w:spacing w:after="0" w:line="20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The Issuer or the Trustee, by notice to the other, may designate additional or different addresses for subsequent notices or communications, including electronic mail addresses, in which case (i.e. in the case that electronic mail addresses are designated) any subsequent notice or communication, if delivered by electronic mail, is duly given if in writing and delivered by electronic mail to the designated address(es) and acknowledged via electronic receipt.</w:t>
      </w:r>
    </w:p>
    <w:p>
      <w:pPr>
        <w:spacing w:after="0" w:line="21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All notices and communications (other than those sent to Holders) shall be deemed to have been duly given: at the time delivered by hand, if personally delivered; five Business Days after being deposited in the mail, postage prepaid, if mailed; when receipt is acknowledged, if facsimiled; and the next Business Day after timely delivery to the courier, if sent by overnight air courier guaranteeing next day delivery.</w:t>
      </w:r>
    </w:p>
    <w:p>
      <w:pPr>
        <w:spacing w:after="0" w:line="21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9"/>
          <w:szCs w:val="19"/>
          <w:color w:val="auto"/>
        </w:rPr>
        <w:t>Any notice or communication to a Holder shall be mailed by first class mail, certified or registered, return receipt requested, or by overnight air courier guaranteeing next day delivery to its address shown on the register kept by the Registrar. Failure to mail a notice or communication to a Holder or any defect in it shall not affect its sufficiency with respect to other Holders.</w:t>
      </w:r>
    </w:p>
    <w:p>
      <w:pPr>
        <w:spacing w:after="0" w:line="16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22"/>
          <w:szCs w:val="22"/>
          <w:color w:val="auto"/>
        </w:rPr>
        <w:t>If a notice or communication is mailed in the manner provided above within the time prescribed, it is duly given, whether or not the addressee receives it.</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9"/>
          <w:szCs w:val="19"/>
          <w:color w:val="auto"/>
        </w:rPr>
        <w:t>If the Issuer mails a notice or communication to Holders, it shall mail a copy to the Trustee and each Agent at the same time.</w:t>
      </w:r>
    </w:p>
    <w:p>
      <w:pPr>
        <w:spacing w:after="0" w:line="281"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2"/>
          <w:szCs w:val="22"/>
          <w:color w:val="auto"/>
        </w:rPr>
        <w:t>Facsimile, documents executed, scanned and transmitted electronically and electronic signatures, including those created or transmitted through a software platform or application, shall be deemed original signatures for purposes of this Indenture and all other related documents and all matters and agreements related thereto, with such facsimile, scanned and electronic signatures having the same legal effect as original signatures. The parties agree that this Indenture or any other related document or any instrument, agreement or document necessary for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240"/>
          </w:cols>
          <w:pgMar w:left="320" w:top="1428" w:right="339" w:bottom="1440" w:gutter="0" w:footer="0" w:header="0"/>
        </w:sectPr>
      </w:pPr>
    </w:p>
    <w:bookmarkStart w:id="126" w:name="page127"/>
    <w:bookmarkEnd w:id="126"/>
    <w:p>
      <w:pPr>
        <w:jc w:val="both"/>
        <w:spacing w:after="0" w:line="285" w:lineRule="auto"/>
        <w:rPr>
          <w:sz w:val="20"/>
          <w:szCs w:val="20"/>
          <w:color w:val="auto"/>
        </w:rPr>
      </w:pPr>
      <w:r>
        <w:rPr>
          <w:rFonts w:ascii="Arial" w:cs="Arial" w:eastAsia="Arial" w:hAnsi="Arial"/>
          <w:sz w:val="19"/>
          <w:szCs w:val="19"/>
          <w:color w:val="auto"/>
        </w:rPr>
        <w:t>the consummation of the transactions contemplated by this Indenture or the other related documents or related hereto or thereto (including, without limitation, addendums, amendments, notices, instructions, communications with respect to the delivery of securities or the wire transfer of funds or other communications) (“Executed Documentation”) may be accepted, executed or agreed to through the use of an electronic signature in accordance with applicable laws, rules and regulations in effect from time to time applicable to the effectiveness and enforceability of electronic signatures. Any Executed Documentation accepted, executed or agreed to in conformity with such laws, rules and regulations will be binding on all parties hereto to the same extent as if it were physically executed and each party hereby consents to the use of any third party electronic signature capture service providers as may be reasonably chosen by a signatory hereto or thereto. When the Trustee acts on any Executed Documentation sent by electronic transmission, the Trustee will not be responsible or liable for any losses, costs or expenses arising directly or indirectly from its reliance upon and compliance with such Executed Documentation, notwithstanding that such Executed Documentation (a) may not be an authorized or authentic communication of the party involved or in the form such party sent or intended to send (whether due to fraud, distortion or otherwise) or (b) may conflict with, or be inconsistent with, a subsequent written instruction or communication; it being understood and agreed that the Trustee shall conclusively presume that Executed Documentation that purports to have been sent by an authorized officer of a Person has been sent by an authorized officer of such Person. The party providing Executed Documentation through electronic transmission or otherwise with electronic signatures agrees to assume all risks arising out of such electronic methods, including, without limitation, the risk of the Trustee acting on unauthorized instructions and the risk of interception and misuse by third parties.</w:t>
      </w:r>
    </w:p>
    <w:p>
      <w:pPr>
        <w:spacing w:after="0" w:line="193" w:lineRule="exact"/>
        <w:rPr>
          <w:sz w:val="20"/>
          <w:szCs w:val="20"/>
          <w:color w:val="auto"/>
        </w:rPr>
      </w:pPr>
    </w:p>
    <w:p>
      <w:pPr>
        <w:ind w:left="340"/>
        <w:spacing w:after="0"/>
        <w:tabs>
          <w:tab w:leader="none" w:pos="1680" w:val="left"/>
        </w:tabs>
        <w:rPr>
          <w:sz w:val="20"/>
          <w:szCs w:val="20"/>
          <w:color w:val="auto"/>
        </w:rPr>
      </w:pPr>
      <w:r>
        <w:rPr>
          <w:rFonts w:ascii="Arial" w:cs="Arial" w:eastAsia="Arial" w:hAnsi="Arial"/>
          <w:sz w:val="22"/>
          <w:szCs w:val="22"/>
          <w:i w:val="1"/>
          <w:iCs w:val="1"/>
          <w:color w:val="auto"/>
        </w:rPr>
        <w:t>Section 11.02</w:t>
      </w:r>
      <w:r>
        <w:rPr>
          <w:sz w:val="20"/>
          <w:szCs w:val="20"/>
          <w:color w:val="auto"/>
        </w:rPr>
        <w:tab/>
      </w:r>
      <w:r>
        <w:rPr>
          <w:rFonts w:ascii="Arial" w:cs="Arial" w:eastAsia="Arial" w:hAnsi="Arial"/>
          <w:sz w:val="19"/>
          <w:szCs w:val="19"/>
          <w:i w:val="1"/>
          <w:iCs w:val="1"/>
          <w:color w:val="auto"/>
        </w:rPr>
        <w:t>Certificate and Opinion as to Conditions Precedent</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9"/>
          <w:szCs w:val="19"/>
          <w:color w:val="auto"/>
        </w:rPr>
        <w:t>Upon any request or application by the Issuer to the Trustee to take any action under this Indenture (except that no Opinion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Counsel shall be required upon the initial issuance of the Notes), the Issuer shall furnish to the Trustee:</w:t>
      </w:r>
    </w:p>
    <w:p>
      <w:pPr>
        <w:spacing w:after="0" w:line="229" w:lineRule="exact"/>
        <w:rPr>
          <w:sz w:val="20"/>
          <w:szCs w:val="20"/>
          <w:color w:val="auto"/>
        </w:rPr>
      </w:pPr>
    </w:p>
    <w:p>
      <w:pPr>
        <w:jc w:val="both"/>
        <w:ind w:firstLine="332"/>
        <w:spacing w:after="0" w:line="253" w:lineRule="auto"/>
        <w:tabs>
          <w:tab w:leader="none" w:pos="804" w:val="left"/>
        </w:tabs>
        <w:numPr>
          <w:ilvl w:val="0"/>
          <w:numId w:val="120"/>
        </w:numPr>
        <w:rPr>
          <w:rFonts w:ascii="Arial" w:cs="Arial" w:eastAsia="Arial" w:hAnsi="Arial"/>
          <w:sz w:val="22"/>
          <w:szCs w:val="22"/>
          <w:color w:val="auto"/>
        </w:rPr>
      </w:pPr>
      <w:r>
        <w:rPr>
          <w:rFonts w:ascii="Arial" w:cs="Arial" w:eastAsia="Arial" w:hAnsi="Arial"/>
          <w:sz w:val="22"/>
          <w:szCs w:val="22"/>
          <w:color w:val="auto"/>
        </w:rPr>
        <w:t>an Officer’s Certificate in form and substance reasonably satisfactory to the Trustee (which must include the statements set forth in Section 11.03 hereof) stating that, in the opinion of the signers, all conditions precedent and covenants, if any, provided for in this Indenture relating to the proposed action have been satisfied; and</w:t>
      </w:r>
    </w:p>
    <w:p>
      <w:pPr>
        <w:spacing w:after="0" w:line="212" w:lineRule="exact"/>
        <w:rPr>
          <w:rFonts w:ascii="Arial" w:cs="Arial" w:eastAsia="Arial" w:hAnsi="Arial"/>
          <w:sz w:val="22"/>
          <w:szCs w:val="22"/>
          <w:color w:val="auto"/>
        </w:rPr>
      </w:pPr>
    </w:p>
    <w:p>
      <w:pPr>
        <w:jc w:val="both"/>
        <w:ind w:firstLine="332"/>
        <w:spacing w:after="0" w:line="253" w:lineRule="auto"/>
        <w:tabs>
          <w:tab w:leader="none" w:pos="818" w:val="left"/>
        </w:tabs>
        <w:numPr>
          <w:ilvl w:val="0"/>
          <w:numId w:val="120"/>
        </w:numPr>
        <w:rPr>
          <w:rFonts w:ascii="Arial" w:cs="Arial" w:eastAsia="Arial" w:hAnsi="Arial"/>
          <w:sz w:val="22"/>
          <w:szCs w:val="22"/>
          <w:color w:val="auto"/>
        </w:rPr>
      </w:pPr>
      <w:r>
        <w:rPr>
          <w:rFonts w:ascii="Arial" w:cs="Arial" w:eastAsia="Arial" w:hAnsi="Arial"/>
          <w:sz w:val="22"/>
          <w:szCs w:val="22"/>
          <w:color w:val="auto"/>
        </w:rPr>
        <w:t>an Opinion of Counsel in form and substance reasonably satisfactory to the Trustee (which must include the statements set forth in Section 11.03 hereof) stating that, in the opinion of such counsel, all such conditions precedent and covenants have been satisfied.</w:t>
      </w:r>
    </w:p>
    <w:p>
      <w:pPr>
        <w:spacing w:after="0" w:line="226" w:lineRule="exact"/>
        <w:rPr>
          <w:sz w:val="20"/>
          <w:szCs w:val="20"/>
          <w:color w:val="auto"/>
        </w:rPr>
      </w:pPr>
    </w:p>
    <w:p>
      <w:pPr>
        <w:ind w:left="340"/>
        <w:spacing w:after="0"/>
        <w:tabs>
          <w:tab w:leader="none" w:pos="1680" w:val="left"/>
        </w:tabs>
        <w:rPr>
          <w:sz w:val="20"/>
          <w:szCs w:val="20"/>
          <w:color w:val="auto"/>
        </w:rPr>
      </w:pPr>
      <w:r>
        <w:rPr>
          <w:rFonts w:ascii="Arial" w:cs="Arial" w:eastAsia="Arial" w:hAnsi="Arial"/>
          <w:sz w:val="22"/>
          <w:szCs w:val="22"/>
          <w:i w:val="1"/>
          <w:iCs w:val="1"/>
          <w:color w:val="auto"/>
        </w:rPr>
        <w:t>Section 11.03</w:t>
      </w:r>
      <w:r>
        <w:rPr>
          <w:sz w:val="20"/>
          <w:szCs w:val="20"/>
          <w:color w:val="auto"/>
        </w:rPr>
        <w:tab/>
      </w:r>
      <w:r>
        <w:rPr>
          <w:rFonts w:ascii="Arial" w:cs="Arial" w:eastAsia="Arial" w:hAnsi="Arial"/>
          <w:sz w:val="19"/>
          <w:szCs w:val="19"/>
          <w:i w:val="1"/>
          <w:iCs w:val="1"/>
          <w:color w:val="auto"/>
        </w:rPr>
        <w:t>Statements Required in Certificate or Opinion</w:t>
      </w:r>
    </w:p>
    <w:p>
      <w:pPr>
        <w:spacing w:after="0" w:line="220" w:lineRule="exact"/>
        <w:rPr>
          <w:sz w:val="20"/>
          <w:szCs w:val="20"/>
          <w:color w:val="auto"/>
        </w:rPr>
      </w:pPr>
    </w:p>
    <w:p>
      <w:pPr>
        <w:ind w:firstLine="324"/>
        <w:spacing w:after="0" w:line="263" w:lineRule="auto"/>
        <w:rPr>
          <w:sz w:val="20"/>
          <w:szCs w:val="20"/>
          <w:color w:val="auto"/>
        </w:rPr>
      </w:pPr>
      <w:r>
        <w:rPr>
          <w:rFonts w:ascii="Arial" w:cs="Arial" w:eastAsia="Arial" w:hAnsi="Arial"/>
          <w:sz w:val="22"/>
          <w:szCs w:val="22"/>
          <w:color w:val="auto"/>
        </w:rPr>
        <w:t>Each certificate or opinion with respect to compliance with a condition or covenant provided for in this Indenture must include:</w:t>
      </w:r>
    </w:p>
    <w:p>
      <w:pPr>
        <w:spacing w:after="0" w:line="202" w:lineRule="exact"/>
        <w:rPr>
          <w:sz w:val="20"/>
          <w:szCs w:val="20"/>
          <w:color w:val="auto"/>
        </w:rPr>
      </w:pPr>
    </w:p>
    <w:p>
      <w:pPr>
        <w:ind w:left="780" w:hanging="448"/>
        <w:spacing w:after="0"/>
        <w:tabs>
          <w:tab w:leader="none" w:pos="78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 statement that the Person making such certificate or opinion has read such covenant or condition;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08" w:lineRule="exact"/>
        <w:rPr>
          <w:rFonts w:ascii="Arial" w:cs="Arial" w:eastAsia="Arial" w:hAnsi="Arial"/>
          <w:sz w:val="22"/>
          <w:szCs w:val="22"/>
          <w:color w:val="auto"/>
        </w:rPr>
      </w:pPr>
    </w:p>
    <w:p>
      <w:pPr>
        <w:ind w:left="5440"/>
        <w:spacing w:after="0"/>
        <w:rPr>
          <w:rFonts w:ascii="Arial" w:cs="Arial" w:eastAsia="Arial" w:hAnsi="Arial"/>
          <w:sz w:val="22"/>
          <w:szCs w:val="22"/>
          <w:color w:val="auto"/>
        </w:rPr>
      </w:pPr>
      <w:r>
        <w:rPr>
          <w:rFonts w:ascii="Arial" w:cs="Arial" w:eastAsia="Arial" w:hAnsi="Arial"/>
          <w:sz w:val="22"/>
          <w:szCs w:val="22"/>
          <w:color w:val="auto"/>
        </w:rPr>
        <w:t>66</w:t>
      </w:r>
    </w:p>
    <w:p>
      <w:pPr>
        <w:sectPr>
          <w:pgSz w:w="11900" w:h="16838" w:orient="portrait"/>
          <w:cols w:equalWidth="0" w:num="1">
            <w:col w:w="11240"/>
          </w:cols>
          <w:pgMar w:left="320" w:top="1428" w:right="339" w:bottom="1440" w:gutter="0" w:footer="0" w:header="0"/>
        </w:sectPr>
      </w:pPr>
    </w:p>
    <w:bookmarkStart w:id="127" w:name="page128"/>
    <w:bookmarkEnd w:id="127"/>
    <w:p>
      <w:pPr>
        <w:ind w:firstLine="332"/>
        <w:spacing w:after="0" w:line="263" w:lineRule="auto"/>
        <w:tabs>
          <w:tab w:leader="none" w:pos="836" w:val="left"/>
        </w:tabs>
        <w:numPr>
          <w:ilvl w:val="0"/>
          <w:numId w:val="122"/>
        </w:numPr>
        <w:rPr>
          <w:rFonts w:ascii="Arial" w:cs="Arial" w:eastAsia="Arial" w:hAnsi="Arial"/>
          <w:sz w:val="22"/>
          <w:szCs w:val="22"/>
          <w:color w:val="auto"/>
        </w:rPr>
      </w:pPr>
      <w:r>
        <w:rPr>
          <w:rFonts w:ascii="Arial" w:cs="Arial" w:eastAsia="Arial" w:hAnsi="Arial"/>
          <w:sz w:val="22"/>
          <w:szCs w:val="22"/>
          <w:color w:val="auto"/>
        </w:rPr>
        <w:t>a brief statement as to the nature and scope of the examination or investigation upon which the statements or opinions contained in such certificate or opinion are based;</w:t>
      </w:r>
    </w:p>
    <w:p>
      <w:pPr>
        <w:spacing w:after="0" w:line="201" w:lineRule="exact"/>
        <w:rPr>
          <w:rFonts w:ascii="Arial" w:cs="Arial" w:eastAsia="Arial" w:hAnsi="Arial"/>
          <w:sz w:val="22"/>
          <w:szCs w:val="22"/>
          <w:color w:val="auto"/>
        </w:rPr>
      </w:pPr>
    </w:p>
    <w:p>
      <w:pPr>
        <w:ind w:right="20" w:firstLine="332"/>
        <w:spacing w:after="0" w:line="343" w:lineRule="auto"/>
        <w:tabs>
          <w:tab w:leader="none" w:pos="808" w:val="left"/>
        </w:tabs>
        <w:numPr>
          <w:ilvl w:val="0"/>
          <w:numId w:val="122"/>
        </w:numPr>
        <w:rPr>
          <w:rFonts w:ascii="Arial" w:cs="Arial" w:eastAsia="Arial" w:hAnsi="Arial"/>
          <w:sz w:val="19"/>
          <w:szCs w:val="19"/>
          <w:color w:val="auto"/>
        </w:rPr>
      </w:pPr>
      <w:r>
        <w:rPr>
          <w:rFonts w:ascii="Arial" w:cs="Arial" w:eastAsia="Arial" w:hAnsi="Arial"/>
          <w:sz w:val="19"/>
          <w:szCs w:val="19"/>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131" w:lineRule="exact"/>
        <w:rPr>
          <w:rFonts w:ascii="Arial" w:cs="Arial" w:eastAsia="Arial" w:hAnsi="Arial"/>
          <w:sz w:val="19"/>
          <w:szCs w:val="19"/>
          <w:color w:val="auto"/>
        </w:rPr>
      </w:pPr>
    </w:p>
    <w:p>
      <w:pPr>
        <w:ind w:left="800" w:hanging="468"/>
        <w:spacing w:after="0"/>
        <w:tabs>
          <w:tab w:leader="none" w:pos="800" w:val="left"/>
        </w:tabs>
        <w:numPr>
          <w:ilvl w:val="0"/>
          <w:numId w:val="122"/>
        </w:numPr>
        <w:rPr>
          <w:rFonts w:ascii="Arial" w:cs="Arial" w:eastAsia="Arial" w:hAnsi="Arial"/>
          <w:sz w:val="21"/>
          <w:szCs w:val="21"/>
          <w:color w:val="auto"/>
        </w:rPr>
      </w:pPr>
      <w:r>
        <w:rPr>
          <w:rFonts w:ascii="Arial" w:cs="Arial" w:eastAsia="Arial" w:hAnsi="Arial"/>
          <w:sz w:val="21"/>
          <w:szCs w:val="21"/>
          <w:color w:val="auto"/>
        </w:rPr>
        <w:t>a statement as to whether or not, in the opinion of such Person, such condition or covenant has been satisfied.</w:t>
      </w:r>
    </w:p>
    <w:p>
      <w:pPr>
        <w:spacing w:after="0" w:line="258" w:lineRule="exact"/>
        <w:rPr>
          <w:sz w:val="20"/>
          <w:szCs w:val="20"/>
          <w:color w:val="auto"/>
        </w:rPr>
      </w:pPr>
    </w:p>
    <w:p>
      <w:pPr>
        <w:ind w:left="340"/>
        <w:spacing w:after="0"/>
        <w:tabs>
          <w:tab w:leader="none" w:pos="1680" w:val="left"/>
        </w:tabs>
        <w:rPr>
          <w:sz w:val="20"/>
          <w:szCs w:val="20"/>
          <w:color w:val="auto"/>
        </w:rPr>
      </w:pPr>
      <w:r>
        <w:rPr>
          <w:rFonts w:ascii="Arial" w:cs="Arial" w:eastAsia="Arial" w:hAnsi="Arial"/>
          <w:sz w:val="22"/>
          <w:szCs w:val="22"/>
          <w:i w:val="1"/>
          <w:iCs w:val="1"/>
          <w:color w:val="auto"/>
        </w:rPr>
        <w:t>Section 11.04</w:t>
      </w:r>
      <w:r>
        <w:rPr>
          <w:sz w:val="20"/>
          <w:szCs w:val="20"/>
          <w:color w:val="auto"/>
        </w:rPr>
        <w:tab/>
      </w:r>
      <w:r>
        <w:rPr>
          <w:rFonts w:ascii="Arial" w:cs="Arial" w:eastAsia="Arial" w:hAnsi="Arial"/>
          <w:sz w:val="19"/>
          <w:szCs w:val="19"/>
          <w:i w:val="1"/>
          <w:iCs w:val="1"/>
          <w:color w:val="auto"/>
        </w:rPr>
        <w:t>Rules by Trustee and Agents</w:t>
      </w:r>
    </w:p>
    <w:p>
      <w:pPr>
        <w:spacing w:after="0" w:line="22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22"/>
          <w:szCs w:val="22"/>
          <w:color w:val="auto"/>
        </w:rPr>
        <w:t>The Trustee may make reasonable rules for action by or at a meeting of Holders. The Registrar or Paying Agent may make reasonable rules and set reasonable requirements for its functions.</w:t>
      </w:r>
    </w:p>
    <w:p>
      <w:pPr>
        <w:spacing w:after="0" w:line="215" w:lineRule="exact"/>
        <w:rPr>
          <w:sz w:val="20"/>
          <w:szCs w:val="20"/>
          <w:color w:val="auto"/>
        </w:rPr>
      </w:pPr>
    </w:p>
    <w:p>
      <w:pPr>
        <w:ind w:left="340"/>
        <w:spacing w:after="0"/>
        <w:tabs>
          <w:tab w:leader="none" w:pos="1680" w:val="left"/>
        </w:tabs>
        <w:rPr>
          <w:sz w:val="20"/>
          <w:szCs w:val="20"/>
          <w:color w:val="auto"/>
        </w:rPr>
      </w:pPr>
      <w:r>
        <w:rPr>
          <w:rFonts w:ascii="Arial" w:cs="Arial" w:eastAsia="Arial" w:hAnsi="Arial"/>
          <w:sz w:val="22"/>
          <w:szCs w:val="22"/>
          <w:i w:val="1"/>
          <w:iCs w:val="1"/>
          <w:color w:val="auto"/>
        </w:rPr>
        <w:t>Section 11.05</w:t>
      </w:r>
      <w:r>
        <w:rPr>
          <w:sz w:val="20"/>
          <w:szCs w:val="20"/>
          <w:color w:val="auto"/>
        </w:rPr>
        <w:tab/>
      </w:r>
      <w:r>
        <w:rPr>
          <w:rFonts w:ascii="Arial" w:cs="Arial" w:eastAsia="Arial" w:hAnsi="Arial"/>
          <w:sz w:val="19"/>
          <w:szCs w:val="19"/>
          <w:i w:val="1"/>
          <w:iCs w:val="1"/>
          <w:color w:val="auto"/>
        </w:rPr>
        <w:t>No Personal Liability of Directors, Officers, Employees and Equity Holders</w:t>
      </w:r>
    </w:p>
    <w:p>
      <w:pPr>
        <w:spacing w:after="0" w:line="220"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2"/>
          <w:szCs w:val="22"/>
          <w:color w:val="auto"/>
        </w:rPr>
        <w:t>No past, present or future director, officer, employee, incorporator, organizer, equity holder or member of the Issuer, as such, shall have any liability for any obligations of the Issuer under the Notes or this Indenture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United States federal securities laws.</w:t>
      </w:r>
    </w:p>
    <w:p>
      <w:pPr>
        <w:spacing w:after="0" w:line="219" w:lineRule="exact"/>
        <w:rPr>
          <w:sz w:val="20"/>
          <w:szCs w:val="20"/>
          <w:color w:val="auto"/>
        </w:rPr>
      </w:pPr>
    </w:p>
    <w:p>
      <w:pPr>
        <w:ind w:left="340"/>
        <w:spacing w:after="0"/>
        <w:tabs>
          <w:tab w:leader="none" w:pos="1680" w:val="left"/>
        </w:tabs>
        <w:rPr>
          <w:sz w:val="20"/>
          <w:szCs w:val="20"/>
          <w:color w:val="auto"/>
        </w:rPr>
      </w:pPr>
      <w:r>
        <w:rPr>
          <w:rFonts w:ascii="Arial" w:cs="Arial" w:eastAsia="Arial" w:hAnsi="Arial"/>
          <w:sz w:val="22"/>
          <w:szCs w:val="22"/>
          <w:i w:val="1"/>
          <w:iCs w:val="1"/>
          <w:color w:val="auto"/>
        </w:rPr>
        <w:t>Section 11.06</w:t>
      </w:r>
      <w:r>
        <w:rPr>
          <w:sz w:val="20"/>
          <w:szCs w:val="20"/>
          <w:color w:val="auto"/>
        </w:rPr>
        <w:tab/>
      </w:r>
      <w:r>
        <w:rPr>
          <w:rFonts w:ascii="Arial" w:cs="Arial" w:eastAsia="Arial" w:hAnsi="Arial"/>
          <w:sz w:val="19"/>
          <w:szCs w:val="19"/>
          <w:i w:val="1"/>
          <w:iCs w:val="1"/>
          <w:color w:val="auto"/>
        </w:rPr>
        <w:t>Governing Law; Waiver of Jury Trial</w:t>
      </w:r>
    </w:p>
    <w:p>
      <w:pPr>
        <w:spacing w:after="0" w:line="220"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22"/>
          <w:szCs w:val="22"/>
          <w:color w:val="auto"/>
        </w:rPr>
        <w:t>THIS INDENTURE AND THE NOTES SHALL BE GOVERNED BY AND CONSTRUED IN ACCORDANCE WITH THE LAWS OF THE STATE OF NEW YORK, INCLUDING, WITHOUT LIMITATION, SECTION 5-1401 OF THE NEW YORK OBLIGATIONS LAW. TO THE FULLEST EXTENT PERMITTED BY APPLICABLE LAW, EACH OF THE ISSUER AND THE TRUSTEE HEREBY IRREVOCABLY WAIVES ANY AND ALL RIGHT TO TRIAL BY JURY IN ANY LEGAL PROCEEDING ARISING OUT OF OR RELATING TO THIS INDENTURE, THE NOTES OR THE TRANSACTIONS CONTEMPLATED HEREBY.</w:t>
      </w:r>
    </w:p>
    <w:p>
      <w:pPr>
        <w:spacing w:after="0" w:line="220" w:lineRule="exact"/>
        <w:rPr>
          <w:sz w:val="20"/>
          <w:szCs w:val="20"/>
          <w:color w:val="auto"/>
        </w:rPr>
      </w:pPr>
    </w:p>
    <w:p>
      <w:pPr>
        <w:ind w:left="340"/>
        <w:spacing w:after="0"/>
        <w:tabs>
          <w:tab w:leader="none" w:pos="1680" w:val="left"/>
        </w:tabs>
        <w:rPr>
          <w:sz w:val="20"/>
          <w:szCs w:val="20"/>
          <w:color w:val="auto"/>
        </w:rPr>
      </w:pPr>
      <w:r>
        <w:rPr>
          <w:rFonts w:ascii="Arial" w:cs="Arial" w:eastAsia="Arial" w:hAnsi="Arial"/>
          <w:sz w:val="22"/>
          <w:szCs w:val="22"/>
          <w:i w:val="1"/>
          <w:iCs w:val="1"/>
          <w:color w:val="auto"/>
        </w:rPr>
        <w:t>Section 11.07</w:t>
      </w:r>
      <w:r>
        <w:rPr>
          <w:sz w:val="20"/>
          <w:szCs w:val="20"/>
          <w:color w:val="auto"/>
        </w:rPr>
        <w:tab/>
      </w:r>
      <w:r>
        <w:rPr>
          <w:rFonts w:ascii="Arial" w:cs="Arial" w:eastAsia="Arial" w:hAnsi="Arial"/>
          <w:sz w:val="19"/>
          <w:szCs w:val="19"/>
          <w:i w:val="1"/>
          <w:iCs w:val="1"/>
          <w:color w:val="auto"/>
        </w:rPr>
        <w:t>Submission to Jurisdiction; Waiver of Immunities; Agent for Service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Issuer irrevocably:</w:t>
      </w:r>
    </w:p>
    <w:p>
      <w:pPr>
        <w:spacing w:after="0" w:line="220" w:lineRule="exact"/>
        <w:rPr>
          <w:sz w:val="20"/>
          <w:szCs w:val="20"/>
          <w:color w:val="auto"/>
        </w:rPr>
      </w:pPr>
    </w:p>
    <w:p>
      <w:pPr>
        <w:jc w:val="both"/>
        <w:ind w:firstLine="332"/>
        <w:spacing w:after="0" w:line="253" w:lineRule="auto"/>
        <w:tabs>
          <w:tab w:leader="none" w:pos="789" w:val="left"/>
        </w:tabs>
        <w:numPr>
          <w:ilvl w:val="0"/>
          <w:numId w:val="123"/>
        </w:numPr>
        <w:rPr>
          <w:rFonts w:ascii="Arial" w:cs="Arial" w:eastAsia="Arial" w:hAnsi="Arial"/>
          <w:sz w:val="22"/>
          <w:szCs w:val="22"/>
          <w:color w:val="auto"/>
        </w:rPr>
      </w:pPr>
      <w:r>
        <w:rPr>
          <w:rFonts w:ascii="Arial" w:cs="Arial" w:eastAsia="Arial" w:hAnsi="Arial"/>
          <w:sz w:val="22"/>
          <w:szCs w:val="22"/>
          <w:color w:val="auto"/>
        </w:rPr>
        <w:t>submits to the non-exclusive jurisdiction of any United States federal or New York State court located in the Borough of Manhattan, the City of New York in connection with any suit, action or proceeding arising out of, or relating to this Indenture or the Notes or arising under any United States federal or state securities laws;</w:t>
      </w:r>
    </w:p>
    <w:p>
      <w:pPr>
        <w:spacing w:after="0" w:line="212" w:lineRule="exact"/>
        <w:rPr>
          <w:rFonts w:ascii="Arial" w:cs="Arial" w:eastAsia="Arial" w:hAnsi="Arial"/>
          <w:sz w:val="22"/>
          <w:szCs w:val="22"/>
          <w:color w:val="auto"/>
        </w:rPr>
      </w:pPr>
    </w:p>
    <w:p>
      <w:pPr>
        <w:ind w:firstLine="332"/>
        <w:spacing w:after="0" w:line="263" w:lineRule="auto"/>
        <w:tabs>
          <w:tab w:leader="none" w:pos="798"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to the fullest extent permitted by law, waives any objection which it may now or hereafter have to the laying of venue of any such suit, action or proceeding;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240"/>
          </w:cols>
          <w:pgMar w:left="320" w:top="1428" w:right="339" w:bottom="1440" w:gutter="0" w:footer="0" w:header="0"/>
        </w:sectPr>
      </w:pPr>
    </w:p>
    <w:bookmarkStart w:id="128" w:name="page129"/>
    <w:bookmarkEnd w:id="128"/>
    <w:p>
      <w:pPr>
        <w:jc w:val="both"/>
        <w:ind w:firstLine="332"/>
        <w:spacing w:after="0" w:line="248" w:lineRule="auto"/>
        <w:tabs>
          <w:tab w:leader="none" w:pos="807" w:val="left"/>
        </w:tabs>
        <w:numPr>
          <w:ilvl w:val="0"/>
          <w:numId w:val="124"/>
        </w:numPr>
        <w:rPr>
          <w:rFonts w:ascii="Arial" w:cs="Arial" w:eastAsia="Arial" w:hAnsi="Arial"/>
          <w:sz w:val="22"/>
          <w:szCs w:val="22"/>
          <w:color w:val="auto"/>
        </w:rPr>
      </w:pPr>
      <w:r>
        <w:rPr>
          <w:rFonts w:ascii="Arial" w:cs="Arial" w:eastAsia="Arial" w:hAnsi="Arial"/>
          <w:sz w:val="22"/>
          <w:szCs w:val="22"/>
          <w:color w:val="auto"/>
        </w:rPr>
        <w:t>waives any immunity to jurisdiction to which it or any of its properties, assets or revenues may otherwise be entitled or become entitled (including sovereign immunity, immunity to pre-judgment attachment, post-judgment attachment and execution) in any legal suit, action or proceeding, from jurisdiction of any court or from set-off or any legal process (whether service or notice, attachment in aid or otherwise) with respect to itself or any of its property and agrees not to plead or claim such immunity in respect of its obligations under this Indenture.</w:t>
      </w:r>
    </w:p>
    <w:p>
      <w:pPr>
        <w:spacing w:after="0" w:line="21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In addition, the Issuer designates and appoints C T Corporation System, whose offices are currently located at 28 Liberty Street,, New York, New York, as its authorized agent for receipt of service of process in any such suit, action or proceeding, and service of process upon the authorized agent and written notice of such service to the Issuer shall be deemed, in every respect, effective service of process upon the Issuer.</w:t>
      </w:r>
    </w:p>
    <w:p>
      <w:pPr>
        <w:spacing w:after="0" w:line="215" w:lineRule="exact"/>
        <w:rPr>
          <w:sz w:val="20"/>
          <w:szCs w:val="20"/>
          <w:color w:val="auto"/>
        </w:rPr>
      </w:pPr>
    </w:p>
    <w:p>
      <w:pPr>
        <w:ind w:left="340"/>
        <w:spacing w:after="0"/>
        <w:tabs>
          <w:tab w:leader="none" w:pos="1680" w:val="left"/>
        </w:tabs>
        <w:rPr>
          <w:sz w:val="20"/>
          <w:szCs w:val="20"/>
          <w:color w:val="auto"/>
        </w:rPr>
      </w:pPr>
      <w:r>
        <w:rPr>
          <w:rFonts w:ascii="Arial" w:cs="Arial" w:eastAsia="Arial" w:hAnsi="Arial"/>
          <w:sz w:val="22"/>
          <w:szCs w:val="22"/>
          <w:i w:val="1"/>
          <w:iCs w:val="1"/>
          <w:color w:val="auto"/>
        </w:rPr>
        <w:t>Section 11.08</w:t>
      </w:r>
      <w:r>
        <w:rPr>
          <w:sz w:val="20"/>
          <w:szCs w:val="20"/>
          <w:color w:val="auto"/>
        </w:rPr>
        <w:tab/>
      </w:r>
      <w:r>
        <w:rPr>
          <w:rFonts w:ascii="Arial" w:cs="Arial" w:eastAsia="Arial" w:hAnsi="Arial"/>
          <w:sz w:val="19"/>
          <w:szCs w:val="19"/>
          <w:i w:val="1"/>
          <w:iCs w:val="1"/>
          <w:color w:val="auto"/>
        </w:rPr>
        <w:t>Indemnification for Judgment Currency</w:t>
      </w:r>
    </w:p>
    <w:p>
      <w:pPr>
        <w:spacing w:after="0" w:line="22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The obligations of the Issuer to any Holder of the Notes or the Trustee under this Indenture or the Notes shall, notwithstanding any judgment in a currency (the “</w:t>
      </w:r>
      <w:r>
        <w:rPr>
          <w:rFonts w:ascii="Arial" w:cs="Arial" w:eastAsia="Arial" w:hAnsi="Arial"/>
          <w:sz w:val="22"/>
          <w:szCs w:val="22"/>
          <w:i w:val="1"/>
          <w:iCs w:val="1"/>
          <w:color w:val="auto"/>
        </w:rPr>
        <w:t>Judgment Currency</w:t>
      </w:r>
      <w:r>
        <w:rPr>
          <w:rFonts w:ascii="Arial" w:cs="Arial" w:eastAsia="Arial" w:hAnsi="Arial"/>
          <w:sz w:val="22"/>
          <w:szCs w:val="22"/>
          <w:color w:val="auto"/>
        </w:rPr>
        <w:t>”) other than U.S. dollars, be discharged only to the extent that on the day following receipt by such party of any amount in the Judgment Currency, such party may in accordance with normal banking procedures purchase U.S. dollars with the Judgment Currency.</w:t>
      </w:r>
    </w:p>
    <w:p>
      <w:pPr>
        <w:spacing w:after="0" w:line="215"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22"/>
          <w:szCs w:val="22"/>
          <w:color w:val="auto"/>
        </w:rPr>
        <w:t>If the amount of U.S. dollars so purchased is less than the amount originally to be paid to such party in U.S. dollars, the Issuer agrees as a separate obligation and notwithstanding such judgment, to the extent permitted by applicable law, to pay the difference, and, if the amount of U.S. dollars so purchased exceeds the amount originally to be paid to such party, such party agrees to pay to or for the account of such payor such excess; provided that such party shall not have any obligation to pay any such excess as long as an Event of Default has occurred and is continuing, in which case such excess may be applied by such party to such obligations.</w:t>
      </w:r>
    </w:p>
    <w:p>
      <w:pPr>
        <w:spacing w:after="0" w:line="233" w:lineRule="exact"/>
        <w:rPr>
          <w:sz w:val="20"/>
          <w:szCs w:val="20"/>
          <w:color w:val="auto"/>
        </w:rPr>
      </w:pPr>
    </w:p>
    <w:p>
      <w:pPr>
        <w:ind w:left="340"/>
        <w:spacing w:after="0"/>
        <w:tabs>
          <w:tab w:leader="none" w:pos="1680" w:val="left"/>
        </w:tabs>
        <w:rPr>
          <w:sz w:val="20"/>
          <w:szCs w:val="20"/>
          <w:color w:val="auto"/>
        </w:rPr>
      </w:pPr>
      <w:r>
        <w:rPr>
          <w:rFonts w:ascii="Arial" w:cs="Arial" w:eastAsia="Arial" w:hAnsi="Arial"/>
          <w:sz w:val="22"/>
          <w:szCs w:val="22"/>
          <w:i w:val="1"/>
          <w:iCs w:val="1"/>
          <w:color w:val="auto"/>
        </w:rPr>
        <w:t>Section 11.09</w:t>
      </w:r>
      <w:r>
        <w:rPr>
          <w:sz w:val="20"/>
          <w:szCs w:val="20"/>
          <w:color w:val="auto"/>
        </w:rPr>
        <w:tab/>
      </w:r>
      <w:r>
        <w:rPr>
          <w:rFonts w:ascii="Arial" w:cs="Arial" w:eastAsia="Arial" w:hAnsi="Arial"/>
          <w:sz w:val="19"/>
          <w:szCs w:val="19"/>
          <w:i w:val="1"/>
          <w:iCs w:val="1"/>
          <w:color w:val="auto"/>
        </w:rPr>
        <w:t>No Adverse Interpretation of Other Agreements</w:t>
      </w:r>
    </w:p>
    <w:p>
      <w:pPr>
        <w:spacing w:after="0" w:line="220" w:lineRule="exact"/>
        <w:rPr>
          <w:sz w:val="20"/>
          <w:szCs w:val="20"/>
          <w:color w:val="auto"/>
        </w:rPr>
      </w:pPr>
    </w:p>
    <w:p>
      <w:pPr>
        <w:jc w:val="both"/>
        <w:ind w:firstLine="324"/>
        <w:spacing w:after="0" w:line="343" w:lineRule="auto"/>
        <w:rPr>
          <w:sz w:val="20"/>
          <w:szCs w:val="20"/>
          <w:color w:val="auto"/>
        </w:rPr>
      </w:pPr>
      <w:r>
        <w:rPr>
          <w:rFonts w:ascii="Arial" w:cs="Arial" w:eastAsia="Arial" w:hAnsi="Arial"/>
          <w:sz w:val="19"/>
          <w:szCs w:val="19"/>
          <w:color w:val="auto"/>
        </w:rPr>
        <w:t>This Indenture may not be used to interpret any other indenture, loan or debt agreement of the Issuer or its Subsidiaries or of any other Person. Any such indenture, loan or debt agreement may not be used to interpret this Indenture.</w:t>
      </w:r>
    </w:p>
    <w:p>
      <w:pPr>
        <w:spacing w:after="0" w:line="131" w:lineRule="exact"/>
        <w:rPr>
          <w:sz w:val="20"/>
          <w:szCs w:val="20"/>
          <w:color w:val="auto"/>
        </w:rPr>
      </w:pPr>
    </w:p>
    <w:p>
      <w:pPr>
        <w:ind w:left="340"/>
        <w:spacing w:after="0"/>
        <w:tabs>
          <w:tab w:leader="none" w:pos="1680" w:val="left"/>
        </w:tabs>
        <w:rPr>
          <w:sz w:val="20"/>
          <w:szCs w:val="20"/>
          <w:color w:val="auto"/>
        </w:rPr>
      </w:pPr>
      <w:r>
        <w:rPr>
          <w:rFonts w:ascii="Arial" w:cs="Arial" w:eastAsia="Arial" w:hAnsi="Arial"/>
          <w:sz w:val="22"/>
          <w:szCs w:val="22"/>
          <w:i w:val="1"/>
          <w:iCs w:val="1"/>
          <w:color w:val="auto"/>
        </w:rPr>
        <w:t>Section 11.10</w:t>
      </w:r>
      <w:r>
        <w:rPr>
          <w:sz w:val="20"/>
          <w:szCs w:val="20"/>
          <w:color w:val="auto"/>
        </w:rPr>
        <w:tab/>
      </w:r>
      <w:r>
        <w:rPr>
          <w:rFonts w:ascii="Arial" w:cs="Arial" w:eastAsia="Arial" w:hAnsi="Arial"/>
          <w:sz w:val="18"/>
          <w:szCs w:val="18"/>
          <w:i w:val="1"/>
          <w:iCs w:val="1"/>
          <w:color w:val="auto"/>
        </w:rPr>
        <w:t>Successors</w:t>
      </w:r>
    </w:p>
    <w:p>
      <w:pPr>
        <w:spacing w:after="0" w:line="22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22"/>
          <w:szCs w:val="22"/>
          <w:color w:val="auto"/>
        </w:rPr>
        <w:t>All agreements of the Issuer in this Indenture and the Notes shall bind its successors. All agreements of the Trustee in this Indenture shall bind its successors.</w:t>
      </w:r>
    </w:p>
    <w:p>
      <w:pPr>
        <w:spacing w:after="0" w:line="202" w:lineRule="exact"/>
        <w:rPr>
          <w:sz w:val="20"/>
          <w:szCs w:val="20"/>
          <w:color w:val="auto"/>
        </w:rPr>
      </w:pPr>
    </w:p>
    <w:p>
      <w:pPr>
        <w:ind w:left="340"/>
        <w:spacing w:after="0"/>
        <w:tabs>
          <w:tab w:leader="none" w:pos="1680" w:val="left"/>
        </w:tabs>
        <w:rPr>
          <w:sz w:val="20"/>
          <w:szCs w:val="20"/>
          <w:color w:val="auto"/>
        </w:rPr>
      </w:pPr>
      <w:r>
        <w:rPr>
          <w:rFonts w:ascii="Arial" w:cs="Arial" w:eastAsia="Arial" w:hAnsi="Arial"/>
          <w:sz w:val="22"/>
          <w:szCs w:val="22"/>
          <w:i w:val="1"/>
          <w:iCs w:val="1"/>
          <w:color w:val="auto"/>
        </w:rPr>
        <w:t>Section 11.11</w:t>
      </w:r>
      <w:r>
        <w:rPr>
          <w:sz w:val="20"/>
          <w:szCs w:val="20"/>
          <w:color w:val="auto"/>
        </w:rPr>
        <w:tab/>
      </w:r>
      <w:r>
        <w:rPr>
          <w:rFonts w:ascii="Arial" w:cs="Arial" w:eastAsia="Arial" w:hAnsi="Arial"/>
          <w:sz w:val="19"/>
          <w:szCs w:val="19"/>
          <w:i w:val="1"/>
          <w:iCs w:val="1"/>
          <w:color w:val="auto"/>
        </w:rPr>
        <w:t>Severability</w:t>
      </w:r>
    </w:p>
    <w:p>
      <w:pPr>
        <w:spacing w:after="0" w:line="22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22"/>
          <w:szCs w:val="22"/>
          <w:color w:val="auto"/>
        </w:rPr>
        <w:t>In case any provision in this Indenture or in the Notes is invalid, illegal or unenforceable, the validity, legality and enforceability of the remaining provisions shall not in any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240"/>
          </w:cols>
          <w:pgMar w:left="320" w:top="1428" w:right="339" w:bottom="1440" w:gutter="0" w:footer="0" w:header="0"/>
        </w:sectPr>
      </w:pPr>
    </w:p>
    <w:bookmarkStart w:id="129" w:name="page130"/>
    <w:bookmarkEnd w:id="129"/>
    <w:p>
      <w:pPr>
        <w:ind w:left="340"/>
        <w:spacing w:after="0"/>
        <w:tabs>
          <w:tab w:leader="none" w:pos="1680" w:val="left"/>
        </w:tabs>
        <w:rPr>
          <w:sz w:val="20"/>
          <w:szCs w:val="20"/>
          <w:color w:val="auto"/>
        </w:rPr>
      </w:pPr>
      <w:r>
        <w:rPr>
          <w:rFonts w:ascii="Arial" w:cs="Arial" w:eastAsia="Arial" w:hAnsi="Arial"/>
          <w:sz w:val="22"/>
          <w:szCs w:val="22"/>
          <w:i w:val="1"/>
          <w:iCs w:val="1"/>
          <w:color w:val="auto"/>
        </w:rPr>
        <w:t>Section 11.12</w:t>
      </w:r>
      <w:r>
        <w:rPr>
          <w:sz w:val="20"/>
          <w:szCs w:val="20"/>
          <w:color w:val="auto"/>
        </w:rPr>
        <w:tab/>
      </w:r>
      <w:r>
        <w:rPr>
          <w:rFonts w:ascii="Arial" w:cs="Arial" w:eastAsia="Arial" w:hAnsi="Arial"/>
          <w:sz w:val="19"/>
          <w:szCs w:val="19"/>
          <w:i w:val="1"/>
          <w:iCs w:val="1"/>
          <w:color w:val="auto"/>
        </w:rPr>
        <w:t>Counterpart Originals</w:t>
      </w:r>
    </w:p>
    <w:p>
      <w:pPr>
        <w:spacing w:after="0" w:line="22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The parties may sign any number of copies of this Indenture. Each signed copy shall be an original, but all of them together represent the same agreement. This Indenture may be executed in two or more counterparts, each of which shall be deemed to be an original and all of which together shall constitute one and the same agreement. The exchange of copies of this Indenture and of signature pages by facsimile, electronic or PDF transmission shall constitute effective execution and delivery of this Indenture as to the parties hereto and may be used in lieu of the original Indenture and signature pages for all purposes.</w:t>
      </w:r>
    </w:p>
    <w:p>
      <w:pPr>
        <w:spacing w:after="0" w:line="174" w:lineRule="exact"/>
        <w:rPr>
          <w:sz w:val="20"/>
          <w:szCs w:val="20"/>
          <w:color w:val="auto"/>
        </w:rPr>
      </w:pPr>
    </w:p>
    <w:p>
      <w:pPr>
        <w:ind w:left="340"/>
        <w:spacing w:after="0"/>
        <w:tabs>
          <w:tab w:leader="none" w:pos="1680" w:val="left"/>
        </w:tabs>
        <w:rPr>
          <w:sz w:val="20"/>
          <w:szCs w:val="20"/>
          <w:color w:val="auto"/>
        </w:rPr>
      </w:pPr>
      <w:r>
        <w:rPr>
          <w:rFonts w:ascii="Arial" w:cs="Arial" w:eastAsia="Arial" w:hAnsi="Arial"/>
          <w:sz w:val="22"/>
          <w:szCs w:val="22"/>
          <w:i w:val="1"/>
          <w:iCs w:val="1"/>
          <w:color w:val="auto"/>
        </w:rPr>
        <w:t>Section 11.13</w:t>
      </w:r>
      <w:r>
        <w:rPr>
          <w:sz w:val="20"/>
          <w:szCs w:val="20"/>
          <w:color w:val="auto"/>
        </w:rPr>
        <w:tab/>
      </w:r>
      <w:r>
        <w:rPr>
          <w:rFonts w:ascii="Arial" w:cs="Arial" w:eastAsia="Arial" w:hAnsi="Arial"/>
          <w:sz w:val="19"/>
          <w:szCs w:val="19"/>
          <w:i w:val="1"/>
          <w:iCs w:val="1"/>
          <w:color w:val="auto"/>
        </w:rPr>
        <w:t>Table of Contents, Headings, etc.</w:t>
      </w:r>
    </w:p>
    <w:p>
      <w:pPr>
        <w:spacing w:after="0" w:line="22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The Table of Contents and Headings of the Articles and Sections of this Indenture have been inserted for convenience of reference only, are not to be considered a part of this Indenture and shall in no way modify or restrict any of the terms or provisions hereof.</w:t>
      </w:r>
    </w:p>
    <w:p>
      <w:pPr>
        <w:spacing w:after="0" w:line="212" w:lineRule="exact"/>
        <w:rPr>
          <w:sz w:val="20"/>
          <w:szCs w:val="20"/>
          <w:color w:val="auto"/>
        </w:rPr>
      </w:pPr>
    </w:p>
    <w:p>
      <w:pPr>
        <w:ind w:left="340"/>
        <w:spacing w:after="0"/>
        <w:tabs>
          <w:tab w:leader="none" w:pos="1680" w:val="left"/>
        </w:tabs>
        <w:rPr>
          <w:sz w:val="20"/>
          <w:szCs w:val="20"/>
          <w:color w:val="auto"/>
        </w:rPr>
      </w:pPr>
      <w:r>
        <w:rPr>
          <w:rFonts w:ascii="Arial" w:cs="Arial" w:eastAsia="Arial" w:hAnsi="Arial"/>
          <w:sz w:val="22"/>
          <w:szCs w:val="22"/>
          <w:i w:val="1"/>
          <w:iCs w:val="1"/>
          <w:color w:val="auto"/>
        </w:rPr>
        <w:t>Section 11.14</w:t>
      </w:r>
      <w:r>
        <w:rPr>
          <w:sz w:val="20"/>
          <w:szCs w:val="20"/>
          <w:color w:val="auto"/>
        </w:rPr>
        <w:tab/>
      </w:r>
      <w:r>
        <w:rPr>
          <w:rFonts w:ascii="Arial" w:cs="Arial" w:eastAsia="Arial" w:hAnsi="Arial"/>
          <w:sz w:val="19"/>
          <w:szCs w:val="19"/>
          <w:i w:val="1"/>
          <w:iCs w:val="1"/>
          <w:color w:val="auto"/>
        </w:rPr>
        <w:t>Compliance with Applicable Anti-Terrorism and Money Laundering Regulations.</w:t>
      </w:r>
    </w:p>
    <w:p>
      <w:pPr>
        <w:spacing w:after="0" w:line="22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1"/>
          <w:szCs w:val="21"/>
          <w:color w:val="auto"/>
        </w:rPr>
        <w:t>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of the United States (“</w:t>
      </w:r>
      <w:r>
        <w:rPr>
          <w:rFonts w:ascii="Arial" w:cs="Arial" w:eastAsia="Arial" w:hAnsi="Arial"/>
          <w:sz w:val="21"/>
          <w:szCs w:val="21"/>
          <w:i w:val="1"/>
          <w:iCs w:val="1"/>
          <w:color w:val="auto"/>
        </w:rPr>
        <w:t>Applicable AML Law</w:t>
      </w:r>
      <w:r>
        <w:rPr>
          <w:rFonts w:ascii="Arial" w:cs="Arial" w:eastAsia="Arial" w:hAnsi="Arial"/>
          <w:sz w:val="21"/>
          <w:szCs w:val="21"/>
          <w:color w:val="auto"/>
        </w:rPr>
        <w:t>”), the Trustee and Agents are required to obtain, verify, record and update certain information relating to individuals and entities which maintain a business relationship with the Trustee and Agents. Accordingly, each of the parties agree to provide to the Trustee and Agents, upon their request from time to time such identifying information and documentation as may be available for such party in order to enable the Trustee and Agents to comply with Applicable AML Law.</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240"/>
          </w:cols>
          <w:pgMar w:left="320" w:top="1428" w:right="339" w:bottom="1440" w:gutter="0" w:footer="0" w:header="0"/>
        </w:sectPr>
      </w:pPr>
    </w:p>
    <w:bookmarkStart w:id="130" w:name="page131"/>
    <w:bookmarkEnd w:id="130"/>
    <w:p>
      <w:pPr>
        <w:ind w:left="4920"/>
        <w:spacing w:after="0"/>
        <w:rPr>
          <w:sz w:val="20"/>
          <w:szCs w:val="20"/>
          <w:color w:val="auto"/>
        </w:rPr>
      </w:pPr>
      <w:r>
        <w:rPr>
          <w:rFonts w:ascii="Arial" w:cs="Arial" w:eastAsia="Arial" w:hAnsi="Arial"/>
          <w:sz w:val="22"/>
          <w:szCs w:val="22"/>
          <w:b w:val="1"/>
          <w:bCs w:val="1"/>
          <w:color w:val="auto"/>
        </w:rPr>
        <w:t>SIGNATURES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Dated as of August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-17780</wp:posOffset>
            </wp:positionV>
            <wp:extent cx="11163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1116330" cy="8890"/>
                    </a:xfrm>
                    <a:prstGeom prst="rect">
                      <a:avLst/>
                    </a:prstGeom>
                    <a:noFill/>
                  </pic:spPr>
                </pic:pic>
              </a:graphicData>
            </a:graphic>
          </wp:anchor>
        </w:drawing>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ISSUER:</w:t>
      </w:r>
    </w:p>
    <w:p>
      <w:pPr>
        <w:spacing w:after="0" w:line="200" w:lineRule="exact"/>
        <w:rPr>
          <w:sz w:val="20"/>
          <w:szCs w:val="20"/>
          <w:color w:val="auto"/>
        </w:rPr>
      </w:pPr>
    </w:p>
    <w:p>
      <w:pPr>
        <w:spacing w:after="0" w:line="236"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WYNN MACAU, LIMITED</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Andrew Tam</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Name: Andrew Tam</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Title: Vice President, Deputy General Counsel and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right="3519"/>
        <w:spacing w:after="0"/>
        <w:rPr>
          <w:sz w:val="20"/>
          <w:szCs w:val="20"/>
          <w:color w:val="auto"/>
        </w:rPr>
      </w:pPr>
      <w:r>
        <w:rPr>
          <w:rFonts w:ascii="Arial" w:cs="Arial" w:eastAsia="Arial" w:hAnsi="Arial"/>
          <w:sz w:val="18"/>
          <w:szCs w:val="18"/>
          <w:color w:val="auto"/>
        </w:rPr>
        <w:t>Signature Page to Indenture</w:t>
      </w:r>
    </w:p>
    <w:p>
      <w:pPr>
        <w:sectPr>
          <w:pgSz w:w="11900" w:h="16838" w:orient="portrait"/>
          <w:cols w:equalWidth="0" w:num="1">
            <w:col w:w="10139"/>
          </w:cols>
          <w:pgMar w:left="320" w:top="1422" w:right="1440" w:bottom="1440" w:gutter="0" w:footer="0" w:header="0"/>
        </w:sectPr>
      </w:pPr>
    </w:p>
    <w:p>
      <w:pPr>
        <w:spacing w:after="0" w:line="68" w:lineRule="exact"/>
        <w:rPr>
          <w:sz w:val="20"/>
          <w:szCs w:val="20"/>
          <w:color w:val="auto"/>
        </w:rPr>
      </w:pPr>
    </w:p>
    <w:p>
      <w:pPr>
        <w:ind w:left="20"/>
        <w:spacing w:after="0"/>
        <w:rPr>
          <w:sz w:val="20"/>
          <w:szCs w:val="20"/>
          <w:color w:val="auto"/>
        </w:rPr>
      </w:pPr>
      <w:r>
        <w:rPr>
          <w:rFonts w:ascii="Arial" w:cs="Arial" w:eastAsia="Arial" w:hAnsi="Arial"/>
          <w:sz w:val="10"/>
          <w:szCs w:val="10"/>
          <w:color w:val="auto"/>
        </w:rPr>
        <w:t>ASIA 34064015</w:t>
      </w:r>
    </w:p>
    <w:p>
      <w:pPr>
        <w:sectPr>
          <w:pgSz w:w="11900" w:h="16838" w:orient="portrait"/>
          <w:cols w:equalWidth="0" w:num="1">
            <w:col w:w="10139"/>
          </w:cols>
          <w:pgMar w:left="320" w:top="1422" w:right="1440" w:bottom="1440" w:gutter="0" w:footer="0" w:header="0"/>
          <w:type w:val="continuous"/>
        </w:sectPr>
      </w:pPr>
    </w:p>
    <w:bookmarkStart w:id="131" w:name="page132"/>
    <w:bookmarkEnd w:id="131"/>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DEUTSCHE BANK TRUST COMPANY AMERICAS,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not in its individual capacity but solely as Trustee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20"/>
        <w:spacing w:after="0"/>
        <w:tabs>
          <w:tab w:leader="none" w:pos="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Bridgette Casanovas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Name: Bridgette Casanovas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79"/>
        <w:spacing w:after="0"/>
        <w:tabs>
          <w:tab w:leader="none" w:pos="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Robert Peschler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Name: Robert Peschler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3519"/>
        <w:spacing w:after="0"/>
        <w:rPr>
          <w:sz w:val="20"/>
          <w:szCs w:val="20"/>
          <w:color w:val="auto"/>
        </w:rPr>
      </w:pPr>
      <w:r>
        <w:rPr>
          <w:rFonts w:ascii="Arial" w:cs="Arial" w:eastAsia="Arial" w:hAnsi="Arial"/>
          <w:sz w:val="18"/>
          <w:szCs w:val="18"/>
          <w:color w:val="auto"/>
        </w:rPr>
        <w:t>Signature Page to Indenture</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1"/>
          <w:szCs w:val="11"/>
          <w:color w:val="auto"/>
        </w:rPr>
        <w:t>ASIA 34064015</w:t>
      </w:r>
    </w:p>
    <w:p>
      <w:pPr>
        <w:sectPr>
          <w:pgSz w:w="11900" w:h="16838" w:orient="portrait"/>
          <w:cols w:equalWidth="0" w:num="1">
            <w:col w:w="10139"/>
          </w:cols>
          <w:pgMar w:left="320" w:top="1440" w:right="1440" w:bottom="1440" w:gutter="0" w:footer="0" w:header="0"/>
        </w:sectPr>
      </w:pPr>
    </w:p>
    <w:bookmarkStart w:id="132" w:name="page133"/>
    <w:bookmarkEnd w:id="132"/>
    <w:p>
      <w:pPr>
        <w:jc w:val="right"/>
        <w:spacing w:after="0"/>
        <w:rPr>
          <w:sz w:val="20"/>
          <w:szCs w:val="20"/>
          <w:color w:val="auto"/>
        </w:rPr>
      </w:pPr>
      <w:r>
        <w:rPr>
          <w:rFonts w:ascii="Arial" w:cs="Arial" w:eastAsia="Arial" w:hAnsi="Arial"/>
          <w:sz w:val="22"/>
          <w:szCs w:val="22"/>
          <w:b w:val="1"/>
          <w:bCs w:val="1"/>
          <w:color w:val="auto"/>
        </w:rPr>
        <w:t>EXHIBIT A</w:t>
      </w:r>
    </w:p>
    <w:p>
      <w:pPr>
        <w:spacing w:after="0" w:line="293"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[Face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0465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CUSIP/CINS</w:t>
      </w:r>
      <w:r>
        <w:rPr>
          <w:rFonts w:ascii="Arial" w:cs="Arial" w:eastAsia="Arial" w:hAnsi="Arial"/>
          <w:sz w:val="22"/>
          <w:szCs w:val="22"/>
          <w:color w:val="auto"/>
        </w:rPr>
        <w:t>: 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ISIN</w:t>
      </w:r>
      <w:r>
        <w:rPr>
          <w:rFonts w:ascii="Arial" w:cs="Arial" w:eastAsia="Arial" w:hAnsi="Arial"/>
          <w:sz w:val="22"/>
          <w:szCs w:val="22"/>
          <w:color w:val="auto"/>
        </w:rPr>
        <w:t>: _________________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Code</w:t>
      </w:r>
      <w:r>
        <w:rPr>
          <w:rFonts w:ascii="Arial" w:cs="Arial" w:eastAsia="Arial" w:hAnsi="Arial"/>
          <w:sz w:val="22"/>
          <w:szCs w:val="22"/>
          <w:color w:val="auto"/>
        </w:rPr>
        <w:t>: _________________</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5.625% Senior Notes due 2028</w:t>
      </w:r>
    </w:p>
    <w:p>
      <w:pPr>
        <w:spacing w:after="0" w:line="22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No. ___</w:t>
      </w:r>
      <w:r>
        <w:rPr>
          <w:sz w:val="20"/>
          <w:szCs w:val="20"/>
          <w:color w:val="auto"/>
        </w:rPr>
        <w:tab/>
      </w:r>
      <w:r>
        <w:rPr>
          <w:rFonts w:ascii="Arial" w:cs="Arial" w:eastAsia="Arial" w:hAnsi="Arial"/>
          <w:sz w:val="19"/>
          <w:szCs w:val="19"/>
          <w:color w:val="auto"/>
        </w:rPr>
        <w:t>US$__________</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WYNN MACAU, LIMITED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promises to pay to _____________________ or registered assigns, the principal sum of</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DOLLARS on August 26, 2028.</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Interest Payment Dates: February 26 and August 26</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Record Dates: February 11 and August 11</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40" w:type="dxa"/>
            <w:vAlign w:val="bottom"/>
          </w:tcPr>
          <w:p>
            <w:pPr>
              <w:spacing w:after="0"/>
              <w:rPr>
                <w:sz w:val="20"/>
                <w:szCs w:val="20"/>
                <w:color w:val="auto"/>
              </w:rPr>
            </w:pPr>
            <w:r>
              <w:rPr>
                <w:rFonts w:ascii="Arial" w:cs="Arial" w:eastAsia="Arial" w:hAnsi="Arial"/>
                <w:sz w:val="11"/>
                <w:szCs w:val="11"/>
                <w:color w:val="auto"/>
              </w:rPr>
              <w:t>ASIA 34064015</w:t>
            </w:r>
          </w:p>
        </w:tc>
        <w:tc>
          <w:tcPr>
            <w:tcW w:w="2660" w:type="dxa"/>
            <w:vAlign w:val="bottom"/>
          </w:tcPr>
          <w:p>
            <w:pPr>
              <w:ind w:left="2320"/>
              <w:spacing w:after="0"/>
              <w:rPr>
                <w:sz w:val="20"/>
                <w:szCs w:val="20"/>
                <w:color w:val="auto"/>
              </w:rPr>
            </w:pPr>
            <w:r>
              <w:rPr>
                <w:rFonts w:ascii="Arial" w:cs="Arial" w:eastAsia="Arial" w:hAnsi="Arial"/>
                <w:sz w:val="22"/>
                <w:szCs w:val="22"/>
                <w:color w:val="auto"/>
                <w:w w:val="93"/>
              </w:rPr>
              <w:t>A-1</w:t>
            </w:r>
          </w:p>
        </w:tc>
      </w:tr>
    </w:tbl>
    <w:p>
      <w:pPr>
        <w:sectPr>
          <w:pgSz w:w="11900" w:h="16838" w:orient="portrait"/>
          <w:cols w:equalWidth="0" w:num="1">
            <w:col w:w="11240"/>
          </w:cols>
          <w:pgMar w:left="320" w:top="1421" w:right="339" w:bottom="1440" w:gutter="0" w:footer="0" w:header="0"/>
        </w:sectPr>
      </w:pPr>
    </w:p>
    <w:bookmarkStart w:id="133" w:name="page134"/>
    <w:bookmarkEnd w:id="133"/>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Issuer has caused this Note to be duly executed.</w:t>
      </w:r>
    </w:p>
    <w:p>
      <w:pPr>
        <w:spacing w:after="0" w:line="200" w:lineRule="exact"/>
        <w:rPr>
          <w:sz w:val="20"/>
          <w:szCs w:val="20"/>
          <w:color w:val="auto"/>
        </w:rPr>
      </w:pPr>
    </w:p>
    <w:p>
      <w:pPr>
        <w:spacing w:after="0" w:line="236"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WYNN MACAU, LIMITED</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40" w:type="dxa"/>
            <w:vAlign w:val="bottom"/>
          </w:tcPr>
          <w:p>
            <w:pPr>
              <w:spacing w:after="0"/>
              <w:rPr>
                <w:sz w:val="20"/>
                <w:szCs w:val="20"/>
                <w:color w:val="auto"/>
              </w:rPr>
            </w:pPr>
            <w:r>
              <w:rPr>
                <w:rFonts w:ascii="Arial" w:cs="Arial" w:eastAsia="Arial" w:hAnsi="Arial"/>
                <w:sz w:val="11"/>
                <w:szCs w:val="11"/>
                <w:color w:val="auto"/>
              </w:rPr>
              <w:t>ASIA 34064015</w:t>
            </w:r>
          </w:p>
        </w:tc>
        <w:tc>
          <w:tcPr>
            <w:tcW w:w="2660" w:type="dxa"/>
            <w:vAlign w:val="bottom"/>
          </w:tcPr>
          <w:p>
            <w:pPr>
              <w:ind w:left="2320"/>
              <w:spacing w:after="0"/>
              <w:rPr>
                <w:sz w:val="20"/>
                <w:szCs w:val="20"/>
                <w:color w:val="auto"/>
              </w:rPr>
            </w:pPr>
            <w:r>
              <w:rPr>
                <w:rFonts w:ascii="Arial" w:cs="Arial" w:eastAsia="Arial" w:hAnsi="Arial"/>
                <w:sz w:val="22"/>
                <w:szCs w:val="22"/>
                <w:color w:val="auto"/>
                <w:w w:val="93"/>
              </w:rPr>
              <w:t>A-2</w:t>
            </w:r>
          </w:p>
        </w:tc>
      </w:tr>
    </w:tbl>
    <w:p>
      <w:pPr>
        <w:sectPr>
          <w:pgSz w:w="11900" w:h="16838" w:orient="portrait"/>
          <w:cols w:equalWidth="0" w:num="1">
            <w:col w:w="10139"/>
          </w:cols>
          <w:pgMar w:left="320" w:top="1440" w:right="1440" w:bottom="1440" w:gutter="0" w:footer="0" w:header="0"/>
        </w:sectPr>
      </w:pPr>
    </w:p>
    <w:bookmarkStart w:id="134" w:name="page135"/>
    <w:bookmarkEnd w:id="134"/>
    <w:p>
      <w:pPr>
        <w:spacing w:after="0"/>
        <w:rPr>
          <w:sz w:val="20"/>
          <w:szCs w:val="20"/>
          <w:color w:val="auto"/>
        </w:rPr>
      </w:pPr>
      <w:r>
        <w:rPr>
          <w:rFonts w:ascii="Arial" w:cs="Arial" w:eastAsia="Arial" w:hAnsi="Arial"/>
          <w:sz w:val="22"/>
          <w:szCs w:val="22"/>
          <w:color w:val="auto"/>
        </w:rPr>
        <w:t>This is one of the Notes referred to in the within-mentioned Indenture.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______________________________</w:t>
      </w: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DEUTSCHE BANK TRUST COMPANY AMERICAS,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63"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By: ______________________________</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Authorized Signatory</w:t>
      </w:r>
    </w:p>
    <w:p>
      <w:pPr>
        <w:sectPr>
          <w:pgSz w:w="11900" w:h="16838" w:orient="portrait"/>
          <w:cols w:equalWidth="0" w:num="1">
            <w:col w:w="10139"/>
          </w:cols>
          <w:pgMar w:left="320" w:top="142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1"/>
          <w:szCs w:val="11"/>
          <w:color w:val="auto"/>
        </w:rPr>
        <w:t>ASIA 34064015</w:t>
      </w:r>
      <w:r>
        <w:rPr>
          <w:sz w:val="20"/>
          <w:szCs w:val="20"/>
          <w:color w:val="auto"/>
        </w:rPr>
        <w:tab/>
      </w:r>
      <w:r>
        <w:rPr>
          <w:rFonts w:ascii="Arial" w:cs="Arial" w:eastAsia="Arial" w:hAnsi="Arial"/>
          <w:sz w:val="21"/>
          <w:szCs w:val="21"/>
          <w:color w:val="auto"/>
        </w:rPr>
        <w:t>A-3</w:t>
      </w:r>
    </w:p>
    <w:p>
      <w:pPr>
        <w:sectPr>
          <w:pgSz w:w="11900" w:h="16838" w:orient="portrait"/>
          <w:cols w:equalWidth="0" w:num="1">
            <w:col w:w="10139"/>
          </w:cols>
          <w:pgMar w:left="320" w:top="1427" w:right="1440" w:bottom="1440" w:gutter="0" w:footer="0" w:header="0"/>
          <w:type w:val="continuous"/>
        </w:sectPr>
      </w:pPr>
    </w:p>
    <w:bookmarkStart w:id="135" w:name="page136"/>
    <w:bookmarkEnd w:id="135"/>
    <w:p>
      <w:pPr>
        <w:jc w:val="center"/>
        <w:spacing w:after="0"/>
        <w:rPr>
          <w:sz w:val="20"/>
          <w:szCs w:val="20"/>
          <w:color w:val="auto"/>
        </w:rPr>
      </w:pPr>
      <w:r>
        <w:rPr>
          <w:rFonts w:ascii="Arial" w:cs="Arial" w:eastAsia="Arial" w:hAnsi="Arial"/>
          <w:sz w:val="22"/>
          <w:szCs w:val="22"/>
          <w:color w:val="auto"/>
        </w:rPr>
        <w:t>[Back of Note]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5.625% Senior Notes due 2028</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[Insert the Private Placement Legend, if applicable, pursuant to Section 2.06(f)(1) of the Indenture]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[Insert the Global Notes Legend, if applicable, pursuant to Section 2.06(f)(2) of the Indenture]</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Capitalized terms used herein have the meanings assigned to them in the Indenture referred to below unless otherwise indicated.</w:t>
      </w:r>
    </w:p>
    <w:p>
      <w:pPr>
        <w:spacing w:after="0" w:line="175" w:lineRule="exact"/>
        <w:rPr>
          <w:sz w:val="20"/>
          <w:szCs w:val="20"/>
          <w:color w:val="auto"/>
        </w:rPr>
      </w:pPr>
    </w:p>
    <w:p>
      <w:pPr>
        <w:jc w:val="both"/>
        <w:ind w:left="660" w:firstLine="644"/>
        <w:spacing w:after="0" w:line="291" w:lineRule="auto"/>
        <w:tabs>
          <w:tab w:leader="none" w:pos="1789" w:val="left"/>
        </w:tabs>
        <w:numPr>
          <w:ilvl w:val="0"/>
          <w:numId w:val="125"/>
        </w:numPr>
        <w:rPr>
          <w:rFonts w:ascii="Arial" w:cs="Arial" w:eastAsia="Arial" w:hAnsi="Arial"/>
          <w:sz w:val="19"/>
          <w:szCs w:val="19"/>
          <w:color w:val="auto"/>
        </w:rPr>
      </w:pPr>
      <w:r>
        <w:rPr>
          <w:rFonts w:ascii="Arial" w:cs="Arial" w:eastAsia="Arial" w:hAnsi="Arial"/>
          <w:sz w:val="19"/>
          <w:szCs w:val="19"/>
          <w:i w:val="1"/>
          <w:iCs w:val="1"/>
          <w:color w:val="auto"/>
        </w:rPr>
        <w:t>Interest</w:t>
      </w:r>
      <w:r>
        <w:rPr>
          <w:rFonts w:ascii="Arial" w:cs="Arial" w:eastAsia="Arial" w:hAnsi="Arial"/>
          <w:sz w:val="19"/>
          <w:szCs w:val="19"/>
          <w:color w:val="auto"/>
        </w:rPr>
        <w:t>. Wynn Macau, Limited, a company incorporated with limited liability under the laws of the Cayman</w:t>
      </w:r>
      <w:r>
        <w:rPr>
          <w:rFonts w:ascii="Arial" w:cs="Arial" w:eastAsia="Arial" w:hAnsi="Arial"/>
          <w:sz w:val="19"/>
          <w:szCs w:val="19"/>
          <w:i w:val="1"/>
          <w:iCs w:val="1"/>
          <w:color w:val="auto"/>
        </w:rPr>
        <w:t xml:space="preserve"> </w:t>
      </w:r>
      <w:r>
        <w:rPr>
          <w:rFonts w:ascii="Arial" w:cs="Arial" w:eastAsia="Arial" w:hAnsi="Arial"/>
          <w:sz w:val="19"/>
          <w:szCs w:val="19"/>
          <w:color w:val="auto"/>
        </w:rPr>
        <w:t>Islands (the “</w:t>
      </w:r>
      <w:r>
        <w:rPr>
          <w:rFonts w:ascii="Arial" w:cs="Arial" w:eastAsia="Arial" w:hAnsi="Arial"/>
          <w:sz w:val="19"/>
          <w:szCs w:val="19"/>
          <w:i w:val="1"/>
          <w:iCs w:val="1"/>
          <w:color w:val="auto"/>
        </w:rPr>
        <w:t>Issuer</w:t>
      </w:r>
      <w:r>
        <w:rPr>
          <w:rFonts w:ascii="Arial" w:cs="Arial" w:eastAsia="Arial" w:hAnsi="Arial"/>
          <w:sz w:val="19"/>
          <w:szCs w:val="19"/>
          <w:color w:val="auto"/>
        </w:rPr>
        <w:t>”), promises to pay interest on the principal amount of this Note at 5.625% per annum from</w:t>
      </w:r>
    </w:p>
    <w:p>
      <w:pPr>
        <w:spacing w:after="0" w:line="1" w:lineRule="exact"/>
        <w:rPr>
          <w:rFonts w:ascii="Arial" w:cs="Arial" w:eastAsia="Arial" w:hAnsi="Arial"/>
          <w:sz w:val="19"/>
          <w:szCs w:val="19"/>
          <w:color w:val="auto"/>
        </w:rPr>
      </w:pPr>
    </w:p>
    <w:p>
      <w:pPr>
        <w:jc w:val="both"/>
        <w:ind w:left="660"/>
        <w:spacing w:after="0" w:line="285" w:lineRule="auto"/>
        <w:rPr>
          <w:rFonts w:ascii="Arial" w:cs="Arial" w:eastAsia="Arial" w:hAnsi="Arial"/>
          <w:sz w:val="19"/>
          <w:szCs w:val="19"/>
          <w:color w:val="auto"/>
        </w:rPr>
      </w:pPr>
      <w:r>
        <w:rPr>
          <w:rFonts w:ascii="Arial" w:cs="Arial" w:eastAsia="Arial" w:hAnsi="Arial"/>
          <w:sz w:val="19"/>
          <w:szCs w:val="19"/>
          <w:color w:val="auto"/>
        </w:rPr>
        <w:t>______________, 20__ until maturity. The Issuer shall pay interest semi-annually in arrears on February 26 and August 26 of each year, or if any such day is not a Business Day, on the next succeeding Business Day (each, an “</w:t>
      </w:r>
      <w:r>
        <w:rPr>
          <w:rFonts w:ascii="Arial" w:cs="Arial" w:eastAsia="Arial" w:hAnsi="Arial"/>
          <w:sz w:val="19"/>
          <w:szCs w:val="19"/>
          <w:i w:val="1"/>
          <w:iCs w:val="1"/>
          <w:color w:val="auto"/>
        </w:rPr>
        <w:t>Interest</w:t>
      </w:r>
      <w:r>
        <w:rPr>
          <w:rFonts w:ascii="Arial" w:cs="Arial" w:eastAsia="Arial" w:hAnsi="Arial"/>
          <w:sz w:val="19"/>
          <w:szCs w:val="19"/>
          <w:color w:val="auto"/>
        </w:rPr>
        <w:t xml:space="preserve"> </w:t>
      </w:r>
      <w:r>
        <w:rPr>
          <w:rFonts w:ascii="Arial" w:cs="Arial" w:eastAsia="Arial" w:hAnsi="Arial"/>
          <w:sz w:val="19"/>
          <w:szCs w:val="19"/>
          <w:i w:val="1"/>
          <w:iCs w:val="1"/>
          <w:color w:val="auto"/>
        </w:rPr>
        <w:t>Payment Date</w:t>
      </w:r>
      <w:r>
        <w:rPr>
          <w:rFonts w:ascii="Arial" w:cs="Arial" w:eastAsia="Arial" w:hAnsi="Arial"/>
          <w:sz w:val="19"/>
          <w:szCs w:val="19"/>
          <w:color w:val="auto"/>
        </w:rPr>
        <w:t>”). Interest on the Notes shall accrue from the most recent date to which interest has been paid or, if no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interest has been paid, from the date of issuance;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the first Interest Payment Date shall be _______________, 20__. The Issuer shall pay interest (including post-petition interest in any proceeding under any Bankruptcy Law) on overdue principal and premium, if any, from time to time on demand at a rate that is 1% per annum in excess of the rate then in effect; it shall pay interest (including post-petition interest in any proceeding under any Bankruptcy Law) on overdue installments of interest (without regard to any applicable grace periods) from time to time on demand at the same rate to the extent lawful.</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Interest shall be computed on the basis of a 360-day year of twelve 30-day months.</w:t>
      </w:r>
    </w:p>
    <w:p>
      <w:pPr>
        <w:spacing w:after="0" w:line="220" w:lineRule="exact"/>
        <w:rPr>
          <w:sz w:val="20"/>
          <w:szCs w:val="20"/>
          <w:color w:val="auto"/>
        </w:rPr>
      </w:pPr>
    </w:p>
    <w:p>
      <w:pPr>
        <w:jc w:val="both"/>
        <w:ind w:left="660" w:firstLine="644"/>
        <w:spacing w:after="0" w:line="258" w:lineRule="auto"/>
        <w:tabs>
          <w:tab w:leader="none" w:pos="1789" w:val="left"/>
        </w:tabs>
        <w:numPr>
          <w:ilvl w:val="0"/>
          <w:numId w:val="126"/>
        </w:numPr>
        <w:rPr>
          <w:rFonts w:ascii="Arial" w:cs="Arial" w:eastAsia="Arial" w:hAnsi="Arial"/>
          <w:sz w:val="21"/>
          <w:szCs w:val="21"/>
          <w:color w:val="auto"/>
        </w:rPr>
      </w:pPr>
      <w:r>
        <w:rPr>
          <w:rFonts w:ascii="Arial" w:cs="Arial" w:eastAsia="Arial" w:hAnsi="Arial"/>
          <w:sz w:val="21"/>
          <w:szCs w:val="21"/>
          <w:i w:val="1"/>
          <w:iCs w:val="1"/>
          <w:color w:val="auto"/>
        </w:rPr>
        <w:t>Method of Payment</w:t>
      </w:r>
      <w:r>
        <w:rPr>
          <w:rFonts w:ascii="Arial" w:cs="Arial" w:eastAsia="Arial" w:hAnsi="Arial"/>
          <w:sz w:val="21"/>
          <w:szCs w:val="21"/>
          <w:color w:val="auto"/>
        </w:rPr>
        <w:t>. The Issuer shall pay interest on the Notes (except defaulted interest) to the Persons who</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are registered Holders of Notes at the close of business on the February 11 or August 11 next preceding the Interest Payment Date, even if such Notes are canceled after such record date and on or before such Interest Payment Date, except as provided in Section 2.12 of the Indenture with respect to defaulted interest. The Notes shall be payable as to principal, premium, if any, and interest at the office or agency of the Issuer maintained for such purpose within or without the City and State of New York, or, at the option of the Issuer, payment of interest, if any, may be made by check mailed to the Holders at their addresses set forth in the register of Holders;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payment by wire transfer of immediately available funds shall be required with respect to principal of and interest, premium, if any, on, all Global Notes and all other Notes the Holders of which shall have provided wire transfer instructions to the Issuer or the Paying Agent. Such payment shall be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40" w:type="dxa"/>
            <w:vAlign w:val="bottom"/>
          </w:tcPr>
          <w:p>
            <w:pPr>
              <w:spacing w:after="0"/>
              <w:rPr>
                <w:sz w:val="20"/>
                <w:szCs w:val="20"/>
                <w:color w:val="auto"/>
              </w:rPr>
            </w:pPr>
            <w:r>
              <w:rPr>
                <w:rFonts w:ascii="Arial" w:cs="Arial" w:eastAsia="Arial" w:hAnsi="Arial"/>
                <w:sz w:val="11"/>
                <w:szCs w:val="11"/>
                <w:color w:val="auto"/>
              </w:rPr>
              <w:t>ASIA 34064015</w:t>
            </w:r>
          </w:p>
        </w:tc>
        <w:tc>
          <w:tcPr>
            <w:tcW w:w="2660" w:type="dxa"/>
            <w:vAlign w:val="bottom"/>
          </w:tcPr>
          <w:p>
            <w:pPr>
              <w:ind w:left="2320"/>
              <w:spacing w:after="0"/>
              <w:rPr>
                <w:sz w:val="20"/>
                <w:szCs w:val="20"/>
                <w:color w:val="auto"/>
              </w:rPr>
            </w:pPr>
            <w:r>
              <w:rPr>
                <w:rFonts w:ascii="Arial" w:cs="Arial" w:eastAsia="Arial" w:hAnsi="Arial"/>
                <w:sz w:val="22"/>
                <w:szCs w:val="22"/>
                <w:color w:val="auto"/>
                <w:w w:val="93"/>
              </w:rPr>
              <w:t>A-4</w:t>
            </w:r>
          </w:p>
        </w:tc>
      </w:tr>
    </w:tbl>
    <w:p>
      <w:pPr>
        <w:sectPr>
          <w:pgSz w:w="11900" w:h="16838" w:orient="portrait"/>
          <w:cols w:equalWidth="0" w:num="1">
            <w:col w:w="11240"/>
          </w:cols>
          <w:pgMar w:left="320" w:top="1427" w:right="339" w:bottom="1440" w:gutter="0" w:footer="0" w:header="0"/>
        </w:sectPr>
      </w:pPr>
    </w:p>
    <w:bookmarkStart w:id="136" w:name="page137"/>
    <w:bookmarkEnd w:id="136"/>
    <w:p>
      <w:pPr>
        <w:ind w:left="640"/>
        <w:spacing w:after="0" w:line="263" w:lineRule="auto"/>
        <w:rPr>
          <w:sz w:val="20"/>
          <w:szCs w:val="20"/>
          <w:color w:val="auto"/>
        </w:rPr>
      </w:pPr>
      <w:r>
        <w:rPr>
          <w:rFonts w:ascii="Arial" w:cs="Arial" w:eastAsia="Arial" w:hAnsi="Arial"/>
          <w:sz w:val="22"/>
          <w:szCs w:val="22"/>
          <w:color w:val="auto"/>
        </w:rPr>
        <w:t>such coin or currency of the United States of America as at the time of payment is legal tender for payment of public and private debts.</w:t>
      </w:r>
    </w:p>
    <w:p>
      <w:pPr>
        <w:spacing w:after="0" w:line="175" w:lineRule="exact"/>
        <w:rPr>
          <w:sz w:val="20"/>
          <w:szCs w:val="20"/>
          <w:color w:val="auto"/>
        </w:rPr>
      </w:pPr>
    </w:p>
    <w:p>
      <w:pPr>
        <w:jc w:val="both"/>
        <w:ind w:left="640" w:firstLine="644"/>
        <w:spacing w:after="0" w:line="253" w:lineRule="auto"/>
        <w:tabs>
          <w:tab w:leader="none" w:pos="1904" w:val="left"/>
        </w:tabs>
        <w:numPr>
          <w:ilvl w:val="0"/>
          <w:numId w:val="127"/>
        </w:numPr>
        <w:rPr>
          <w:rFonts w:ascii="Arial" w:cs="Arial" w:eastAsia="Arial" w:hAnsi="Arial"/>
          <w:sz w:val="22"/>
          <w:szCs w:val="22"/>
          <w:color w:val="auto"/>
        </w:rPr>
      </w:pPr>
      <w:r>
        <w:rPr>
          <w:rFonts w:ascii="Arial" w:cs="Arial" w:eastAsia="Arial" w:hAnsi="Arial"/>
          <w:sz w:val="22"/>
          <w:szCs w:val="22"/>
          <w:i w:val="1"/>
          <w:iCs w:val="1"/>
          <w:color w:val="auto"/>
        </w:rPr>
        <w:t>Paying Agent and Registrar</w:t>
      </w:r>
      <w:r>
        <w:rPr>
          <w:rFonts w:ascii="Arial" w:cs="Arial" w:eastAsia="Arial" w:hAnsi="Arial"/>
          <w:sz w:val="22"/>
          <w:szCs w:val="22"/>
          <w:color w:val="auto"/>
        </w:rPr>
        <w:t>. Initially, Deutsche Bank Trust Company Americas, the Trustee under the</w:t>
      </w:r>
      <w:r>
        <w:rPr>
          <w:rFonts w:ascii="Arial" w:cs="Arial" w:eastAsia="Arial" w:hAnsi="Arial"/>
          <w:sz w:val="22"/>
          <w:szCs w:val="22"/>
          <w:i w:val="1"/>
          <w:iCs w:val="1"/>
          <w:color w:val="auto"/>
        </w:rPr>
        <w:t xml:space="preserve"> </w:t>
      </w:r>
      <w:r>
        <w:rPr>
          <w:rFonts w:ascii="Arial" w:cs="Arial" w:eastAsia="Arial" w:hAnsi="Arial"/>
          <w:sz w:val="22"/>
          <w:szCs w:val="22"/>
          <w:color w:val="auto"/>
        </w:rPr>
        <w:t>Indenture, shall act as Paying Agent and Registrar. The Issuer may change any Paying Agent or Registrar without notice to any Holder. The Issuer may act in any such capacity.</w:t>
      </w:r>
    </w:p>
    <w:p>
      <w:pPr>
        <w:spacing w:after="0" w:line="185" w:lineRule="exact"/>
        <w:rPr>
          <w:rFonts w:ascii="Arial" w:cs="Arial" w:eastAsia="Arial" w:hAnsi="Arial"/>
          <w:sz w:val="22"/>
          <w:szCs w:val="22"/>
          <w:color w:val="auto"/>
        </w:rPr>
      </w:pPr>
    </w:p>
    <w:p>
      <w:pPr>
        <w:jc w:val="both"/>
        <w:ind w:left="640" w:firstLine="644"/>
        <w:spacing w:after="0" w:line="246" w:lineRule="auto"/>
        <w:tabs>
          <w:tab w:leader="none" w:pos="1837" w:val="left"/>
        </w:tabs>
        <w:numPr>
          <w:ilvl w:val="0"/>
          <w:numId w:val="127"/>
        </w:numPr>
        <w:rPr>
          <w:rFonts w:ascii="Arial" w:cs="Arial" w:eastAsia="Arial" w:hAnsi="Arial"/>
          <w:sz w:val="22"/>
          <w:szCs w:val="22"/>
          <w:color w:val="auto"/>
        </w:rPr>
      </w:pPr>
      <w:r>
        <w:rPr>
          <w:rFonts w:ascii="Arial" w:cs="Arial" w:eastAsia="Arial" w:hAnsi="Arial"/>
          <w:sz w:val="22"/>
          <w:szCs w:val="22"/>
          <w:i w:val="1"/>
          <w:iCs w:val="1"/>
          <w:color w:val="auto"/>
        </w:rPr>
        <w:t>Indenture</w:t>
      </w:r>
      <w:r>
        <w:rPr>
          <w:rFonts w:ascii="Arial" w:cs="Arial" w:eastAsia="Arial" w:hAnsi="Arial"/>
          <w:sz w:val="22"/>
          <w:szCs w:val="22"/>
          <w:color w:val="auto"/>
        </w:rPr>
        <w:t>. The Issuer issued the Notes under an Indenture dated as of August 26, 2020 (the “</w:t>
      </w:r>
      <w:r>
        <w:rPr>
          <w:rFonts w:ascii="Arial" w:cs="Arial" w:eastAsia="Arial" w:hAnsi="Arial"/>
          <w:sz w:val="22"/>
          <w:szCs w:val="22"/>
          <w:i w:val="1"/>
          <w:iCs w:val="1"/>
          <w:color w:val="auto"/>
        </w:rPr>
        <w:t>Indenture</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between the Issuer 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Issuer. The Indenture does not limit the aggregate principal amount of Notes that may be issued thereunder. Notes issued after the date of the Indenture in compliance with the applicable requirements of the Indenture are referred to as “</w:t>
      </w:r>
      <w:r>
        <w:rPr>
          <w:rFonts w:ascii="Arial" w:cs="Arial" w:eastAsia="Arial" w:hAnsi="Arial"/>
          <w:sz w:val="22"/>
          <w:szCs w:val="22"/>
          <w:i w:val="1"/>
          <w:iCs w:val="1"/>
          <w:color w:val="auto"/>
        </w:rPr>
        <w:t>Additional Notes</w:t>
      </w:r>
      <w:r>
        <w:rPr>
          <w:rFonts w:ascii="Arial" w:cs="Arial" w:eastAsia="Arial" w:hAnsi="Arial"/>
          <w:sz w:val="22"/>
          <w:szCs w:val="22"/>
          <w:color w:val="auto"/>
        </w:rPr>
        <w:t>.” The term “</w:t>
      </w:r>
      <w:r>
        <w:rPr>
          <w:rFonts w:ascii="Arial" w:cs="Arial" w:eastAsia="Arial" w:hAnsi="Arial"/>
          <w:sz w:val="22"/>
          <w:szCs w:val="22"/>
          <w:i w:val="1"/>
          <w:iCs w:val="1"/>
          <w:color w:val="auto"/>
        </w:rPr>
        <w:t>Notes</w:t>
      </w:r>
      <w:r>
        <w:rPr>
          <w:rFonts w:ascii="Arial" w:cs="Arial" w:eastAsia="Arial" w:hAnsi="Arial"/>
          <w:sz w:val="22"/>
          <w:szCs w:val="22"/>
          <w:color w:val="auto"/>
        </w:rPr>
        <w:t>” includes any Additional Notes hereafter issued.</w:t>
      </w:r>
    </w:p>
    <w:p>
      <w:pPr>
        <w:spacing w:after="0" w:line="193" w:lineRule="exact"/>
        <w:rPr>
          <w:rFonts w:ascii="Arial" w:cs="Arial" w:eastAsia="Arial" w:hAnsi="Arial"/>
          <w:sz w:val="22"/>
          <w:szCs w:val="22"/>
          <w:color w:val="auto"/>
        </w:rPr>
      </w:pPr>
    </w:p>
    <w:p>
      <w:pPr>
        <w:ind w:left="1760" w:hanging="476"/>
        <w:spacing w:after="0"/>
        <w:tabs>
          <w:tab w:leader="none" w:pos="1760" w:val="left"/>
        </w:tabs>
        <w:numPr>
          <w:ilvl w:val="0"/>
          <w:numId w:val="127"/>
        </w:numPr>
        <w:rPr>
          <w:rFonts w:ascii="Arial" w:cs="Arial" w:eastAsia="Arial" w:hAnsi="Arial"/>
          <w:sz w:val="22"/>
          <w:szCs w:val="22"/>
          <w:color w:val="auto"/>
        </w:rPr>
      </w:pPr>
      <w:r>
        <w:rPr>
          <w:rFonts w:ascii="Arial" w:cs="Arial" w:eastAsia="Arial" w:hAnsi="Arial"/>
          <w:sz w:val="22"/>
          <w:szCs w:val="22"/>
          <w:i w:val="1"/>
          <w:iCs w:val="1"/>
          <w:color w:val="auto"/>
        </w:rPr>
        <w:t>Optional Redemption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40" w:firstLine="1292"/>
        <w:spacing w:after="0" w:line="265" w:lineRule="auto"/>
        <w:tabs>
          <w:tab w:leader="none" w:pos="2443" w:val="left"/>
        </w:tabs>
        <w:numPr>
          <w:ilvl w:val="1"/>
          <w:numId w:val="127"/>
        </w:numPr>
        <w:rPr>
          <w:rFonts w:ascii="Arial" w:cs="Arial" w:eastAsia="Arial" w:hAnsi="Arial"/>
          <w:sz w:val="21"/>
          <w:szCs w:val="21"/>
          <w:color w:val="auto"/>
        </w:rPr>
      </w:pPr>
      <w:r>
        <w:rPr>
          <w:rFonts w:ascii="Arial" w:cs="Arial" w:eastAsia="Arial" w:hAnsi="Arial"/>
          <w:sz w:val="21"/>
          <w:szCs w:val="21"/>
          <w:color w:val="auto"/>
        </w:rPr>
        <w:t>At any time prior to August 26, 2023, the Issuer may, on any one or more occasions, redeem up to 35% of the aggregate principal amount of the Notes issued under this Indenture (including Additional Notes) at a redemption price of 105.625% of the principal amount, plus accrued and unpaid interest, if any, to (but excluding) the redemption date, with the net cash proceeds of one or more Equity Offerings; provided that:</w:t>
      </w:r>
    </w:p>
    <w:p>
      <w:pPr>
        <w:spacing w:after="0" w:line="175" w:lineRule="exact"/>
        <w:rPr>
          <w:rFonts w:ascii="Arial" w:cs="Arial" w:eastAsia="Arial" w:hAnsi="Arial"/>
          <w:sz w:val="21"/>
          <w:szCs w:val="21"/>
          <w:color w:val="auto"/>
        </w:rPr>
      </w:pPr>
    </w:p>
    <w:p>
      <w:pPr>
        <w:jc w:val="both"/>
        <w:ind w:left="1940" w:firstLine="640"/>
        <w:spacing w:after="0" w:line="253" w:lineRule="auto"/>
        <w:tabs>
          <w:tab w:leader="none" w:pos="3158" w:val="left"/>
        </w:tabs>
        <w:numPr>
          <w:ilvl w:val="2"/>
          <w:numId w:val="127"/>
        </w:numPr>
        <w:rPr>
          <w:rFonts w:ascii="Arial" w:cs="Arial" w:eastAsia="Arial" w:hAnsi="Arial"/>
          <w:sz w:val="22"/>
          <w:szCs w:val="22"/>
          <w:color w:val="auto"/>
        </w:rPr>
      </w:pPr>
      <w:r>
        <w:rPr>
          <w:rFonts w:ascii="Arial" w:cs="Arial" w:eastAsia="Arial" w:hAnsi="Arial"/>
          <w:sz w:val="22"/>
          <w:szCs w:val="22"/>
          <w:color w:val="auto"/>
        </w:rPr>
        <w:t>at least 65% of the aggregate principal amount of the Notes originally issued under this Indenture (excluding the Notes held by the Issuer and its Subsidiaries) remains outstanding immediately after the occurrence of such redemption; and</w:t>
      </w:r>
    </w:p>
    <w:p>
      <w:pPr>
        <w:spacing w:after="0" w:line="185" w:lineRule="exact"/>
        <w:rPr>
          <w:rFonts w:ascii="Arial" w:cs="Arial" w:eastAsia="Arial" w:hAnsi="Arial"/>
          <w:sz w:val="22"/>
          <w:szCs w:val="22"/>
          <w:color w:val="auto"/>
        </w:rPr>
      </w:pPr>
    </w:p>
    <w:p>
      <w:pPr>
        <w:ind w:left="3060" w:hanging="480"/>
        <w:spacing w:after="0"/>
        <w:tabs>
          <w:tab w:leader="none" w:pos="3060" w:val="left"/>
        </w:tabs>
        <w:numPr>
          <w:ilvl w:val="2"/>
          <w:numId w:val="127"/>
        </w:numPr>
        <w:rPr>
          <w:rFonts w:ascii="Arial" w:cs="Arial" w:eastAsia="Arial" w:hAnsi="Arial"/>
          <w:sz w:val="21"/>
          <w:szCs w:val="21"/>
          <w:color w:val="auto"/>
        </w:rPr>
      </w:pPr>
      <w:r>
        <w:rPr>
          <w:rFonts w:ascii="Arial" w:cs="Arial" w:eastAsia="Arial" w:hAnsi="Arial"/>
          <w:sz w:val="21"/>
          <w:szCs w:val="21"/>
          <w:color w:val="auto"/>
        </w:rPr>
        <w:t>the redemption occurs within 60 days of the date of the closing of such Equity Offering.</w:t>
      </w:r>
    </w:p>
    <w:p>
      <w:pPr>
        <w:spacing w:after="0" w:line="231" w:lineRule="exact"/>
        <w:rPr>
          <w:rFonts w:ascii="Arial" w:cs="Arial" w:eastAsia="Arial" w:hAnsi="Arial"/>
          <w:sz w:val="21"/>
          <w:szCs w:val="21"/>
          <w:color w:val="auto"/>
        </w:rPr>
      </w:pPr>
    </w:p>
    <w:p>
      <w:pPr>
        <w:ind w:left="640" w:firstLine="1292"/>
        <w:spacing w:after="0" w:line="343" w:lineRule="auto"/>
        <w:tabs>
          <w:tab w:leader="none" w:pos="2399" w:val="left"/>
        </w:tabs>
        <w:numPr>
          <w:ilvl w:val="1"/>
          <w:numId w:val="127"/>
        </w:numPr>
        <w:rPr>
          <w:rFonts w:ascii="Arial" w:cs="Arial" w:eastAsia="Arial" w:hAnsi="Arial"/>
          <w:sz w:val="19"/>
          <w:szCs w:val="19"/>
          <w:color w:val="auto"/>
        </w:rPr>
      </w:pPr>
      <w:r>
        <w:rPr>
          <w:rFonts w:ascii="Arial" w:cs="Arial" w:eastAsia="Arial" w:hAnsi="Arial"/>
          <w:sz w:val="19"/>
          <w:szCs w:val="19"/>
          <w:color w:val="auto"/>
        </w:rPr>
        <w:t>At any time prior to August 26, 2023, the Issuer may on any one or more occasions redeem all or part of the Notes, upon not less than 10 nor more than 60 days’ notice, at a redemption price equal to the greater of:</w:t>
      </w:r>
    </w:p>
    <w:p>
      <w:pPr>
        <w:spacing w:after="0" w:line="104" w:lineRule="exact"/>
        <w:rPr>
          <w:rFonts w:ascii="Arial" w:cs="Arial" w:eastAsia="Arial" w:hAnsi="Arial"/>
          <w:sz w:val="19"/>
          <w:szCs w:val="19"/>
          <w:color w:val="auto"/>
        </w:rPr>
      </w:pPr>
    </w:p>
    <w:p>
      <w:pPr>
        <w:ind w:left="3000" w:hanging="420"/>
        <w:spacing w:after="0"/>
        <w:tabs>
          <w:tab w:leader="none" w:pos="3000" w:val="left"/>
        </w:tabs>
        <w:numPr>
          <w:ilvl w:val="2"/>
          <w:numId w:val="127"/>
        </w:numPr>
        <w:rPr>
          <w:rFonts w:ascii="Arial" w:cs="Arial" w:eastAsia="Arial" w:hAnsi="Arial"/>
          <w:sz w:val="22"/>
          <w:szCs w:val="22"/>
          <w:color w:val="auto"/>
        </w:rPr>
      </w:pPr>
      <w:r>
        <w:rPr>
          <w:rFonts w:ascii="Arial" w:cs="Arial" w:eastAsia="Arial" w:hAnsi="Arial"/>
          <w:sz w:val="22"/>
          <w:szCs w:val="22"/>
          <w:color w:val="auto"/>
        </w:rPr>
        <w:t>100% of the principal amount of the Notes to be redeemed; or</w:t>
      </w:r>
    </w:p>
    <w:p>
      <w:pPr>
        <w:spacing w:after="0" w:line="219" w:lineRule="exact"/>
        <w:rPr>
          <w:rFonts w:ascii="Arial" w:cs="Arial" w:eastAsia="Arial" w:hAnsi="Arial"/>
          <w:sz w:val="22"/>
          <w:szCs w:val="22"/>
          <w:color w:val="auto"/>
        </w:rPr>
      </w:pPr>
    </w:p>
    <w:p>
      <w:pPr>
        <w:jc w:val="both"/>
        <w:ind w:left="1940" w:firstLine="640"/>
        <w:spacing w:after="0" w:line="250" w:lineRule="auto"/>
        <w:tabs>
          <w:tab w:leader="none" w:pos="3167" w:val="left"/>
        </w:tabs>
        <w:numPr>
          <w:ilvl w:val="2"/>
          <w:numId w:val="127"/>
        </w:numPr>
        <w:rPr>
          <w:rFonts w:ascii="Arial" w:cs="Arial" w:eastAsia="Arial" w:hAnsi="Arial"/>
          <w:sz w:val="22"/>
          <w:szCs w:val="22"/>
          <w:color w:val="auto"/>
        </w:rPr>
      </w:pPr>
      <w:r>
        <w:rPr>
          <w:rFonts w:ascii="Arial" w:cs="Arial" w:eastAsia="Arial" w:hAnsi="Arial"/>
          <w:sz w:val="22"/>
          <w:szCs w:val="22"/>
          <w:color w:val="auto"/>
        </w:rPr>
        <w:t>as determined by an Independent Investment Banker, the sum of the present values of the remaining scheduled payments of principal and interest on the Notes to be redeemed (not including any portion of such payments of interest accrued to (but excluding) the date of redemption) discounted to the redemption date on a semi-annual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040" w:type="dxa"/>
            <w:vAlign w:val="bottom"/>
          </w:tcPr>
          <w:p>
            <w:pPr>
              <w:spacing w:after="0"/>
              <w:rPr>
                <w:sz w:val="20"/>
                <w:szCs w:val="20"/>
                <w:color w:val="auto"/>
              </w:rPr>
            </w:pPr>
            <w:r>
              <w:rPr>
                <w:rFonts w:ascii="Arial" w:cs="Arial" w:eastAsia="Arial" w:hAnsi="Arial"/>
                <w:sz w:val="11"/>
                <w:szCs w:val="11"/>
                <w:color w:val="auto"/>
              </w:rPr>
              <w:t>ASIA 34064015</w:t>
            </w:r>
          </w:p>
        </w:tc>
        <w:tc>
          <w:tcPr>
            <w:tcW w:w="2660" w:type="dxa"/>
            <w:vAlign w:val="bottom"/>
          </w:tcPr>
          <w:p>
            <w:pPr>
              <w:ind w:left="2320"/>
              <w:spacing w:after="0"/>
              <w:rPr>
                <w:sz w:val="20"/>
                <w:szCs w:val="20"/>
                <w:color w:val="auto"/>
              </w:rPr>
            </w:pPr>
            <w:r>
              <w:rPr>
                <w:rFonts w:ascii="Arial" w:cs="Arial" w:eastAsia="Arial" w:hAnsi="Arial"/>
                <w:sz w:val="22"/>
                <w:szCs w:val="22"/>
                <w:color w:val="auto"/>
                <w:w w:val="93"/>
              </w:rPr>
              <w:t>A-5</w:t>
            </w:r>
          </w:p>
        </w:tc>
      </w:tr>
    </w:tbl>
    <w:p>
      <w:pPr>
        <w:sectPr>
          <w:pgSz w:w="11900" w:h="16838" w:orient="portrait"/>
          <w:cols w:equalWidth="0" w:num="1">
            <w:col w:w="11220"/>
          </w:cols>
          <w:pgMar w:left="340" w:top="1427" w:right="339" w:bottom="1440" w:gutter="0" w:footer="0" w:header="0"/>
        </w:sectPr>
      </w:pPr>
    </w:p>
    <w:bookmarkStart w:id="137" w:name="page138"/>
    <w:bookmarkEnd w:id="137"/>
    <w:p>
      <w:pPr>
        <w:ind w:left="1940"/>
        <w:spacing w:after="0" w:line="263" w:lineRule="auto"/>
        <w:rPr>
          <w:sz w:val="20"/>
          <w:szCs w:val="20"/>
          <w:color w:val="auto"/>
        </w:rPr>
      </w:pPr>
      <w:r>
        <w:rPr>
          <w:rFonts w:ascii="Arial" w:cs="Arial" w:eastAsia="Arial" w:hAnsi="Arial"/>
          <w:sz w:val="22"/>
          <w:szCs w:val="22"/>
          <w:color w:val="auto"/>
        </w:rPr>
        <w:t>basis (assuming a 360-day year consisting of twelve 30-day months) at the Adjusted Treasury Rate, plus 50 basis points,</w:t>
      </w:r>
    </w:p>
    <w:p>
      <w:pPr>
        <w:spacing w:after="0" w:line="175" w:lineRule="exact"/>
        <w:rPr>
          <w:sz w:val="20"/>
          <w:szCs w:val="20"/>
          <w:color w:val="auto"/>
        </w:rPr>
      </w:pPr>
    </w:p>
    <w:p>
      <w:pPr>
        <w:ind w:left="1940"/>
        <w:spacing w:after="0" w:line="263" w:lineRule="auto"/>
        <w:rPr>
          <w:sz w:val="20"/>
          <w:szCs w:val="20"/>
          <w:color w:val="auto"/>
        </w:rPr>
      </w:pPr>
      <w:r>
        <w:rPr>
          <w:rFonts w:ascii="Arial" w:cs="Arial" w:eastAsia="Arial" w:hAnsi="Arial"/>
          <w:sz w:val="22"/>
          <w:szCs w:val="22"/>
          <w:color w:val="auto"/>
        </w:rPr>
        <w:t>plus, in either of the above cases, accrued and unpaid interest to (but excluding) the date of redemption on the Notes to be redeemed.</w:t>
      </w:r>
    </w:p>
    <w:p>
      <w:pPr>
        <w:spacing w:after="0" w:line="175" w:lineRule="exact"/>
        <w:rPr>
          <w:sz w:val="20"/>
          <w:szCs w:val="20"/>
          <w:color w:val="auto"/>
        </w:rPr>
      </w:pPr>
    </w:p>
    <w:p>
      <w:pPr>
        <w:ind w:left="640" w:right="20" w:firstLine="1292"/>
        <w:spacing w:after="0" w:line="263" w:lineRule="auto"/>
        <w:tabs>
          <w:tab w:leader="none" w:pos="2517" w:val="left"/>
        </w:tabs>
        <w:numPr>
          <w:ilvl w:val="0"/>
          <w:numId w:val="128"/>
        </w:numPr>
        <w:rPr>
          <w:rFonts w:ascii="Arial" w:cs="Arial" w:eastAsia="Arial" w:hAnsi="Arial"/>
          <w:sz w:val="22"/>
          <w:szCs w:val="22"/>
          <w:color w:val="auto"/>
        </w:rPr>
      </w:pPr>
      <w:r>
        <w:rPr>
          <w:rFonts w:ascii="Arial" w:cs="Arial" w:eastAsia="Arial" w:hAnsi="Arial"/>
          <w:sz w:val="22"/>
          <w:szCs w:val="22"/>
          <w:color w:val="auto"/>
        </w:rPr>
        <w:t>Except as described in paragraphs 5(a), (b), (e), (7) and (8) of this Note, the Notes shall not be redeemable at the Issuer’s option prior to August 26, 2023.</w:t>
      </w:r>
    </w:p>
    <w:p>
      <w:pPr>
        <w:spacing w:after="0" w:line="174" w:lineRule="exact"/>
        <w:rPr>
          <w:rFonts w:ascii="Arial" w:cs="Arial" w:eastAsia="Arial" w:hAnsi="Arial"/>
          <w:sz w:val="22"/>
          <w:szCs w:val="22"/>
          <w:color w:val="auto"/>
        </w:rPr>
      </w:pPr>
    </w:p>
    <w:p>
      <w:pPr>
        <w:jc w:val="both"/>
        <w:ind w:left="640" w:firstLine="1292"/>
        <w:spacing w:after="0" w:line="297" w:lineRule="auto"/>
        <w:tabs>
          <w:tab w:leader="none" w:pos="2419" w:val="left"/>
        </w:tabs>
        <w:numPr>
          <w:ilvl w:val="0"/>
          <w:numId w:val="128"/>
        </w:numPr>
        <w:rPr>
          <w:rFonts w:ascii="Arial" w:cs="Arial" w:eastAsia="Arial" w:hAnsi="Arial"/>
          <w:sz w:val="19"/>
          <w:szCs w:val="19"/>
          <w:color w:val="auto"/>
        </w:rPr>
      </w:pPr>
      <w:r>
        <w:rPr>
          <w:rFonts w:ascii="Arial" w:cs="Arial" w:eastAsia="Arial" w:hAnsi="Arial"/>
          <w:sz w:val="19"/>
          <w:szCs w:val="19"/>
          <w:color w:val="auto"/>
        </w:rPr>
        <w:t>On or after August 26, 2023, the Issuer may on any one or more occasions redeem all or a part of the Notes, upon not less than 10 nor more than 60 days’ notice, at the redemption prices (expressed as percentages of principal amount) set forth below, plus accrued and unpaid interest, if any, on the Notes redeemed, to (but excluding) the applicable date of redemption, if redeemed during the twelve-month period beginning on August 26 of the years indicated below, subject to the rights of Holders on the relevant record date to receive interest on the relevant interest payment date:</w:t>
      </w:r>
    </w:p>
    <w:p>
      <w:pPr>
        <w:spacing w:after="0" w:line="185" w:lineRule="exact"/>
        <w:rPr>
          <w:sz w:val="20"/>
          <w:szCs w:val="20"/>
          <w:color w:val="auto"/>
        </w:rPr>
      </w:pPr>
    </w:p>
    <w:tbl>
      <w:tblPr>
        <w:tblLayout w:type="fixed"/>
        <w:tblInd w:w="3520" w:type="dxa"/>
        <w:tblCellMar>
          <w:top w:w="0" w:type="dxa"/>
          <w:left w:w="0" w:type="dxa"/>
          <w:bottom w:w="0" w:type="dxa"/>
          <w:right w:w="0" w:type="dxa"/>
        </w:tblCellMar>
      </w:tblPr>
      <w:tr>
        <w:trPr>
          <w:trHeight w:val="253"/>
        </w:trPr>
        <w:tc>
          <w:tcPr>
            <w:tcW w:w="4600" w:type="dxa"/>
            <w:vAlign w:val="bottom"/>
            <w:gridSpan w:val="2"/>
          </w:tcPr>
          <w:p>
            <w:pPr>
              <w:spacing w:after="0"/>
              <w:rPr>
                <w:sz w:val="20"/>
                <w:szCs w:val="20"/>
                <w:color w:val="auto"/>
              </w:rPr>
            </w:pPr>
            <w:r>
              <w:rPr>
                <w:rFonts w:ascii="Arial" w:cs="Arial" w:eastAsia="Arial" w:hAnsi="Arial"/>
                <w:sz w:val="22"/>
                <w:szCs w:val="22"/>
                <w:color w:val="auto"/>
              </w:rPr>
              <w:t>Year</w:t>
            </w:r>
          </w:p>
        </w:tc>
        <w:tc>
          <w:tcPr>
            <w:tcW w:w="940" w:type="dxa"/>
            <w:vAlign w:val="bottom"/>
          </w:tcPr>
          <w:p>
            <w:pPr>
              <w:spacing w:after="0"/>
              <w:rPr>
                <w:sz w:val="20"/>
                <w:szCs w:val="20"/>
                <w:color w:val="auto"/>
              </w:rPr>
            </w:pPr>
            <w:r>
              <w:rPr>
                <w:rFonts w:ascii="Arial" w:cs="Arial" w:eastAsia="Arial" w:hAnsi="Arial"/>
                <w:sz w:val="22"/>
                <w:szCs w:val="22"/>
                <w:color w:val="auto"/>
                <w:w w:val="81"/>
              </w:rPr>
              <w:t>Percentage</w:t>
            </w:r>
          </w:p>
        </w:tc>
      </w:tr>
      <w:tr>
        <w:trPr>
          <w:trHeight w:val="20"/>
        </w:trPr>
        <w:tc>
          <w:tcPr>
            <w:tcW w:w="40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355"/>
        </w:trPr>
        <w:tc>
          <w:tcPr>
            <w:tcW w:w="4600" w:type="dxa"/>
            <w:vAlign w:val="bottom"/>
            <w:gridSpan w:val="2"/>
          </w:tcPr>
          <w:p>
            <w:pPr>
              <w:spacing w:after="0"/>
              <w:rPr>
                <w:sz w:val="20"/>
                <w:szCs w:val="20"/>
                <w:color w:val="auto"/>
              </w:rPr>
            </w:pPr>
            <w:r>
              <w:rPr>
                <w:rFonts w:ascii="Arial" w:cs="Arial" w:eastAsia="Arial" w:hAnsi="Arial"/>
                <w:sz w:val="22"/>
                <w:szCs w:val="22"/>
                <w:color w:val="auto"/>
              </w:rPr>
              <w:t>2023</w:t>
            </w:r>
          </w:p>
        </w:tc>
        <w:tc>
          <w:tcPr>
            <w:tcW w:w="940" w:type="dxa"/>
            <w:vAlign w:val="bottom"/>
          </w:tcPr>
          <w:p>
            <w:pPr>
              <w:ind w:left="20"/>
              <w:spacing w:after="0"/>
              <w:rPr>
                <w:sz w:val="20"/>
                <w:szCs w:val="20"/>
                <w:color w:val="auto"/>
              </w:rPr>
            </w:pPr>
            <w:r>
              <w:rPr>
                <w:rFonts w:ascii="Arial" w:cs="Arial" w:eastAsia="Arial" w:hAnsi="Arial"/>
                <w:sz w:val="22"/>
                <w:szCs w:val="22"/>
                <w:color w:val="auto"/>
                <w:w w:val="90"/>
              </w:rPr>
              <w:t>102.813%</w:t>
            </w:r>
          </w:p>
        </w:tc>
      </w:tr>
      <w:tr>
        <w:trPr>
          <w:trHeight w:val="310"/>
        </w:trPr>
        <w:tc>
          <w:tcPr>
            <w:tcW w:w="4600" w:type="dxa"/>
            <w:vAlign w:val="bottom"/>
            <w:gridSpan w:val="2"/>
          </w:tcPr>
          <w:p>
            <w:pPr>
              <w:spacing w:after="0"/>
              <w:rPr>
                <w:sz w:val="20"/>
                <w:szCs w:val="20"/>
                <w:color w:val="auto"/>
              </w:rPr>
            </w:pPr>
            <w:r>
              <w:rPr>
                <w:rFonts w:ascii="Arial" w:cs="Arial" w:eastAsia="Arial" w:hAnsi="Arial"/>
                <w:sz w:val="22"/>
                <w:szCs w:val="22"/>
                <w:color w:val="auto"/>
              </w:rPr>
              <w:t>2024</w:t>
            </w:r>
          </w:p>
        </w:tc>
        <w:tc>
          <w:tcPr>
            <w:tcW w:w="940" w:type="dxa"/>
            <w:vAlign w:val="bottom"/>
          </w:tcPr>
          <w:p>
            <w:pPr>
              <w:ind w:left="20"/>
              <w:spacing w:after="0"/>
              <w:rPr>
                <w:sz w:val="20"/>
                <w:szCs w:val="20"/>
                <w:color w:val="auto"/>
              </w:rPr>
            </w:pPr>
            <w:r>
              <w:rPr>
                <w:rFonts w:ascii="Arial" w:cs="Arial" w:eastAsia="Arial" w:hAnsi="Arial"/>
                <w:sz w:val="22"/>
                <w:szCs w:val="22"/>
                <w:color w:val="auto"/>
                <w:w w:val="90"/>
              </w:rPr>
              <w:t>101.406%</w:t>
            </w:r>
          </w:p>
        </w:tc>
      </w:tr>
      <w:tr>
        <w:trPr>
          <w:trHeight w:val="324"/>
        </w:trPr>
        <w:tc>
          <w:tcPr>
            <w:tcW w:w="4600" w:type="dxa"/>
            <w:vAlign w:val="bottom"/>
            <w:gridSpan w:val="2"/>
          </w:tcPr>
          <w:p>
            <w:pPr>
              <w:spacing w:after="0"/>
              <w:rPr>
                <w:sz w:val="20"/>
                <w:szCs w:val="20"/>
                <w:color w:val="auto"/>
              </w:rPr>
            </w:pPr>
            <w:r>
              <w:rPr>
                <w:rFonts w:ascii="Arial" w:cs="Arial" w:eastAsia="Arial" w:hAnsi="Arial"/>
                <w:sz w:val="22"/>
                <w:szCs w:val="22"/>
                <w:color w:val="auto"/>
              </w:rPr>
              <w:t>2025</w:t>
            </w:r>
          </w:p>
        </w:tc>
        <w:tc>
          <w:tcPr>
            <w:tcW w:w="940" w:type="dxa"/>
            <w:vAlign w:val="bottom"/>
          </w:tcPr>
          <w:p>
            <w:pPr>
              <w:ind w:left="20"/>
              <w:spacing w:after="0"/>
              <w:rPr>
                <w:sz w:val="20"/>
                <w:szCs w:val="20"/>
                <w:color w:val="auto"/>
              </w:rPr>
            </w:pPr>
            <w:r>
              <w:rPr>
                <w:rFonts w:ascii="Arial" w:cs="Arial" w:eastAsia="Arial" w:hAnsi="Arial"/>
                <w:sz w:val="22"/>
                <w:szCs w:val="22"/>
                <w:color w:val="auto"/>
                <w:w w:val="90"/>
              </w:rPr>
              <w:t>100.000%</w:t>
            </w:r>
          </w:p>
        </w:tc>
      </w:tr>
    </w:tbl>
    <w:p>
      <w:pPr>
        <w:spacing w:after="0" w:line="239" w:lineRule="exact"/>
        <w:rPr>
          <w:sz w:val="20"/>
          <w:szCs w:val="20"/>
          <w:color w:val="auto"/>
        </w:rPr>
      </w:pPr>
    </w:p>
    <w:p>
      <w:pPr>
        <w:ind w:left="640" w:right="20"/>
        <w:spacing w:after="0" w:line="263" w:lineRule="auto"/>
        <w:rPr>
          <w:sz w:val="20"/>
          <w:szCs w:val="20"/>
          <w:color w:val="auto"/>
        </w:rPr>
      </w:pPr>
      <w:r>
        <w:rPr>
          <w:rFonts w:ascii="Arial" w:cs="Arial" w:eastAsia="Arial" w:hAnsi="Arial"/>
          <w:sz w:val="22"/>
          <w:szCs w:val="22"/>
          <w:color w:val="auto"/>
        </w:rPr>
        <w:t>Unless the Issuer defaults in the payment of the redemption price, interest will cease to accrue on the Notes or portions thereof called for redemption on the applicable redemption date.</w:t>
      </w:r>
    </w:p>
    <w:p>
      <w:pPr>
        <w:spacing w:after="0" w:line="175" w:lineRule="exact"/>
        <w:rPr>
          <w:sz w:val="20"/>
          <w:szCs w:val="20"/>
          <w:color w:val="auto"/>
        </w:rPr>
      </w:pPr>
    </w:p>
    <w:p>
      <w:pPr>
        <w:jc w:val="both"/>
        <w:ind w:left="640" w:firstLine="1292"/>
        <w:spacing w:after="0" w:line="289" w:lineRule="auto"/>
        <w:tabs>
          <w:tab w:leader="none" w:pos="2431" w:val="left"/>
        </w:tabs>
        <w:numPr>
          <w:ilvl w:val="1"/>
          <w:numId w:val="129"/>
        </w:numPr>
        <w:rPr>
          <w:rFonts w:ascii="Arial" w:cs="Arial" w:eastAsia="Arial" w:hAnsi="Arial"/>
          <w:sz w:val="19"/>
          <w:szCs w:val="19"/>
          <w:color w:val="auto"/>
        </w:rPr>
      </w:pPr>
      <w:r>
        <w:rPr>
          <w:rFonts w:ascii="Arial" w:cs="Arial" w:eastAsia="Arial" w:hAnsi="Arial"/>
          <w:sz w:val="19"/>
          <w:szCs w:val="19"/>
          <w:color w:val="auto"/>
        </w:rPr>
        <w:t>Any redemption set forth under Section 3.07(a), (b) or (d) of the Indenture may, at the discretion of the Issuer, be subject to the satisfaction of one or more conditions precedent. If such redemption is so subject to satisfaction of one or more conditions precedent, such notice shall describe each such condition, and if applicable, shall state that, in the Issuer’s discretion, the redemption date may be delayed until such time (provided, however, that any delayed redemption date shall not be more than 60 days after the date the relevant notice of redemption was sent) as any or all such conditions shall be satisfied, or such redemption or purchase may not occur and such notice may be rescinded in the event that any or all such conditions shall not have been satisfied by the redemption date or by the redemption date as so delayed. In addition, the Issuer may provide in such notice that payment of the redemption price and performance of the Issuer’s obligations with respect to such redemption may be performed by another Person.</w:t>
      </w:r>
    </w:p>
    <w:p>
      <w:pPr>
        <w:spacing w:after="0" w:line="156" w:lineRule="exact"/>
        <w:rPr>
          <w:rFonts w:ascii="Arial" w:cs="Arial" w:eastAsia="Arial" w:hAnsi="Arial"/>
          <w:sz w:val="19"/>
          <w:szCs w:val="19"/>
          <w:color w:val="auto"/>
        </w:rPr>
      </w:pPr>
    </w:p>
    <w:p>
      <w:pPr>
        <w:ind w:left="640" w:right="20" w:firstLine="644"/>
        <w:spacing w:after="0" w:line="263" w:lineRule="auto"/>
        <w:tabs>
          <w:tab w:leader="none" w:pos="1769" w:val="left"/>
        </w:tabs>
        <w:numPr>
          <w:ilvl w:val="0"/>
          <w:numId w:val="130"/>
        </w:numPr>
        <w:rPr>
          <w:rFonts w:ascii="Arial" w:cs="Arial" w:eastAsia="Arial" w:hAnsi="Arial"/>
          <w:sz w:val="22"/>
          <w:szCs w:val="22"/>
          <w:color w:val="auto"/>
        </w:rPr>
      </w:pPr>
      <w:r>
        <w:rPr>
          <w:rFonts w:ascii="Arial" w:cs="Arial" w:eastAsia="Arial" w:hAnsi="Arial"/>
          <w:sz w:val="22"/>
          <w:szCs w:val="22"/>
          <w:i w:val="1"/>
          <w:iCs w:val="1"/>
          <w:color w:val="auto"/>
        </w:rPr>
        <w:t xml:space="preserve">Mandatory Redemption. </w:t>
      </w:r>
      <w:r>
        <w:rPr>
          <w:rFonts w:ascii="Arial" w:cs="Arial" w:eastAsia="Arial" w:hAnsi="Arial"/>
          <w:sz w:val="22"/>
          <w:szCs w:val="22"/>
          <w:color w:val="auto"/>
        </w:rPr>
        <w:t>The Issuer is not required to make mandatory redemption or sinking fund payments</w:t>
      </w:r>
      <w:r>
        <w:rPr>
          <w:rFonts w:ascii="Arial" w:cs="Arial" w:eastAsia="Arial" w:hAnsi="Arial"/>
          <w:sz w:val="22"/>
          <w:szCs w:val="22"/>
          <w:i w:val="1"/>
          <w:iCs w:val="1"/>
          <w:color w:val="auto"/>
        </w:rPr>
        <w:t xml:space="preserve"> </w:t>
      </w:r>
      <w:r>
        <w:rPr>
          <w:rFonts w:ascii="Arial" w:cs="Arial" w:eastAsia="Arial" w:hAnsi="Arial"/>
          <w:sz w:val="22"/>
          <w:szCs w:val="22"/>
          <w:color w:val="auto"/>
        </w:rPr>
        <w:t>with respect to the Notes.</w:t>
      </w:r>
    </w:p>
    <w:p>
      <w:pPr>
        <w:spacing w:after="0" w:line="174" w:lineRule="exact"/>
        <w:rPr>
          <w:rFonts w:ascii="Arial" w:cs="Arial" w:eastAsia="Arial" w:hAnsi="Arial"/>
          <w:sz w:val="22"/>
          <w:szCs w:val="22"/>
          <w:color w:val="auto"/>
        </w:rPr>
      </w:pPr>
    </w:p>
    <w:p>
      <w:pPr>
        <w:jc w:val="both"/>
        <w:ind w:left="640" w:firstLine="644"/>
        <w:spacing w:after="0" w:line="271" w:lineRule="auto"/>
        <w:tabs>
          <w:tab w:leader="none" w:pos="1823" w:val="left"/>
        </w:tabs>
        <w:numPr>
          <w:ilvl w:val="0"/>
          <w:numId w:val="130"/>
        </w:numPr>
        <w:rPr>
          <w:rFonts w:ascii="Arial" w:cs="Arial" w:eastAsia="Arial" w:hAnsi="Arial"/>
          <w:sz w:val="21"/>
          <w:szCs w:val="21"/>
          <w:color w:val="auto"/>
        </w:rPr>
      </w:pPr>
      <w:r>
        <w:rPr>
          <w:rFonts w:ascii="Arial" w:cs="Arial" w:eastAsia="Arial" w:hAnsi="Arial"/>
          <w:sz w:val="21"/>
          <w:szCs w:val="21"/>
          <w:i w:val="1"/>
          <w:iCs w:val="1"/>
          <w:color w:val="auto"/>
        </w:rPr>
        <w:t>Mandatory Disposition or Redemption Pursuant to Gaming Laws</w:t>
      </w:r>
      <w:r>
        <w:rPr>
          <w:rFonts w:ascii="Arial" w:cs="Arial" w:eastAsia="Arial" w:hAnsi="Arial"/>
          <w:sz w:val="21"/>
          <w:szCs w:val="21"/>
          <w:color w:val="auto"/>
        </w:rPr>
        <w:t>. Notwithstanding any other provision of</w:t>
      </w:r>
      <w:r>
        <w:rPr>
          <w:rFonts w:ascii="Arial" w:cs="Arial" w:eastAsia="Arial" w:hAnsi="Arial"/>
          <w:sz w:val="21"/>
          <w:szCs w:val="21"/>
          <w:i w:val="1"/>
          <w:iCs w:val="1"/>
          <w:color w:val="auto"/>
        </w:rPr>
        <w:t xml:space="preserve"> </w:t>
      </w:r>
      <w:r>
        <w:rPr>
          <w:rFonts w:ascii="Arial" w:cs="Arial" w:eastAsia="Arial" w:hAnsi="Arial"/>
          <w:sz w:val="21"/>
          <w:szCs w:val="21"/>
          <w:color w:val="auto"/>
        </w:rPr>
        <w:t>the Indenture or this Note, if any Gaming Authority requires a Holder or Beneficial Owner of Notes to be licensed, qualified or found suitable under any applicable Gaming Law and the Holder or Beneficial Owner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040" w:type="dxa"/>
            <w:vAlign w:val="bottom"/>
          </w:tcPr>
          <w:p>
            <w:pPr>
              <w:spacing w:after="0"/>
              <w:rPr>
                <w:sz w:val="20"/>
                <w:szCs w:val="20"/>
                <w:color w:val="auto"/>
              </w:rPr>
            </w:pPr>
            <w:r>
              <w:rPr>
                <w:rFonts w:ascii="Arial" w:cs="Arial" w:eastAsia="Arial" w:hAnsi="Arial"/>
                <w:sz w:val="11"/>
                <w:szCs w:val="11"/>
                <w:color w:val="auto"/>
              </w:rPr>
              <w:t>ASIA 34064015</w:t>
            </w:r>
          </w:p>
        </w:tc>
        <w:tc>
          <w:tcPr>
            <w:tcW w:w="2660" w:type="dxa"/>
            <w:vAlign w:val="bottom"/>
          </w:tcPr>
          <w:p>
            <w:pPr>
              <w:ind w:left="2320"/>
              <w:spacing w:after="0"/>
              <w:rPr>
                <w:sz w:val="20"/>
                <w:szCs w:val="20"/>
                <w:color w:val="auto"/>
              </w:rPr>
            </w:pPr>
            <w:r>
              <w:rPr>
                <w:rFonts w:ascii="Arial" w:cs="Arial" w:eastAsia="Arial" w:hAnsi="Arial"/>
                <w:sz w:val="22"/>
                <w:szCs w:val="22"/>
                <w:color w:val="auto"/>
                <w:w w:val="93"/>
              </w:rPr>
              <w:t>A-6</w:t>
            </w:r>
          </w:p>
        </w:tc>
      </w:tr>
    </w:tbl>
    <w:p>
      <w:pPr>
        <w:sectPr>
          <w:pgSz w:w="11900" w:h="16838" w:orient="portrait"/>
          <w:cols w:equalWidth="0" w:num="1">
            <w:col w:w="11220"/>
          </w:cols>
          <w:pgMar w:left="340" w:top="1427" w:right="339" w:bottom="1440" w:gutter="0" w:footer="0" w:header="0"/>
        </w:sectPr>
      </w:pPr>
    </w:p>
    <w:bookmarkStart w:id="138" w:name="page139"/>
    <w:bookmarkEnd w:id="138"/>
    <w:p>
      <w:pPr>
        <w:jc w:val="both"/>
        <w:ind w:left="640" w:hanging="4"/>
        <w:spacing w:after="0" w:line="286" w:lineRule="auto"/>
        <w:tabs>
          <w:tab w:leader="none" w:pos="938" w:val="left"/>
        </w:tabs>
        <w:numPr>
          <w:ilvl w:val="0"/>
          <w:numId w:val="131"/>
        </w:numPr>
        <w:rPr>
          <w:rFonts w:ascii="Arial" w:cs="Arial" w:eastAsia="Arial" w:hAnsi="Arial"/>
          <w:sz w:val="19"/>
          <w:szCs w:val="19"/>
          <w:color w:val="auto"/>
        </w:rPr>
      </w:pPr>
      <w:r>
        <w:rPr>
          <w:rFonts w:ascii="Arial" w:cs="Arial" w:eastAsia="Arial" w:hAnsi="Arial"/>
          <w:sz w:val="19"/>
          <w:szCs w:val="19"/>
          <w:color w:val="auto"/>
        </w:rPr>
        <w:t>fails to apply for a license, qualification or finding of suitability within 30 days after being requested to do so (or such lesser period as required by the Gaming Authority) or (b) is notified by a Gaming Authority that it shall not be licensed, qualified or found suitable, the Issuer shall have the right, at its option, to: (1) require the Holder or Beneficial Owner to dispose of its Notes within 30 days (or such lesser period as required by the Gaming Authority) following the earlier of:</w:t>
      </w:r>
    </w:p>
    <w:p>
      <w:pPr>
        <w:spacing w:after="0" w:line="2" w:lineRule="exact"/>
        <w:rPr>
          <w:rFonts w:ascii="Arial" w:cs="Arial" w:eastAsia="Arial" w:hAnsi="Arial"/>
          <w:sz w:val="19"/>
          <w:szCs w:val="19"/>
          <w:color w:val="auto"/>
        </w:rPr>
      </w:pPr>
    </w:p>
    <w:p>
      <w:pPr>
        <w:jc w:val="both"/>
        <w:ind w:left="640" w:hanging="4"/>
        <w:spacing w:after="0" w:line="286" w:lineRule="auto"/>
        <w:tabs>
          <w:tab w:leader="none" w:pos="944" w:val="left"/>
        </w:tabs>
        <w:numPr>
          <w:ilvl w:val="0"/>
          <w:numId w:val="132"/>
        </w:numPr>
        <w:rPr>
          <w:rFonts w:ascii="Arial" w:cs="Arial" w:eastAsia="Arial" w:hAnsi="Arial"/>
          <w:sz w:val="19"/>
          <w:szCs w:val="19"/>
          <w:color w:val="auto"/>
        </w:rPr>
      </w:pPr>
      <w:r>
        <w:rPr>
          <w:rFonts w:ascii="Arial" w:cs="Arial" w:eastAsia="Arial" w:hAnsi="Arial"/>
          <w:sz w:val="19"/>
          <w:szCs w:val="19"/>
          <w:color w:val="auto"/>
        </w:rPr>
        <w:t>the termination of the period described above for the Holder or Beneficial Owner to apply for a license, qualification or finding of suitability if the Holder fails to apply for a license, qualification or finding of suitability during such period or (b) the receipt of the notice from the Gaming Authority that the Holder or Beneficial Owner shall not be licensed, qualified or found suitable by the Gaming Authority; or (2) redeem the Notes of the Holder or Beneficial Owner at a redemption price equal to: (a) the price required by applicable law or by order of any Gaming Authority or (b) the lesser of: (i) the principal amount of the Notes and (ii) the price that the Holder or Beneficial Owner paid for the Notes, in either case, together with accrued and unpaid interest, if any, on the Notes to (but excluding) the earlier of (A) the date of redemption or such earlier date as is required by the Gaming Authority or (B) the date of the finding of unsuitability by the Gaming Authority, which may be less than 30 days following the notice of redemption. The Issuer shall notify the Trustee in writing of any redemption pursuant to this paragraph 7 as soon as reasonably practicable.</w:t>
      </w:r>
    </w:p>
    <w:p>
      <w:pPr>
        <w:spacing w:after="0" w:line="159" w:lineRule="exact"/>
        <w:rPr>
          <w:sz w:val="20"/>
          <w:szCs w:val="20"/>
          <w:color w:val="auto"/>
        </w:rPr>
      </w:pPr>
    </w:p>
    <w:p>
      <w:pPr>
        <w:jc w:val="both"/>
        <w:ind w:left="640"/>
        <w:spacing w:after="0" w:line="263" w:lineRule="auto"/>
        <w:rPr>
          <w:sz w:val="20"/>
          <w:szCs w:val="20"/>
          <w:color w:val="auto"/>
        </w:rPr>
      </w:pPr>
      <w:r>
        <w:rPr>
          <w:rFonts w:ascii="Arial" w:cs="Arial" w:eastAsia="Arial" w:hAnsi="Arial"/>
          <w:sz w:val="21"/>
          <w:szCs w:val="21"/>
          <w:color w:val="auto"/>
        </w:rPr>
        <w:t>Immediately upon a determination by a Gaming Authority that a Holder or Beneficial Owner of Notes shall not be licensed, qualified or found suitable, the Holder or Beneficial Owner shall not have any further rights with respect to the Notes to: (a) exercise, directly or indirectly, through any Person, any right conferred by the Notes or (b) receive any interest or any other distribution or payment with respect to the Notes, or any remuneration in any form from the Issuer for services rendered or otherwise, except the redemption price of the Notes.</w:t>
      </w:r>
    </w:p>
    <w:p>
      <w:pPr>
        <w:spacing w:after="0" w:line="175" w:lineRule="exact"/>
        <w:rPr>
          <w:sz w:val="20"/>
          <w:szCs w:val="20"/>
          <w:color w:val="auto"/>
        </w:rPr>
      </w:pPr>
    </w:p>
    <w:p>
      <w:pPr>
        <w:jc w:val="both"/>
        <w:ind w:left="640"/>
        <w:spacing w:after="0" w:line="253" w:lineRule="auto"/>
        <w:rPr>
          <w:sz w:val="20"/>
          <w:szCs w:val="20"/>
          <w:color w:val="auto"/>
        </w:rPr>
      </w:pPr>
      <w:r>
        <w:rPr>
          <w:rFonts w:ascii="Arial" w:cs="Arial" w:eastAsia="Arial" w:hAnsi="Arial"/>
          <w:sz w:val="22"/>
          <w:szCs w:val="22"/>
          <w:color w:val="auto"/>
        </w:rPr>
        <w:t>The Issuer is not required to pay or reimburse any Holder or Beneficial Owner of Notes who is required to apply for such license, qualification or finding of suitability for the costs relating thereto. Those expenses shall be the obligation of the Holder or Beneficial Owner.</w:t>
      </w:r>
    </w:p>
    <w:p>
      <w:pPr>
        <w:spacing w:after="0" w:line="185" w:lineRule="exact"/>
        <w:rPr>
          <w:sz w:val="20"/>
          <w:szCs w:val="20"/>
          <w:color w:val="auto"/>
        </w:rPr>
      </w:pPr>
    </w:p>
    <w:p>
      <w:pPr>
        <w:jc w:val="both"/>
        <w:ind w:left="640" w:hanging="4"/>
        <w:spacing w:after="0" w:line="302" w:lineRule="auto"/>
        <w:tabs>
          <w:tab w:leader="none" w:pos="1162" w:val="left"/>
        </w:tabs>
        <w:numPr>
          <w:ilvl w:val="0"/>
          <w:numId w:val="133"/>
        </w:numPr>
        <w:rPr>
          <w:rFonts w:ascii="Arial" w:cs="Arial" w:eastAsia="Arial" w:hAnsi="Arial"/>
          <w:sz w:val="19"/>
          <w:szCs w:val="19"/>
          <w:color w:val="auto"/>
        </w:rPr>
      </w:pPr>
      <w:r>
        <w:rPr>
          <w:rFonts w:ascii="Arial" w:cs="Arial" w:eastAsia="Arial" w:hAnsi="Arial"/>
          <w:sz w:val="19"/>
          <w:szCs w:val="19"/>
          <w:i w:val="1"/>
          <w:iCs w:val="1"/>
          <w:color w:val="auto"/>
        </w:rPr>
        <w:t>Redemption for Tax Reasons</w:t>
      </w:r>
      <w:r>
        <w:rPr>
          <w:rFonts w:ascii="Arial" w:cs="Arial" w:eastAsia="Arial" w:hAnsi="Arial"/>
          <w:sz w:val="19"/>
          <w:szCs w:val="19"/>
          <w:color w:val="auto"/>
        </w:rPr>
        <w:t>. The Notes may be redeemed, at the option of the Issuer, as a whole but not in part,</w:t>
      </w:r>
      <w:r>
        <w:rPr>
          <w:rFonts w:ascii="Arial" w:cs="Arial" w:eastAsia="Arial" w:hAnsi="Arial"/>
          <w:sz w:val="19"/>
          <w:szCs w:val="19"/>
          <w:i w:val="1"/>
          <w:iCs w:val="1"/>
          <w:color w:val="auto"/>
        </w:rPr>
        <w:t xml:space="preserve"> </w:t>
      </w:r>
      <w:r>
        <w:rPr>
          <w:rFonts w:ascii="Arial" w:cs="Arial" w:eastAsia="Arial" w:hAnsi="Arial"/>
          <w:sz w:val="19"/>
          <w:szCs w:val="19"/>
          <w:color w:val="auto"/>
        </w:rPr>
        <w:t>upon giving not less than 10 days’ nor more than 60 days’ notice to the Holders (which notice shall be irrevocable), at a redemption price equal to 100% of the principal amount thereof, together with accrued and unpaid interest, if any, to (but excluding) the date fixed by the Issuer or the Surviving Person, as the case may be, for redemption if, as a result of:</w:t>
      </w:r>
    </w:p>
    <w:p>
      <w:pPr>
        <w:spacing w:after="0" w:line="142" w:lineRule="exact"/>
        <w:rPr>
          <w:rFonts w:ascii="Arial" w:cs="Arial" w:eastAsia="Arial" w:hAnsi="Arial"/>
          <w:sz w:val="19"/>
          <w:szCs w:val="19"/>
          <w:color w:val="auto"/>
        </w:rPr>
      </w:pPr>
    </w:p>
    <w:p>
      <w:pPr>
        <w:ind w:left="640" w:firstLine="1292"/>
        <w:spacing w:after="0" w:line="263" w:lineRule="auto"/>
        <w:tabs>
          <w:tab w:leader="none" w:pos="2408" w:val="left"/>
        </w:tabs>
        <w:numPr>
          <w:ilvl w:val="1"/>
          <w:numId w:val="133"/>
        </w:numPr>
        <w:rPr>
          <w:rFonts w:ascii="Arial" w:cs="Arial" w:eastAsia="Arial" w:hAnsi="Arial"/>
          <w:sz w:val="22"/>
          <w:szCs w:val="22"/>
          <w:color w:val="auto"/>
        </w:rPr>
      </w:pPr>
      <w:r>
        <w:rPr>
          <w:rFonts w:ascii="Arial" w:cs="Arial" w:eastAsia="Arial" w:hAnsi="Arial"/>
          <w:sz w:val="22"/>
          <w:szCs w:val="22"/>
          <w:color w:val="auto"/>
        </w:rPr>
        <w:t>any change in, or amendment to, the laws (or any regulations or rulings promulgated thereunder) of a Relevant Jurisdiction affecting taxation; or</w:t>
      </w:r>
    </w:p>
    <w:p>
      <w:pPr>
        <w:spacing w:after="0" w:line="174" w:lineRule="exact"/>
        <w:rPr>
          <w:rFonts w:ascii="Arial" w:cs="Arial" w:eastAsia="Arial" w:hAnsi="Arial"/>
          <w:sz w:val="22"/>
          <w:szCs w:val="22"/>
          <w:color w:val="auto"/>
        </w:rPr>
      </w:pPr>
    </w:p>
    <w:p>
      <w:pPr>
        <w:jc w:val="both"/>
        <w:ind w:left="640" w:firstLine="1292"/>
        <w:spacing w:after="0" w:line="253" w:lineRule="auto"/>
        <w:tabs>
          <w:tab w:leader="none" w:pos="2477" w:val="left"/>
        </w:tabs>
        <w:numPr>
          <w:ilvl w:val="1"/>
          <w:numId w:val="133"/>
        </w:numPr>
        <w:rPr>
          <w:rFonts w:ascii="Arial" w:cs="Arial" w:eastAsia="Arial" w:hAnsi="Arial"/>
          <w:sz w:val="22"/>
          <w:szCs w:val="22"/>
          <w:color w:val="auto"/>
        </w:rPr>
      </w:pPr>
      <w:r>
        <w:rPr>
          <w:rFonts w:ascii="Arial" w:cs="Arial" w:eastAsia="Arial" w:hAnsi="Arial"/>
          <w:sz w:val="22"/>
          <w:szCs w:val="22"/>
          <w:color w:val="auto"/>
        </w:rPr>
        <w:t>any change in, or amendment to, an existing official position, or the stating of an official position, regarding the application, administration or interpretation of such laws, regulations or rulings (including a holding, judgment or order by a court of competent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040" w:type="dxa"/>
            <w:vAlign w:val="bottom"/>
          </w:tcPr>
          <w:p>
            <w:pPr>
              <w:spacing w:after="0"/>
              <w:rPr>
                <w:sz w:val="20"/>
                <w:szCs w:val="20"/>
                <w:color w:val="auto"/>
              </w:rPr>
            </w:pPr>
            <w:r>
              <w:rPr>
                <w:rFonts w:ascii="Arial" w:cs="Arial" w:eastAsia="Arial" w:hAnsi="Arial"/>
                <w:sz w:val="11"/>
                <w:szCs w:val="11"/>
                <w:color w:val="auto"/>
              </w:rPr>
              <w:t>ASIA 34064015</w:t>
            </w:r>
          </w:p>
        </w:tc>
        <w:tc>
          <w:tcPr>
            <w:tcW w:w="2660" w:type="dxa"/>
            <w:vAlign w:val="bottom"/>
          </w:tcPr>
          <w:p>
            <w:pPr>
              <w:ind w:left="2320"/>
              <w:spacing w:after="0"/>
              <w:rPr>
                <w:sz w:val="20"/>
                <w:szCs w:val="20"/>
                <w:color w:val="auto"/>
              </w:rPr>
            </w:pPr>
            <w:r>
              <w:rPr>
                <w:rFonts w:ascii="Arial" w:cs="Arial" w:eastAsia="Arial" w:hAnsi="Arial"/>
                <w:sz w:val="22"/>
                <w:szCs w:val="22"/>
                <w:color w:val="auto"/>
                <w:w w:val="93"/>
              </w:rPr>
              <w:t>A-7</w:t>
            </w:r>
          </w:p>
        </w:tc>
      </w:tr>
    </w:tbl>
    <w:p>
      <w:pPr>
        <w:sectPr>
          <w:pgSz w:w="11900" w:h="16838" w:orient="portrait"/>
          <w:cols w:equalWidth="0" w:num="1">
            <w:col w:w="11220"/>
          </w:cols>
          <w:pgMar w:left="340" w:top="1427" w:right="339" w:bottom="1440" w:gutter="0" w:footer="0" w:header="0"/>
        </w:sectPr>
      </w:pPr>
    </w:p>
    <w:bookmarkStart w:id="139" w:name="page140"/>
    <w:bookmarkEnd w:id="139"/>
    <w:p>
      <w:pPr>
        <w:jc w:val="both"/>
        <w:ind w:left="640"/>
        <w:spacing w:after="0" w:line="258" w:lineRule="auto"/>
        <w:rPr>
          <w:sz w:val="20"/>
          <w:szCs w:val="20"/>
          <w:color w:val="auto"/>
        </w:rPr>
      </w:pPr>
      <w:r>
        <w:rPr>
          <w:rFonts w:ascii="Arial" w:cs="Arial" w:eastAsia="Arial" w:hAnsi="Arial"/>
          <w:sz w:val="21"/>
          <w:szCs w:val="21"/>
          <w:color w:val="auto"/>
        </w:rPr>
        <w:t>which change, amendment, application or interpretation is proposed and becomes effective or, in the case of an official position, is announced, on or after (i) with respect to the Issuer, the date of the Indenture or (ii) with respect to any Surviving Person, the date such Surviving Person becomes a Surviving Person with respect to any payment due or to become due under the Notes or the Indenture, the Issuer or the Surviving Person, as the case may be, is, or on the next interest payment date would be, required to pay Additional Amounts, and such requirement cannot be avoided by the Issuer or the Surviving Person, as the case may be, taking reasonable measures available to it; provided that changing the jurisdiction of incorporation of the Issuer or any Subsidiary shall not be considered a reasonable measure; and provided, further, that no such notice of redemption shall be given earlier than 90 days prior to the earliest date on which the Issuer or the Surviving Person, as the case may be, would be obligated to pay such Additional Amounts if a payment in respect of the Notes were then due and unless at the time such notice is given, the obligation to pay Additional Amounts remains in effect.</w:t>
      </w:r>
    </w:p>
    <w:p>
      <w:pPr>
        <w:spacing w:after="0" w:line="182" w:lineRule="exact"/>
        <w:rPr>
          <w:sz w:val="20"/>
          <w:szCs w:val="20"/>
          <w:color w:val="auto"/>
        </w:rPr>
      </w:pPr>
    </w:p>
    <w:p>
      <w:pPr>
        <w:jc w:val="both"/>
        <w:ind w:left="640"/>
        <w:spacing w:after="0" w:line="263" w:lineRule="auto"/>
        <w:rPr>
          <w:sz w:val="20"/>
          <w:szCs w:val="20"/>
          <w:color w:val="auto"/>
        </w:rPr>
      </w:pPr>
      <w:r>
        <w:rPr>
          <w:rFonts w:ascii="Arial" w:cs="Arial" w:eastAsia="Arial" w:hAnsi="Arial"/>
          <w:sz w:val="22"/>
          <w:szCs w:val="22"/>
          <w:color w:val="auto"/>
        </w:rPr>
        <w:t>Prior to the delivery of any notice of redemption of the Notes pursuant to the foregoing, the Issuer or the Surviving Person, as the case may be, shall deliver to the Trustee:</w:t>
      </w:r>
    </w:p>
    <w:p>
      <w:pPr>
        <w:spacing w:after="0" w:line="175" w:lineRule="exact"/>
        <w:rPr>
          <w:sz w:val="20"/>
          <w:szCs w:val="20"/>
          <w:color w:val="auto"/>
        </w:rPr>
      </w:pPr>
    </w:p>
    <w:p>
      <w:pPr>
        <w:jc w:val="both"/>
        <w:ind w:left="640" w:firstLine="644"/>
        <w:spacing w:after="0" w:line="271" w:lineRule="auto"/>
        <w:tabs>
          <w:tab w:leader="none" w:pos="1917" w:val="left"/>
        </w:tabs>
        <w:numPr>
          <w:ilvl w:val="0"/>
          <w:numId w:val="134"/>
        </w:numPr>
        <w:rPr>
          <w:rFonts w:ascii="Arial" w:cs="Arial" w:eastAsia="Arial" w:hAnsi="Arial"/>
          <w:sz w:val="21"/>
          <w:szCs w:val="21"/>
          <w:color w:val="auto"/>
        </w:rPr>
      </w:pPr>
      <w:r>
        <w:rPr>
          <w:rFonts w:ascii="Arial" w:cs="Arial" w:eastAsia="Arial" w:hAnsi="Arial"/>
          <w:sz w:val="21"/>
          <w:szCs w:val="21"/>
          <w:color w:val="auto"/>
        </w:rPr>
        <w:t>an Officer’s Certificate stating that such change or amendment referred to in the prior paragraph has occurred, describing the facts related thereto and stating that such requirement cannot be avoided by the Issuer or the Surviving Person, as the case may be, taking reasonable measures available to it; and</w:t>
      </w:r>
    </w:p>
    <w:p>
      <w:pPr>
        <w:spacing w:after="0" w:line="167" w:lineRule="exact"/>
        <w:rPr>
          <w:rFonts w:ascii="Arial" w:cs="Arial" w:eastAsia="Arial" w:hAnsi="Arial"/>
          <w:sz w:val="21"/>
          <w:szCs w:val="21"/>
          <w:color w:val="auto"/>
        </w:rPr>
      </w:pPr>
    </w:p>
    <w:p>
      <w:pPr>
        <w:ind w:left="640" w:firstLine="644"/>
        <w:spacing w:after="0" w:line="263" w:lineRule="auto"/>
        <w:tabs>
          <w:tab w:leader="none" w:pos="184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an Opinion of Counsel of recognized international standing to the effect that the requirement to pay such Additional Amounts results from the circumstances referred to in the prior paragraph.</w:t>
      </w:r>
    </w:p>
    <w:p>
      <w:pPr>
        <w:spacing w:after="0" w:line="175" w:lineRule="exact"/>
        <w:rPr>
          <w:sz w:val="20"/>
          <w:szCs w:val="20"/>
          <w:color w:val="auto"/>
        </w:rPr>
      </w:pPr>
    </w:p>
    <w:p>
      <w:pPr>
        <w:ind w:left="640" w:right="20"/>
        <w:spacing w:after="0" w:line="343" w:lineRule="auto"/>
        <w:rPr>
          <w:sz w:val="20"/>
          <w:szCs w:val="20"/>
          <w:color w:val="auto"/>
        </w:rPr>
      </w:pPr>
      <w:r>
        <w:rPr>
          <w:rFonts w:ascii="Arial" w:cs="Arial" w:eastAsia="Arial" w:hAnsi="Arial"/>
          <w:sz w:val="19"/>
          <w:szCs w:val="19"/>
          <w:color w:val="auto"/>
        </w:rPr>
        <w:t>The Trustee shall be entitled to conclusively rely on such certificate and opinion as sufficient evidence of the satisfaction of the conditions precedent described above, in which event it shall be conclusive and binding on the Holders.</w:t>
      </w:r>
    </w:p>
    <w:p>
      <w:pPr>
        <w:spacing w:after="0" w:line="104" w:lineRule="exact"/>
        <w:rPr>
          <w:sz w:val="20"/>
          <w:szCs w:val="20"/>
          <w:color w:val="auto"/>
        </w:rPr>
      </w:pPr>
    </w:p>
    <w:p>
      <w:pPr>
        <w:ind w:left="640" w:firstLine="644"/>
        <w:spacing w:after="0" w:line="263" w:lineRule="auto"/>
        <w:tabs>
          <w:tab w:leader="none" w:pos="1756" w:val="left"/>
        </w:tabs>
        <w:numPr>
          <w:ilvl w:val="1"/>
          <w:numId w:val="135"/>
        </w:numPr>
        <w:rPr>
          <w:rFonts w:ascii="Arial" w:cs="Arial" w:eastAsia="Arial" w:hAnsi="Arial"/>
          <w:sz w:val="22"/>
          <w:szCs w:val="22"/>
          <w:color w:val="auto"/>
        </w:rPr>
      </w:pPr>
      <w:r>
        <w:rPr>
          <w:rFonts w:ascii="Arial" w:cs="Arial" w:eastAsia="Arial" w:hAnsi="Arial"/>
          <w:sz w:val="22"/>
          <w:szCs w:val="22"/>
          <w:i w:val="1"/>
          <w:iCs w:val="1"/>
          <w:color w:val="auto"/>
        </w:rPr>
        <w:t>Repurchase at the Option of Holder</w:t>
      </w:r>
      <w:r>
        <w:rPr>
          <w:rFonts w:ascii="Arial" w:cs="Arial" w:eastAsia="Arial" w:hAnsi="Arial"/>
          <w:sz w:val="22"/>
          <w:szCs w:val="22"/>
          <w:color w:val="auto"/>
        </w:rPr>
        <w:t>. The Notes may be subject to a Change of Control Offer or a Special Put</w:t>
      </w:r>
      <w:r>
        <w:rPr>
          <w:rFonts w:ascii="Arial" w:cs="Arial" w:eastAsia="Arial" w:hAnsi="Arial"/>
          <w:sz w:val="22"/>
          <w:szCs w:val="22"/>
          <w:i w:val="1"/>
          <w:iCs w:val="1"/>
          <w:color w:val="auto"/>
        </w:rPr>
        <w:t xml:space="preserve"> </w:t>
      </w:r>
      <w:r>
        <w:rPr>
          <w:rFonts w:ascii="Arial" w:cs="Arial" w:eastAsia="Arial" w:hAnsi="Arial"/>
          <w:sz w:val="22"/>
          <w:szCs w:val="22"/>
          <w:color w:val="auto"/>
        </w:rPr>
        <w:t>Option Offer, as further described in Section 4.08 and 4.10 of the Indenture.</w:t>
      </w:r>
    </w:p>
    <w:p>
      <w:pPr>
        <w:spacing w:after="0" w:line="174" w:lineRule="exact"/>
        <w:rPr>
          <w:rFonts w:ascii="Arial" w:cs="Arial" w:eastAsia="Arial" w:hAnsi="Arial"/>
          <w:sz w:val="22"/>
          <w:szCs w:val="22"/>
          <w:color w:val="auto"/>
        </w:rPr>
      </w:pPr>
    </w:p>
    <w:p>
      <w:pPr>
        <w:jc w:val="both"/>
        <w:ind w:left="640" w:firstLine="644"/>
        <w:spacing w:after="0" w:line="291" w:lineRule="auto"/>
        <w:tabs>
          <w:tab w:leader="none" w:pos="1904" w:val="left"/>
        </w:tabs>
        <w:numPr>
          <w:ilvl w:val="1"/>
          <w:numId w:val="135"/>
        </w:numPr>
        <w:rPr>
          <w:rFonts w:ascii="Arial" w:cs="Arial" w:eastAsia="Arial" w:hAnsi="Arial"/>
          <w:sz w:val="19"/>
          <w:szCs w:val="19"/>
          <w:color w:val="auto"/>
        </w:rPr>
      </w:pPr>
      <w:r>
        <w:rPr>
          <w:rFonts w:ascii="Arial" w:cs="Arial" w:eastAsia="Arial" w:hAnsi="Arial"/>
          <w:sz w:val="19"/>
          <w:szCs w:val="19"/>
          <w:i w:val="1"/>
          <w:iCs w:val="1"/>
          <w:color w:val="auto"/>
        </w:rPr>
        <w:t>Notice of Redemption</w:t>
      </w:r>
      <w:r>
        <w:rPr>
          <w:rFonts w:ascii="Arial" w:cs="Arial" w:eastAsia="Arial" w:hAnsi="Arial"/>
          <w:sz w:val="19"/>
          <w:szCs w:val="19"/>
          <w:color w:val="auto"/>
        </w:rPr>
        <w:t>. Notice of redemption shall be delivered at least 10 days but not more than 60 days</w:t>
      </w:r>
      <w:r>
        <w:rPr>
          <w:rFonts w:ascii="Arial" w:cs="Arial" w:eastAsia="Arial" w:hAnsi="Arial"/>
          <w:sz w:val="19"/>
          <w:szCs w:val="19"/>
          <w:i w:val="1"/>
          <w:iCs w:val="1"/>
          <w:color w:val="auto"/>
        </w:rPr>
        <w:t xml:space="preserve"> </w:t>
      </w:r>
      <w:r>
        <w:rPr>
          <w:rFonts w:ascii="Arial" w:cs="Arial" w:eastAsia="Arial" w:hAnsi="Arial"/>
          <w:sz w:val="19"/>
          <w:szCs w:val="19"/>
          <w:color w:val="auto"/>
        </w:rPr>
        <w:t>before the redemption date to each Holder whose Notes are to be redeemed at its registered address, except that</w:t>
      </w:r>
    </w:p>
    <w:p>
      <w:pPr>
        <w:spacing w:after="0" w:line="1" w:lineRule="exact"/>
        <w:rPr>
          <w:rFonts w:ascii="Arial" w:cs="Arial" w:eastAsia="Arial" w:hAnsi="Arial"/>
          <w:sz w:val="19"/>
          <w:szCs w:val="19"/>
          <w:color w:val="auto"/>
        </w:rPr>
      </w:pPr>
    </w:p>
    <w:p>
      <w:pPr>
        <w:jc w:val="both"/>
        <w:ind w:left="640" w:hanging="4"/>
        <w:spacing w:after="0" w:line="244" w:lineRule="auto"/>
        <w:tabs>
          <w:tab w:leader="none" w:pos="902" w:val="left"/>
        </w:tabs>
        <w:numPr>
          <w:ilvl w:val="0"/>
          <w:numId w:val="136"/>
        </w:numPr>
        <w:rPr>
          <w:rFonts w:ascii="Arial" w:cs="Arial" w:eastAsia="Arial" w:hAnsi="Arial"/>
          <w:sz w:val="22"/>
          <w:szCs w:val="22"/>
          <w:color w:val="auto"/>
        </w:rPr>
      </w:pPr>
      <w:r>
        <w:rPr>
          <w:rFonts w:ascii="Arial" w:cs="Arial" w:eastAsia="Arial" w:hAnsi="Arial"/>
          <w:sz w:val="22"/>
          <w:szCs w:val="22"/>
          <w:color w:val="auto"/>
        </w:rPr>
        <w:t>redemption notices may be delivered more than 60 days prior to a redemption date if the notice is issued in connection with a defeasance of the Notes or a satisfaction and discharge of the Indenture and (ii) no minimum notice period is required for redemption under Section 3.09 of the Indenture. Notes in denominations larger than US$200,000 may be redeemed in part but only in whole multiples of US$1,000 in excess of US$200,000 unless all of the Notes held by a Holder are to be redeemed. On and after the redemption date interest ceases to accrue on Notes or portions thereof called for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040" w:type="dxa"/>
            <w:vAlign w:val="bottom"/>
          </w:tcPr>
          <w:p>
            <w:pPr>
              <w:spacing w:after="0"/>
              <w:rPr>
                <w:sz w:val="20"/>
                <w:szCs w:val="20"/>
                <w:color w:val="auto"/>
              </w:rPr>
            </w:pPr>
            <w:r>
              <w:rPr>
                <w:rFonts w:ascii="Arial" w:cs="Arial" w:eastAsia="Arial" w:hAnsi="Arial"/>
                <w:sz w:val="11"/>
                <w:szCs w:val="11"/>
                <w:color w:val="auto"/>
              </w:rPr>
              <w:t>ASIA 34064015</w:t>
            </w:r>
          </w:p>
        </w:tc>
        <w:tc>
          <w:tcPr>
            <w:tcW w:w="2660" w:type="dxa"/>
            <w:vAlign w:val="bottom"/>
          </w:tcPr>
          <w:p>
            <w:pPr>
              <w:ind w:left="2320"/>
              <w:spacing w:after="0"/>
              <w:rPr>
                <w:sz w:val="20"/>
                <w:szCs w:val="20"/>
                <w:color w:val="auto"/>
              </w:rPr>
            </w:pPr>
            <w:r>
              <w:rPr>
                <w:rFonts w:ascii="Arial" w:cs="Arial" w:eastAsia="Arial" w:hAnsi="Arial"/>
                <w:sz w:val="22"/>
                <w:szCs w:val="22"/>
                <w:color w:val="auto"/>
                <w:w w:val="93"/>
              </w:rPr>
              <w:t>A-8</w:t>
            </w:r>
          </w:p>
        </w:tc>
      </w:tr>
    </w:tbl>
    <w:p>
      <w:pPr>
        <w:sectPr>
          <w:pgSz w:w="11900" w:h="16838" w:orient="portrait"/>
          <w:cols w:equalWidth="0" w:num="1">
            <w:col w:w="11220"/>
          </w:cols>
          <w:pgMar w:left="340" w:top="1427" w:right="339" w:bottom="1440" w:gutter="0" w:footer="0" w:header="0"/>
        </w:sectPr>
      </w:pPr>
    </w:p>
    <w:bookmarkStart w:id="140" w:name="page141"/>
    <w:bookmarkEnd w:id="140"/>
    <w:p>
      <w:pPr>
        <w:jc w:val="both"/>
        <w:ind w:left="640" w:firstLine="644"/>
        <w:spacing w:after="0" w:line="290" w:lineRule="auto"/>
        <w:tabs>
          <w:tab w:leader="none" w:pos="1869" w:val="left"/>
        </w:tabs>
        <w:numPr>
          <w:ilvl w:val="1"/>
          <w:numId w:val="137"/>
        </w:numPr>
        <w:rPr>
          <w:rFonts w:ascii="Arial" w:cs="Arial" w:eastAsia="Arial" w:hAnsi="Arial"/>
          <w:sz w:val="19"/>
          <w:szCs w:val="19"/>
          <w:color w:val="auto"/>
        </w:rPr>
      </w:pPr>
      <w:r>
        <w:rPr>
          <w:rFonts w:ascii="Arial" w:cs="Arial" w:eastAsia="Arial" w:hAnsi="Arial"/>
          <w:sz w:val="19"/>
          <w:szCs w:val="19"/>
          <w:i w:val="1"/>
          <w:iCs w:val="1"/>
          <w:color w:val="auto"/>
        </w:rPr>
        <w:t>Denominations, Transfer, Exchange</w:t>
      </w:r>
      <w:r>
        <w:rPr>
          <w:rFonts w:ascii="Arial" w:cs="Arial" w:eastAsia="Arial" w:hAnsi="Arial"/>
          <w:sz w:val="19"/>
          <w:szCs w:val="19"/>
          <w:color w:val="auto"/>
        </w:rPr>
        <w:t>. The Notes are in registered form without coupons in denominations of</w:t>
      </w:r>
      <w:r>
        <w:rPr>
          <w:rFonts w:ascii="Arial" w:cs="Arial" w:eastAsia="Arial" w:hAnsi="Arial"/>
          <w:sz w:val="19"/>
          <w:szCs w:val="19"/>
          <w:i w:val="1"/>
          <w:iCs w:val="1"/>
          <w:color w:val="auto"/>
        </w:rPr>
        <w:t xml:space="preserve"> </w:t>
      </w:r>
      <w:r>
        <w:rPr>
          <w:rFonts w:ascii="Arial" w:cs="Arial" w:eastAsia="Arial" w:hAnsi="Arial"/>
          <w:sz w:val="19"/>
          <w:szCs w:val="19"/>
          <w:color w:val="auto"/>
        </w:rPr>
        <w:t>US$200,000 and integral multiples of US$1,000 in excess of US$200,000. The transfer of Notes may be registered and Notes may be exchanged as provided in the Indenture. The Registrar and the Trustee may require a Holder, among other things, to furnish appropriate endorsements and transfer documents and the Issuer may require a Holder to pay any taxes and fees required by law or permitted by the Indenture. The Issuer need not exchange or register the transfer of any Note or portion of a Note selected for redemption, except for the unredeemed portion of any Note being redeemed in part. Also, the Issuer need not exchange or register the transfer of any Notes for a period of 15 days before a selection of Notes to be redeemed or during the period between a record date and the corresponding Interest Payment Date.</w:t>
      </w:r>
    </w:p>
    <w:p>
      <w:pPr>
        <w:spacing w:after="0" w:line="155" w:lineRule="exact"/>
        <w:rPr>
          <w:rFonts w:ascii="Arial" w:cs="Arial" w:eastAsia="Arial" w:hAnsi="Arial"/>
          <w:sz w:val="19"/>
          <w:szCs w:val="19"/>
          <w:color w:val="auto"/>
        </w:rPr>
      </w:pPr>
    </w:p>
    <w:p>
      <w:pPr>
        <w:ind w:left="1860" w:hanging="576"/>
        <w:spacing w:after="0"/>
        <w:tabs>
          <w:tab w:leader="none" w:pos="1860" w:val="left"/>
        </w:tabs>
        <w:numPr>
          <w:ilvl w:val="1"/>
          <w:numId w:val="137"/>
        </w:numPr>
        <w:rPr>
          <w:rFonts w:ascii="Arial" w:cs="Arial" w:eastAsia="Arial" w:hAnsi="Arial"/>
          <w:sz w:val="19"/>
          <w:szCs w:val="19"/>
          <w:color w:val="auto"/>
        </w:rPr>
      </w:pPr>
      <w:r>
        <w:rPr>
          <w:rFonts w:ascii="Arial" w:cs="Arial" w:eastAsia="Arial" w:hAnsi="Arial"/>
          <w:sz w:val="19"/>
          <w:szCs w:val="19"/>
          <w:i w:val="1"/>
          <w:iCs w:val="1"/>
          <w:color w:val="auto"/>
        </w:rPr>
        <w:t>Persons Deemed Owners</w:t>
      </w:r>
      <w:r>
        <w:rPr>
          <w:rFonts w:ascii="Arial" w:cs="Arial" w:eastAsia="Arial" w:hAnsi="Arial"/>
          <w:sz w:val="19"/>
          <w:szCs w:val="19"/>
          <w:color w:val="auto"/>
        </w:rPr>
        <w:t>. The registered Holder of a Note may be treated as its owner for all purposes.</w:t>
      </w:r>
    </w:p>
    <w:p>
      <w:pPr>
        <w:spacing w:after="0" w:line="254" w:lineRule="exact"/>
        <w:rPr>
          <w:rFonts w:ascii="Arial" w:cs="Arial" w:eastAsia="Arial" w:hAnsi="Arial"/>
          <w:sz w:val="19"/>
          <w:szCs w:val="19"/>
          <w:color w:val="auto"/>
        </w:rPr>
      </w:pPr>
    </w:p>
    <w:p>
      <w:pPr>
        <w:ind w:left="1860" w:hanging="576"/>
        <w:spacing w:after="0"/>
        <w:tabs>
          <w:tab w:leader="none" w:pos="1860" w:val="left"/>
        </w:tabs>
        <w:numPr>
          <w:ilvl w:val="1"/>
          <w:numId w:val="137"/>
        </w:numPr>
        <w:rPr>
          <w:rFonts w:ascii="Arial" w:cs="Arial" w:eastAsia="Arial" w:hAnsi="Arial"/>
          <w:sz w:val="22"/>
          <w:szCs w:val="22"/>
          <w:color w:val="auto"/>
        </w:rPr>
      </w:pPr>
      <w:r>
        <w:rPr>
          <w:rFonts w:ascii="Arial" w:cs="Arial" w:eastAsia="Arial" w:hAnsi="Arial"/>
          <w:sz w:val="22"/>
          <w:szCs w:val="22"/>
          <w:i w:val="1"/>
          <w:iCs w:val="1"/>
          <w:color w:val="auto"/>
        </w:rPr>
        <w:t>Amendment, Supplement and Waiver</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40" w:firstLine="1292"/>
        <w:spacing w:after="0" w:line="248" w:lineRule="auto"/>
        <w:tabs>
          <w:tab w:leader="none" w:pos="2419" w:val="left"/>
        </w:tabs>
        <w:numPr>
          <w:ilvl w:val="2"/>
          <w:numId w:val="137"/>
        </w:numPr>
        <w:rPr>
          <w:rFonts w:ascii="Arial" w:cs="Arial" w:eastAsia="Arial" w:hAnsi="Arial"/>
          <w:sz w:val="22"/>
          <w:szCs w:val="22"/>
          <w:color w:val="auto"/>
        </w:rPr>
      </w:pPr>
      <w:r>
        <w:rPr>
          <w:rFonts w:ascii="Arial" w:cs="Arial" w:eastAsia="Arial" w:hAnsi="Arial"/>
          <w:sz w:val="22"/>
          <w:szCs w:val="22"/>
          <w:color w:val="auto"/>
        </w:rPr>
        <w:t>Subject to certain exceptions set forth in the Indenture, the Indenture and the Notes may be amended or supplemented with the consent of the Holders of at least a majority in principal amount of the then outstanding Notes, voting as a single class, and any existing Default or Event of Default or compliance with any provision of the Indenture and the Notes may be waived with the consent of the Holders of a majority in principal amount of the then outstanding Notes, voting as a single class.</w:t>
      </w:r>
    </w:p>
    <w:p>
      <w:pPr>
        <w:spacing w:after="0" w:line="191" w:lineRule="exact"/>
        <w:rPr>
          <w:rFonts w:ascii="Arial" w:cs="Arial" w:eastAsia="Arial" w:hAnsi="Arial"/>
          <w:sz w:val="22"/>
          <w:szCs w:val="22"/>
          <w:color w:val="auto"/>
        </w:rPr>
      </w:pPr>
    </w:p>
    <w:p>
      <w:pPr>
        <w:jc w:val="both"/>
        <w:ind w:left="640" w:firstLine="1292"/>
        <w:spacing w:after="0" w:line="286" w:lineRule="auto"/>
        <w:tabs>
          <w:tab w:leader="none" w:pos="2419" w:val="left"/>
        </w:tabs>
        <w:numPr>
          <w:ilvl w:val="2"/>
          <w:numId w:val="137"/>
        </w:numPr>
        <w:rPr>
          <w:rFonts w:ascii="Arial" w:cs="Arial" w:eastAsia="Arial" w:hAnsi="Arial"/>
          <w:sz w:val="19"/>
          <w:szCs w:val="19"/>
          <w:color w:val="auto"/>
        </w:rPr>
      </w:pPr>
      <w:r>
        <w:rPr>
          <w:rFonts w:ascii="Arial" w:cs="Arial" w:eastAsia="Arial" w:hAnsi="Arial"/>
          <w:sz w:val="19"/>
          <w:szCs w:val="19"/>
          <w:color w:val="auto"/>
        </w:rPr>
        <w:t>Without the consent of Holders of at least 90% in aggregate principal amount of the then outstanding Notes, an amendment, supplement or waiver may not (i) reduce the principal amount of Notes whose Holders must consent to an amendment, supplement or waiver, (ii) reduce the principal of or change the fixed maturity of any Note or alter or waive any of the provisions with respect to the redemption of the Notes (other than Section 4.08 of the Indenture),</w:t>
      </w:r>
    </w:p>
    <w:p>
      <w:pPr>
        <w:spacing w:after="0" w:line="2" w:lineRule="exact"/>
        <w:rPr>
          <w:rFonts w:ascii="Arial" w:cs="Arial" w:eastAsia="Arial" w:hAnsi="Arial"/>
          <w:sz w:val="19"/>
          <w:szCs w:val="19"/>
          <w:color w:val="auto"/>
        </w:rPr>
      </w:pPr>
    </w:p>
    <w:p>
      <w:pPr>
        <w:jc w:val="both"/>
        <w:ind w:left="640" w:hanging="4"/>
        <w:spacing w:after="0" w:line="257" w:lineRule="auto"/>
        <w:tabs>
          <w:tab w:leader="none" w:pos="1039" w:val="left"/>
        </w:tabs>
        <w:numPr>
          <w:ilvl w:val="0"/>
          <w:numId w:val="138"/>
        </w:numPr>
        <w:rPr>
          <w:rFonts w:ascii="Arial" w:cs="Arial" w:eastAsia="Arial" w:hAnsi="Arial"/>
          <w:sz w:val="21"/>
          <w:szCs w:val="21"/>
          <w:color w:val="auto"/>
        </w:rPr>
      </w:pPr>
      <w:r>
        <w:rPr>
          <w:rFonts w:ascii="Arial" w:cs="Arial" w:eastAsia="Arial" w:hAnsi="Arial"/>
          <w:sz w:val="21"/>
          <w:szCs w:val="21"/>
          <w:color w:val="auto"/>
        </w:rPr>
        <w:t>reduce the rate of or change the time for payment of interest, including default interest, on any Note, (iv) waive a Default or Event of Default in the payment of principal of, or interest or premium, if any, on the Notes (except a rescission of acceleration of the Notes by the Holders of at least a majority in aggregate principal amount of the then outstanding Notes and a waiver of the payment default that resulted from such acceleration), (v) make any Note payable in money other than that stated herein, (vi) make any change in Section 6.04 of the Indenture or the rights of Holders of Notes to receive payments of principal of, or interest or premium, if any, on the Notes, (vii) waive a redemption payment with respect to any Note (other than a payment required by Section 4.08 of the Indenture) or (viii) make any change in the preceding amendment and waiver provisions.</w:t>
      </w:r>
    </w:p>
    <w:p>
      <w:pPr>
        <w:spacing w:after="0" w:line="181" w:lineRule="exact"/>
        <w:rPr>
          <w:rFonts w:ascii="Arial" w:cs="Arial" w:eastAsia="Arial" w:hAnsi="Arial"/>
          <w:sz w:val="21"/>
          <w:szCs w:val="21"/>
          <w:color w:val="auto"/>
        </w:rPr>
      </w:pPr>
    </w:p>
    <w:p>
      <w:pPr>
        <w:jc w:val="both"/>
        <w:ind w:left="640" w:firstLine="1292"/>
        <w:spacing w:after="0" w:line="250" w:lineRule="auto"/>
        <w:tabs>
          <w:tab w:leader="none" w:pos="2390" w:val="left"/>
        </w:tabs>
        <w:numPr>
          <w:ilvl w:val="2"/>
          <w:numId w:val="138"/>
        </w:numPr>
        <w:rPr>
          <w:rFonts w:ascii="Arial" w:cs="Arial" w:eastAsia="Arial" w:hAnsi="Arial"/>
          <w:sz w:val="22"/>
          <w:szCs w:val="22"/>
          <w:color w:val="auto"/>
        </w:rPr>
      </w:pPr>
      <w:r>
        <w:rPr>
          <w:rFonts w:ascii="Arial" w:cs="Arial" w:eastAsia="Arial" w:hAnsi="Arial"/>
          <w:sz w:val="22"/>
          <w:szCs w:val="22"/>
          <w:color w:val="auto"/>
        </w:rPr>
        <w:t>Without the consent of any Holder of a Note, the Issuer and the Trustee may amend or supplement the Indenture or the Notes to (i) cure any ambiguity, defect or inconsistency, (ii) provide for uncertificated Notes in addition to or in place of Definitive Notes (provided that the uncertificated Notes are issued in registered form for purposes of Section 163(f) of the U.S. Internal Revenue Code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040" w:type="dxa"/>
            <w:vAlign w:val="bottom"/>
          </w:tcPr>
          <w:p>
            <w:pPr>
              <w:spacing w:after="0"/>
              <w:rPr>
                <w:sz w:val="20"/>
                <w:szCs w:val="20"/>
                <w:color w:val="auto"/>
              </w:rPr>
            </w:pPr>
            <w:r>
              <w:rPr>
                <w:rFonts w:ascii="Arial" w:cs="Arial" w:eastAsia="Arial" w:hAnsi="Arial"/>
                <w:sz w:val="11"/>
                <w:szCs w:val="11"/>
                <w:color w:val="auto"/>
              </w:rPr>
              <w:t>ASIA 34064015</w:t>
            </w:r>
          </w:p>
        </w:tc>
        <w:tc>
          <w:tcPr>
            <w:tcW w:w="2660" w:type="dxa"/>
            <w:vAlign w:val="bottom"/>
          </w:tcPr>
          <w:p>
            <w:pPr>
              <w:ind w:left="2320"/>
              <w:spacing w:after="0"/>
              <w:rPr>
                <w:sz w:val="20"/>
                <w:szCs w:val="20"/>
                <w:color w:val="auto"/>
              </w:rPr>
            </w:pPr>
            <w:r>
              <w:rPr>
                <w:rFonts w:ascii="Arial" w:cs="Arial" w:eastAsia="Arial" w:hAnsi="Arial"/>
                <w:sz w:val="22"/>
                <w:szCs w:val="22"/>
                <w:color w:val="auto"/>
                <w:w w:val="93"/>
              </w:rPr>
              <w:t>A-9</w:t>
            </w:r>
          </w:p>
        </w:tc>
      </w:tr>
    </w:tbl>
    <w:p>
      <w:pPr>
        <w:sectPr>
          <w:pgSz w:w="11900" w:h="16838" w:orient="portrait"/>
          <w:cols w:equalWidth="0" w:num="1">
            <w:col w:w="11220"/>
          </w:cols>
          <w:pgMar w:left="340" w:top="1427" w:right="339" w:bottom="1440" w:gutter="0" w:footer="0" w:header="0"/>
        </w:sectPr>
      </w:pPr>
    </w:p>
    <w:bookmarkStart w:id="141" w:name="page142"/>
    <w:bookmarkEnd w:id="141"/>
    <w:p>
      <w:pPr>
        <w:jc w:val="both"/>
        <w:ind w:left="640"/>
        <w:spacing w:after="0" w:line="286" w:lineRule="auto"/>
        <w:rPr>
          <w:sz w:val="20"/>
          <w:szCs w:val="20"/>
          <w:color w:val="auto"/>
        </w:rPr>
      </w:pPr>
      <w:r>
        <w:rPr>
          <w:rFonts w:ascii="Arial" w:cs="Arial" w:eastAsia="Arial" w:hAnsi="Arial"/>
          <w:sz w:val="19"/>
          <w:szCs w:val="19"/>
          <w:color w:val="auto"/>
        </w:rPr>
        <w:t>1986, as amended), (iii) provide for the assumption of the Issuer’s obligations to the Holders of the Notes by a successor to the Issuer in the case of a merger or consolidation or sale of all or substantially all of the Issuer’s assets pursuant to Article 5 of the Indenture, (iv) make any change that would provide any additional rights or benefits to the Holders of the Notes or that does not adversely affect the legal rights of any such Holder under the Indenture, (v) conform the text of the Indenture or the Notes to any provision of the “Description of the Notes” in the Issuer’s offering memorandum, dated as of August 19, 2020, relating to the offering of the Initial Notes, to the extent that such provision in the “Description of the Notes” was intended to be a verbatim recitation of a provision of the Indenture or the Notes, which intent may be evidenced by an Officer’s Certificate to that effect, (vi) provide for the issuance of Additional Notes in accordance with the limitations set forth in the Indenture as of the date of the Indenture, (vii) evidence and provide for the acceptance of appointment by a successor Trustee, (viii) comply with the procedures of DTC, Euroclear or Clearstream, (ix) allow a Person to Guarantee the Issuer’s obligations under the Indenture and the Notes by executing a supplemental indenture with respect to the Notes (or to release any such Person from such a Guarantee as provided or permitted by the terms of the Indenture and such Guarantee) or (x) provide for the Notes to be secured (or to release such security as permitted by the Indenture and the applicable security documents).</w:t>
      </w:r>
    </w:p>
    <w:p>
      <w:pPr>
        <w:spacing w:after="0" w:line="200" w:lineRule="exact"/>
        <w:rPr>
          <w:sz w:val="20"/>
          <w:szCs w:val="20"/>
          <w:color w:val="auto"/>
        </w:rPr>
      </w:pPr>
    </w:p>
    <w:p>
      <w:pPr>
        <w:spacing w:after="0" w:line="222" w:lineRule="exact"/>
        <w:rPr>
          <w:sz w:val="20"/>
          <w:szCs w:val="20"/>
          <w:color w:val="auto"/>
        </w:rPr>
      </w:pPr>
    </w:p>
    <w:p>
      <w:pPr>
        <w:jc w:val="both"/>
        <w:ind w:left="640" w:firstLine="644"/>
        <w:spacing w:after="0" w:line="286" w:lineRule="auto"/>
        <w:tabs>
          <w:tab w:leader="none" w:pos="1972" w:val="left"/>
        </w:tabs>
        <w:numPr>
          <w:ilvl w:val="1"/>
          <w:numId w:val="139"/>
        </w:numPr>
        <w:rPr>
          <w:rFonts w:ascii="Arial" w:cs="Arial" w:eastAsia="Arial" w:hAnsi="Arial"/>
          <w:sz w:val="19"/>
          <w:szCs w:val="19"/>
          <w:color w:val="auto"/>
        </w:rPr>
      </w:pPr>
      <w:r>
        <w:rPr>
          <w:rFonts w:ascii="Arial" w:cs="Arial" w:eastAsia="Arial" w:hAnsi="Arial"/>
          <w:sz w:val="19"/>
          <w:szCs w:val="19"/>
          <w:i w:val="1"/>
          <w:iCs w:val="1"/>
          <w:color w:val="auto"/>
        </w:rPr>
        <w:t>Defaults and Remedies</w:t>
      </w:r>
      <w:r>
        <w:rPr>
          <w:rFonts w:ascii="Arial" w:cs="Arial" w:eastAsia="Arial" w:hAnsi="Arial"/>
          <w:sz w:val="19"/>
          <w:szCs w:val="19"/>
          <w:color w:val="auto"/>
        </w:rPr>
        <w:t>. Events of Default include: (i) default for 30 days in the payment when due of</w:t>
      </w:r>
      <w:r>
        <w:rPr>
          <w:rFonts w:ascii="Arial" w:cs="Arial" w:eastAsia="Arial" w:hAnsi="Arial"/>
          <w:sz w:val="19"/>
          <w:szCs w:val="19"/>
          <w:i w:val="1"/>
          <w:iCs w:val="1"/>
          <w:color w:val="auto"/>
        </w:rPr>
        <w:t xml:space="preserve"> </w:t>
      </w:r>
      <w:r>
        <w:rPr>
          <w:rFonts w:ascii="Arial" w:cs="Arial" w:eastAsia="Arial" w:hAnsi="Arial"/>
          <w:sz w:val="19"/>
          <w:szCs w:val="19"/>
          <w:color w:val="auto"/>
        </w:rPr>
        <w:t>interest, if any, with respect to the Notes; (ii) default in payment when due of principal of, or premium, if any, on the Notes when the same becomes due and payable at maturity, upon redemption (including in connection with an offer to purchase) or otherwise, (iii) failure by the Issuer to comply with Sections 4.08, Section 4.10 or 5.01 of the Indenture;</w:t>
      </w:r>
    </w:p>
    <w:p>
      <w:pPr>
        <w:spacing w:after="0" w:line="2" w:lineRule="exact"/>
        <w:rPr>
          <w:rFonts w:ascii="Arial" w:cs="Arial" w:eastAsia="Arial" w:hAnsi="Arial"/>
          <w:sz w:val="19"/>
          <w:szCs w:val="19"/>
          <w:color w:val="auto"/>
        </w:rPr>
      </w:pPr>
    </w:p>
    <w:p>
      <w:pPr>
        <w:jc w:val="both"/>
        <w:ind w:left="640" w:hanging="4"/>
        <w:spacing w:after="0" w:line="284" w:lineRule="auto"/>
        <w:tabs>
          <w:tab w:leader="none" w:pos="1007" w:val="left"/>
        </w:tabs>
        <w:numPr>
          <w:ilvl w:val="0"/>
          <w:numId w:val="140"/>
        </w:numPr>
        <w:rPr>
          <w:rFonts w:ascii="Arial" w:cs="Arial" w:eastAsia="Arial" w:hAnsi="Arial"/>
          <w:sz w:val="19"/>
          <w:szCs w:val="19"/>
          <w:color w:val="auto"/>
        </w:rPr>
      </w:pPr>
      <w:r>
        <w:rPr>
          <w:rFonts w:ascii="Arial" w:cs="Arial" w:eastAsia="Arial" w:hAnsi="Arial"/>
          <w:sz w:val="19"/>
          <w:szCs w:val="19"/>
          <w:color w:val="auto"/>
        </w:rPr>
        <w:t>failure by the Issuer for 60 days after written notice from the Trustee or Holders of at least 25% in aggregate principal amount of the Notes then outstanding voting as a single class to comply with any of the other agreements in the Indenture or the Notes, not set forth in clauses (i), (ii) or (iii) above; (v) default under any mortgage, indenture or instrument under which there may be issued or by which there may be secured or evidenced any Indebtedness for money borrowed by the Issuer or any of its Subsidiaries (or the payment of which is guaranteed by the Issuer) whether such Indebtedness or guarantee existed on the date of the Indenture, or is created after the date of the Indenture, if that default results in the acceleration of such Indebtedness prior to its express maturity, and, in each case, the principal amount of any such Indebtedness, together with the principal amount of any other such Indebtedness the maturity of which has been so accelerated, aggregates US$50.0 million (or the Dollar Equivalent thereof) or more, if such acceleration is not annulled within 30 days after written notice as provided in the Indenture; (vi) failure by the Issuer or any of its Significant Subsidiaries to pay final non-appealable judgments (not paid or covered by insurance as to which the relevant insurance company has not denied responsibility) rendered against Wynn Macau or any Significant Subsidiary aggregating in excess of US$50.0 million (or the Dollar Equivalent thereof), which judgments are not paid, bonded, discharged or stayed for a period of 60 days; and (vii) certain events of bankruptcy or insolvency specified in the Indenture with respect to the Issuer or any of its Subsidiaries that is a Significant Subsidiary or any group of Subsidiaries that, taken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020" w:type="dxa"/>
            <w:vAlign w:val="bottom"/>
          </w:tcPr>
          <w:p>
            <w:pPr>
              <w:spacing w:after="0"/>
              <w:rPr>
                <w:sz w:val="20"/>
                <w:szCs w:val="20"/>
                <w:color w:val="auto"/>
              </w:rPr>
            </w:pPr>
            <w:r>
              <w:rPr>
                <w:rFonts w:ascii="Arial" w:cs="Arial" w:eastAsia="Arial" w:hAnsi="Arial"/>
                <w:sz w:val="11"/>
                <w:szCs w:val="11"/>
                <w:color w:val="auto"/>
              </w:rPr>
              <w:t>ASIA 34064015</w:t>
            </w:r>
          </w:p>
        </w:tc>
        <w:tc>
          <w:tcPr>
            <w:tcW w:w="2740" w:type="dxa"/>
            <w:vAlign w:val="bottom"/>
          </w:tcPr>
          <w:p>
            <w:pPr>
              <w:ind w:left="2280"/>
              <w:spacing w:after="0"/>
              <w:rPr>
                <w:sz w:val="20"/>
                <w:szCs w:val="20"/>
                <w:color w:val="auto"/>
              </w:rPr>
            </w:pPr>
            <w:r>
              <w:rPr>
                <w:rFonts w:ascii="Arial" w:cs="Arial" w:eastAsia="Arial" w:hAnsi="Arial"/>
                <w:sz w:val="22"/>
                <w:szCs w:val="22"/>
                <w:color w:val="auto"/>
                <w:w w:val="94"/>
              </w:rPr>
              <w:t>A-10</w:t>
            </w:r>
          </w:p>
        </w:tc>
      </w:tr>
    </w:tbl>
    <w:p>
      <w:pPr>
        <w:sectPr>
          <w:pgSz w:w="11900" w:h="16838" w:orient="portrait"/>
          <w:cols w:equalWidth="0" w:num="1">
            <w:col w:w="11220"/>
          </w:cols>
          <w:pgMar w:left="340" w:top="1427" w:right="339" w:bottom="1440" w:gutter="0" w:footer="0" w:header="0"/>
        </w:sectPr>
      </w:pPr>
    </w:p>
    <w:bookmarkStart w:id="142" w:name="page143"/>
    <w:bookmarkEnd w:id="142"/>
    <w:p>
      <w:pPr>
        <w:jc w:val="both"/>
        <w:ind w:left="640"/>
        <w:spacing w:after="0" w:line="285" w:lineRule="auto"/>
        <w:rPr>
          <w:sz w:val="20"/>
          <w:szCs w:val="20"/>
          <w:color w:val="auto"/>
        </w:rPr>
      </w:pPr>
      <w:r>
        <w:rPr>
          <w:rFonts w:ascii="Arial" w:cs="Arial" w:eastAsia="Arial" w:hAnsi="Arial"/>
          <w:sz w:val="19"/>
          <w:szCs w:val="19"/>
          <w:color w:val="auto"/>
        </w:rPr>
        <w:t>together, would constitute a Significant Subsidiary. In the case of an Event of Default arising from certain events of bankruptcy or insolvency with respect to the Issuer specified in the Indenture, any Subsidiary of the Issuer that is a Significant Subsidiary or any group of Subsidiaries of the Issuer that, taken together, would constitute a Significant Subsidiary, all outstanding Notes shall become due and payable immediately without further action or notice. If any other Event of Default occurs and is continuing, the Trustee or the Holders of at least 25% in principal amount of the then outstanding Notes may declare all the Notes to be due and payable immediately. Holders of the Notes may not enforce the Indenture or the Notes except as provided in the Indenture. Subject to certain limitations specified in the Indenture, Holders of a majority in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 or premium, if any. The Holders of a majority in aggregate principal amount of the then outstanding Notes by notice to the Trustee may, on behalf of the Holders of all of the Notes, waive any existing Default or Event of Default and its consequences under the Indenture, except a continuing Default or Event of Default in the payment of interest or premium, if any, on, or the principal of, the Notes. The Issuer is required to deliver to the Trustee annually a statement regarding compliance with the Indenture. Upon becoming aware of any Default or Event of Default, the Issuer is required to deliver to the Trustee a statement specifying such Default or Event of Default.</w:t>
      </w:r>
    </w:p>
    <w:p>
      <w:pPr>
        <w:spacing w:after="0" w:line="169" w:lineRule="exact"/>
        <w:rPr>
          <w:sz w:val="20"/>
          <w:szCs w:val="20"/>
          <w:color w:val="auto"/>
        </w:rPr>
      </w:pPr>
    </w:p>
    <w:p>
      <w:pPr>
        <w:jc w:val="both"/>
        <w:ind w:left="640" w:firstLine="644"/>
        <w:spacing w:after="0" w:line="248" w:lineRule="auto"/>
        <w:tabs>
          <w:tab w:leader="none" w:pos="1877" w:val="left"/>
        </w:tabs>
        <w:numPr>
          <w:ilvl w:val="0"/>
          <w:numId w:val="141"/>
        </w:numPr>
        <w:rPr>
          <w:rFonts w:ascii="Arial" w:cs="Arial" w:eastAsia="Arial" w:hAnsi="Arial"/>
          <w:sz w:val="22"/>
          <w:szCs w:val="22"/>
          <w:color w:val="auto"/>
        </w:rPr>
      </w:pPr>
      <w:r>
        <w:rPr>
          <w:rFonts w:ascii="Arial" w:cs="Arial" w:eastAsia="Arial" w:hAnsi="Arial"/>
          <w:sz w:val="22"/>
          <w:szCs w:val="22"/>
          <w:i w:val="1"/>
          <w:iCs w:val="1"/>
          <w:color w:val="auto"/>
        </w:rPr>
        <w:t>Trustee Dealings with Issuer</w:t>
      </w:r>
      <w:r>
        <w:rPr>
          <w:rFonts w:ascii="Arial" w:cs="Arial" w:eastAsia="Arial" w:hAnsi="Arial"/>
          <w:sz w:val="22"/>
          <w:szCs w:val="22"/>
          <w:color w:val="auto"/>
        </w:rPr>
        <w:t>. The Trustee, in its individual or any other capacity, may become the owner or</w:t>
      </w:r>
      <w:r>
        <w:rPr>
          <w:rFonts w:ascii="Arial" w:cs="Arial" w:eastAsia="Arial" w:hAnsi="Arial"/>
          <w:sz w:val="22"/>
          <w:szCs w:val="22"/>
          <w:i w:val="1"/>
          <w:iCs w:val="1"/>
          <w:color w:val="auto"/>
        </w:rPr>
        <w:t xml:space="preserve"> </w:t>
      </w:r>
      <w:r>
        <w:rPr>
          <w:rFonts w:ascii="Arial" w:cs="Arial" w:eastAsia="Arial" w:hAnsi="Arial"/>
          <w:sz w:val="22"/>
          <w:szCs w:val="22"/>
          <w:color w:val="auto"/>
        </w:rPr>
        <w:t>pledgee of Notes and may otherwise deal with the Issuer or any Affiliate of the Issuer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w:t>
      </w:r>
    </w:p>
    <w:p>
      <w:pPr>
        <w:spacing w:after="0" w:line="191" w:lineRule="exact"/>
        <w:rPr>
          <w:rFonts w:ascii="Arial" w:cs="Arial" w:eastAsia="Arial" w:hAnsi="Arial"/>
          <w:sz w:val="22"/>
          <w:szCs w:val="22"/>
          <w:color w:val="auto"/>
        </w:rPr>
      </w:pPr>
    </w:p>
    <w:p>
      <w:pPr>
        <w:jc w:val="both"/>
        <w:ind w:left="640" w:firstLine="644"/>
        <w:spacing w:after="0" w:line="297" w:lineRule="auto"/>
        <w:tabs>
          <w:tab w:leader="none" w:pos="1891" w:val="left"/>
        </w:tabs>
        <w:numPr>
          <w:ilvl w:val="0"/>
          <w:numId w:val="141"/>
        </w:numPr>
        <w:rPr>
          <w:rFonts w:ascii="Arial" w:cs="Arial" w:eastAsia="Arial" w:hAnsi="Arial"/>
          <w:sz w:val="19"/>
          <w:szCs w:val="19"/>
          <w:color w:val="auto"/>
        </w:rPr>
      </w:pPr>
      <w:r>
        <w:rPr>
          <w:rFonts w:ascii="Arial" w:cs="Arial" w:eastAsia="Arial" w:hAnsi="Arial"/>
          <w:sz w:val="19"/>
          <w:szCs w:val="19"/>
          <w:i w:val="1"/>
          <w:iCs w:val="1"/>
          <w:color w:val="auto"/>
        </w:rPr>
        <w:t>No Recourse Against Others</w:t>
      </w:r>
      <w:r>
        <w:rPr>
          <w:rFonts w:ascii="Arial" w:cs="Arial" w:eastAsia="Arial" w:hAnsi="Arial"/>
          <w:sz w:val="19"/>
          <w:szCs w:val="19"/>
          <w:color w:val="auto"/>
        </w:rPr>
        <w:t>. No past, present or future director, officer, employee, incorporator, organizer,</w:t>
      </w:r>
      <w:r>
        <w:rPr>
          <w:rFonts w:ascii="Arial" w:cs="Arial" w:eastAsia="Arial" w:hAnsi="Arial"/>
          <w:sz w:val="19"/>
          <w:szCs w:val="19"/>
          <w:i w:val="1"/>
          <w:iCs w:val="1"/>
          <w:color w:val="auto"/>
        </w:rPr>
        <w:t xml:space="preserve"> </w:t>
      </w:r>
      <w:r>
        <w:rPr>
          <w:rFonts w:ascii="Arial" w:cs="Arial" w:eastAsia="Arial" w:hAnsi="Arial"/>
          <w:sz w:val="19"/>
          <w:szCs w:val="19"/>
          <w:color w:val="auto"/>
        </w:rPr>
        <w:t>equity holder or member of the Issuer, as such, shall have any liability for any obligations of the Issuer under the Notes or the Indenture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United States federal securities laws.</w:t>
      </w:r>
    </w:p>
    <w:p>
      <w:pPr>
        <w:spacing w:after="0" w:line="146" w:lineRule="exact"/>
        <w:rPr>
          <w:rFonts w:ascii="Arial" w:cs="Arial" w:eastAsia="Arial" w:hAnsi="Arial"/>
          <w:sz w:val="19"/>
          <w:szCs w:val="19"/>
          <w:color w:val="auto"/>
        </w:rPr>
      </w:pPr>
    </w:p>
    <w:p>
      <w:pPr>
        <w:ind w:left="640" w:firstLine="644"/>
        <w:spacing w:after="0" w:line="263" w:lineRule="auto"/>
        <w:tabs>
          <w:tab w:leader="none" w:pos="1877" w:val="left"/>
        </w:tabs>
        <w:numPr>
          <w:ilvl w:val="0"/>
          <w:numId w:val="141"/>
        </w:numPr>
        <w:rPr>
          <w:rFonts w:ascii="Arial" w:cs="Arial" w:eastAsia="Arial" w:hAnsi="Arial"/>
          <w:sz w:val="22"/>
          <w:szCs w:val="22"/>
          <w:color w:val="auto"/>
        </w:rPr>
      </w:pPr>
      <w:r>
        <w:rPr>
          <w:rFonts w:ascii="Arial" w:cs="Arial" w:eastAsia="Arial" w:hAnsi="Arial"/>
          <w:sz w:val="22"/>
          <w:szCs w:val="22"/>
          <w:i w:val="1"/>
          <w:iCs w:val="1"/>
          <w:color w:val="auto"/>
        </w:rPr>
        <w:t>Authentication</w:t>
      </w:r>
      <w:r>
        <w:rPr>
          <w:rFonts w:ascii="Arial" w:cs="Arial" w:eastAsia="Arial" w:hAnsi="Arial"/>
          <w:sz w:val="22"/>
          <w:szCs w:val="22"/>
          <w:color w:val="auto"/>
        </w:rPr>
        <w:t>. This Note shall not be valid until authenticated by the manual or electronic signature of the</w:t>
      </w:r>
      <w:r>
        <w:rPr>
          <w:rFonts w:ascii="Arial" w:cs="Arial" w:eastAsia="Arial" w:hAnsi="Arial"/>
          <w:sz w:val="22"/>
          <w:szCs w:val="22"/>
          <w:i w:val="1"/>
          <w:iCs w:val="1"/>
          <w:color w:val="auto"/>
        </w:rPr>
        <w:t xml:space="preserve"> </w:t>
      </w:r>
      <w:r>
        <w:rPr>
          <w:rFonts w:ascii="Arial" w:cs="Arial" w:eastAsia="Arial" w:hAnsi="Arial"/>
          <w:sz w:val="22"/>
          <w:szCs w:val="22"/>
          <w:color w:val="auto"/>
        </w:rPr>
        <w:t>Trustee or an authenticating agent.</w:t>
      </w:r>
    </w:p>
    <w:p>
      <w:pPr>
        <w:spacing w:after="0" w:line="174" w:lineRule="exact"/>
        <w:rPr>
          <w:rFonts w:ascii="Arial" w:cs="Arial" w:eastAsia="Arial" w:hAnsi="Arial"/>
          <w:sz w:val="22"/>
          <w:szCs w:val="22"/>
          <w:color w:val="auto"/>
        </w:rPr>
      </w:pPr>
    </w:p>
    <w:p>
      <w:pPr>
        <w:jc w:val="both"/>
        <w:ind w:left="640" w:firstLine="644"/>
        <w:spacing w:after="0" w:line="271" w:lineRule="auto"/>
        <w:tabs>
          <w:tab w:leader="none" w:pos="1877" w:val="left"/>
        </w:tabs>
        <w:numPr>
          <w:ilvl w:val="0"/>
          <w:numId w:val="141"/>
        </w:numPr>
        <w:rPr>
          <w:rFonts w:ascii="Arial" w:cs="Arial" w:eastAsia="Arial" w:hAnsi="Arial"/>
          <w:sz w:val="21"/>
          <w:szCs w:val="21"/>
          <w:color w:val="auto"/>
        </w:rPr>
      </w:pPr>
      <w:r>
        <w:rPr>
          <w:rFonts w:ascii="Arial" w:cs="Arial" w:eastAsia="Arial" w:hAnsi="Arial"/>
          <w:sz w:val="21"/>
          <w:szCs w:val="21"/>
          <w:i w:val="1"/>
          <w:iCs w:val="1"/>
          <w:color w:val="auto"/>
        </w:rPr>
        <w:t>Abbreviations</w:t>
      </w:r>
      <w:r>
        <w:rPr>
          <w:rFonts w:ascii="Arial" w:cs="Arial" w:eastAsia="Arial" w:hAnsi="Arial"/>
          <w:sz w:val="21"/>
          <w:szCs w:val="21"/>
          <w:color w:val="auto"/>
        </w:rPr>
        <w:t>. Customary abbreviations may be used in the name of a Holder or an assignee, such as: TEN</w:t>
      </w:r>
      <w:r>
        <w:rPr>
          <w:rFonts w:ascii="Arial" w:cs="Arial" w:eastAsia="Arial" w:hAnsi="Arial"/>
          <w:sz w:val="21"/>
          <w:szCs w:val="21"/>
          <w:i w:val="1"/>
          <w:iCs w:val="1"/>
          <w:color w:val="auto"/>
        </w:rPr>
        <w:t xml:space="preserve"> </w:t>
      </w:r>
      <w:r>
        <w:rPr>
          <w:rFonts w:ascii="Arial" w:cs="Arial" w:eastAsia="Arial" w:hAnsi="Arial"/>
          <w:sz w:val="21"/>
          <w:szCs w:val="21"/>
          <w:color w:val="auto"/>
        </w:rPr>
        <w:t>COM (= tenants in common), TEN ENT (= tenants by the entireties), JT TEN (= joint tenants with right of survivorship and not as tenants in common), CUST (= Custodian), and U/G/M/A (= Uniform Gifts to Minors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020" w:type="dxa"/>
            <w:vAlign w:val="bottom"/>
          </w:tcPr>
          <w:p>
            <w:pPr>
              <w:spacing w:after="0"/>
              <w:rPr>
                <w:sz w:val="20"/>
                <w:szCs w:val="20"/>
                <w:color w:val="auto"/>
              </w:rPr>
            </w:pPr>
            <w:r>
              <w:rPr>
                <w:rFonts w:ascii="Arial" w:cs="Arial" w:eastAsia="Arial" w:hAnsi="Arial"/>
                <w:sz w:val="11"/>
                <w:szCs w:val="11"/>
                <w:color w:val="auto"/>
              </w:rPr>
              <w:t>ASIA 34064015</w:t>
            </w:r>
          </w:p>
        </w:tc>
        <w:tc>
          <w:tcPr>
            <w:tcW w:w="2720" w:type="dxa"/>
            <w:vAlign w:val="bottom"/>
          </w:tcPr>
          <w:p>
            <w:pPr>
              <w:ind w:left="2300"/>
              <w:spacing w:after="0"/>
              <w:rPr>
                <w:sz w:val="20"/>
                <w:szCs w:val="20"/>
                <w:color w:val="auto"/>
              </w:rPr>
            </w:pPr>
            <w:r>
              <w:rPr>
                <w:rFonts w:ascii="Arial" w:cs="Arial" w:eastAsia="Arial" w:hAnsi="Arial"/>
                <w:sz w:val="22"/>
                <w:szCs w:val="22"/>
                <w:color w:val="auto"/>
                <w:w w:val="85"/>
              </w:rPr>
              <w:t>A-11</w:t>
            </w:r>
          </w:p>
        </w:tc>
      </w:tr>
    </w:tbl>
    <w:p>
      <w:pPr>
        <w:sectPr>
          <w:pgSz w:w="11900" w:h="16838" w:orient="portrait"/>
          <w:cols w:equalWidth="0" w:num="1">
            <w:col w:w="11220"/>
          </w:cols>
          <w:pgMar w:left="340" w:top="1427" w:right="339" w:bottom="1440" w:gutter="0" w:footer="0" w:header="0"/>
        </w:sectPr>
      </w:pPr>
    </w:p>
    <w:bookmarkStart w:id="143" w:name="page144"/>
    <w:bookmarkEnd w:id="143"/>
    <w:p>
      <w:pPr>
        <w:jc w:val="both"/>
        <w:ind w:left="660" w:right="20" w:firstLine="644"/>
        <w:spacing w:after="0" w:line="253" w:lineRule="auto"/>
        <w:tabs>
          <w:tab w:leader="none" w:pos="2221" w:val="left"/>
        </w:tabs>
        <w:numPr>
          <w:ilvl w:val="0"/>
          <w:numId w:val="142"/>
        </w:numPr>
        <w:rPr>
          <w:rFonts w:ascii="Arial" w:cs="Arial" w:eastAsia="Arial" w:hAnsi="Arial"/>
          <w:sz w:val="22"/>
          <w:szCs w:val="22"/>
          <w:color w:val="auto"/>
        </w:rPr>
      </w:pPr>
      <w:r>
        <w:rPr>
          <w:rFonts w:ascii="Arial" w:cs="Arial" w:eastAsia="Arial" w:hAnsi="Arial"/>
          <w:sz w:val="22"/>
          <w:szCs w:val="22"/>
          <w:i w:val="1"/>
          <w:iCs w:val="1"/>
          <w:color w:val="auto"/>
        </w:rPr>
        <w:t>Governing Law</w:t>
      </w:r>
      <w:r>
        <w:rPr>
          <w:rFonts w:ascii="Arial" w:cs="Arial" w:eastAsia="Arial" w:hAnsi="Arial"/>
          <w:sz w:val="22"/>
          <w:szCs w:val="22"/>
          <w:color w:val="auto"/>
        </w:rPr>
        <w:t>. THE INDENTURE AND THIS NOTE SHALL BE GOVERNED BY AND</w:t>
      </w:r>
      <w:r>
        <w:rPr>
          <w:rFonts w:ascii="Arial" w:cs="Arial" w:eastAsia="Arial" w:hAnsi="Arial"/>
          <w:sz w:val="22"/>
          <w:szCs w:val="22"/>
          <w:i w:val="1"/>
          <w:iCs w:val="1"/>
          <w:color w:val="auto"/>
        </w:rPr>
        <w:t xml:space="preserve"> </w:t>
      </w:r>
      <w:r>
        <w:rPr>
          <w:rFonts w:ascii="Arial" w:cs="Arial" w:eastAsia="Arial" w:hAnsi="Arial"/>
          <w:sz w:val="22"/>
          <w:szCs w:val="22"/>
          <w:color w:val="auto"/>
        </w:rPr>
        <w:t>CONSTRUED IN ACCORDANCE WITH THE LAWS OF THE STATE OF NEW YORK, INCLUDING, WITHOUT LIMITATION, SECTION 5-1401 OF THE NEW YORK OBLIGATIONS LAW.</w:t>
      </w:r>
    </w:p>
    <w:p>
      <w:pPr>
        <w:spacing w:after="0" w:line="185" w:lineRule="exact"/>
        <w:rPr>
          <w:rFonts w:ascii="Arial" w:cs="Arial" w:eastAsia="Arial" w:hAnsi="Arial"/>
          <w:sz w:val="22"/>
          <w:szCs w:val="22"/>
          <w:color w:val="auto"/>
        </w:rPr>
      </w:pPr>
    </w:p>
    <w:p>
      <w:pPr>
        <w:jc w:val="both"/>
        <w:ind w:left="660" w:firstLine="644"/>
        <w:spacing w:after="0" w:line="263" w:lineRule="auto"/>
        <w:tabs>
          <w:tab w:leader="none" w:pos="1776" w:val="left"/>
        </w:tabs>
        <w:numPr>
          <w:ilvl w:val="0"/>
          <w:numId w:val="142"/>
        </w:numPr>
        <w:rPr>
          <w:rFonts w:ascii="Arial" w:cs="Arial" w:eastAsia="Arial" w:hAnsi="Arial"/>
          <w:sz w:val="21"/>
          <w:szCs w:val="21"/>
          <w:color w:val="auto"/>
        </w:rPr>
      </w:pPr>
      <w:r>
        <w:rPr>
          <w:rFonts w:ascii="Arial" w:cs="Arial" w:eastAsia="Arial" w:hAnsi="Arial"/>
          <w:sz w:val="21"/>
          <w:szCs w:val="21"/>
          <w:i w:val="1"/>
          <w:iCs w:val="1"/>
          <w:color w:val="auto"/>
        </w:rPr>
        <w:t>CUSIP Numbers</w:t>
      </w:r>
      <w:r>
        <w:rPr>
          <w:rFonts w:ascii="Arial" w:cs="Arial" w:eastAsia="Arial" w:hAnsi="Arial"/>
          <w:sz w:val="21"/>
          <w:szCs w:val="21"/>
          <w:color w:val="auto"/>
        </w:rPr>
        <w:t>. Pursuant to a recommendation promulgated by the Committee on Uniform Security</w:t>
      </w:r>
      <w:r>
        <w:rPr>
          <w:rFonts w:ascii="Arial" w:cs="Arial" w:eastAsia="Arial" w:hAnsi="Arial"/>
          <w:sz w:val="21"/>
          <w:szCs w:val="21"/>
          <w:i w:val="1"/>
          <w:iCs w:val="1"/>
          <w:color w:val="auto"/>
        </w:rPr>
        <w:t xml:space="preserve"> </w:t>
      </w:r>
      <w:r>
        <w:rPr>
          <w:rFonts w:ascii="Arial" w:cs="Arial" w:eastAsia="Arial" w:hAnsi="Arial"/>
          <w:sz w:val="21"/>
          <w:szCs w:val="21"/>
          <w:color w:val="auto"/>
        </w:rPr>
        <w:t>Identification Procedures, the Issuer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Issuer shall furnish a copy of the Indenture to any Holder upon written request and without charge. Requests may be made to:</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Wynn Macau, Limited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Avenida da Nave Desportiva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Cotai</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Macau SAR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Mr. Jason Schall</w:t>
      </w:r>
    </w:p>
    <w:p>
      <w:pPr>
        <w:sectPr>
          <w:pgSz w:w="11900" w:h="16838" w:orient="portrait"/>
          <w:cols w:equalWidth="0" w:num="1">
            <w:col w:w="11240"/>
          </w:cols>
          <w:pgMar w:left="320" w:top="14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tabs>
          <w:tab w:leader="none" w:pos="5300" w:val="left"/>
        </w:tabs>
        <w:rPr>
          <w:sz w:val="20"/>
          <w:szCs w:val="20"/>
          <w:color w:val="auto"/>
        </w:rPr>
      </w:pPr>
      <w:r>
        <w:rPr>
          <w:rFonts w:ascii="Arial" w:cs="Arial" w:eastAsia="Arial" w:hAnsi="Arial"/>
          <w:sz w:val="11"/>
          <w:szCs w:val="11"/>
          <w:color w:val="auto"/>
        </w:rPr>
        <w:t>ASIA 34064015</w:t>
      </w:r>
      <w:r>
        <w:rPr>
          <w:sz w:val="20"/>
          <w:szCs w:val="20"/>
          <w:color w:val="auto"/>
        </w:rPr>
        <w:tab/>
      </w:r>
      <w:r>
        <w:rPr>
          <w:rFonts w:ascii="Arial" w:cs="Arial" w:eastAsia="Arial" w:hAnsi="Arial"/>
          <w:sz w:val="21"/>
          <w:szCs w:val="21"/>
          <w:color w:val="auto"/>
        </w:rPr>
        <w:t>A-12</w:t>
      </w:r>
    </w:p>
    <w:p>
      <w:pPr>
        <w:sectPr>
          <w:pgSz w:w="11900" w:h="16838" w:orient="portrait"/>
          <w:cols w:equalWidth="0" w:num="1">
            <w:col w:w="11240"/>
          </w:cols>
          <w:pgMar w:left="320" w:top="1427" w:right="339" w:bottom="1440" w:gutter="0" w:footer="0" w:header="0"/>
          <w:type w:val="continuous"/>
        </w:sectPr>
      </w:pPr>
    </w:p>
    <w:bookmarkStart w:id="144" w:name="page145"/>
    <w:bookmarkEnd w:id="144"/>
    <w:p>
      <w:pPr>
        <w:jc w:val="center"/>
        <w:spacing w:after="0"/>
        <w:rPr>
          <w:sz w:val="20"/>
          <w:szCs w:val="20"/>
          <w:color w:val="auto"/>
        </w:rPr>
      </w:pPr>
      <w:r>
        <w:rPr>
          <w:rFonts w:ascii="Arial" w:cs="Arial" w:eastAsia="Arial" w:hAnsi="Arial"/>
          <w:sz w:val="22"/>
          <w:szCs w:val="22"/>
          <w:color w:val="auto"/>
        </w:rPr>
        <w:t>Assignment Form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assign this Note, fill in the form below:</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(I) or (we) assign and transfer this Note to: ________________________________________</w:t>
      </w:r>
    </w:p>
    <w:p>
      <w:pPr>
        <w:spacing w:after="0" w:line="21"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(Insert assignee’s legal name)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(Insert assignee’s soc. sec. or tax I.D. no.)</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(Print or type assignee’s name, address and zip code)</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and irrevocably appoint ______________________________________________________ to transfer this Note on the books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Issuer. The agent may substitute another to act for him.</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w:t>
      </w:r>
    </w:p>
    <w:p>
      <w:pPr>
        <w:spacing w:after="0" w:line="220"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Your Signature: ___________________________</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(Sign exactly as your name appears on the face of this Note)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_______________________</w:t>
      </w:r>
    </w:p>
    <w:p>
      <w:pPr>
        <w:spacing w:after="0" w:line="220" w:lineRule="exact"/>
        <w:rPr>
          <w:sz w:val="20"/>
          <w:szCs w:val="20"/>
          <w:color w:val="auto"/>
        </w:rPr>
      </w:pPr>
    </w:p>
    <w:p>
      <w:pPr>
        <w:ind w:left="340" w:hanging="332"/>
        <w:spacing w:after="0"/>
        <w:tabs>
          <w:tab w:leader="none" w:pos="34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 Trustee).</w:t>
      </w:r>
    </w:p>
    <w:p>
      <w:pPr>
        <w:sectPr>
          <w:pgSz w:w="11900" w:h="16838" w:orient="portrait"/>
          <w:cols w:equalWidth="0" w:num="1">
            <w:col w:w="11240"/>
          </w:cols>
          <w:pgMar w:left="320" w:top="14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
        <w:spacing w:after="0"/>
        <w:tabs>
          <w:tab w:leader="none" w:pos="5300" w:val="left"/>
        </w:tabs>
        <w:rPr>
          <w:sz w:val="20"/>
          <w:szCs w:val="20"/>
          <w:color w:val="auto"/>
        </w:rPr>
      </w:pPr>
      <w:r>
        <w:rPr>
          <w:rFonts w:ascii="Arial" w:cs="Arial" w:eastAsia="Arial" w:hAnsi="Arial"/>
          <w:sz w:val="11"/>
          <w:szCs w:val="11"/>
          <w:color w:val="auto"/>
        </w:rPr>
        <w:t>ASIA 34064015</w:t>
      </w:r>
      <w:r>
        <w:rPr>
          <w:sz w:val="20"/>
          <w:szCs w:val="20"/>
          <w:color w:val="auto"/>
        </w:rPr>
        <w:tab/>
      </w:r>
      <w:r>
        <w:rPr>
          <w:rFonts w:ascii="Arial" w:cs="Arial" w:eastAsia="Arial" w:hAnsi="Arial"/>
          <w:sz w:val="21"/>
          <w:szCs w:val="21"/>
          <w:color w:val="auto"/>
        </w:rPr>
        <w:t>A-13</w:t>
      </w:r>
    </w:p>
    <w:p>
      <w:pPr>
        <w:sectPr>
          <w:pgSz w:w="11900" w:h="16838" w:orient="portrait"/>
          <w:cols w:equalWidth="0" w:num="1">
            <w:col w:w="11240"/>
          </w:cols>
          <w:pgMar w:left="320" w:top="1427" w:right="339" w:bottom="1440" w:gutter="0" w:footer="0" w:header="0"/>
          <w:type w:val="continuous"/>
        </w:sectPr>
      </w:pPr>
    </w:p>
    <w:bookmarkStart w:id="145" w:name="page146"/>
    <w:bookmarkEnd w:id="145"/>
    <w:p>
      <w:pPr>
        <w:jc w:val="center"/>
        <w:spacing w:after="0"/>
        <w:rPr>
          <w:sz w:val="20"/>
          <w:szCs w:val="20"/>
          <w:color w:val="auto"/>
        </w:rPr>
      </w:pPr>
      <w:r>
        <w:rPr>
          <w:rFonts w:ascii="Arial" w:cs="Arial" w:eastAsia="Arial" w:hAnsi="Arial"/>
          <w:sz w:val="22"/>
          <w:szCs w:val="22"/>
          <w:color w:val="auto"/>
        </w:rPr>
        <w:t>Option of Holder to Elect Purchase</w:t>
      </w:r>
    </w:p>
    <w:p>
      <w:pPr>
        <w:spacing w:after="0" w:line="328"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If you want to elect to have this Note purchased by the Issuer pursuant to Section 4.08 or Section 4.10 of the Indenture, check the appropriate box below:</w:t>
      </w:r>
    </w:p>
    <w:p>
      <w:pPr>
        <w:spacing w:after="0" w:line="283" w:lineRule="exact"/>
        <w:rPr>
          <w:sz w:val="20"/>
          <w:szCs w:val="20"/>
          <w:color w:val="auto"/>
        </w:rPr>
      </w:pPr>
    </w:p>
    <w:p>
      <w:pPr>
        <w:ind w:left="2140"/>
        <w:spacing w:after="0"/>
        <w:tabs>
          <w:tab w:leader="none" w:pos="4080" w:val="left"/>
        </w:tabs>
        <w:rPr>
          <w:sz w:val="20"/>
          <w:szCs w:val="20"/>
          <w:color w:val="auto"/>
        </w:rPr>
      </w:pPr>
      <w:r>
        <w:rPr>
          <w:rFonts w:ascii="Arial" w:cs="Arial" w:eastAsia="Arial" w:hAnsi="Arial"/>
          <w:sz w:val="22"/>
          <w:szCs w:val="22"/>
          <w:color w:val="auto"/>
        </w:rPr>
        <w:t>Section 4.08</w:t>
      </w:r>
      <w:r>
        <w:rPr>
          <w:sz w:val="20"/>
          <w:szCs w:val="20"/>
          <w:color w:val="auto"/>
        </w:rPr>
        <w:tab/>
      </w:r>
      <w:r>
        <w:rPr>
          <w:rFonts w:ascii="Arial" w:cs="Arial" w:eastAsia="Arial" w:hAnsi="Arial"/>
          <w:sz w:val="19"/>
          <w:szCs w:val="19"/>
          <w:color w:val="auto"/>
        </w:rPr>
        <w:t>Section 4.10</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you want to elect to have only part of the Note purchased by the Issuer pursuant to Section 4.08 or Section 4.10 of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Indenture, state the amount you elect to have purchased:</w:t>
      </w:r>
    </w:p>
    <w:p>
      <w:pPr>
        <w:spacing w:after="0" w:line="202"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US$________________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________________</w:t>
      </w:r>
    </w:p>
    <w:p>
      <w:pPr>
        <w:spacing w:after="0" w:line="220"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Your Signature:___________________________</w:t>
      </w:r>
    </w:p>
    <w:p>
      <w:pPr>
        <w:spacing w:after="0" w:line="21"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(Sign exactly as your name appears on the face of this Note)</w:t>
      </w:r>
    </w:p>
    <w:p>
      <w:pPr>
        <w:spacing w:after="0" w:line="236"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Tax Identification No.:______________________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_______________________</w:t>
      </w:r>
    </w:p>
    <w:p>
      <w:pPr>
        <w:spacing w:after="0" w:line="220" w:lineRule="exact"/>
        <w:rPr>
          <w:sz w:val="20"/>
          <w:szCs w:val="20"/>
          <w:color w:val="auto"/>
        </w:rPr>
      </w:pPr>
    </w:p>
    <w:p>
      <w:pPr>
        <w:ind w:left="340" w:hanging="332"/>
        <w:spacing w:after="0"/>
        <w:tabs>
          <w:tab w:leader="none" w:pos="34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 Trustee).</w:t>
      </w:r>
    </w:p>
    <w:p>
      <w:pPr>
        <w:sectPr>
          <w:pgSz w:w="11900" w:h="16838" w:orient="portrait"/>
          <w:cols w:equalWidth="0" w:num="1">
            <w:col w:w="11240"/>
          </w:cols>
          <w:pgMar w:left="320" w:top="14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tabs>
          <w:tab w:leader="none" w:pos="5300" w:val="left"/>
        </w:tabs>
        <w:rPr>
          <w:sz w:val="20"/>
          <w:szCs w:val="20"/>
          <w:color w:val="auto"/>
        </w:rPr>
      </w:pPr>
      <w:r>
        <w:rPr>
          <w:rFonts w:ascii="Arial" w:cs="Arial" w:eastAsia="Arial" w:hAnsi="Arial"/>
          <w:sz w:val="11"/>
          <w:szCs w:val="11"/>
          <w:color w:val="auto"/>
        </w:rPr>
        <w:t>ASIA 34064015</w:t>
      </w:r>
      <w:r>
        <w:rPr>
          <w:sz w:val="20"/>
          <w:szCs w:val="20"/>
          <w:color w:val="auto"/>
        </w:rPr>
        <w:tab/>
      </w:r>
      <w:r>
        <w:rPr>
          <w:rFonts w:ascii="Arial" w:cs="Arial" w:eastAsia="Arial" w:hAnsi="Arial"/>
          <w:sz w:val="21"/>
          <w:szCs w:val="21"/>
          <w:color w:val="auto"/>
        </w:rPr>
        <w:t>A-14</w:t>
      </w:r>
    </w:p>
    <w:p>
      <w:pPr>
        <w:sectPr>
          <w:pgSz w:w="11900" w:h="16838" w:orient="portrait"/>
          <w:cols w:equalWidth="0" w:num="1">
            <w:col w:w="11240"/>
          </w:cols>
          <w:pgMar w:left="320" w:top="1427" w:right="339" w:bottom="1440" w:gutter="0" w:footer="0" w:header="0"/>
          <w:type w:val="continuous"/>
        </w:sectPr>
      </w:pPr>
    </w:p>
    <w:bookmarkStart w:id="146" w:name="page147"/>
    <w:bookmarkEnd w:id="146"/>
    <w:p>
      <w:pPr>
        <w:jc w:val="center"/>
        <w:ind w:right="-19"/>
        <w:spacing w:after="0"/>
        <w:rPr>
          <w:sz w:val="20"/>
          <w:szCs w:val="20"/>
          <w:color w:val="auto"/>
        </w:rPr>
      </w:pPr>
      <w:r>
        <w:rPr>
          <w:rFonts w:ascii="Arial" w:cs="Arial" w:eastAsia="Arial" w:hAnsi="Arial"/>
          <w:sz w:val="22"/>
          <w:szCs w:val="22"/>
          <w:color w:val="auto"/>
        </w:rPr>
        <w:t>SCHEDULE OF EXCHANGES OF INTERESTS IN THE GLOBAL NOTE*</w:t>
      </w:r>
    </w:p>
    <w:p>
      <w:pPr>
        <w:spacing w:after="0" w:line="220"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50" w:lineRule="exact"/>
        <w:rPr>
          <w:sz w:val="20"/>
          <w:szCs w:val="20"/>
          <w:color w:val="auto"/>
        </w:rPr>
      </w:pPr>
    </w:p>
    <w:tbl>
      <w:tblPr>
        <w:tblLayout w:type="fixed"/>
        <w:tblInd w:w="400" w:type="dxa"/>
        <w:tblCellMar>
          <w:top w:w="0" w:type="dxa"/>
          <w:left w:w="0" w:type="dxa"/>
          <w:bottom w:w="0" w:type="dxa"/>
          <w:right w:w="0" w:type="dxa"/>
        </w:tblCellMar>
      </w:tblPr>
      <w:tr>
        <w:trPr>
          <w:trHeight w:val="250"/>
        </w:trPr>
        <w:tc>
          <w:tcPr>
            <w:tcW w:w="1420" w:type="dxa"/>
            <w:vAlign w:val="bottom"/>
          </w:tcPr>
          <w:p>
            <w:pPr>
              <w:spacing w:after="0"/>
              <w:rPr>
                <w:sz w:val="21"/>
                <w:szCs w:val="21"/>
                <w:color w:val="auto"/>
              </w:rPr>
            </w:pPr>
          </w:p>
        </w:tc>
        <w:tc>
          <w:tcPr>
            <w:tcW w:w="2600" w:type="dxa"/>
            <w:vAlign w:val="bottom"/>
            <w:gridSpan w:val="3"/>
          </w:tcPr>
          <w:p>
            <w:pPr>
              <w:jc w:val="center"/>
              <w:ind w:left="281"/>
              <w:spacing w:after="0"/>
              <w:rPr>
                <w:sz w:val="20"/>
                <w:szCs w:val="20"/>
                <w:color w:val="auto"/>
              </w:rPr>
            </w:pPr>
            <w:r>
              <w:rPr>
                <w:rFonts w:ascii="Arial" w:cs="Arial" w:eastAsia="Arial" w:hAnsi="Arial"/>
                <w:sz w:val="20"/>
                <w:szCs w:val="20"/>
                <w:color w:val="auto"/>
                <w:w w:val="94"/>
              </w:rPr>
              <w:t>Amount of</w:t>
            </w:r>
          </w:p>
        </w:tc>
        <w:tc>
          <w:tcPr>
            <w:tcW w:w="2240" w:type="dxa"/>
            <w:vAlign w:val="bottom"/>
            <w:gridSpan w:val="3"/>
          </w:tcPr>
          <w:p>
            <w:pPr>
              <w:jc w:val="center"/>
              <w:ind w:right="20"/>
              <w:spacing w:after="0"/>
              <w:rPr>
                <w:sz w:val="20"/>
                <w:szCs w:val="20"/>
                <w:color w:val="auto"/>
              </w:rPr>
            </w:pPr>
            <w:r>
              <w:rPr>
                <w:rFonts w:ascii="Arial" w:cs="Arial" w:eastAsia="Arial" w:hAnsi="Arial"/>
                <w:sz w:val="20"/>
                <w:szCs w:val="20"/>
                <w:color w:val="auto"/>
                <w:w w:val="94"/>
              </w:rPr>
              <w:t>Amount of</w:t>
            </w:r>
          </w:p>
        </w:tc>
        <w:tc>
          <w:tcPr>
            <w:tcW w:w="2160" w:type="dxa"/>
            <w:vAlign w:val="bottom"/>
            <w:gridSpan w:val="3"/>
          </w:tcPr>
          <w:p>
            <w:pPr>
              <w:jc w:val="center"/>
              <w:spacing w:after="0"/>
              <w:rPr>
                <w:sz w:val="20"/>
                <w:szCs w:val="20"/>
                <w:color w:val="auto"/>
              </w:rPr>
            </w:pPr>
            <w:r>
              <w:rPr>
                <w:rFonts w:ascii="Arial" w:cs="Arial" w:eastAsia="Arial" w:hAnsi="Arial"/>
                <w:sz w:val="20"/>
                <w:szCs w:val="20"/>
                <w:color w:val="auto"/>
                <w:w w:val="93"/>
              </w:rPr>
              <w:t>Principal Amount</w:t>
            </w:r>
          </w:p>
        </w:tc>
        <w:tc>
          <w:tcPr>
            <w:tcW w:w="1980" w:type="dxa"/>
            <w:vAlign w:val="bottom"/>
            <w:gridSpan w:val="3"/>
            <w:vMerge w:val="restart"/>
          </w:tcPr>
          <w:p>
            <w:pPr>
              <w:jc w:val="center"/>
              <w:ind w:left="261"/>
              <w:spacing w:after="0"/>
              <w:rPr>
                <w:sz w:val="20"/>
                <w:szCs w:val="20"/>
                <w:color w:val="auto"/>
              </w:rPr>
            </w:pPr>
            <w:r>
              <w:rPr>
                <w:rFonts w:ascii="Arial" w:cs="Arial" w:eastAsia="Arial" w:hAnsi="Arial"/>
                <w:sz w:val="20"/>
                <w:szCs w:val="20"/>
                <w:color w:val="auto"/>
                <w:w w:val="90"/>
              </w:rPr>
              <w:t>Signature of</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00" w:type="dxa"/>
            <w:vAlign w:val="bottom"/>
            <w:gridSpan w:val="3"/>
            <w:vMerge w:val="restart"/>
          </w:tcPr>
          <w:p>
            <w:pPr>
              <w:jc w:val="center"/>
              <w:ind w:left="301"/>
              <w:spacing w:after="0"/>
              <w:rPr>
                <w:sz w:val="20"/>
                <w:szCs w:val="20"/>
                <w:color w:val="auto"/>
              </w:rPr>
            </w:pPr>
            <w:r>
              <w:rPr>
                <w:rFonts w:ascii="Arial" w:cs="Arial" w:eastAsia="Arial" w:hAnsi="Arial"/>
                <w:sz w:val="20"/>
                <w:szCs w:val="20"/>
                <w:color w:val="auto"/>
                <w:w w:val="85"/>
              </w:rPr>
              <w:t>decrease in</w:t>
            </w:r>
          </w:p>
        </w:tc>
        <w:tc>
          <w:tcPr>
            <w:tcW w:w="2240" w:type="dxa"/>
            <w:vAlign w:val="bottom"/>
            <w:gridSpan w:val="3"/>
            <w:vMerge w:val="restart"/>
          </w:tcPr>
          <w:p>
            <w:pPr>
              <w:jc w:val="center"/>
              <w:spacing w:after="0"/>
              <w:rPr>
                <w:sz w:val="20"/>
                <w:szCs w:val="20"/>
                <w:color w:val="auto"/>
              </w:rPr>
            </w:pPr>
            <w:r>
              <w:rPr>
                <w:rFonts w:ascii="Arial" w:cs="Arial" w:eastAsia="Arial" w:hAnsi="Arial"/>
                <w:sz w:val="20"/>
                <w:szCs w:val="20"/>
                <w:color w:val="auto"/>
                <w:w w:val="86"/>
              </w:rPr>
              <w:t>increase in</w:t>
            </w:r>
          </w:p>
        </w:tc>
        <w:tc>
          <w:tcPr>
            <w:tcW w:w="2160" w:type="dxa"/>
            <w:vAlign w:val="bottom"/>
            <w:gridSpan w:val="3"/>
            <w:vMerge w:val="restart"/>
          </w:tcPr>
          <w:p>
            <w:pPr>
              <w:jc w:val="center"/>
              <w:spacing w:after="0"/>
              <w:rPr>
                <w:sz w:val="20"/>
                <w:szCs w:val="20"/>
                <w:color w:val="auto"/>
              </w:rPr>
            </w:pPr>
            <w:r>
              <w:rPr>
                <w:rFonts w:ascii="Arial" w:cs="Arial" w:eastAsia="Arial" w:hAnsi="Arial"/>
                <w:sz w:val="20"/>
                <w:szCs w:val="20"/>
                <w:color w:val="auto"/>
                <w:w w:val="92"/>
              </w:rPr>
              <w:t>of this Global</w:t>
            </w:r>
          </w:p>
        </w:tc>
        <w:tc>
          <w:tcPr>
            <w:tcW w:w="198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420" w:type="dxa"/>
            <w:vAlign w:val="bottom"/>
          </w:tcPr>
          <w:p>
            <w:pPr>
              <w:spacing w:after="0"/>
              <w:rPr>
                <w:sz w:val="15"/>
                <w:szCs w:val="15"/>
                <w:color w:val="auto"/>
              </w:rPr>
            </w:pPr>
          </w:p>
        </w:tc>
        <w:tc>
          <w:tcPr>
            <w:tcW w:w="2600" w:type="dxa"/>
            <w:vAlign w:val="bottom"/>
            <w:gridSpan w:val="3"/>
            <w:vMerge w:val="continue"/>
          </w:tcPr>
          <w:p>
            <w:pPr>
              <w:spacing w:after="0"/>
              <w:rPr>
                <w:sz w:val="15"/>
                <w:szCs w:val="15"/>
                <w:color w:val="auto"/>
              </w:rPr>
            </w:pPr>
          </w:p>
        </w:tc>
        <w:tc>
          <w:tcPr>
            <w:tcW w:w="2240" w:type="dxa"/>
            <w:vAlign w:val="bottom"/>
            <w:gridSpan w:val="3"/>
            <w:vMerge w:val="continue"/>
          </w:tcPr>
          <w:p>
            <w:pPr>
              <w:spacing w:after="0"/>
              <w:rPr>
                <w:sz w:val="15"/>
                <w:szCs w:val="15"/>
                <w:color w:val="auto"/>
              </w:rPr>
            </w:pPr>
          </w:p>
        </w:tc>
        <w:tc>
          <w:tcPr>
            <w:tcW w:w="2160" w:type="dxa"/>
            <w:vAlign w:val="bottom"/>
            <w:gridSpan w:val="3"/>
            <w:vMerge w:val="continue"/>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420" w:type="dxa"/>
            <w:vAlign w:val="bottom"/>
          </w:tcPr>
          <w:p>
            <w:pPr>
              <w:spacing w:after="0"/>
              <w:rPr>
                <w:sz w:val="19"/>
                <w:szCs w:val="19"/>
                <w:color w:val="auto"/>
              </w:rPr>
            </w:pPr>
          </w:p>
        </w:tc>
        <w:tc>
          <w:tcPr>
            <w:tcW w:w="2600" w:type="dxa"/>
            <w:vAlign w:val="bottom"/>
            <w:gridSpan w:val="3"/>
          </w:tcPr>
          <w:p>
            <w:pPr>
              <w:jc w:val="center"/>
              <w:ind w:left="281"/>
              <w:spacing w:after="0"/>
              <w:rPr>
                <w:sz w:val="20"/>
                <w:szCs w:val="20"/>
                <w:color w:val="auto"/>
              </w:rPr>
            </w:pPr>
            <w:r>
              <w:rPr>
                <w:rFonts w:ascii="Arial" w:cs="Arial" w:eastAsia="Arial" w:hAnsi="Arial"/>
                <w:sz w:val="20"/>
                <w:szCs w:val="20"/>
                <w:color w:val="auto"/>
                <w:w w:val="93"/>
              </w:rPr>
              <w:t>Principal Amount</w:t>
            </w:r>
          </w:p>
        </w:tc>
        <w:tc>
          <w:tcPr>
            <w:tcW w:w="2240" w:type="dxa"/>
            <w:vAlign w:val="bottom"/>
            <w:gridSpan w:val="3"/>
          </w:tcPr>
          <w:p>
            <w:pPr>
              <w:jc w:val="center"/>
              <w:spacing w:after="0"/>
              <w:rPr>
                <w:sz w:val="20"/>
                <w:szCs w:val="20"/>
                <w:color w:val="auto"/>
              </w:rPr>
            </w:pPr>
            <w:r>
              <w:rPr>
                <w:rFonts w:ascii="Arial" w:cs="Arial" w:eastAsia="Arial" w:hAnsi="Arial"/>
                <w:sz w:val="20"/>
                <w:szCs w:val="20"/>
                <w:color w:val="auto"/>
                <w:w w:val="92"/>
              </w:rPr>
              <w:t>Principal Amount</w:t>
            </w:r>
          </w:p>
        </w:tc>
        <w:tc>
          <w:tcPr>
            <w:tcW w:w="2160" w:type="dxa"/>
            <w:vAlign w:val="bottom"/>
            <w:gridSpan w:val="3"/>
          </w:tcPr>
          <w:p>
            <w:pPr>
              <w:jc w:val="center"/>
              <w:spacing w:after="0"/>
              <w:rPr>
                <w:sz w:val="20"/>
                <w:szCs w:val="20"/>
                <w:color w:val="auto"/>
              </w:rPr>
            </w:pPr>
            <w:r>
              <w:rPr>
                <w:rFonts w:ascii="Arial" w:cs="Arial" w:eastAsia="Arial" w:hAnsi="Arial"/>
                <w:sz w:val="20"/>
                <w:szCs w:val="20"/>
                <w:color w:val="auto"/>
                <w:w w:val="95"/>
              </w:rPr>
              <w:t>Note following</w:t>
            </w:r>
          </w:p>
        </w:tc>
        <w:tc>
          <w:tcPr>
            <w:tcW w:w="1980" w:type="dxa"/>
            <w:vAlign w:val="bottom"/>
            <w:gridSpan w:val="3"/>
          </w:tcPr>
          <w:p>
            <w:pPr>
              <w:jc w:val="center"/>
              <w:ind w:left="261"/>
              <w:spacing w:after="0"/>
              <w:rPr>
                <w:sz w:val="20"/>
                <w:szCs w:val="20"/>
                <w:color w:val="auto"/>
              </w:rPr>
            </w:pPr>
            <w:r>
              <w:rPr>
                <w:rFonts w:ascii="Arial" w:cs="Arial" w:eastAsia="Arial" w:hAnsi="Arial"/>
                <w:sz w:val="20"/>
                <w:szCs w:val="20"/>
                <w:color w:val="auto"/>
                <w:w w:val="89"/>
              </w:rPr>
              <w:t>authorized signatory</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19"/>
                <w:szCs w:val="19"/>
                <w:color w:val="auto"/>
              </w:rPr>
            </w:pPr>
          </w:p>
        </w:tc>
        <w:tc>
          <w:tcPr>
            <w:tcW w:w="2600" w:type="dxa"/>
            <w:vAlign w:val="bottom"/>
            <w:gridSpan w:val="3"/>
          </w:tcPr>
          <w:p>
            <w:pPr>
              <w:jc w:val="center"/>
              <w:ind w:left="301"/>
              <w:spacing w:after="0"/>
              <w:rPr>
                <w:sz w:val="20"/>
                <w:szCs w:val="20"/>
                <w:color w:val="auto"/>
              </w:rPr>
            </w:pPr>
            <w:r>
              <w:rPr>
                <w:rFonts w:ascii="Arial" w:cs="Arial" w:eastAsia="Arial" w:hAnsi="Arial"/>
                <w:sz w:val="20"/>
                <w:szCs w:val="20"/>
                <w:color w:val="auto"/>
                <w:w w:val="92"/>
              </w:rPr>
              <w:t>of this Global</w:t>
            </w:r>
          </w:p>
        </w:tc>
        <w:tc>
          <w:tcPr>
            <w:tcW w:w="2240" w:type="dxa"/>
            <w:vAlign w:val="bottom"/>
            <w:gridSpan w:val="3"/>
          </w:tcPr>
          <w:p>
            <w:pPr>
              <w:jc w:val="center"/>
              <w:spacing w:after="0"/>
              <w:rPr>
                <w:sz w:val="20"/>
                <w:szCs w:val="20"/>
                <w:color w:val="auto"/>
              </w:rPr>
            </w:pPr>
            <w:r>
              <w:rPr>
                <w:rFonts w:ascii="Arial" w:cs="Arial" w:eastAsia="Arial" w:hAnsi="Arial"/>
                <w:sz w:val="20"/>
                <w:szCs w:val="20"/>
                <w:color w:val="auto"/>
                <w:w w:val="92"/>
              </w:rPr>
              <w:t>of this Global</w:t>
            </w:r>
          </w:p>
        </w:tc>
        <w:tc>
          <w:tcPr>
            <w:tcW w:w="2160" w:type="dxa"/>
            <w:vAlign w:val="bottom"/>
            <w:gridSpan w:val="3"/>
          </w:tcPr>
          <w:p>
            <w:pPr>
              <w:jc w:val="center"/>
              <w:spacing w:after="0"/>
              <w:rPr>
                <w:sz w:val="20"/>
                <w:szCs w:val="20"/>
                <w:color w:val="auto"/>
              </w:rPr>
            </w:pPr>
            <w:r>
              <w:rPr>
                <w:rFonts w:ascii="Arial" w:cs="Arial" w:eastAsia="Arial" w:hAnsi="Arial"/>
                <w:sz w:val="20"/>
                <w:szCs w:val="20"/>
                <w:color w:val="auto"/>
                <w:w w:val="84"/>
              </w:rPr>
              <w:t>such decrease</w:t>
            </w:r>
          </w:p>
        </w:tc>
        <w:tc>
          <w:tcPr>
            <w:tcW w:w="1980" w:type="dxa"/>
            <w:vAlign w:val="bottom"/>
            <w:gridSpan w:val="3"/>
          </w:tcPr>
          <w:p>
            <w:pPr>
              <w:jc w:val="center"/>
              <w:ind w:left="261"/>
              <w:spacing w:after="0"/>
              <w:rPr>
                <w:sz w:val="20"/>
                <w:szCs w:val="20"/>
                <w:color w:val="auto"/>
              </w:rPr>
            </w:pPr>
            <w:r>
              <w:rPr>
                <w:rFonts w:ascii="Arial" w:cs="Arial" w:eastAsia="Arial" w:hAnsi="Arial"/>
                <w:sz w:val="20"/>
                <w:szCs w:val="20"/>
                <w:color w:val="auto"/>
                <w:w w:val="89"/>
              </w:rPr>
              <w:t>of Trustee or</w:t>
            </w:r>
          </w:p>
        </w:tc>
        <w:tc>
          <w:tcPr>
            <w:tcW w:w="0" w:type="dxa"/>
            <w:vAlign w:val="bottom"/>
          </w:tcPr>
          <w:p>
            <w:pPr>
              <w:spacing w:after="0"/>
              <w:rPr>
                <w:sz w:val="1"/>
                <w:szCs w:val="1"/>
                <w:color w:val="auto"/>
              </w:rPr>
            </w:pPr>
          </w:p>
        </w:tc>
      </w:tr>
      <w:tr>
        <w:trPr>
          <w:trHeight w:val="206"/>
        </w:trPr>
        <w:tc>
          <w:tcPr>
            <w:tcW w:w="1420" w:type="dxa"/>
            <w:vAlign w:val="bottom"/>
          </w:tcPr>
          <w:p>
            <w:pPr>
              <w:spacing w:after="0" w:line="185" w:lineRule="exact"/>
              <w:rPr>
                <w:sz w:val="20"/>
                <w:szCs w:val="20"/>
                <w:color w:val="auto"/>
              </w:rPr>
            </w:pPr>
            <w:r>
              <w:rPr>
                <w:rFonts w:ascii="Arial" w:cs="Arial" w:eastAsia="Arial" w:hAnsi="Arial"/>
                <w:sz w:val="20"/>
                <w:szCs w:val="20"/>
                <w:color w:val="auto"/>
                <w:w w:val="88"/>
              </w:rPr>
              <w:t>Date of Exchange</w:t>
            </w:r>
          </w:p>
        </w:tc>
        <w:tc>
          <w:tcPr>
            <w:tcW w:w="1300" w:type="dxa"/>
            <w:vAlign w:val="bottom"/>
          </w:tcPr>
          <w:p>
            <w:pPr>
              <w:spacing w:after="0"/>
              <w:rPr>
                <w:sz w:val="17"/>
                <w:szCs w:val="17"/>
                <w:color w:val="auto"/>
              </w:rPr>
            </w:pPr>
          </w:p>
        </w:tc>
        <w:tc>
          <w:tcPr>
            <w:tcW w:w="1300" w:type="dxa"/>
            <w:vAlign w:val="bottom"/>
            <w:gridSpan w:val="2"/>
          </w:tcPr>
          <w:p>
            <w:pPr>
              <w:jc w:val="center"/>
              <w:ind w:right="920"/>
              <w:spacing w:after="0" w:line="185" w:lineRule="exact"/>
              <w:rPr>
                <w:sz w:val="20"/>
                <w:szCs w:val="20"/>
                <w:color w:val="auto"/>
              </w:rPr>
            </w:pPr>
            <w:r>
              <w:rPr>
                <w:rFonts w:ascii="Arial" w:cs="Arial" w:eastAsia="Arial" w:hAnsi="Arial"/>
                <w:sz w:val="20"/>
                <w:szCs w:val="20"/>
                <w:color w:val="auto"/>
                <w:w w:val="89"/>
              </w:rPr>
              <w:t>Note</w:t>
            </w:r>
          </w:p>
        </w:tc>
        <w:tc>
          <w:tcPr>
            <w:tcW w:w="2240" w:type="dxa"/>
            <w:vAlign w:val="bottom"/>
            <w:gridSpan w:val="3"/>
          </w:tcPr>
          <w:p>
            <w:pPr>
              <w:jc w:val="center"/>
              <w:ind w:right="20"/>
              <w:spacing w:after="0" w:line="185" w:lineRule="exact"/>
              <w:rPr>
                <w:sz w:val="20"/>
                <w:szCs w:val="20"/>
                <w:color w:val="auto"/>
              </w:rPr>
            </w:pPr>
            <w:r>
              <w:rPr>
                <w:rFonts w:ascii="Arial" w:cs="Arial" w:eastAsia="Arial" w:hAnsi="Arial"/>
                <w:sz w:val="20"/>
                <w:szCs w:val="20"/>
                <w:color w:val="auto"/>
                <w:w w:val="89"/>
              </w:rPr>
              <w:t>Note</w:t>
            </w:r>
          </w:p>
        </w:tc>
        <w:tc>
          <w:tcPr>
            <w:tcW w:w="600" w:type="dxa"/>
            <w:vAlign w:val="bottom"/>
          </w:tcPr>
          <w:p>
            <w:pPr>
              <w:spacing w:after="0"/>
              <w:rPr>
                <w:sz w:val="17"/>
                <w:szCs w:val="17"/>
                <w:color w:val="auto"/>
              </w:rPr>
            </w:pPr>
          </w:p>
        </w:tc>
        <w:tc>
          <w:tcPr>
            <w:tcW w:w="1560" w:type="dxa"/>
            <w:vAlign w:val="bottom"/>
            <w:gridSpan w:val="2"/>
          </w:tcPr>
          <w:p>
            <w:pPr>
              <w:jc w:val="center"/>
              <w:ind w:right="560"/>
              <w:spacing w:after="0" w:line="185" w:lineRule="exact"/>
              <w:rPr>
                <w:sz w:val="20"/>
                <w:szCs w:val="20"/>
                <w:color w:val="auto"/>
              </w:rPr>
            </w:pPr>
            <w:r>
              <w:rPr>
                <w:rFonts w:ascii="Arial" w:cs="Arial" w:eastAsia="Arial" w:hAnsi="Arial"/>
                <w:sz w:val="20"/>
                <w:szCs w:val="20"/>
                <w:color w:val="auto"/>
                <w:w w:val="89"/>
              </w:rPr>
              <w:t>(or increase)</w:t>
            </w:r>
          </w:p>
        </w:tc>
        <w:tc>
          <w:tcPr>
            <w:tcW w:w="1980" w:type="dxa"/>
            <w:vAlign w:val="bottom"/>
            <w:gridSpan w:val="3"/>
          </w:tcPr>
          <w:p>
            <w:pPr>
              <w:jc w:val="center"/>
              <w:ind w:left="281"/>
              <w:spacing w:after="0" w:line="185" w:lineRule="exact"/>
              <w:rPr>
                <w:sz w:val="20"/>
                <w:szCs w:val="20"/>
                <w:color w:val="auto"/>
              </w:rPr>
            </w:pPr>
            <w:r>
              <w:rPr>
                <w:rFonts w:ascii="Arial" w:cs="Arial" w:eastAsia="Arial" w:hAnsi="Arial"/>
                <w:sz w:val="20"/>
                <w:szCs w:val="20"/>
                <w:color w:val="auto"/>
                <w:w w:val="88"/>
              </w:rPr>
              <w:t>Custodian</w:t>
            </w:r>
          </w:p>
        </w:tc>
        <w:tc>
          <w:tcPr>
            <w:tcW w:w="0" w:type="dxa"/>
            <w:vAlign w:val="bottom"/>
          </w:tcPr>
          <w:p>
            <w:pPr>
              <w:spacing w:after="0"/>
              <w:rPr>
                <w:sz w:val="1"/>
                <w:szCs w:val="1"/>
                <w:color w:val="auto"/>
              </w:rPr>
            </w:pPr>
          </w:p>
        </w:tc>
      </w:tr>
      <w:tr>
        <w:trPr>
          <w:trHeight w:val="27"/>
        </w:trPr>
        <w:tc>
          <w:tcPr>
            <w:tcW w:w="1420" w:type="dxa"/>
            <w:vAlign w:val="bottom"/>
            <w:shd w:val="clear" w:color="auto" w:fill="000000"/>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0" w:hanging="332"/>
        <w:spacing w:after="0"/>
        <w:tabs>
          <w:tab w:leader="none" w:pos="340" w:val="left"/>
        </w:tabs>
        <w:numPr>
          <w:ilvl w:val="0"/>
          <w:numId w:val="145"/>
        </w:numPr>
        <w:rPr>
          <w:rFonts w:ascii="Arial" w:cs="Arial" w:eastAsia="Arial" w:hAnsi="Arial"/>
          <w:sz w:val="22"/>
          <w:szCs w:val="22"/>
          <w:color w:val="auto"/>
        </w:rPr>
      </w:pPr>
      <w:r>
        <w:rPr>
          <w:rFonts w:ascii="Arial" w:cs="Arial" w:eastAsia="Arial" w:hAnsi="Arial"/>
          <w:sz w:val="22"/>
          <w:szCs w:val="22"/>
          <w:i w:val="1"/>
          <w:iCs w:val="1"/>
          <w:color w:val="auto"/>
        </w:rPr>
        <w:t>This schedule should be included only if the Note is issued in global form</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20" w:type="dxa"/>
            <w:vAlign w:val="bottom"/>
          </w:tcPr>
          <w:p>
            <w:pPr>
              <w:spacing w:after="0"/>
              <w:rPr>
                <w:sz w:val="20"/>
                <w:szCs w:val="20"/>
                <w:color w:val="auto"/>
              </w:rPr>
            </w:pPr>
            <w:r>
              <w:rPr>
                <w:rFonts w:ascii="Arial" w:cs="Arial" w:eastAsia="Arial" w:hAnsi="Arial"/>
                <w:sz w:val="11"/>
                <w:szCs w:val="11"/>
                <w:color w:val="auto"/>
              </w:rPr>
              <w:t>ASIA 34064015</w:t>
            </w:r>
          </w:p>
        </w:tc>
        <w:tc>
          <w:tcPr>
            <w:tcW w:w="2740" w:type="dxa"/>
            <w:vAlign w:val="bottom"/>
          </w:tcPr>
          <w:p>
            <w:pPr>
              <w:ind w:left="2280"/>
              <w:spacing w:after="0"/>
              <w:rPr>
                <w:sz w:val="20"/>
                <w:szCs w:val="20"/>
                <w:color w:val="auto"/>
              </w:rPr>
            </w:pPr>
            <w:r>
              <w:rPr>
                <w:rFonts w:ascii="Arial" w:cs="Arial" w:eastAsia="Arial" w:hAnsi="Arial"/>
                <w:sz w:val="22"/>
                <w:szCs w:val="22"/>
                <w:color w:val="auto"/>
                <w:w w:val="94"/>
              </w:rPr>
              <w:t>A-15</w:t>
            </w:r>
          </w:p>
        </w:tc>
      </w:tr>
    </w:tbl>
    <w:p>
      <w:pPr>
        <w:sectPr>
          <w:pgSz w:w="11900" w:h="16838" w:orient="portrait"/>
          <w:cols w:equalWidth="0" w:num="1">
            <w:col w:w="11240"/>
          </w:cols>
          <w:pgMar w:left="320" w:top="1427"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22"/>
          <w:szCs w:val="22"/>
          <w:color w:val="auto"/>
        </w:rPr>
        <w:t>EXHIBIT B</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CERTIFICATE OF TRANSFER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Wynn Macau, Limited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Avenida da Nave Desportiva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Cotai</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Macau SAR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Mr. Jason Schall</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Deutsche Bank Trust Company Americas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 DB Services Americas,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5022 Gate Parkway, Suite 200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Jacksonville, FL 32256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Transfer Department, Wynn Macau – SF0965</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 5.625% Senior Notes due 2028</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Reference is hereby made to the Indenture, dated as of August 26, 2020 (the “</w:t>
      </w:r>
      <w:r>
        <w:rPr>
          <w:rFonts w:ascii="Arial" w:cs="Arial" w:eastAsia="Arial" w:hAnsi="Arial"/>
          <w:sz w:val="22"/>
          <w:szCs w:val="22"/>
          <w:i w:val="1"/>
          <w:iCs w:val="1"/>
          <w:color w:val="auto"/>
        </w:rPr>
        <w:t>Indenture</w:t>
      </w:r>
      <w:r>
        <w:rPr>
          <w:rFonts w:ascii="Arial" w:cs="Arial" w:eastAsia="Arial" w:hAnsi="Arial"/>
          <w:sz w:val="22"/>
          <w:szCs w:val="22"/>
          <w:color w:val="auto"/>
        </w:rPr>
        <w:t>”), between Wynn Macau Limited, as issuer (the “</w:t>
      </w:r>
      <w:r>
        <w:rPr>
          <w:rFonts w:ascii="Arial" w:cs="Arial" w:eastAsia="Arial" w:hAnsi="Arial"/>
          <w:sz w:val="22"/>
          <w:szCs w:val="22"/>
          <w:i w:val="1"/>
          <w:iCs w:val="1"/>
          <w:color w:val="auto"/>
        </w:rPr>
        <w:t>Issuer</w:t>
      </w:r>
      <w:r>
        <w:rPr>
          <w:rFonts w:ascii="Arial" w:cs="Arial" w:eastAsia="Arial" w:hAnsi="Arial"/>
          <w:sz w:val="22"/>
          <w:szCs w:val="22"/>
          <w:color w:val="auto"/>
        </w:rPr>
        <w:t>”), and Deutsche Bank Trust Company Americas, as trustee. Capitalized terms used but not defined herein shall have the meanings given to them in the Indenture.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_________________, (the “</w:t>
      </w:r>
      <w:r>
        <w:rPr>
          <w:rFonts w:ascii="Arial" w:cs="Arial" w:eastAsia="Arial" w:hAnsi="Arial"/>
          <w:sz w:val="19"/>
          <w:szCs w:val="19"/>
          <w:i w:val="1"/>
          <w:iCs w:val="1"/>
          <w:color w:val="auto"/>
        </w:rPr>
        <w:t>Transferor</w:t>
      </w:r>
      <w:r>
        <w:rPr>
          <w:rFonts w:ascii="Arial" w:cs="Arial" w:eastAsia="Arial" w:hAnsi="Arial"/>
          <w:sz w:val="19"/>
          <w:szCs w:val="19"/>
          <w:color w:val="auto"/>
        </w:rPr>
        <w:t>”) owns and proposes to transfer the Note[s] or interest in such Note[s] specified in</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Annex A hereto, in the principal amount of US$________ in such Note[s] or interests (the “</w:t>
      </w:r>
      <w:r>
        <w:rPr>
          <w:rFonts w:ascii="Arial" w:cs="Arial" w:eastAsia="Arial" w:hAnsi="Arial"/>
          <w:sz w:val="19"/>
          <w:szCs w:val="19"/>
          <w:i w:val="1"/>
          <w:iCs w:val="1"/>
          <w:color w:val="auto"/>
        </w:rPr>
        <w:t>Transfer</w:t>
      </w:r>
      <w:r>
        <w:rPr>
          <w:rFonts w:ascii="Arial" w:cs="Arial" w:eastAsia="Arial" w:hAnsi="Arial"/>
          <w:sz w:val="19"/>
          <w:szCs w:val="19"/>
          <w:color w:val="auto"/>
        </w:rPr>
        <w:t>”), to (the “</w:t>
      </w:r>
      <w:r>
        <w:rPr>
          <w:rFonts w:ascii="Arial" w:cs="Arial" w:eastAsia="Arial" w:hAnsi="Arial"/>
          <w:sz w:val="19"/>
          <w:szCs w:val="19"/>
          <w:i w:val="1"/>
          <w:iCs w:val="1"/>
          <w:color w:val="auto"/>
        </w:rPr>
        <w:t>Transferee</w:t>
      </w:r>
      <w:r>
        <w:rPr>
          <w:rFonts w:ascii="Arial" w:cs="Arial" w:eastAsia="Arial" w:hAnsi="Arial"/>
          <w:sz w:val="19"/>
          <w:szCs w:val="19"/>
          <w:color w:val="auto"/>
        </w:rPr>
        <w:t>”), as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further specified in Annex A hereto. In connection with the Transfer, the Transferor hereby certifies that: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[CHECK ALL THAT APPLY]</w:t>
      </w:r>
    </w:p>
    <w:p>
      <w:pPr>
        <w:spacing w:after="0" w:line="214" w:lineRule="exact"/>
        <w:rPr>
          <w:sz w:val="20"/>
          <w:szCs w:val="20"/>
          <w:color w:val="auto"/>
        </w:rPr>
      </w:pPr>
    </w:p>
    <w:p>
      <w:pPr>
        <w:jc w:val="both"/>
        <w:ind w:firstLine="656"/>
        <w:spacing w:after="0" w:line="289" w:lineRule="auto"/>
        <w:tabs>
          <w:tab w:leader="none" w:pos="1372" w:val="left"/>
        </w:tabs>
        <w:numPr>
          <w:ilvl w:val="0"/>
          <w:numId w:val="146"/>
        </w:numPr>
        <w:rPr>
          <w:rFonts w:ascii="Arial" w:cs="Arial" w:eastAsia="Arial" w:hAnsi="Arial"/>
          <w:sz w:val="19"/>
          <w:szCs w:val="19"/>
          <w:color w:val="auto"/>
        </w:rPr>
      </w:pPr>
      <w:r>
        <w:rPr>
          <w:rFonts w:ascii="Arial" w:cs="Arial" w:eastAsia="Arial" w:hAnsi="Arial"/>
          <w:sz w:val="19"/>
          <w:szCs w:val="19"/>
          <w:b w:val="1"/>
          <w:bCs w:val="1"/>
          <w:u w:val="single" w:color="auto"/>
          <w:color w:val="auto"/>
        </w:rPr>
        <w:t>Check if Transferee will take delivery of a beneficial interest in the 144A Global Note or a Restricted Definitive Note pursuant to Rule 144A</w:t>
      </w:r>
      <w:r>
        <w:rPr>
          <w:rFonts w:ascii="Arial" w:cs="Arial" w:eastAsia="Arial" w:hAnsi="Arial"/>
          <w:sz w:val="19"/>
          <w:szCs w:val="19"/>
          <w:color w:val="auto"/>
        </w:rPr>
        <w:t>. The Transfer is being effected pursuant to and in accordance with Rule 144A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United States Securities Act of 1933, as amended (the “</w:t>
      </w:r>
      <w:r>
        <w:rPr>
          <w:rFonts w:ascii="Arial" w:cs="Arial" w:eastAsia="Arial" w:hAnsi="Arial"/>
          <w:sz w:val="19"/>
          <w:szCs w:val="19"/>
          <w:i w:val="1"/>
          <w:iCs w:val="1"/>
          <w:color w:val="auto"/>
        </w:rPr>
        <w:t>Securities Act</w:t>
      </w:r>
      <w:r>
        <w:rPr>
          <w:rFonts w:ascii="Arial" w:cs="Arial" w:eastAsia="Arial" w:hAnsi="Arial"/>
          <w:sz w:val="19"/>
          <w:szCs w:val="19"/>
          <w:color w:val="auto"/>
        </w:rPr>
        <w:t>”),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40" w:type="dxa"/>
            <w:vAlign w:val="bottom"/>
          </w:tcPr>
          <w:p>
            <w:pPr>
              <w:spacing w:after="0"/>
              <w:rPr>
                <w:sz w:val="20"/>
                <w:szCs w:val="20"/>
                <w:color w:val="auto"/>
              </w:rPr>
            </w:pPr>
            <w:r>
              <w:rPr>
                <w:rFonts w:ascii="Arial" w:cs="Arial" w:eastAsia="Arial" w:hAnsi="Arial"/>
                <w:sz w:val="11"/>
                <w:szCs w:val="11"/>
                <w:color w:val="auto"/>
              </w:rPr>
              <w:t>ASIA 34064015</w:t>
            </w:r>
          </w:p>
        </w:tc>
        <w:tc>
          <w:tcPr>
            <w:tcW w:w="2660" w:type="dxa"/>
            <w:vAlign w:val="bottom"/>
          </w:tcPr>
          <w:p>
            <w:pPr>
              <w:ind w:left="2320"/>
              <w:spacing w:after="0"/>
              <w:rPr>
                <w:sz w:val="20"/>
                <w:szCs w:val="20"/>
                <w:color w:val="auto"/>
              </w:rPr>
            </w:pPr>
            <w:r>
              <w:rPr>
                <w:rFonts w:ascii="Arial" w:cs="Arial" w:eastAsia="Arial" w:hAnsi="Arial"/>
                <w:sz w:val="22"/>
                <w:szCs w:val="22"/>
                <w:color w:val="auto"/>
                <w:w w:val="93"/>
              </w:rPr>
              <w:t>B-1</w:t>
            </w:r>
          </w:p>
        </w:tc>
      </w:tr>
    </w:tbl>
    <w:p>
      <w:pPr>
        <w:sectPr>
          <w:pgSz w:w="11900" w:h="16838" w:orient="portrait"/>
          <w:cols w:equalWidth="0" w:num="1">
            <w:col w:w="11240"/>
          </w:cols>
          <w:pgMar w:left="320" w:top="1427" w:right="339" w:bottom="1440" w:gutter="0" w:footer="0" w:header="0"/>
        </w:sectPr>
      </w:pPr>
    </w:p>
    <w:bookmarkStart w:id="148" w:name="page149"/>
    <w:bookmarkEnd w:id="148"/>
    <w:p>
      <w:pPr>
        <w:jc w:val="both"/>
        <w:ind w:firstLine="656"/>
        <w:spacing w:after="0" w:line="285" w:lineRule="auto"/>
        <w:tabs>
          <w:tab w:leader="none" w:pos="1223" w:val="left"/>
        </w:tabs>
        <w:numPr>
          <w:ilvl w:val="1"/>
          <w:numId w:val="147"/>
        </w:numPr>
        <w:rPr>
          <w:rFonts w:ascii="Arial" w:cs="Arial" w:eastAsia="Arial" w:hAnsi="Arial"/>
          <w:sz w:val="19"/>
          <w:szCs w:val="19"/>
          <w:color w:val="auto"/>
        </w:rPr>
      </w:pPr>
      <w:r>
        <w:rPr>
          <w:rFonts w:ascii="Arial" w:cs="Arial" w:eastAsia="Arial" w:hAnsi="Arial"/>
          <w:sz w:val="19"/>
          <w:szCs w:val="19"/>
          <w:b w:val="1"/>
          <w:bCs w:val="1"/>
          <w:u w:val="single" w:color="auto"/>
          <w:color w:val="auto"/>
        </w:rPr>
        <w:t>Check if Transferee will take delivery of a beneficial interest in the Regulation S Global Note or a Restricted Definitive Note pursuant to Regulation S</w:t>
      </w:r>
      <w:r>
        <w:rPr>
          <w:rFonts w:ascii="Arial" w:cs="Arial" w:eastAsia="Arial" w:hAnsi="Arial"/>
          <w:sz w:val="19"/>
          <w:szCs w:val="19"/>
          <w:color w:val="auto"/>
        </w:rPr>
        <w:t>. The Transfer is being effected pursuant to and in accordance with Rule 903 or Rule</w:t>
      </w:r>
      <w:r>
        <w:rPr>
          <w:rFonts w:ascii="Arial" w:cs="Arial" w:eastAsia="Arial" w:hAnsi="Arial"/>
          <w:sz w:val="19"/>
          <w:szCs w:val="19"/>
          <w:b w:val="1"/>
          <w:bCs w:val="1"/>
          <w:color w:val="auto"/>
        </w:rPr>
        <w:t xml:space="preserve"> </w:t>
      </w:r>
      <w:r>
        <w:rPr>
          <w:rFonts w:ascii="Arial" w:cs="Arial" w:eastAsia="Arial" w:hAnsi="Arial"/>
          <w:sz w:val="19"/>
          <w:szCs w:val="19"/>
          <w:color w:val="auto"/>
        </w:rPr>
        <w:t>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w:t>
      </w:r>
    </w:p>
    <w:p>
      <w:pPr>
        <w:spacing w:after="0" w:line="3" w:lineRule="exact"/>
        <w:rPr>
          <w:rFonts w:ascii="Arial" w:cs="Arial" w:eastAsia="Arial" w:hAnsi="Arial"/>
          <w:sz w:val="19"/>
          <w:szCs w:val="19"/>
          <w:color w:val="auto"/>
        </w:rPr>
      </w:pPr>
    </w:p>
    <w:p>
      <w:pPr>
        <w:jc w:val="both"/>
        <w:ind w:firstLine="8"/>
        <w:spacing w:after="0" w:line="288" w:lineRule="auto"/>
        <w:tabs>
          <w:tab w:leader="none" w:pos="318" w:val="left"/>
        </w:tabs>
        <w:numPr>
          <w:ilvl w:val="0"/>
          <w:numId w:val="148"/>
        </w:numPr>
        <w:rPr>
          <w:rFonts w:ascii="Arial" w:cs="Arial" w:eastAsia="Arial" w:hAnsi="Arial"/>
          <w:sz w:val="19"/>
          <w:szCs w:val="19"/>
          <w:color w:val="auto"/>
        </w:rPr>
      </w:pPr>
      <w:r>
        <w:rPr>
          <w:rFonts w:ascii="Arial" w:cs="Arial" w:eastAsia="Arial" w:hAnsi="Arial"/>
          <w:sz w:val="19"/>
          <w:szCs w:val="19"/>
          <w:color w:val="auto"/>
        </w:rPr>
        <w:t>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by the Issuer to an Initial Purchaser).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p>
      <w:pPr>
        <w:spacing w:after="0" w:line="152" w:lineRule="exact"/>
        <w:rPr>
          <w:rFonts w:ascii="Arial" w:cs="Arial" w:eastAsia="Arial" w:hAnsi="Arial"/>
          <w:sz w:val="19"/>
          <w:szCs w:val="19"/>
          <w:color w:val="auto"/>
        </w:rPr>
      </w:pPr>
    </w:p>
    <w:p>
      <w:pPr>
        <w:jc w:val="both"/>
        <w:ind w:firstLine="656"/>
        <w:spacing w:after="0" w:line="298" w:lineRule="auto"/>
        <w:tabs>
          <w:tab w:leader="none" w:pos="1210" w:val="left"/>
        </w:tabs>
        <w:numPr>
          <w:ilvl w:val="1"/>
          <w:numId w:val="148"/>
        </w:numPr>
        <w:rPr>
          <w:rFonts w:ascii="Arial" w:cs="Arial" w:eastAsia="Arial" w:hAnsi="Arial"/>
          <w:sz w:val="19"/>
          <w:szCs w:val="19"/>
          <w:color w:val="auto"/>
        </w:rPr>
      </w:pPr>
      <w:r>
        <w:rPr>
          <w:rFonts w:ascii="Arial" w:cs="Arial" w:eastAsia="Arial" w:hAnsi="Arial"/>
          <w:sz w:val="19"/>
          <w:szCs w:val="19"/>
          <w:b w:val="1"/>
          <w:bCs w:val="1"/>
          <w:u w:val="single" w:color="auto"/>
          <w:color w:val="auto"/>
        </w:rPr>
        <w:t>Check and complete if Transferee will take delivery of a beneficial interest in the a Restricted Definitive Note pursuant to any provision of the Securities Act other than Rule 144A or Regulation S</w:t>
      </w:r>
      <w:r>
        <w:rPr>
          <w:rFonts w:ascii="Arial" w:cs="Arial" w:eastAsia="Arial" w:hAnsi="Arial"/>
          <w:sz w:val="19"/>
          <w:szCs w:val="19"/>
          <w:color w:val="auto"/>
        </w:rPr>
        <w:t>. The Transfer is being effected in</w:t>
      </w:r>
      <w:r>
        <w:rPr>
          <w:rFonts w:ascii="Arial" w:cs="Arial" w:eastAsia="Arial" w:hAnsi="Arial"/>
          <w:sz w:val="19"/>
          <w:szCs w:val="19"/>
          <w:b w:val="1"/>
          <w:bCs w:val="1"/>
          <w:color w:val="auto"/>
        </w:rPr>
        <w:t xml:space="preserve"> </w:t>
      </w:r>
      <w:r>
        <w:rPr>
          <w:rFonts w:ascii="Arial" w:cs="Arial" w:eastAsia="Arial" w:hAnsi="Arial"/>
          <w:sz w:val="19"/>
          <w:szCs w:val="19"/>
          <w:color w:val="auto"/>
        </w:rPr>
        <w:t>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48" w:lineRule="exact"/>
        <w:rPr>
          <w:rFonts w:ascii="Arial" w:cs="Arial" w:eastAsia="Arial" w:hAnsi="Arial"/>
          <w:sz w:val="19"/>
          <w:szCs w:val="19"/>
          <w:color w:val="auto"/>
        </w:rPr>
      </w:pPr>
    </w:p>
    <w:p>
      <w:pPr>
        <w:ind w:left="1940" w:hanging="636"/>
        <w:spacing w:after="0"/>
        <w:tabs>
          <w:tab w:leader="none" w:pos="1940" w:val="left"/>
        </w:tabs>
        <w:numPr>
          <w:ilvl w:val="2"/>
          <w:numId w:val="148"/>
        </w:numPr>
        <w:rPr>
          <w:rFonts w:ascii="Arial" w:cs="Arial" w:eastAsia="Arial" w:hAnsi="Arial"/>
          <w:sz w:val="19"/>
          <w:szCs w:val="19"/>
          <w:color w:val="auto"/>
        </w:rPr>
      </w:pPr>
      <w:r>
        <w:rPr>
          <w:rFonts w:ascii="Arial" w:cs="Arial" w:eastAsia="Arial" w:hAnsi="Arial"/>
          <w:sz w:val="19"/>
          <w:szCs w:val="19"/>
          <w:color w:val="auto"/>
        </w:rPr>
        <w:t>such Transfer is being effected pursuant to and in accordance with Rule 144 under the Securities Act;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or</w:t>
      </w:r>
    </w:p>
    <w:p>
      <w:pPr>
        <w:spacing w:after="0" w:line="220" w:lineRule="exact"/>
        <w:rPr>
          <w:sz w:val="20"/>
          <w:szCs w:val="20"/>
          <w:color w:val="auto"/>
        </w:rPr>
      </w:pPr>
    </w:p>
    <w:p>
      <w:pPr>
        <w:ind w:left="5540" w:right="3480" w:hanging="4236"/>
        <w:spacing w:after="0" w:line="448" w:lineRule="auto"/>
        <w:tabs>
          <w:tab w:leader="none" w:pos="1961" w:val="left"/>
        </w:tabs>
        <w:numPr>
          <w:ilvl w:val="1"/>
          <w:numId w:val="149"/>
        </w:numPr>
        <w:rPr>
          <w:rFonts w:ascii="Arial" w:cs="Arial" w:eastAsia="Arial" w:hAnsi="Arial"/>
          <w:sz w:val="22"/>
          <w:szCs w:val="22"/>
          <w:color w:val="auto"/>
        </w:rPr>
      </w:pPr>
      <w:r>
        <w:rPr>
          <w:rFonts w:ascii="Arial" w:cs="Arial" w:eastAsia="Arial" w:hAnsi="Arial"/>
          <w:sz w:val="22"/>
          <w:szCs w:val="22"/>
          <w:color w:val="auto"/>
        </w:rPr>
        <w:t>such Transfer is being effected to the Issuer or a subsidiary thereof; or</w:t>
      </w:r>
    </w:p>
    <w:p>
      <w:pPr>
        <w:ind w:left="660" w:firstLine="644"/>
        <w:spacing w:after="0" w:line="263" w:lineRule="auto"/>
        <w:tabs>
          <w:tab w:leader="none" w:pos="1981" w:val="left"/>
        </w:tabs>
        <w:numPr>
          <w:ilvl w:val="1"/>
          <w:numId w:val="149"/>
        </w:numPr>
        <w:rPr>
          <w:rFonts w:ascii="Arial" w:cs="Arial" w:eastAsia="Arial" w:hAnsi="Arial"/>
          <w:sz w:val="22"/>
          <w:szCs w:val="22"/>
          <w:color w:val="auto"/>
        </w:rPr>
      </w:pPr>
      <w:r>
        <w:rPr>
          <w:rFonts w:ascii="Arial" w:cs="Arial" w:eastAsia="Arial" w:hAnsi="Arial"/>
          <w:sz w:val="22"/>
          <w:szCs w:val="22"/>
          <w:color w:val="auto"/>
        </w:rPr>
        <w:t>such Transfer is being effected pursuant to an effective registration statement under the Securities Act and in compliance with the prospectus delivery requirements of the Securities Act.</w:t>
      </w:r>
    </w:p>
    <w:p>
      <w:pPr>
        <w:spacing w:after="0" w:line="168" w:lineRule="exact"/>
        <w:rPr>
          <w:rFonts w:ascii="Arial" w:cs="Arial" w:eastAsia="Arial" w:hAnsi="Arial"/>
          <w:sz w:val="22"/>
          <w:szCs w:val="22"/>
          <w:color w:val="auto"/>
        </w:rPr>
      </w:pPr>
    </w:p>
    <w:p>
      <w:pPr>
        <w:ind w:firstLine="656"/>
        <w:spacing w:after="0" w:line="269" w:lineRule="auto"/>
        <w:tabs>
          <w:tab w:leader="none" w:pos="1215" w:val="left"/>
        </w:tabs>
        <w:numPr>
          <w:ilvl w:val="0"/>
          <w:numId w:val="150"/>
        </w:numPr>
        <w:rPr>
          <w:rFonts w:ascii="Arial" w:cs="Arial" w:eastAsia="Arial" w:hAnsi="Arial"/>
          <w:sz w:val="22"/>
          <w:szCs w:val="22"/>
          <w:color w:val="auto"/>
        </w:rPr>
      </w:pPr>
      <w:r>
        <w:rPr>
          <w:rFonts w:ascii="Arial" w:cs="Arial" w:eastAsia="Arial" w:hAnsi="Arial"/>
          <w:sz w:val="22"/>
          <w:szCs w:val="22"/>
          <w:b w:val="1"/>
          <w:bCs w:val="1"/>
          <w:u w:val="single" w:color="auto"/>
          <w:color w:val="auto"/>
        </w:rPr>
        <w:t>Check if Transferee will take delivery of a beneficial interest in an Unrestricted Global Note or of an Unrestricted Definitive Note</w:t>
      </w:r>
      <w:r>
        <w:rPr>
          <w:rFonts w:ascii="Arial" w:cs="Arial" w:eastAsia="Arial" w:hAnsi="Arial"/>
          <w:sz w:val="22"/>
          <w:szCs w:val="22"/>
          <w:color w:val="auto"/>
        </w:rPr>
        <w:t>.</w:t>
      </w:r>
    </w:p>
    <w:p>
      <w:pPr>
        <w:spacing w:after="0" w:line="161" w:lineRule="exact"/>
        <w:rPr>
          <w:rFonts w:ascii="Arial" w:cs="Arial" w:eastAsia="Arial" w:hAnsi="Arial"/>
          <w:sz w:val="22"/>
          <w:szCs w:val="22"/>
          <w:color w:val="auto"/>
        </w:rPr>
      </w:pPr>
    </w:p>
    <w:p>
      <w:pPr>
        <w:jc w:val="both"/>
        <w:ind w:left="660" w:firstLine="644"/>
        <w:spacing w:after="0" w:line="252" w:lineRule="auto"/>
        <w:tabs>
          <w:tab w:leader="none" w:pos="2150" w:val="left"/>
        </w:tabs>
        <w:numPr>
          <w:ilvl w:val="1"/>
          <w:numId w:val="150"/>
        </w:numPr>
        <w:rPr>
          <w:rFonts w:ascii="Arial" w:cs="Arial" w:eastAsia="Arial" w:hAnsi="Arial"/>
          <w:sz w:val="22"/>
          <w:szCs w:val="22"/>
          <w:color w:val="auto"/>
        </w:rPr>
      </w:pPr>
      <w:r>
        <w:rPr>
          <w:rFonts w:ascii="Arial" w:cs="Arial" w:eastAsia="Arial" w:hAnsi="Arial"/>
          <w:sz w:val="22"/>
          <w:szCs w:val="22"/>
          <w:b w:val="1"/>
          <w:bCs w:val="1"/>
          <w:color w:val="auto"/>
        </w:rPr>
        <w:t>Check if Transfer is pursuant to Rule 144</w:t>
      </w:r>
      <w:r>
        <w:rPr>
          <w:rFonts w:ascii="Arial" w:cs="Arial" w:eastAsia="Arial" w:hAnsi="Arial"/>
          <w:sz w:val="22"/>
          <w:szCs w:val="22"/>
          <w:color w:val="auto"/>
        </w:rPr>
        <w:t>. (i) The Transfer is being effected pursuant to and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Rule 144 under the Securities Act and in compliance with the transfer restrictions contained in the Indenture and any applicable blue sky securities laws of any state of the United States and (ii) the restrictions on transfer contained in the Indenture and the Private Placement Legend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40" w:type="dxa"/>
            <w:vAlign w:val="bottom"/>
          </w:tcPr>
          <w:p>
            <w:pPr>
              <w:spacing w:after="0"/>
              <w:rPr>
                <w:sz w:val="20"/>
                <w:szCs w:val="20"/>
                <w:color w:val="auto"/>
              </w:rPr>
            </w:pPr>
            <w:r>
              <w:rPr>
                <w:rFonts w:ascii="Arial" w:cs="Arial" w:eastAsia="Arial" w:hAnsi="Arial"/>
                <w:sz w:val="11"/>
                <w:szCs w:val="11"/>
                <w:color w:val="auto"/>
              </w:rPr>
              <w:t>ASIA 34064015</w:t>
            </w:r>
          </w:p>
        </w:tc>
        <w:tc>
          <w:tcPr>
            <w:tcW w:w="2660" w:type="dxa"/>
            <w:vAlign w:val="bottom"/>
          </w:tcPr>
          <w:p>
            <w:pPr>
              <w:ind w:left="2320"/>
              <w:spacing w:after="0"/>
              <w:rPr>
                <w:sz w:val="20"/>
                <w:szCs w:val="20"/>
                <w:color w:val="auto"/>
              </w:rPr>
            </w:pPr>
            <w:r>
              <w:rPr>
                <w:rFonts w:ascii="Arial" w:cs="Arial" w:eastAsia="Arial" w:hAnsi="Arial"/>
                <w:sz w:val="22"/>
                <w:szCs w:val="22"/>
                <w:color w:val="auto"/>
                <w:w w:val="93"/>
              </w:rPr>
              <w:t>B-2</w:t>
            </w:r>
          </w:p>
        </w:tc>
      </w:tr>
    </w:tbl>
    <w:p>
      <w:pPr>
        <w:sectPr>
          <w:pgSz w:w="11900" w:h="16838" w:orient="portrait"/>
          <w:cols w:equalWidth="0" w:num="1">
            <w:col w:w="11240"/>
          </w:cols>
          <w:pgMar w:left="320" w:top="1421" w:right="339" w:bottom="1440" w:gutter="0" w:footer="0" w:header="0"/>
        </w:sectPr>
      </w:pPr>
    </w:p>
    <w:bookmarkStart w:id="149" w:name="page150"/>
    <w:bookmarkEnd w:id="149"/>
    <w:p>
      <w:pPr>
        <w:jc w:val="both"/>
        <w:ind w:left="660" w:right="20"/>
        <w:spacing w:after="0" w:line="250" w:lineRule="auto"/>
        <w:rPr>
          <w:sz w:val="20"/>
          <w:szCs w:val="20"/>
          <w:color w:val="auto"/>
        </w:rPr>
      </w:pPr>
      <w:r>
        <w:rPr>
          <w:rFonts w:ascii="Arial" w:cs="Arial" w:eastAsia="Arial" w:hAnsi="Arial"/>
          <w:sz w:val="22"/>
          <w:szCs w:val="22"/>
          <w:color w:val="auto"/>
        </w:rPr>
        <w:t>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82" w:lineRule="exact"/>
        <w:rPr>
          <w:sz w:val="20"/>
          <w:szCs w:val="20"/>
          <w:color w:val="auto"/>
        </w:rPr>
      </w:pPr>
    </w:p>
    <w:p>
      <w:pPr>
        <w:jc w:val="both"/>
        <w:ind w:left="660" w:firstLine="644"/>
        <w:spacing w:after="0" w:line="293" w:lineRule="auto"/>
        <w:tabs>
          <w:tab w:leader="none" w:pos="2067" w:val="left"/>
        </w:tabs>
        <w:numPr>
          <w:ilvl w:val="0"/>
          <w:numId w:val="151"/>
        </w:numPr>
        <w:rPr>
          <w:rFonts w:ascii="Arial" w:cs="Arial" w:eastAsia="Arial" w:hAnsi="Arial"/>
          <w:sz w:val="19"/>
          <w:szCs w:val="19"/>
          <w:color w:val="auto"/>
        </w:rPr>
      </w:pPr>
      <w:r>
        <w:rPr>
          <w:rFonts w:ascii="Arial" w:cs="Arial" w:eastAsia="Arial" w:hAnsi="Arial"/>
          <w:sz w:val="19"/>
          <w:szCs w:val="19"/>
          <w:b w:val="1"/>
          <w:bCs w:val="1"/>
          <w:color w:val="auto"/>
        </w:rPr>
        <w:t>Check if Transfer is Pursuant to Regulation S</w:t>
      </w:r>
      <w:r>
        <w:rPr>
          <w:rFonts w:ascii="Arial" w:cs="Arial" w:eastAsia="Arial" w:hAnsi="Arial"/>
          <w:sz w:val="19"/>
          <w:szCs w:val="19"/>
          <w:color w:val="auto"/>
        </w:rPr>
        <w:t>. (i) The Transfer is being effected pursuant to and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44" w:lineRule="exact"/>
        <w:rPr>
          <w:rFonts w:ascii="Arial" w:cs="Arial" w:eastAsia="Arial" w:hAnsi="Arial"/>
          <w:sz w:val="19"/>
          <w:szCs w:val="19"/>
          <w:color w:val="auto"/>
        </w:rPr>
      </w:pPr>
    </w:p>
    <w:p>
      <w:pPr>
        <w:jc w:val="both"/>
        <w:ind w:left="660" w:firstLine="644"/>
        <w:spacing w:after="0" w:line="291" w:lineRule="auto"/>
        <w:tabs>
          <w:tab w:leader="none" w:pos="1961" w:val="left"/>
        </w:tabs>
        <w:numPr>
          <w:ilvl w:val="0"/>
          <w:numId w:val="151"/>
        </w:numPr>
        <w:rPr>
          <w:rFonts w:ascii="Arial" w:cs="Arial" w:eastAsia="Arial" w:hAnsi="Arial"/>
          <w:sz w:val="19"/>
          <w:szCs w:val="19"/>
          <w:color w:val="auto"/>
        </w:rPr>
      </w:pPr>
      <w:r>
        <w:rPr>
          <w:rFonts w:ascii="Arial" w:cs="Arial" w:eastAsia="Arial" w:hAnsi="Arial"/>
          <w:sz w:val="19"/>
          <w:szCs w:val="19"/>
          <w:b w:val="1"/>
          <w:bCs w:val="1"/>
          <w:color w:val="auto"/>
        </w:rPr>
        <w:t>Check if Transfer is Pursuant to Other Exemption</w:t>
      </w:r>
      <w:r>
        <w:rPr>
          <w:rFonts w:ascii="Arial" w:cs="Arial" w:eastAsia="Arial" w:hAnsi="Arial"/>
          <w:sz w:val="19"/>
          <w:szCs w:val="19"/>
          <w:color w:val="auto"/>
        </w:rPr>
        <w:t>. (i) The Transfer is being effected pursuant to and in</w:t>
      </w:r>
      <w:r>
        <w:rPr>
          <w:rFonts w:ascii="Arial" w:cs="Arial" w:eastAsia="Arial" w:hAnsi="Arial"/>
          <w:sz w:val="19"/>
          <w:szCs w:val="19"/>
          <w:b w:val="1"/>
          <w:bCs w:val="1"/>
          <w:color w:val="auto"/>
        </w:rPr>
        <w:t xml:space="preserve"> </w:t>
      </w:r>
      <w:r>
        <w:rPr>
          <w:rFonts w:ascii="Arial" w:cs="Arial" w:eastAsia="Arial" w:hAnsi="Arial"/>
          <w:sz w:val="19"/>
          <w:szCs w:val="19"/>
          <w:color w:val="auto"/>
        </w:rPr>
        <w:t>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certificate and the statements contained herein are made for your benefit and the benefit of the Issuer.</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w:t>
      </w:r>
    </w:p>
    <w:p>
      <w:pPr>
        <w:spacing w:after="0" w:line="21"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[Insert Name of Transferor]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40" w:type="dxa"/>
            <w:vAlign w:val="bottom"/>
          </w:tcPr>
          <w:p>
            <w:pPr>
              <w:spacing w:after="0"/>
              <w:rPr>
                <w:sz w:val="20"/>
                <w:szCs w:val="20"/>
                <w:color w:val="auto"/>
              </w:rPr>
            </w:pPr>
            <w:r>
              <w:rPr>
                <w:rFonts w:ascii="Arial" w:cs="Arial" w:eastAsia="Arial" w:hAnsi="Arial"/>
                <w:sz w:val="11"/>
                <w:szCs w:val="11"/>
                <w:color w:val="auto"/>
              </w:rPr>
              <w:t>ASIA 34064015</w:t>
            </w:r>
          </w:p>
        </w:tc>
        <w:tc>
          <w:tcPr>
            <w:tcW w:w="2660" w:type="dxa"/>
            <w:vAlign w:val="bottom"/>
          </w:tcPr>
          <w:p>
            <w:pPr>
              <w:ind w:left="2320"/>
              <w:spacing w:after="0"/>
              <w:rPr>
                <w:sz w:val="20"/>
                <w:szCs w:val="20"/>
                <w:color w:val="auto"/>
              </w:rPr>
            </w:pPr>
            <w:r>
              <w:rPr>
                <w:rFonts w:ascii="Arial" w:cs="Arial" w:eastAsia="Arial" w:hAnsi="Arial"/>
                <w:sz w:val="22"/>
                <w:szCs w:val="22"/>
                <w:color w:val="auto"/>
                <w:w w:val="93"/>
              </w:rPr>
              <w:t>B-3</w:t>
            </w:r>
          </w:p>
        </w:tc>
      </w:tr>
    </w:tbl>
    <w:p>
      <w:pPr>
        <w:sectPr>
          <w:pgSz w:w="11900" w:h="16838" w:orient="portrait"/>
          <w:cols w:equalWidth="0" w:num="1">
            <w:col w:w="11240"/>
          </w:cols>
          <w:pgMar w:left="320" w:top="1427" w:right="339" w:bottom="1440" w:gutter="0" w:footer="0" w:header="0"/>
        </w:sectPr>
      </w:pPr>
    </w:p>
    <w:bookmarkStart w:id="150" w:name="page151"/>
    <w:bookmarkEnd w:id="150"/>
    <w:p>
      <w:pPr>
        <w:ind w:right="2419" w:firstLine="3521"/>
        <w:spacing w:after="0" w:line="263" w:lineRule="auto"/>
        <w:rPr>
          <w:sz w:val="20"/>
          <w:szCs w:val="20"/>
          <w:color w:val="auto"/>
        </w:rPr>
      </w:pPr>
      <w:r>
        <w:rPr>
          <w:rFonts w:ascii="Arial" w:cs="Arial" w:eastAsia="Arial" w:hAnsi="Arial"/>
          <w:sz w:val="22"/>
          <w:szCs w:val="22"/>
          <w:color w:val="auto"/>
        </w:rPr>
        <w:t>ANNEX A TO CERTIFICATE OF TRANSFER 1. The Transferor owns and proposes to transfer the following:</w:t>
      </w:r>
    </w:p>
    <w:p>
      <w:pPr>
        <w:spacing w:after="0" w:line="175"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[CHECK ONE OF (a) OR (b)]</w:t>
      </w:r>
    </w:p>
    <w:p>
      <w:pPr>
        <w:spacing w:after="0" w:line="220" w:lineRule="exact"/>
        <w:rPr>
          <w:sz w:val="20"/>
          <w:szCs w:val="20"/>
          <w:color w:val="auto"/>
        </w:rPr>
      </w:pPr>
    </w:p>
    <w:p>
      <w:pPr>
        <w:ind w:left="1300" w:hanging="644"/>
        <w:spacing w:after="0"/>
        <w:tabs>
          <w:tab w:leader="none" w:pos="1300" w:val="left"/>
        </w:tabs>
        <w:numPr>
          <w:ilvl w:val="1"/>
          <w:numId w:val="152"/>
        </w:numPr>
        <w:rPr>
          <w:rFonts w:ascii="Arial" w:cs="Arial" w:eastAsia="Arial" w:hAnsi="Arial"/>
          <w:sz w:val="22"/>
          <w:szCs w:val="22"/>
          <w:color w:val="auto"/>
        </w:rPr>
      </w:pPr>
      <w:r>
        <w:rPr>
          <w:rFonts w:ascii="Arial" w:cs="Arial" w:eastAsia="Arial" w:hAnsi="Arial"/>
          <w:sz w:val="22"/>
          <w:szCs w:val="22"/>
          <w:color w:val="auto"/>
        </w:rPr>
        <w:t>a beneficial interest in the:</w:t>
      </w:r>
    </w:p>
    <w:p>
      <w:pPr>
        <w:spacing w:after="0" w:line="219" w:lineRule="exact"/>
        <w:rPr>
          <w:rFonts w:ascii="Arial" w:cs="Arial" w:eastAsia="Arial" w:hAnsi="Arial"/>
          <w:sz w:val="22"/>
          <w:szCs w:val="22"/>
          <w:color w:val="auto"/>
        </w:rPr>
      </w:pPr>
    </w:p>
    <w:p>
      <w:pPr>
        <w:ind w:left="1900" w:hanging="596"/>
        <w:spacing w:after="0"/>
        <w:tabs>
          <w:tab w:leader="none" w:pos="1900" w:val="left"/>
        </w:tabs>
        <w:numPr>
          <w:ilvl w:val="2"/>
          <w:numId w:val="152"/>
        </w:numPr>
        <w:rPr>
          <w:rFonts w:ascii="Arial" w:cs="Arial" w:eastAsia="Arial" w:hAnsi="Arial"/>
          <w:sz w:val="22"/>
          <w:szCs w:val="22"/>
          <w:color w:val="auto"/>
        </w:rPr>
      </w:pPr>
      <w:r>
        <w:rPr>
          <w:rFonts w:ascii="Arial" w:cs="Arial" w:eastAsia="Arial" w:hAnsi="Arial"/>
          <w:sz w:val="22"/>
          <w:szCs w:val="22"/>
          <w:color w:val="auto"/>
        </w:rPr>
        <w:t>144A Global Note (CUSIP __________), or</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2"/>
          <w:numId w:val="152"/>
        </w:numPr>
        <w:rPr>
          <w:rFonts w:ascii="Arial" w:cs="Arial" w:eastAsia="Arial" w:hAnsi="Arial"/>
          <w:sz w:val="22"/>
          <w:szCs w:val="22"/>
          <w:color w:val="auto"/>
        </w:rPr>
      </w:pPr>
      <w:r>
        <w:rPr>
          <w:rFonts w:ascii="Arial" w:cs="Arial" w:eastAsia="Arial" w:hAnsi="Arial"/>
          <w:sz w:val="22"/>
          <w:szCs w:val="22"/>
          <w:color w:val="auto"/>
        </w:rPr>
        <w:t>Regulation S Global Note (CUSIP __________), or</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152"/>
        </w:numPr>
        <w:rPr>
          <w:rFonts w:ascii="Arial" w:cs="Arial" w:eastAsia="Arial" w:hAnsi="Arial"/>
          <w:sz w:val="22"/>
          <w:szCs w:val="22"/>
          <w:color w:val="auto"/>
        </w:rPr>
      </w:pPr>
      <w:r>
        <w:rPr>
          <w:rFonts w:ascii="Arial" w:cs="Arial" w:eastAsia="Arial" w:hAnsi="Arial"/>
          <w:sz w:val="22"/>
          <w:szCs w:val="22"/>
          <w:color w:val="auto"/>
        </w:rPr>
        <w:t>a Restricted Definitive Note.</w:t>
      </w:r>
    </w:p>
    <w:p>
      <w:pPr>
        <w:spacing w:after="0" w:line="219" w:lineRule="exact"/>
        <w:rPr>
          <w:rFonts w:ascii="Arial" w:cs="Arial" w:eastAsia="Arial" w:hAnsi="Arial"/>
          <w:sz w:val="22"/>
          <w:szCs w:val="22"/>
          <w:color w:val="auto"/>
        </w:rPr>
      </w:pPr>
    </w:p>
    <w:p>
      <w:pPr>
        <w:ind w:left="380" w:hanging="372"/>
        <w:spacing w:after="0"/>
        <w:tabs>
          <w:tab w:leader="none" w:pos="38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After the Transfer the Transferee will hold:</w:t>
      </w:r>
    </w:p>
    <w:p>
      <w:pPr>
        <w:spacing w:after="0" w:line="220"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[CHECK ONE]</w:t>
      </w:r>
    </w:p>
    <w:p>
      <w:pPr>
        <w:spacing w:after="0" w:line="220" w:lineRule="exact"/>
        <w:rPr>
          <w:sz w:val="20"/>
          <w:szCs w:val="20"/>
          <w:color w:val="auto"/>
        </w:rPr>
      </w:pPr>
    </w:p>
    <w:p>
      <w:pPr>
        <w:ind w:left="1300" w:hanging="644"/>
        <w:spacing w:after="0"/>
        <w:tabs>
          <w:tab w:leader="none" w:pos="130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a beneficial interest in the:</w:t>
      </w:r>
    </w:p>
    <w:p>
      <w:pPr>
        <w:spacing w:after="0" w:line="219" w:lineRule="exact"/>
        <w:rPr>
          <w:rFonts w:ascii="Arial" w:cs="Arial" w:eastAsia="Arial" w:hAnsi="Arial"/>
          <w:sz w:val="22"/>
          <w:szCs w:val="22"/>
          <w:color w:val="auto"/>
        </w:rPr>
      </w:pPr>
    </w:p>
    <w:p>
      <w:pPr>
        <w:ind w:left="1900" w:hanging="596"/>
        <w:spacing w:after="0"/>
        <w:tabs>
          <w:tab w:leader="none" w:pos="1900" w:val="left"/>
        </w:tabs>
        <w:numPr>
          <w:ilvl w:val="1"/>
          <w:numId w:val="154"/>
        </w:numPr>
        <w:rPr>
          <w:rFonts w:ascii="Arial" w:cs="Arial" w:eastAsia="Arial" w:hAnsi="Arial"/>
          <w:sz w:val="22"/>
          <w:szCs w:val="22"/>
          <w:color w:val="auto"/>
        </w:rPr>
      </w:pPr>
      <w:r>
        <w:rPr>
          <w:rFonts w:ascii="Arial" w:cs="Arial" w:eastAsia="Arial" w:hAnsi="Arial"/>
          <w:sz w:val="22"/>
          <w:szCs w:val="22"/>
          <w:color w:val="auto"/>
        </w:rPr>
        <w:t>144A Global Note (CUSIP __________), or</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1"/>
          <w:numId w:val="154"/>
        </w:numPr>
        <w:rPr>
          <w:rFonts w:ascii="Arial" w:cs="Arial" w:eastAsia="Arial" w:hAnsi="Arial"/>
          <w:sz w:val="22"/>
          <w:szCs w:val="22"/>
          <w:color w:val="auto"/>
        </w:rPr>
      </w:pPr>
      <w:r>
        <w:rPr>
          <w:rFonts w:ascii="Arial" w:cs="Arial" w:eastAsia="Arial" w:hAnsi="Arial"/>
          <w:sz w:val="22"/>
          <w:szCs w:val="22"/>
          <w:color w:val="auto"/>
        </w:rPr>
        <w:t>Regulation S Global Note (CUSIP __________), or</w:t>
      </w:r>
    </w:p>
    <w:p>
      <w:pPr>
        <w:spacing w:after="0" w:line="219" w:lineRule="exact"/>
        <w:rPr>
          <w:rFonts w:ascii="Arial" w:cs="Arial" w:eastAsia="Arial" w:hAnsi="Arial"/>
          <w:sz w:val="22"/>
          <w:szCs w:val="22"/>
          <w:color w:val="auto"/>
        </w:rPr>
      </w:pPr>
    </w:p>
    <w:p>
      <w:pPr>
        <w:ind w:left="2020" w:hanging="716"/>
        <w:spacing w:after="0"/>
        <w:tabs>
          <w:tab w:leader="none" w:pos="2020" w:val="left"/>
        </w:tabs>
        <w:numPr>
          <w:ilvl w:val="1"/>
          <w:numId w:val="154"/>
        </w:numPr>
        <w:rPr>
          <w:rFonts w:ascii="Arial" w:cs="Arial" w:eastAsia="Arial" w:hAnsi="Arial"/>
          <w:sz w:val="22"/>
          <w:szCs w:val="22"/>
          <w:color w:val="auto"/>
        </w:rPr>
      </w:pPr>
      <w:r>
        <w:rPr>
          <w:rFonts w:ascii="Arial" w:cs="Arial" w:eastAsia="Arial" w:hAnsi="Arial"/>
          <w:sz w:val="22"/>
          <w:szCs w:val="22"/>
          <w:color w:val="auto"/>
        </w:rPr>
        <w:t>Unrestricted Global Note (CUSIP __________); or</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a Restricted Definitive Note; or</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an Unrestricted Definitive Note,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accordance with the terms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40" w:type="dxa"/>
            <w:vAlign w:val="bottom"/>
          </w:tcPr>
          <w:p>
            <w:pPr>
              <w:spacing w:after="0"/>
              <w:rPr>
                <w:sz w:val="20"/>
                <w:szCs w:val="20"/>
                <w:color w:val="auto"/>
              </w:rPr>
            </w:pPr>
            <w:r>
              <w:rPr>
                <w:rFonts w:ascii="Arial" w:cs="Arial" w:eastAsia="Arial" w:hAnsi="Arial"/>
                <w:sz w:val="11"/>
                <w:szCs w:val="11"/>
                <w:color w:val="auto"/>
              </w:rPr>
              <w:t>ASIA 34064015</w:t>
            </w:r>
          </w:p>
        </w:tc>
        <w:tc>
          <w:tcPr>
            <w:tcW w:w="2660" w:type="dxa"/>
            <w:vAlign w:val="bottom"/>
          </w:tcPr>
          <w:p>
            <w:pPr>
              <w:ind w:left="2320"/>
              <w:spacing w:after="0"/>
              <w:rPr>
                <w:sz w:val="20"/>
                <w:szCs w:val="20"/>
                <w:color w:val="auto"/>
              </w:rPr>
            </w:pPr>
            <w:r>
              <w:rPr>
                <w:rFonts w:ascii="Arial" w:cs="Arial" w:eastAsia="Arial" w:hAnsi="Arial"/>
                <w:sz w:val="22"/>
                <w:szCs w:val="22"/>
                <w:color w:val="auto"/>
                <w:w w:val="93"/>
              </w:rPr>
              <w:t>B-4</w:t>
            </w:r>
          </w:p>
        </w:tc>
      </w:tr>
    </w:tbl>
    <w:p>
      <w:pPr>
        <w:sectPr>
          <w:pgSz w:w="11900" w:h="16838" w:orient="portrait"/>
          <w:cols w:equalWidth="0" w:num="1">
            <w:col w:w="10139"/>
          </w:cols>
          <w:pgMar w:left="320" w:top="1427" w:right="1440" w:bottom="1440" w:gutter="0" w:footer="0" w:header="0"/>
        </w:sectPr>
      </w:pPr>
    </w:p>
    <w:bookmarkStart w:id="151" w:name="page152"/>
    <w:bookmarkEnd w:id="151"/>
    <w:p>
      <w:pPr>
        <w:jc w:val="right"/>
        <w:spacing w:after="0"/>
        <w:rPr>
          <w:sz w:val="20"/>
          <w:szCs w:val="20"/>
          <w:color w:val="auto"/>
        </w:rPr>
      </w:pPr>
      <w:r>
        <w:rPr>
          <w:rFonts w:ascii="Arial" w:cs="Arial" w:eastAsia="Arial" w:hAnsi="Arial"/>
          <w:sz w:val="22"/>
          <w:szCs w:val="22"/>
          <w:color w:val="auto"/>
        </w:rPr>
        <w:t>EXHIBIT 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CERTIFICATE OF EXCHANGE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Wynn Macau, Limited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Avenida da Nave Desportiva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Cotai</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Macau SAR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Mr. Jason Schall</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Deutsche Bank Trust Company Americas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 DB Services Americas,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5022 Gate Parkway, Suite 200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Jacksonville, FL 32256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Transfer Department, Wynn Macau – SF0965</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 5.625% Senior Notes due 2028</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(CUSIP [ ])</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Reference is hereby made to the Indenture, dated as of August 26, 2020 (the “</w:t>
      </w:r>
      <w:r>
        <w:rPr>
          <w:rFonts w:ascii="Arial" w:cs="Arial" w:eastAsia="Arial" w:hAnsi="Arial"/>
          <w:sz w:val="22"/>
          <w:szCs w:val="22"/>
          <w:i w:val="1"/>
          <w:iCs w:val="1"/>
          <w:color w:val="auto"/>
        </w:rPr>
        <w:t>Indenture</w:t>
      </w:r>
      <w:r>
        <w:rPr>
          <w:rFonts w:ascii="Arial" w:cs="Arial" w:eastAsia="Arial" w:hAnsi="Arial"/>
          <w:sz w:val="22"/>
          <w:szCs w:val="22"/>
          <w:color w:val="auto"/>
        </w:rPr>
        <w:t>”), between Wynn Macau, Limited, as issuer (the “</w:t>
      </w:r>
      <w:r>
        <w:rPr>
          <w:rFonts w:ascii="Arial" w:cs="Arial" w:eastAsia="Arial" w:hAnsi="Arial"/>
          <w:sz w:val="22"/>
          <w:szCs w:val="22"/>
          <w:i w:val="1"/>
          <w:iCs w:val="1"/>
          <w:color w:val="auto"/>
        </w:rPr>
        <w:t>Issuer</w:t>
      </w:r>
      <w:r>
        <w:rPr>
          <w:rFonts w:ascii="Arial" w:cs="Arial" w:eastAsia="Arial" w:hAnsi="Arial"/>
          <w:sz w:val="22"/>
          <w:szCs w:val="22"/>
          <w:color w:val="auto"/>
        </w:rPr>
        <w:t>”), and Deutsche Bank Trust Company Americas, as trustee. Capitalized terms used but not defined herein shall have the meanings given to them in the Indenture.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___________________________, (the “</w:t>
      </w:r>
      <w:r>
        <w:rPr>
          <w:rFonts w:ascii="Arial" w:cs="Arial" w:eastAsia="Arial" w:hAnsi="Arial"/>
          <w:sz w:val="19"/>
          <w:szCs w:val="19"/>
          <w:i w:val="1"/>
          <w:iCs w:val="1"/>
          <w:color w:val="auto"/>
        </w:rPr>
        <w:t>Owner</w:t>
      </w:r>
      <w:r>
        <w:rPr>
          <w:rFonts w:ascii="Arial" w:cs="Arial" w:eastAsia="Arial" w:hAnsi="Arial"/>
          <w:sz w:val="19"/>
          <w:szCs w:val="19"/>
          <w:color w:val="auto"/>
        </w:rPr>
        <w:t>”) owns and proposes to exchange the Note[s] or interest in such Note[s]</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specified herein, in the principal amount of US$_________ in such Note[s] or interests (the “</w:t>
      </w:r>
      <w:r>
        <w:rPr>
          <w:rFonts w:ascii="Arial" w:cs="Arial" w:eastAsia="Arial" w:hAnsi="Arial"/>
          <w:sz w:val="19"/>
          <w:szCs w:val="19"/>
          <w:i w:val="1"/>
          <w:iCs w:val="1"/>
          <w:color w:val="auto"/>
        </w:rPr>
        <w:t>Exchange</w:t>
      </w:r>
      <w:r>
        <w:rPr>
          <w:rFonts w:ascii="Arial" w:cs="Arial" w:eastAsia="Arial" w:hAnsi="Arial"/>
          <w:sz w:val="19"/>
          <w:szCs w:val="19"/>
          <w:color w:val="auto"/>
        </w:rPr>
        <w:t>”). In connection with the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Exchange, the Owner hereby certifies that:</w:t>
      </w:r>
    </w:p>
    <w:p>
      <w:pPr>
        <w:spacing w:after="0" w:line="196" w:lineRule="exact"/>
        <w:rPr>
          <w:sz w:val="20"/>
          <w:szCs w:val="20"/>
          <w:color w:val="auto"/>
        </w:rPr>
      </w:pPr>
    </w:p>
    <w:p>
      <w:pPr>
        <w:ind w:right="20" w:firstLine="656"/>
        <w:spacing w:after="0" w:line="269" w:lineRule="auto"/>
        <w:tabs>
          <w:tab w:leader="none" w:pos="1093" w:val="left"/>
        </w:tabs>
        <w:numPr>
          <w:ilvl w:val="0"/>
          <w:numId w:val="155"/>
        </w:numPr>
        <w:rPr>
          <w:rFonts w:ascii="Arial" w:cs="Arial" w:eastAsia="Arial" w:hAnsi="Arial"/>
          <w:sz w:val="22"/>
          <w:szCs w:val="22"/>
          <w:color w:val="auto"/>
        </w:rPr>
      </w:pPr>
      <w:r>
        <w:rPr>
          <w:rFonts w:ascii="Arial" w:cs="Arial" w:eastAsia="Arial" w:hAnsi="Arial"/>
          <w:sz w:val="22"/>
          <w:szCs w:val="22"/>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162" w:lineRule="exact"/>
        <w:rPr>
          <w:sz w:val="20"/>
          <w:szCs w:val="20"/>
          <w:color w:val="auto"/>
        </w:rPr>
      </w:pPr>
    </w:p>
    <w:p>
      <w:pPr>
        <w:jc w:val="both"/>
        <w:ind w:firstLine="656"/>
        <w:spacing w:after="0" w:line="291" w:lineRule="auto"/>
        <w:tabs>
          <w:tab w:leader="none" w:pos="1665" w:val="left"/>
        </w:tabs>
        <w:numPr>
          <w:ilvl w:val="0"/>
          <w:numId w:val="156"/>
        </w:numPr>
        <w:rPr>
          <w:rFonts w:ascii="Arial" w:cs="Arial" w:eastAsia="Arial" w:hAnsi="Arial"/>
          <w:sz w:val="19"/>
          <w:szCs w:val="19"/>
          <w:color w:val="auto"/>
        </w:rPr>
      </w:pPr>
      <w:r>
        <w:rPr>
          <w:rFonts w:ascii="Arial" w:cs="Arial" w:eastAsia="Arial" w:hAnsi="Arial"/>
          <w:sz w:val="19"/>
          <w:szCs w:val="19"/>
          <w:b w:val="1"/>
          <w:bCs w:val="1"/>
          <w:color w:val="auto"/>
        </w:rPr>
        <w:t>Check if Exchange is from beneficial interest in a Restricted Global Note to beneficial interest in an Unrestricted Global Note</w:t>
      </w:r>
      <w:r>
        <w:rPr>
          <w:rFonts w:ascii="Arial" w:cs="Arial" w:eastAsia="Arial" w:hAnsi="Arial"/>
          <w:sz w:val="19"/>
          <w:szCs w:val="19"/>
          <w:color w:val="auto"/>
        </w:rPr>
        <w:t>. In connection with the Exchange of the Owner’s beneficial interest in a Restricted Global Note for a</w:t>
      </w:r>
      <w:r>
        <w:rPr>
          <w:rFonts w:ascii="Arial" w:cs="Arial" w:eastAsia="Arial" w:hAnsi="Arial"/>
          <w:sz w:val="19"/>
          <w:szCs w:val="19"/>
          <w:b w:val="1"/>
          <w:bCs w:val="1"/>
          <w:color w:val="auto"/>
        </w:rPr>
        <w:t xml:space="preserve"> </w:t>
      </w:r>
      <w:r>
        <w:rPr>
          <w:rFonts w:ascii="Arial" w:cs="Arial" w:eastAsia="Arial" w:hAnsi="Arial"/>
          <w:sz w:val="19"/>
          <w:szCs w:val="19"/>
          <w:color w:val="auto"/>
        </w:rPr>
        <w:t>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United States Securities Act of 1933, as amended (the “</w:t>
      </w:r>
      <w:r>
        <w:rPr>
          <w:rFonts w:ascii="Arial" w:cs="Arial" w:eastAsia="Arial" w:hAnsi="Arial"/>
          <w:sz w:val="19"/>
          <w:szCs w:val="19"/>
          <w:i w:val="1"/>
          <w:iCs w:val="1"/>
          <w:color w:val="auto"/>
        </w:rPr>
        <w:t>Securities Act</w:t>
      </w:r>
      <w:r>
        <w:rPr>
          <w:rFonts w:ascii="Arial" w:cs="Arial" w:eastAsia="Arial" w:hAnsi="Arial"/>
          <w:sz w:val="19"/>
          <w:szCs w:val="19"/>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40" w:type="dxa"/>
            <w:vAlign w:val="bottom"/>
          </w:tcPr>
          <w:p>
            <w:pPr>
              <w:spacing w:after="0"/>
              <w:rPr>
                <w:sz w:val="20"/>
                <w:szCs w:val="20"/>
                <w:color w:val="auto"/>
              </w:rPr>
            </w:pPr>
            <w:r>
              <w:rPr>
                <w:rFonts w:ascii="Arial" w:cs="Arial" w:eastAsia="Arial" w:hAnsi="Arial"/>
                <w:sz w:val="11"/>
                <w:szCs w:val="11"/>
                <w:color w:val="auto"/>
              </w:rPr>
              <w:t>ASIA 34064015</w:t>
            </w:r>
          </w:p>
        </w:tc>
        <w:tc>
          <w:tcPr>
            <w:tcW w:w="2660" w:type="dxa"/>
            <w:vAlign w:val="bottom"/>
          </w:tcPr>
          <w:p>
            <w:pPr>
              <w:ind w:left="2320"/>
              <w:spacing w:after="0"/>
              <w:rPr>
                <w:sz w:val="20"/>
                <w:szCs w:val="20"/>
                <w:color w:val="auto"/>
              </w:rPr>
            </w:pPr>
            <w:r>
              <w:rPr>
                <w:rFonts w:ascii="Arial" w:cs="Arial" w:eastAsia="Arial" w:hAnsi="Arial"/>
                <w:sz w:val="22"/>
                <w:szCs w:val="22"/>
                <w:color w:val="auto"/>
                <w:w w:val="90"/>
              </w:rPr>
              <w:t>C-1</w:t>
            </w:r>
          </w:p>
        </w:tc>
      </w:tr>
    </w:tbl>
    <w:p>
      <w:pPr>
        <w:sectPr>
          <w:pgSz w:w="11900" w:h="16838" w:orient="portrait"/>
          <w:cols w:equalWidth="0" w:num="1">
            <w:col w:w="11240"/>
          </w:cols>
          <w:pgMar w:left="320" w:top="1427" w:right="339" w:bottom="1440" w:gutter="0" w:footer="0" w:header="0"/>
        </w:sectPr>
      </w:pPr>
    </w:p>
    <w:bookmarkStart w:id="152" w:name="page153"/>
    <w:bookmarkEnd w:id="152"/>
    <w:p>
      <w:pPr>
        <w:jc w:val="both"/>
        <w:ind w:firstLine="656"/>
        <w:spacing w:after="0" w:line="293" w:lineRule="auto"/>
        <w:tabs>
          <w:tab w:leader="none" w:pos="1502" w:val="left"/>
        </w:tabs>
        <w:numPr>
          <w:ilvl w:val="0"/>
          <w:numId w:val="157"/>
        </w:numPr>
        <w:rPr>
          <w:rFonts w:ascii="Arial" w:cs="Arial" w:eastAsia="Arial" w:hAnsi="Arial"/>
          <w:sz w:val="19"/>
          <w:szCs w:val="19"/>
          <w:color w:val="auto"/>
        </w:rPr>
      </w:pPr>
      <w:r>
        <w:rPr>
          <w:rFonts w:ascii="Arial" w:cs="Arial" w:eastAsia="Arial" w:hAnsi="Arial"/>
          <w:sz w:val="19"/>
          <w:szCs w:val="19"/>
          <w:b w:val="1"/>
          <w:bCs w:val="1"/>
          <w:color w:val="auto"/>
        </w:rPr>
        <w:t>Check if Exchange is from beneficial interest in a Restricted Global Note to Unrestricted Definitive Note</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In 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44" w:lineRule="exact"/>
        <w:rPr>
          <w:rFonts w:ascii="Arial" w:cs="Arial" w:eastAsia="Arial" w:hAnsi="Arial"/>
          <w:sz w:val="19"/>
          <w:szCs w:val="19"/>
          <w:color w:val="auto"/>
        </w:rPr>
      </w:pPr>
    </w:p>
    <w:p>
      <w:pPr>
        <w:jc w:val="both"/>
        <w:ind w:firstLine="656"/>
        <w:spacing w:after="0" w:line="293" w:lineRule="auto"/>
        <w:tabs>
          <w:tab w:leader="none" w:pos="1449" w:val="left"/>
        </w:tabs>
        <w:numPr>
          <w:ilvl w:val="0"/>
          <w:numId w:val="157"/>
        </w:numPr>
        <w:rPr>
          <w:rFonts w:ascii="Arial" w:cs="Arial" w:eastAsia="Arial" w:hAnsi="Arial"/>
          <w:sz w:val="19"/>
          <w:szCs w:val="19"/>
          <w:color w:val="auto"/>
        </w:rPr>
      </w:pPr>
      <w:r>
        <w:rPr>
          <w:rFonts w:ascii="Arial" w:cs="Arial" w:eastAsia="Arial" w:hAnsi="Arial"/>
          <w:sz w:val="19"/>
          <w:szCs w:val="19"/>
          <w:b w:val="1"/>
          <w:bCs w:val="1"/>
          <w:color w:val="auto"/>
        </w:rPr>
        <w:t>Check if Exchange is from Restricted Definitive Note to beneficial interest in an Unrestricted Global Note</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In 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44" w:lineRule="exact"/>
        <w:rPr>
          <w:rFonts w:ascii="Arial" w:cs="Arial" w:eastAsia="Arial" w:hAnsi="Arial"/>
          <w:sz w:val="19"/>
          <w:szCs w:val="19"/>
          <w:color w:val="auto"/>
        </w:rPr>
      </w:pPr>
    </w:p>
    <w:p>
      <w:pPr>
        <w:jc w:val="both"/>
        <w:ind w:firstLine="656"/>
        <w:spacing w:after="0" w:line="293" w:lineRule="auto"/>
        <w:tabs>
          <w:tab w:leader="none" w:pos="1542" w:val="left"/>
        </w:tabs>
        <w:numPr>
          <w:ilvl w:val="0"/>
          <w:numId w:val="157"/>
        </w:numPr>
        <w:rPr>
          <w:rFonts w:ascii="Arial" w:cs="Arial" w:eastAsia="Arial" w:hAnsi="Arial"/>
          <w:sz w:val="19"/>
          <w:szCs w:val="19"/>
          <w:color w:val="auto"/>
        </w:rPr>
      </w:pPr>
      <w:r>
        <w:rPr>
          <w:rFonts w:ascii="Arial" w:cs="Arial" w:eastAsia="Arial" w:hAnsi="Arial"/>
          <w:sz w:val="19"/>
          <w:szCs w:val="19"/>
          <w:b w:val="1"/>
          <w:bCs w:val="1"/>
          <w:color w:val="auto"/>
        </w:rPr>
        <w:t>Check if Exchange is from Restricted Definitive Note to Unrestricted Definitive Note</w:t>
      </w:r>
      <w:r>
        <w:rPr>
          <w:rFonts w:ascii="Arial" w:cs="Arial" w:eastAsia="Arial" w:hAnsi="Arial"/>
          <w:sz w:val="19"/>
          <w:szCs w:val="19"/>
          <w:color w:val="auto"/>
        </w:rPr>
        <w:t>. In connection with</w:t>
      </w:r>
      <w:r>
        <w:rPr>
          <w:rFonts w:ascii="Arial" w:cs="Arial" w:eastAsia="Arial" w:hAnsi="Arial"/>
          <w:sz w:val="19"/>
          <w:szCs w:val="19"/>
          <w:b w:val="1"/>
          <w:bCs w:val="1"/>
          <w:color w:val="auto"/>
        </w:rPr>
        <w:t xml:space="preserve"> </w:t>
      </w:r>
      <w:r>
        <w:rPr>
          <w:rFonts w:ascii="Arial" w:cs="Arial" w:eastAsia="Arial" w:hAnsi="Arial"/>
          <w:sz w:val="19"/>
          <w:szCs w:val="19"/>
          <w:color w:val="auto"/>
        </w:rPr>
        <w:t>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44" w:lineRule="exact"/>
        <w:rPr>
          <w:sz w:val="20"/>
          <w:szCs w:val="20"/>
          <w:color w:val="auto"/>
        </w:rPr>
      </w:pPr>
    </w:p>
    <w:p>
      <w:pPr>
        <w:ind w:firstLine="656"/>
        <w:spacing w:after="0" w:line="269" w:lineRule="auto"/>
        <w:tabs>
          <w:tab w:leader="none" w:pos="1174" w:val="left"/>
        </w:tabs>
        <w:numPr>
          <w:ilvl w:val="0"/>
          <w:numId w:val="158"/>
        </w:numPr>
        <w:rPr>
          <w:rFonts w:ascii="Arial" w:cs="Arial" w:eastAsia="Arial" w:hAnsi="Arial"/>
          <w:sz w:val="22"/>
          <w:szCs w:val="22"/>
          <w:color w:val="auto"/>
        </w:rPr>
      </w:pPr>
      <w:r>
        <w:rPr>
          <w:rFonts w:ascii="Arial" w:cs="Arial" w:eastAsia="Arial" w:hAnsi="Arial"/>
          <w:sz w:val="22"/>
          <w:szCs w:val="22"/>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162" w:lineRule="exact"/>
        <w:rPr>
          <w:sz w:val="20"/>
          <w:szCs w:val="20"/>
          <w:color w:val="auto"/>
        </w:rPr>
      </w:pPr>
    </w:p>
    <w:p>
      <w:pPr>
        <w:jc w:val="both"/>
        <w:ind w:firstLine="656"/>
        <w:spacing w:after="0" w:line="295" w:lineRule="auto"/>
        <w:tabs>
          <w:tab w:leader="none" w:pos="1476" w:val="left"/>
        </w:tabs>
        <w:numPr>
          <w:ilvl w:val="0"/>
          <w:numId w:val="159"/>
        </w:numPr>
        <w:rPr>
          <w:rFonts w:ascii="Arial" w:cs="Arial" w:eastAsia="Arial" w:hAnsi="Arial"/>
          <w:sz w:val="19"/>
          <w:szCs w:val="19"/>
          <w:color w:val="auto"/>
        </w:rPr>
      </w:pPr>
      <w:r>
        <w:rPr>
          <w:rFonts w:ascii="Arial" w:cs="Arial" w:eastAsia="Arial" w:hAnsi="Arial"/>
          <w:sz w:val="19"/>
          <w:szCs w:val="19"/>
          <w:b w:val="1"/>
          <w:bCs w:val="1"/>
          <w:color w:val="auto"/>
        </w:rPr>
        <w:t>Check if Exchange is from beneficial interest in a Restricted Global Note to Restricted Definitive Note</w:t>
      </w:r>
      <w:r>
        <w:rPr>
          <w:rFonts w:ascii="Arial" w:cs="Arial" w:eastAsia="Arial" w:hAnsi="Arial"/>
          <w:sz w:val="19"/>
          <w:szCs w:val="19"/>
          <w:color w:val="auto"/>
        </w:rPr>
        <w:t>. 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43" w:lineRule="exact"/>
        <w:rPr>
          <w:rFonts w:ascii="Arial" w:cs="Arial" w:eastAsia="Arial" w:hAnsi="Arial"/>
          <w:sz w:val="19"/>
          <w:szCs w:val="19"/>
          <w:color w:val="auto"/>
        </w:rPr>
      </w:pPr>
    </w:p>
    <w:p>
      <w:pPr>
        <w:ind w:left="1500" w:hanging="844"/>
        <w:spacing w:after="0"/>
        <w:tabs>
          <w:tab w:leader="none" w:pos="1500" w:val="left"/>
        </w:tabs>
        <w:numPr>
          <w:ilvl w:val="0"/>
          <w:numId w:val="159"/>
        </w:numPr>
        <w:rPr>
          <w:rFonts w:ascii="Arial" w:cs="Arial" w:eastAsia="Arial" w:hAnsi="Arial"/>
          <w:sz w:val="19"/>
          <w:szCs w:val="19"/>
          <w:color w:val="auto"/>
        </w:rPr>
      </w:pPr>
      <w:r>
        <w:rPr>
          <w:rFonts w:ascii="Arial" w:cs="Arial" w:eastAsia="Arial" w:hAnsi="Arial"/>
          <w:sz w:val="19"/>
          <w:szCs w:val="19"/>
          <w:b w:val="1"/>
          <w:bCs w:val="1"/>
          <w:color w:val="auto"/>
        </w:rPr>
        <w:t xml:space="preserve">Check if Exchange is from Restricted Definitive Note to beneficial interest in a Restricted Global Note. </w:t>
      </w:r>
      <w:r>
        <w:rPr>
          <w:rFonts w:ascii="Arial" w:cs="Arial" w:eastAsia="Arial" w:hAnsi="Arial"/>
          <w:sz w:val="19"/>
          <w:szCs w:val="19"/>
          <w:color w:val="auto"/>
        </w:rPr>
        <w:t>In</w:t>
      </w:r>
    </w:p>
    <w:p>
      <w:pPr>
        <w:spacing w:after="0" w:line="62"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connection with the Exchange of the Owner’s Restricted Definitive Note for a beneficial interest in the [CHECK ONE] 144A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40" w:type="dxa"/>
            <w:vAlign w:val="bottom"/>
          </w:tcPr>
          <w:p>
            <w:pPr>
              <w:spacing w:after="0"/>
              <w:rPr>
                <w:sz w:val="20"/>
                <w:szCs w:val="20"/>
                <w:color w:val="auto"/>
              </w:rPr>
            </w:pPr>
            <w:r>
              <w:rPr>
                <w:rFonts w:ascii="Arial" w:cs="Arial" w:eastAsia="Arial" w:hAnsi="Arial"/>
                <w:sz w:val="11"/>
                <w:szCs w:val="11"/>
                <w:color w:val="auto"/>
              </w:rPr>
              <w:t>ASIA 34064015</w:t>
            </w:r>
          </w:p>
        </w:tc>
        <w:tc>
          <w:tcPr>
            <w:tcW w:w="2660" w:type="dxa"/>
            <w:vAlign w:val="bottom"/>
          </w:tcPr>
          <w:p>
            <w:pPr>
              <w:ind w:left="2320"/>
              <w:spacing w:after="0"/>
              <w:rPr>
                <w:sz w:val="20"/>
                <w:szCs w:val="20"/>
                <w:color w:val="auto"/>
              </w:rPr>
            </w:pPr>
            <w:r>
              <w:rPr>
                <w:rFonts w:ascii="Arial" w:cs="Arial" w:eastAsia="Arial" w:hAnsi="Arial"/>
                <w:sz w:val="22"/>
                <w:szCs w:val="22"/>
                <w:color w:val="auto"/>
                <w:w w:val="90"/>
              </w:rPr>
              <w:t>C-2</w:t>
            </w:r>
          </w:p>
        </w:tc>
      </w:tr>
    </w:tbl>
    <w:p>
      <w:pPr>
        <w:sectPr>
          <w:pgSz w:w="11900" w:h="16838" w:orient="portrait"/>
          <w:cols w:equalWidth="0" w:num="1">
            <w:col w:w="11240"/>
          </w:cols>
          <w:pgMar w:left="320" w:top="1422" w:right="339" w:bottom="1440" w:gutter="0" w:footer="0" w:header="0"/>
        </w:sectPr>
      </w:pPr>
    </w:p>
    <w:bookmarkStart w:id="153" w:name="page154"/>
    <w:bookmarkEnd w:id="153"/>
    <w:p>
      <w:pPr>
        <w:jc w:val="both"/>
        <w:spacing w:after="0" w:line="294" w:lineRule="auto"/>
        <w:rPr>
          <w:sz w:val="20"/>
          <w:szCs w:val="20"/>
          <w:color w:val="auto"/>
        </w:rPr>
      </w:pPr>
      <w:r>
        <w:rPr>
          <w:rFonts w:ascii="Arial" w:cs="Arial" w:eastAsia="Arial" w:hAnsi="Arial"/>
          <w:sz w:val="19"/>
          <w:szCs w:val="19"/>
          <w:color w:val="auto"/>
        </w:rPr>
        <w:t>Note, Regulation S Global Note,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certificate and the statements contained herein are made for your benefit and the benefit of the Issuer.</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w:t>
      </w:r>
    </w:p>
    <w:p>
      <w:pPr>
        <w:spacing w:after="0" w:line="21"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[Insert Name of Transferor]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Dated:____________________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40" w:type="dxa"/>
            <w:vAlign w:val="bottom"/>
          </w:tcPr>
          <w:p>
            <w:pPr>
              <w:spacing w:after="0"/>
              <w:rPr>
                <w:sz w:val="20"/>
                <w:szCs w:val="20"/>
                <w:color w:val="auto"/>
              </w:rPr>
            </w:pPr>
            <w:r>
              <w:rPr>
                <w:rFonts w:ascii="Arial" w:cs="Arial" w:eastAsia="Arial" w:hAnsi="Arial"/>
                <w:sz w:val="11"/>
                <w:szCs w:val="11"/>
                <w:color w:val="auto"/>
              </w:rPr>
              <w:t>ASIA 34064015</w:t>
            </w:r>
          </w:p>
        </w:tc>
        <w:tc>
          <w:tcPr>
            <w:tcW w:w="2660" w:type="dxa"/>
            <w:vAlign w:val="bottom"/>
          </w:tcPr>
          <w:p>
            <w:pPr>
              <w:ind w:left="2320"/>
              <w:spacing w:after="0"/>
              <w:rPr>
                <w:sz w:val="20"/>
                <w:szCs w:val="20"/>
                <w:color w:val="auto"/>
              </w:rPr>
            </w:pPr>
            <w:r>
              <w:rPr>
                <w:rFonts w:ascii="Arial" w:cs="Arial" w:eastAsia="Arial" w:hAnsi="Arial"/>
                <w:sz w:val="22"/>
                <w:szCs w:val="22"/>
                <w:color w:val="auto"/>
                <w:w w:val="90"/>
              </w:rPr>
              <w:t>C-3</w:t>
            </w:r>
          </w:p>
        </w:tc>
      </w:tr>
    </w:tbl>
    <w:p>
      <w:pPr>
        <w:sectPr>
          <w:pgSz w:w="11900" w:h="16838" w:orient="portrait"/>
          <w:cols w:equalWidth="0" w:num="1">
            <w:col w:w="11240"/>
          </w:cols>
          <w:pgMar w:left="320" w:top="1428"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Matt Maddox, certify that:</w:t>
      </w:r>
    </w:p>
    <w:p>
      <w:pPr>
        <w:spacing w:after="0" w:line="90" w:lineRule="exact"/>
        <w:rPr>
          <w:sz w:val="20"/>
          <w:szCs w:val="20"/>
          <w:color w:val="auto"/>
        </w:rPr>
      </w:pPr>
    </w:p>
    <w:p>
      <w:pPr>
        <w:ind w:left="820" w:hanging="812"/>
        <w:spacing w:after="0"/>
        <w:tabs>
          <w:tab w:leader="none" w:pos="8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03" w:lineRule="exact"/>
        <w:rPr>
          <w:rFonts w:ascii="Arial" w:cs="Arial" w:eastAsia="Arial" w:hAnsi="Arial"/>
          <w:sz w:val="18"/>
          <w:szCs w:val="18"/>
          <w:color w:val="auto"/>
        </w:rPr>
      </w:pPr>
    </w:p>
    <w:p>
      <w:pPr>
        <w:ind w:left="820" w:right="20" w:hanging="812"/>
        <w:spacing w:after="0" w:line="263" w:lineRule="auto"/>
        <w:tabs>
          <w:tab w:leader="none" w:pos="8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820" w:right="180" w:hanging="812"/>
        <w:spacing w:after="0" w:line="308" w:lineRule="auto"/>
        <w:tabs>
          <w:tab w:leader="none" w:pos="82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20" w:right="140" w:hanging="812"/>
        <w:spacing w:after="0" w:line="291" w:lineRule="auto"/>
        <w:tabs>
          <w:tab w:leader="none" w:pos="82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89" w:lineRule="exact"/>
        <w:rPr>
          <w:rFonts w:ascii="Arial" w:cs="Arial" w:eastAsia="Arial" w:hAnsi="Arial"/>
          <w:sz w:val="16"/>
          <w:szCs w:val="16"/>
          <w:color w:val="auto"/>
        </w:rPr>
      </w:pPr>
    </w:p>
    <w:p>
      <w:pPr>
        <w:ind w:left="1620" w:right="20" w:hanging="802"/>
        <w:spacing w:after="0" w:line="286" w:lineRule="auto"/>
        <w:tabs>
          <w:tab w:leader="none" w:pos="161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7"/>
          <w:szCs w:val="17"/>
          <w:color w:val="auto"/>
        </w:rPr>
      </w:pPr>
    </w:p>
    <w:p>
      <w:pPr>
        <w:ind w:left="1620" w:right="80" w:hanging="802"/>
        <w:spacing w:after="0" w:line="263" w:lineRule="auto"/>
        <w:tabs>
          <w:tab w:leader="none" w:pos="162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620" w:right="180" w:hanging="802"/>
        <w:spacing w:after="0" w:line="263" w:lineRule="auto"/>
        <w:tabs>
          <w:tab w:leader="none" w:pos="161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620" w:right="280" w:hanging="802"/>
        <w:spacing w:after="0" w:line="286" w:lineRule="auto"/>
        <w:tabs>
          <w:tab w:leader="none" w:pos="162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rFonts w:ascii="Arial" w:cs="Arial" w:eastAsia="Arial" w:hAnsi="Arial"/>
          <w:sz w:val="17"/>
          <w:szCs w:val="17"/>
          <w:color w:val="auto"/>
        </w:rPr>
      </w:pPr>
    </w:p>
    <w:p>
      <w:pPr>
        <w:ind w:left="820" w:right="100" w:hanging="812"/>
        <w:spacing w:after="0" w:line="334" w:lineRule="auto"/>
        <w:tabs>
          <w:tab w:leader="none" w:pos="82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620" w:right="140" w:hanging="802"/>
        <w:spacing w:after="0" w:line="342" w:lineRule="auto"/>
        <w:tabs>
          <w:tab w:leader="none" w:pos="161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620" w:right="420" w:hanging="802"/>
        <w:spacing w:after="0" w:line="277" w:lineRule="auto"/>
        <w:tabs>
          <w:tab w:leader="none" w:pos="162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2020</w:t>
      </w:r>
    </w:p>
    <w:p>
      <w:pPr>
        <w:spacing w:after="0" w:line="14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14605</wp:posOffset>
            </wp:positionV>
            <wp:extent cx="27686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Matt Maddox</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Director, Chief Executive Officer</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985"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Craig S. Billings, certify that:</w:t>
      </w:r>
    </w:p>
    <w:p>
      <w:pPr>
        <w:spacing w:after="0" w:line="90" w:lineRule="exact"/>
        <w:rPr>
          <w:sz w:val="20"/>
          <w:szCs w:val="20"/>
          <w:color w:val="auto"/>
        </w:rPr>
      </w:pPr>
    </w:p>
    <w:p>
      <w:pPr>
        <w:ind w:left="820" w:hanging="812"/>
        <w:spacing w:after="0"/>
        <w:tabs>
          <w:tab w:leader="none" w:pos="8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03" w:lineRule="exact"/>
        <w:rPr>
          <w:rFonts w:ascii="Arial" w:cs="Arial" w:eastAsia="Arial" w:hAnsi="Arial"/>
          <w:sz w:val="18"/>
          <w:szCs w:val="18"/>
          <w:color w:val="auto"/>
        </w:rPr>
      </w:pPr>
    </w:p>
    <w:p>
      <w:pPr>
        <w:ind w:left="820" w:right="20" w:hanging="812"/>
        <w:spacing w:after="0" w:line="263" w:lineRule="auto"/>
        <w:tabs>
          <w:tab w:leader="none" w:pos="8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820" w:right="180" w:hanging="812"/>
        <w:spacing w:after="0" w:line="308" w:lineRule="auto"/>
        <w:tabs>
          <w:tab w:leader="none" w:pos="82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20" w:right="140" w:hanging="812"/>
        <w:spacing w:after="0" w:line="291" w:lineRule="auto"/>
        <w:tabs>
          <w:tab w:leader="none" w:pos="82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89" w:lineRule="exact"/>
        <w:rPr>
          <w:rFonts w:ascii="Arial" w:cs="Arial" w:eastAsia="Arial" w:hAnsi="Arial"/>
          <w:sz w:val="16"/>
          <w:szCs w:val="16"/>
          <w:color w:val="auto"/>
        </w:rPr>
      </w:pPr>
    </w:p>
    <w:p>
      <w:pPr>
        <w:ind w:left="1620" w:right="20" w:hanging="802"/>
        <w:spacing w:after="0" w:line="286" w:lineRule="auto"/>
        <w:tabs>
          <w:tab w:leader="none" w:pos="161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7"/>
          <w:szCs w:val="17"/>
          <w:color w:val="auto"/>
        </w:rPr>
      </w:pPr>
    </w:p>
    <w:p>
      <w:pPr>
        <w:ind w:left="1620" w:right="80" w:hanging="802"/>
        <w:spacing w:after="0" w:line="263" w:lineRule="auto"/>
        <w:tabs>
          <w:tab w:leader="none" w:pos="16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620" w:right="180" w:hanging="802"/>
        <w:spacing w:after="0" w:line="263" w:lineRule="auto"/>
        <w:tabs>
          <w:tab w:leader="none" w:pos="161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620" w:right="280" w:hanging="802"/>
        <w:spacing w:after="0" w:line="286" w:lineRule="auto"/>
        <w:tabs>
          <w:tab w:leader="none" w:pos="162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rFonts w:ascii="Arial" w:cs="Arial" w:eastAsia="Arial" w:hAnsi="Arial"/>
          <w:sz w:val="17"/>
          <w:szCs w:val="17"/>
          <w:color w:val="auto"/>
        </w:rPr>
      </w:pPr>
    </w:p>
    <w:p>
      <w:pPr>
        <w:ind w:left="820" w:right="100" w:hanging="812"/>
        <w:spacing w:after="0" w:line="334" w:lineRule="auto"/>
        <w:tabs>
          <w:tab w:leader="none" w:pos="82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620" w:right="140" w:hanging="802"/>
        <w:spacing w:after="0" w:line="342" w:lineRule="auto"/>
        <w:tabs>
          <w:tab w:leader="none" w:pos="1610" w:val="left"/>
        </w:tabs>
        <w:numPr>
          <w:ilvl w:val="1"/>
          <w:numId w:val="1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620" w:right="420" w:hanging="802"/>
        <w:spacing w:after="0" w:line="277" w:lineRule="auto"/>
        <w:tabs>
          <w:tab w:leader="none" w:pos="16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2020</w:t>
      </w:r>
    </w:p>
    <w:p>
      <w:pPr>
        <w:spacing w:after="0" w:line="14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14605</wp:posOffset>
            </wp:positionV>
            <wp:extent cx="27686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Craig S. Billings</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Financial Officer</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985"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32</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104"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104"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4" w:lineRule="exact"/>
        <w:rPr>
          <w:sz w:val="20"/>
          <w:szCs w:val="20"/>
          <w:color w:val="auto"/>
        </w:rPr>
      </w:pPr>
    </w:p>
    <w:p>
      <w:pPr>
        <w:jc w:val="both"/>
        <w:ind w:right="200" w:firstLine="180"/>
        <w:spacing w:after="0" w:line="259"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September 30, 2020 as filed with the Securities and Exchange Commission on the date hereof (the “Report”), Matt Maddox, as Chief Executive Officer of the Company, and Craig S. Billings, as Chief Financial Officer of the Company, each hereby certifies, pursuant to 18 U.S.C. Section 1350, as adopted pursuant to Section 906 of the Sarbanes-Oxley Act of 2002, that, to the best of their knowledge:</w:t>
      </w:r>
    </w:p>
    <w:p>
      <w:pPr>
        <w:spacing w:after="0" w:line="65" w:lineRule="exact"/>
        <w:rPr>
          <w:sz w:val="20"/>
          <w:szCs w:val="20"/>
          <w:color w:val="auto"/>
        </w:rPr>
      </w:pPr>
    </w:p>
    <w:p>
      <w:pPr>
        <w:ind w:left="660" w:hanging="652"/>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Matt Maddox</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534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Matt Maddox</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5340" w:type="dxa"/>
            <w:vAlign w:val="bottom"/>
          </w:tcPr>
          <w:p>
            <w:pPr>
              <w:ind w:left="360"/>
              <w:spacing w:after="0"/>
              <w:rPr>
                <w:sz w:val="20"/>
                <w:szCs w:val="20"/>
                <w:color w:val="auto"/>
              </w:rPr>
            </w:pPr>
            <w:r>
              <w:rPr>
                <w:rFonts w:ascii="Arial" w:cs="Arial" w:eastAsia="Arial" w:hAnsi="Arial"/>
                <w:sz w:val="18"/>
                <w:szCs w:val="18"/>
                <w:color w:val="auto"/>
              </w:rPr>
              <w:t>Director, Chief Executive Officer</w:t>
            </w:r>
          </w:p>
        </w:tc>
      </w:tr>
      <w:tr>
        <w:trPr>
          <w:trHeight w:val="229"/>
        </w:trPr>
        <w:tc>
          <w:tcPr>
            <w:tcW w:w="860" w:type="dxa"/>
            <w:vAlign w:val="bottom"/>
          </w:tcPr>
          <w:p>
            <w:pPr>
              <w:spacing w:after="0"/>
              <w:rPr>
                <w:sz w:val="19"/>
                <w:szCs w:val="19"/>
                <w:color w:val="auto"/>
              </w:rPr>
            </w:pPr>
          </w:p>
        </w:tc>
        <w:tc>
          <w:tcPr>
            <w:tcW w:w="5340" w:type="dxa"/>
            <w:vAlign w:val="bottom"/>
          </w:tcPr>
          <w:p>
            <w:pPr>
              <w:ind w:left="360"/>
              <w:spacing w:after="0"/>
              <w:rPr>
                <w:sz w:val="20"/>
                <w:szCs w:val="20"/>
                <w:color w:val="auto"/>
              </w:rPr>
            </w:pPr>
            <w:r>
              <w:rPr>
                <w:rFonts w:ascii="Arial" w:cs="Arial" w:eastAsia="Arial" w:hAnsi="Arial"/>
                <w:sz w:val="18"/>
                <w:szCs w:val="18"/>
                <w:color w:val="auto"/>
              </w:rPr>
              <w:t>(Principal Executive Officer)</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Date:</w:t>
            </w:r>
          </w:p>
        </w:tc>
        <w:tc>
          <w:tcPr>
            <w:tcW w:w="5340" w:type="dxa"/>
            <w:vAlign w:val="bottom"/>
          </w:tcPr>
          <w:p>
            <w:pPr>
              <w:ind w:left="360"/>
              <w:spacing w:after="0"/>
              <w:rPr>
                <w:sz w:val="20"/>
                <w:szCs w:val="20"/>
                <w:color w:val="auto"/>
              </w:rPr>
            </w:pPr>
            <w:r>
              <w:rPr>
                <w:rFonts w:ascii="Arial" w:cs="Arial" w:eastAsia="Arial" w:hAnsi="Arial"/>
                <w:sz w:val="18"/>
                <w:szCs w:val="18"/>
                <w:color w:val="auto"/>
              </w:rPr>
              <w:t>November 6, 2020</w:t>
            </w:r>
          </w:p>
        </w:tc>
      </w:tr>
      <w:tr>
        <w:trPr>
          <w:trHeight w:val="608"/>
        </w:trPr>
        <w:tc>
          <w:tcPr>
            <w:tcW w:w="6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Craig S. Billings</w:t>
            </w: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5340" w:type="dxa"/>
            <w:vAlign w:val="bottom"/>
          </w:tcPr>
          <w:p>
            <w:pPr>
              <w:ind w:left="360"/>
              <w:spacing w:after="0"/>
              <w:rPr>
                <w:sz w:val="20"/>
                <w:szCs w:val="20"/>
                <w:color w:val="auto"/>
              </w:rPr>
            </w:pPr>
            <w:r>
              <w:rPr>
                <w:rFonts w:ascii="Arial" w:cs="Arial" w:eastAsia="Arial" w:hAnsi="Arial"/>
                <w:sz w:val="18"/>
                <w:szCs w:val="18"/>
                <w:color w:val="auto"/>
              </w:rPr>
              <w:t>Craig S. Billings</w:t>
            </w:r>
          </w:p>
        </w:tc>
      </w:tr>
      <w:tr>
        <w:trPr>
          <w:trHeight w:val="229"/>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5340" w:type="dxa"/>
            <w:vAlign w:val="bottom"/>
          </w:tcPr>
          <w:p>
            <w:pPr>
              <w:ind w:left="360"/>
              <w:spacing w:after="0"/>
              <w:rPr>
                <w:sz w:val="20"/>
                <w:szCs w:val="20"/>
                <w:color w:val="auto"/>
              </w:rPr>
            </w:pPr>
            <w:r>
              <w:rPr>
                <w:rFonts w:ascii="Arial" w:cs="Arial" w:eastAsia="Arial" w:hAnsi="Arial"/>
                <w:sz w:val="18"/>
                <w:szCs w:val="18"/>
                <w:color w:val="auto"/>
              </w:rPr>
              <w:t>President and Chief Financial Officer</w:t>
            </w:r>
          </w:p>
        </w:tc>
      </w:tr>
      <w:tr>
        <w:trPr>
          <w:trHeight w:val="230"/>
        </w:trPr>
        <w:tc>
          <w:tcPr>
            <w:tcW w:w="860" w:type="dxa"/>
            <w:vAlign w:val="bottom"/>
          </w:tcPr>
          <w:p>
            <w:pPr>
              <w:spacing w:after="0"/>
              <w:rPr>
                <w:sz w:val="19"/>
                <w:szCs w:val="19"/>
                <w:color w:val="auto"/>
              </w:rPr>
            </w:pPr>
          </w:p>
        </w:tc>
        <w:tc>
          <w:tcPr>
            <w:tcW w:w="5340" w:type="dxa"/>
            <w:vAlign w:val="bottom"/>
          </w:tcPr>
          <w:p>
            <w:pPr>
              <w:ind w:left="360"/>
              <w:spacing w:after="0"/>
              <w:rPr>
                <w:sz w:val="20"/>
                <w:szCs w:val="20"/>
                <w:color w:val="auto"/>
              </w:rPr>
            </w:pPr>
            <w:r>
              <w:rPr>
                <w:rFonts w:ascii="Arial" w:cs="Arial" w:eastAsia="Arial" w:hAnsi="Arial"/>
                <w:sz w:val="18"/>
                <w:szCs w:val="18"/>
                <w:color w:val="auto"/>
              </w:rPr>
              <w:t>(Principal Financial and Accounting Officer)</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Date:</w:t>
            </w:r>
          </w:p>
        </w:tc>
        <w:tc>
          <w:tcPr>
            <w:tcW w:w="5340" w:type="dxa"/>
            <w:vAlign w:val="bottom"/>
          </w:tcPr>
          <w:p>
            <w:pPr>
              <w:ind w:left="360"/>
              <w:spacing w:after="0"/>
              <w:rPr>
                <w:sz w:val="20"/>
                <w:szCs w:val="20"/>
                <w:color w:val="auto"/>
              </w:rPr>
            </w:pPr>
            <w:r>
              <w:rPr>
                <w:rFonts w:ascii="Arial" w:cs="Arial" w:eastAsia="Arial" w:hAnsi="Arial"/>
                <w:sz w:val="18"/>
                <w:szCs w:val="18"/>
                <w:color w:val="auto"/>
              </w:rPr>
              <w:t>November 6, 2020</w:t>
            </w:r>
          </w:p>
        </w:tc>
      </w:tr>
    </w:tbl>
    <w:p>
      <w:pPr>
        <w:spacing w:after="0" w:line="94"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EE64"/>
    <w:multiLevelType w:val="hybridMultilevel"/>
    <w:lvl w:ilvl="0">
      <w:lvlJc w:val="left"/>
      <w:lvlText w:val="☒"/>
      <w:numFmt w:val="bullet"/>
      <w:start w:val="1"/>
    </w:lvl>
  </w:abstractNum>
  <w:abstractNum w:abstractNumId="1">
    <w:nsid w:val="14330624"/>
    <w:multiLevelType w:val="hybridMultilevel"/>
    <w:lvl w:ilvl="0">
      <w:lvlJc w:val="left"/>
      <w:lvlText w:val="☐"/>
      <w:numFmt w:val="bullet"/>
      <w:start w:val="1"/>
    </w:lvl>
  </w:abstractNum>
  <w:abstractNum w:abstractNumId="2">
    <w:nsid w:val="7FFFCA11"/>
    <w:multiLevelType w:val="hybridMultilevel"/>
    <w:lvl w:ilvl="0">
      <w:lvlJc w:val="left"/>
      <w:lvlText w:val="(%1)"/>
      <w:numFmt w:val="decimal"/>
      <w:start w:val="1"/>
    </w:lvl>
  </w:abstractNum>
  <w:abstractNum w:abstractNumId="3">
    <w:nsid w:val="1A27709E"/>
    <w:multiLevelType w:val="hybridMultilevel"/>
    <w:lvl w:ilvl="0">
      <w:lvlJc w:val="left"/>
      <w:lvlText w:val="(%1)"/>
      <w:numFmt w:val="decimal"/>
      <w:start w:val="1"/>
    </w:lvl>
  </w:abstractNum>
  <w:abstractNum w:abstractNumId="4">
    <w:nsid w:val="71EA1109"/>
    <w:multiLevelType w:val="hybridMultilevel"/>
    <w:lvl w:ilvl="0">
      <w:lvlJc w:val="left"/>
      <w:lvlText w:val="(%1)"/>
      <w:numFmt w:val="decimal"/>
      <w:start w:val="1"/>
    </w:lvl>
  </w:abstractNum>
  <w:abstractNum w:abstractNumId="5">
    <w:nsid w:val="100F59DC"/>
    <w:multiLevelType w:val="hybridMultilevel"/>
    <w:lvl w:ilvl="0">
      <w:lvlJc w:val="left"/>
      <w:lvlText w:val="(%1)"/>
      <w:numFmt w:val="decimal"/>
      <w:start w:val="1"/>
    </w:lvl>
  </w:abstractNum>
  <w:abstractNum w:abstractNumId="6">
    <w:nsid w:val="7FB7E0AA"/>
    <w:multiLevelType w:val="hybridMultilevel"/>
    <w:lvl w:ilvl="0">
      <w:lvlJc w:val="left"/>
      <w:lvlText w:val="(%1)"/>
      <w:numFmt w:val="decimal"/>
      <w:start w:val="2"/>
    </w:lvl>
  </w:abstractNum>
  <w:abstractNum w:abstractNumId="7">
    <w:nsid w:val="6EB5BD4"/>
    <w:multiLevelType w:val="hybridMultilevel"/>
    <w:lvl w:ilvl="0">
      <w:lvlJc w:val="left"/>
      <w:lvlText w:val="(%1)"/>
      <w:numFmt w:val="decimal"/>
      <w:start w:val="1"/>
    </w:lvl>
  </w:abstractNum>
  <w:abstractNum w:abstractNumId="8">
    <w:nsid w:val="6F6DD9AC"/>
    <w:multiLevelType w:val="hybridMultilevel"/>
    <w:lvl w:ilvl="0">
      <w:lvlJc w:val="left"/>
      <w:lvlText w:val="•"/>
      <w:numFmt w:val="bullet"/>
      <w:start w:val="1"/>
    </w:lvl>
  </w:abstractNum>
  <w:abstractNum w:abstractNumId="9">
    <w:nsid w:val="94211F2"/>
    <w:multiLevelType w:val="hybridMultilevel"/>
    <w:lvl w:ilvl="0">
      <w:lvlJc w:val="left"/>
      <w:lvlText w:val="•"/>
      <w:numFmt w:val="bullet"/>
      <w:start w:val="1"/>
    </w:lvl>
  </w:abstractNum>
  <w:abstractNum w:abstractNumId="10">
    <w:nsid w:val="885E1B"/>
    <w:multiLevelType w:val="hybridMultilevel"/>
    <w:lvl w:ilvl="0">
      <w:lvlJc w:val="left"/>
      <w:lvlText w:val="(%1)"/>
      <w:numFmt w:val="decimal"/>
      <w:start w:val="1"/>
    </w:lvl>
  </w:abstractNum>
  <w:abstractNum w:abstractNumId="11">
    <w:nsid w:val="76272110"/>
    <w:multiLevelType w:val="hybridMultilevel"/>
    <w:lvl w:ilvl="0">
      <w:lvlJc w:val="left"/>
      <w:lvlText w:val="(%1)"/>
      <w:numFmt w:val="decimal"/>
      <w:start w:val="1"/>
    </w:lvl>
  </w:abstractNum>
  <w:abstractNum w:abstractNumId="12">
    <w:nsid w:val="4C04A8AF"/>
    <w:multiLevelType w:val="hybridMultilevel"/>
    <w:lvl w:ilvl="0">
      <w:lvlJc w:val="left"/>
      <w:lvlText w:val="(%1)"/>
      <w:numFmt w:val="decimal"/>
      <w:start w:val="1"/>
    </w:lvl>
  </w:abstractNum>
  <w:abstractNum w:abstractNumId="13">
    <w:nsid w:val="1716703B"/>
    <w:multiLevelType w:val="hybridMultilevel"/>
    <w:lvl w:ilvl="0">
      <w:lvlJc w:val="left"/>
      <w:lvlText w:val="(%1)"/>
      <w:numFmt w:val="decimal"/>
      <w:start w:val="1"/>
    </w:lvl>
  </w:abstractNum>
  <w:abstractNum w:abstractNumId="14">
    <w:nsid w:val="14E17E33"/>
    <w:multiLevelType w:val="hybridMultilevel"/>
    <w:lvl w:ilvl="0">
      <w:lvlJc w:val="left"/>
      <w:lvlText w:val="(%1)"/>
      <w:numFmt w:val="decimal"/>
      <w:start w:val="1"/>
    </w:lvl>
  </w:abstractNum>
  <w:abstractNum w:abstractNumId="15">
    <w:nsid w:val="3222E7CD"/>
    <w:multiLevelType w:val="hybridMultilevel"/>
    <w:lvl w:ilvl="0">
      <w:lvlJc w:val="left"/>
      <w:lvlText w:val="•"/>
      <w:numFmt w:val="bullet"/>
      <w:start w:val="1"/>
    </w:lvl>
  </w:abstractNum>
  <w:abstractNum w:abstractNumId="16">
    <w:nsid w:val="74DE0EE3"/>
    <w:multiLevelType w:val="hybridMultilevel"/>
    <w:lvl w:ilvl="0">
      <w:lvlJc w:val="left"/>
      <w:lvlText w:val="•"/>
      <w:numFmt w:val="bullet"/>
      <w:start w:val="1"/>
    </w:lvl>
  </w:abstractNum>
  <w:abstractNum w:abstractNumId="17">
    <w:nsid w:val="68EBC550"/>
    <w:multiLevelType w:val="hybridMultilevel"/>
    <w:lvl w:ilvl="0">
      <w:lvlJc w:val="left"/>
      <w:lvlText w:val="(%1)"/>
      <w:numFmt w:val="lowerLetter"/>
      <w:start w:val="1"/>
    </w:lvl>
  </w:abstractNum>
  <w:abstractNum w:abstractNumId="18">
    <w:nsid w:val="2DF6D648"/>
    <w:multiLevelType w:val="hybridMultilevel"/>
    <w:lvl w:ilvl="0">
      <w:lvlJc w:val="left"/>
      <w:lvlText w:val="%1"/>
      <w:numFmt w:val="decimal"/>
      <w:start w:val="101"/>
    </w:lvl>
  </w:abstractNum>
  <w:abstractNum w:abstractNumId="19">
    <w:nsid w:val="46B7D447"/>
    <w:multiLevelType w:val="hybridMultilevel"/>
    <w:lvl w:ilvl="0">
      <w:lvlJc w:val="left"/>
      <w:lvlText w:val="*"/>
      <w:numFmt w:val="bullet"/>
      <w:start w:val="1"/>
    </w:lvl>
  </w:abstractNum>
  <w:abstractNum w:abstractNumId="20">
    <w:nsid w:val="4A2AC315"/>
    <w:multiLevelType w:val="hybridMultilevel"/>
    <w:lvl w:ilvl="0">
      <w:lvlJc w:val="left"/>
      <w:lvlText w:val="(%1)"/>
      <w:numFmt w:val="decimal"/>
      <w:start w:val="1"/>
    </w:lvl>
  </w:abstractNum>
  <w:abstractNum w:abstractNumId="21">
    <w:nsid w:val="39EE015C"/>
    <w:multiLevelType w:val="hybridMultilevel"/>
    <w:lvl w:ilvl="0">
      <w:lvlJc w:val="left"/>
      <w:lvlText w:val="(%1)"/>
      <w:numFmt w:val="decimal"/>
      <w:start w:val="1"/>
    </w:lvl>
  </w:abstractNum>
  <w:abstractNum w:abstractNumId="22">
    <w:nsid w:val="57FC4FBB"/>
    <w:multiLevelType w:val="hybridMultilevel"/>
    <w:lvl w:ilvl="0">
      <w:lvlJc w:val="left"/>
      <w:lvlText w:val="(%1)"/>
      <w:numFmt w:val="decimal"/>
      <w:start w:val="1"/>
    </w:lvl>
  </w:abstractNum>
  <w:abstractNum w:abstractNumId="23">
    <w:nsid w:val="CC1016F"/>
    <w:multiLevelType w:val="hybridMultilevel"/>
    <w:lvl w:ilvl="0">
      <w:lvlJc w:val="left"/>
      <w:lvlText w:val="(%1)"/>
      <w:numFmt w:val="decimal"/>
      <w:start w:val="1"/>
    </w:lvl>
  </w:abstractNum>
  <w:abstractNum w:abstractNumId="24">
    <w:nsid w:val="43F18422"/>
    <w:multiLevelType w:val="hybridMultilevel"/>
    <w:lvl w:ilvl="0">
      <w:lvlJc w:val="left"/>
      <w:lvlText w:val="(%1)"/>
      <w:numFmt w:val="decimal"/>
      <w:start w:val="1"/>
    </w:lvl>
  </w:abstractNum>
  <w:abstractNum w:abstractNumId="25">
    <w:nsid w:val="60EF0119"/>
    <w:multiLevelType w:val="hybridMultilevel"/>
    <w:lvl w:ilvl="0">
      <w:lvlJc w:val="left"/>
      <w:lvlText w:val="(%1)"/>
      <w:numFmt w:val="decimal"/>
      <w:start w:val="1"/>
    </w:lvl>
  </w:abstractNum>
  <w:abstractNum w:abstractNumId="26">
    <w:nsid w:val="26F324BA"/>
    <w:multiLevelType w:val="hybridMultilevel"/>
    <w:lvl w:ilvl="0">
      <w:lvlJc w:val="left"/>
      <w:lvlText w:val="(%1)"/>
      <w:numFmt w:val="decimal"/>
      <w:start w:val="1"/>
    </w:lvl>
  </w:abstractNum>
  <w:abstractNum w:abstractNumId="27">
    <w:nsid w:val="7F01579B"/>
    <w:multiLevelType w:val="hybridMultilevel"/>
    <w:lvl w:ilvl="0">
      <w:lvlJc w:val="left"/>
      <w:lvlText w:val="(%1)"/>
      <w:numFmt w:val="decimal"/>
      <w:start w:val="1"/>
    </w:lvl>
  </w:abstractNum>
  <w:abstractNum w:abstractNumId="28">
    <w:nsid w:val="49DA307D"/>
    <w:multiLevelType w:val="hybridMultilevel"/>
    <w:lvl w:ilvl="0">
      <w:lvlJc w:val="left"/>
      <w:lvlText w:val="(%1)"/>
      <w:numFmt w:val="decimal"/>
      <w:start w:val="1"/>
    </w:lvl>
  </w:abstractNum>
  <w:abstractNum w:abstractNumId="29">
    <w:nsid w:val="7055A5F5"/>
    <w:multiLevelType w:val="hybridMultilevel"/>
    <w:lvl w:ilvl="0">
      <w:lvlJc w:val="left"/>
      <w:lvlText w:val="(%1)"/>
      <w:numFmt w:val="decimal"/>
      <w:start w:val="2"/>
    </w:lvl>
  </w:abstractNum>
  <w:abstractNum w:abstractNumId="30">
    <w:nsid w:val="5FB8370B"/>
    <w:multiLevelType w:val="hybridMultilevel"/>
    <w:lvl w:ilvl="0">
      <w:lvlJc w:val="left"/>
      <w:lvlText w:val="(%1)"/>
      <w:numFmt w:val="lowerLetter"/>
      <w:start w:val="1"/>
    </w:lvl>
  </w:abstractNum>
  <w:abstractNum w:abstractNumId="31">
    <w:nsid w:val="50801EE1"/>
    <w:multiLevelType w:val="hybridMultilevel"/>
    <w:lvl w:ilvl="0">
      <w:lvlJc w:val="left"/>
      <w:lvlText w:val="(%1)"/>
      <w:numFmt w:val="decimal"/>
      <w:start w:val="1"/>
    </w:lvl>
  </w:abstractNum>
  <w:abstractNum w:abstractNumId="32">
    <w:nsid w:val="488AC1A"/>
    <w:multiLevelType w:val="hybridMultilevel"/>
    <w:lvl w:ilvl="0">
      <w:lvlJc w:val="left"/>
      <w:lvlText w:val="(%1)"/>
      <w:numFmt w:val="decimal"/>
      <w:start w:val="1"/>
    </w:lvl>
  </w:abstractNum>
  <w:abstractNum w:abstractNumId="33">
    <w:nsid w:val="5FB8011C"/>
    <w:multiLevelType w:val="hybridMultilevel"/>
    <w:lvl w:ilvl="0">
      <w:lvlJc w:val="left"/>
      <w:lvlText w:val="(%1)"/>
      <w:numFmt w:val="decimal"/>
      <w:start w:val="2"/>
    </w:lvl>
  </w:abstractNum>
  <w:abstractNum w:abstractNumId="34">
    <w:nsid w:val="6AA78F7F"/>
    <w:multiLevelType w:val="hybridMultilevel"/>
    <w:lvl w:ilvl="0">
      <w:lvlJc w:val="left"/>
      <w:lvlText w:val="(%1)"/>
      <w:numFmt w:val="decimal"/>
      <w:start w:val="1"/>
    </w:lvl>
  </w:abstractNum>
  <w:abstractNum w:abstractNumId="35">
    <w:nsid w:val="7672BD23"/>
    <w:multiLevelType w:val="hybridMultilevel"/>
    <w:lvl w:ilvl="0">
      <w:lvlJc w:val="left"/>
      <w:lvlText w:val="%1."/>
      <w:numFmt w:val="decimal"/>
      <w:start w:val="1"/>
    </w:lvl>
  </w:abstractNum>
  <w:abstractNum w:abstractNumId="36">
    <w:nsid w:val="6FC75AF8"/>
    <w:multiLevelType w:val="hybridMultilevel"/>
    <w:lvl w:ilvl="0">
      <w:lvlJc w:val="left"/>
      <w:lvlText w:val="%1."/>
      <w:numFmt w:val="decimal"/>
      <w:start w:val="5"/>
    </w:lvl>
  </w:abstractNum>
  <w:abstractNum w:abstractNumId="37">
    <w:nsid w:val="6A5F7029"/>
    <w:multiLevelType w:val="hybridMultilevel"/>
    <w:lvl w:ilvl="0">
      <w:lvlJc w:val="left"/>
      <w:lvlText w:val="(%1)"/>
      <w:numFmt w:val="lowerLetter"/>
      <w:start w:val="1"/>
    </w:lvl>
  </w:abstractNum>
  <w:abstractNum w:abstractNumId="38">
    <w:nsid w:val="7D5E18F8"/>
    <w:multiLevelType w:val="hybridMultilevel"/>
    <w:lvl w:ilvl="0">
      <w:lvlJc w:val="left"/>
      <w:lvlText w:val="(%1)"/>
      <w:numFmt w:val="lowerLetter"/>
      <w:start w:val="2"/>
    </w:lvl>
  </w:abstractNum>
  <w:abstractNum w:abstractNumId="39">
    <w:nsid w:val="5F3534A4"/>
    <w:multiLevelType w:val="hybridMultilevel"/>
    <w:lvl w:ilvl="0">
      <w:lvlJc w:val="left"/>
      <w:lvlText w:val="(%1)"/>
      <w:numFmt w:val="lowerLetter"/>
      <w:start w:val="3"/>
    </w:lvl>
  </w:abstractNum>
  <w:abstractNum w:abstractNumId="40">
    <w:nsid w:val="73A1821B"/>
    <w:multiLevelType w:val="hybridMultilevel"/>
    <w:lvl w:ilvl="0">
      <w:lvlJc w:val="left"/>
      <w:lvlText w:val="(%1)"/>
      <w:numFmt w:val="lowerLetter"/>
      <w:start w:val="1"/>
    </w:lvl>
  </w:abstractNum>
  <w:abstractNum w:abstractNumId="41">
    <w:nsid w:val="7DE67713"/>
    <w:multiLevelType w:val="hybridMultilevel"/>
    <w:lvl w:ilvl="0">
      <w:lvlJc w:val="left"/>
      <w:lvlText w:val="(%1)"/>
      <w:numFmt w:val="decimal"/>
      <w:start w:val="1"/>
    </w:lvl>
  </w:abstractNum>
  <w:abstractNum w:abstractNumId="42">
    <w:nsid w:val="555C55B5"/>
    <w:multiLevelType w:val="hybridMultilevel"/>
    <w:lvl w:ilvl="0">
      <w:lvlJc w:val="left"/>
      <w:lvlText w:val="(%1)"/>
      <w:numFmt w:val="lowerLetter"/>
      <w:start w:val="2"/>
    </w:lvl>
  </w:abstractNum>
  <w:abstractNum w:abstractNumId="43">
    <w:nsid w:val="3FA62ACA"/>
    <w:multiLevelType w:val="hybridMultilevel"/>
    <w:lvl w:ilvl="0">
      <w:lvlJc w:val="left"/>
      <w:lvlText w:val="(%1)"/>
      <w:numFmt w:val="decimal"/>
      <w:start w:val="1"/>
    </w:lvl>
  </w:abstractNum>
  <w:abstractNum w:abstractNumId="44">
    <w:nsid w:val="14FCE74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5">
    <w:nsid w:val="6A3DD3E8"/>
    <w:multiLevelType w:val="hybridMultilevel"/>
    <w:lvl w:ilvl="0">
      <w:lvlJc w:val="left"/>
      <w:lvlText w:val="(%1)"/>
      <w:numFmt w:val="decimal"/>
      <w:start w:val="3"/>
    </w:lvl>
    <w:lvl w:ilvl="1">
      <w:lvlJc w:val="left"/>
      <w:lvlText w:val="(%2)"/>
      <w:numFmt w:val="upperLetter"/>
      <w:start w:val="1"/>
    </w:lvl>
  </w:abstractNum>
  <w:abstractNum w:abstractNumId="46">
    <w:nsid w:val="71C91298"/>
    <w:multiLevelType w:val="hybridMultilevel"/>
    <w:lvl w:ilvl="0">
      <w:lvlJc w:val="left"/>
      <w:lvlText w:val="(%1)"/>
      <w:numFmt w:val="decimal"/>
      <w:start w:val="4"/>
    </w:lvl>
    <w:lvl w:ilvl="1">
      <w:lvlJc w:val="left"/>
      <w:lvlText w:val="(%2)"/>
      <w:numFmt w:val="upperLetter"/>
      <w:start w:val="1"/>
    </w:lvl>
  </w:abstractNum>
  <w:abstractNum w:abstractNumId="47">
    <w:nsid w:val="9DAF632"/>
    <w:multiLevelType w:val="hybridMultilevel"/>
    <w:lvl w:ilvl="0">
      <w:lvlJc w:val="left"/>
      <w:lvlText w:val="(%1)"/>
      <w:numFmt w:val="lowerLetter"/>
      <w:start w:val="3"/>
    </w:lvl>
    <w:lvl w:ilvl="1">
      <w:lvlJc w:val="left"/>
      <w:lvlText w:val="(%2)"/>
      <w:numFmt w:val="decimal"/>
      <w:start w:val="1"/>
    </w:lvl>
  </w:abstractNum>
  <w:abstractNum w:abstractNumId="48">
    <w:nsid w:val="53299938"/>
    <w:multiLevelType w:val="hybridMultilevel"/>
    <w:lvl w:ilvl="0">
      <w:lvlJc w:val="left"/>
      <w:lvlText w:val="(%1)"/>
      <w:numFmt w:val="upperLetter"/>
      <w:start w:val="1"/>
    </w:lvl>
  </w:abstractNum>
  <w:abstractNum w:abstractNumId="49">
    <w:nsid w:val="1FBFE8E0"/>
    <w:multiLevelType w:val="hybridMultilevel"/>
    <w:lvl w:ilvl="0">
      <w:lvlJc w:val="left"/>
      <w:lvlText w:val="%1"/>
      <w:numFmt w:val="decimal"/>
      <w:start w:val="1"/>
    </w:lvl>
    <w:lvl w:ilvl="1">
      <w:lvlJc w:val="left"/>
      <w:lvlText w:val="(%2)"/>
      <w:numFmt w:val="upperLetter"/>
      <w:start w:val="2"/>
    </w:lvl>
  </w:abstractNum>
  <w:abstractNum w:abstractNumId="50">
    <w:nsid w:val="5092CA79"/>
    <w:multiLevelType w:val="hybridMultilevel"/>
    <w:lvl w:ilvl="0">
      <w:lvlJc w:val="left"/>
      <w:lvlText w:val="(%1)"/>
      <w:numFmt w:val="decimal"/>
      <w:start w:val="2"/>
    </w:lvl>
    <w:lvl w:ilvl="1">
      <w:lvlJc w:val="left"/>
      <w:lvlText w:val="(%2)"/>
      <w:numFmt w:val="upperLetter"/>
      <w:start w:val="4"/>
    </w:lvl>
  </w:abstractNum>
  <w:abstractNum w:abstractNumId="51">
    <w:nsid w:val="1D545C4D"/>
    <w:multiLevelType w:val="hybridMultilevel"/>
    <w:lvl w:ilvl="0">
      <w:lvlJc w:val="left"/>
      <w:lvlText w:val="(%1)"/>
      <w:numFmt w:val="decimal"/>
      <w:start w:val="2"/>
    </w:lvl>
  </w:abstractNum>
  <w:abstractNum w:abstractNumId="52">
    <w:nsid w:val="59ADEA3D"/>
    <w:multiLevelType w:val="hybridMultilevel"/>
    <w:lvl w:ilvl="0">
      <w:lvlJc w:val="left"/>
      <w:lvlText w:val="(%1)"/>
      <w:numFmt w:val="upperLetter"/>
      <w:start w:val="1"/>
    </w:lvl>
  </w:abstractNum>
  <w:abstractNum w:abstractNumId="53">
    <w:nsid w:val="288F1A34"/>
    <w:multiLevelType w:val="hybridMultilevel"/>
    <w:lvl w:ilvl="0">
      <w:lvlJc w:val="left"/>
      <w:lvlText w:val="%1"/>
      <w:numFmt w:val="lowerLetter"/>
      <w:start w:val="1"/>
    </w:lvl>
    <w:lvl w:ilvl="1">
      <w:lvlJc w:val="left"/>
      <w:lvlText w:val="(%2)"/>
      <w:numFmt w:val="decimal"/>
      <w:start w:val="3"/>
    </w:lvl>
  </w:abstractNum>
  <w:abstractNum w:abstractNumId="54">
    <w:nsid w:val="2A155DBC"/>
    <w:multiLevelType w:val="hybridMultilevel"/>
    <w:lvl w:ilvl="0">
      <w:lvlJc w:val="left"/>
      <w:lvlText w:val="(%1)"/>
      <w:numFmt w:val="lowerLetter"/>
      <w:start w:val="4"/>
    </w:lvl>
    <w:lvl w:ilvl="1">
      <w:lvlJc w:val="left"/>
      <w:lvlText w:val="(%2)"/>
      <w:numFmt w:val="decimal"/>
      <w:start w:val="1"/>
    </w:lvl>
  </w:abstractNum>
  <w:abstractNum w:abstractNumId="55">
    <w:nsid w:val="1D9F6E5F"/>
    <w:multiLevelType w:val="hybridMultilevel"/>
    <w:lvl w:ilvl="0">
      <w:lvlJc w:val="left"/>
      <w:lvlText w:val="(%1)"/>
      <w:numFmt w:val="upperLetter"/>
      <w:start w:val="1"/>
    </w:lvl>
  </w:abstractNum>
  <w:abstractNum w:abstractNumId="56">
    <w:nsid w:val="97E1B4E"/>
    <w:multiLevelType w:val="hybridMultilevel"/>
    <w:lvl w:ilvl="0">
      <w:lvlJc w:val="left"/>
      <w:lvlText w:val="(%1)"/>
      <w:numFmt w:val="upperLetter"/>
      <w:start w:val="4"/>
    </w:lvl>
  </w:abstractNum>
  <w:abstractNum w:abstractNumId="57">
    <w:nsid w:val="51088277"/>
    <w:multiLevelType w:val="hybridMultilevel"/>
    <w:lvl w:ilvl="0">
      <w:lvlJc w:val="left"/>
      <w:lvlText w:val="(%1)"/>
      <w:numFmt w:val="decimal"/>
      <w:start w:val="2"/>
    </w:lvl>
  </w:abstractNum>
  <w:abstractNum w:abstractNumId="58">
    <w:nsid w:val="1CA0C5FA"/>
    <w:multiLevelType w:val="hybridMultilevel"/>
    <w:lvl w:ilvl="0">
      <w:lvlJc w:val="left"/>
      <w:lvlText w:val="(%1)"/>
      <w:numFmt w:val="upperLetter"/>
      <w:start w:val="1"/>
    </w:lvl>
  </w:abstractNum>
  <w:abstractNum w:abstractNumId="59">
    <w:nsid w:val="53584BCB"/>
    <w:multiLevelType w:val="hybridMultilevel"/>
    <w:lvl w:ilvl="0">
      <w:lvlJc w:val="left"/>
      <w:lvlText w:val="(%1)"/>
      <w:numFmt w:val="decimal"/>
      <w:start w:val="3"/>
    </w:lvl>
  </w:abstractNum>
  <w:abstractNum w:abstractNumId="60">
    <w:nsid w:val="415E286C"/>
    <w:multiLevelType w:val="hybridMultilevel"/>
    <w:lvl w:ilvl="0">
      <w:lvlJc w:val="left"/>
      <w:lvlText w:val="(%1)"/>
      <w:numFmt w:val="decimal"/>
      <w:start w:val="3"/>
    </w:lvl>
    <w:lvl w:ilvl="1">
      <w:lvlJc w:val="left"/>
      <w:lvlText w:val="(%2)"/>
      <w:numFmt w:val="lowerLetter"/>
      <w:start w:val="5"/>
    </w:lvl>
    <w:lvl w:ilvl="2">
      <w:lvlJc w:val="left"/>
      <w:lvlText w:val="(%3)"/>
      <w:numFmt w:val="decimal"/>
      <w:start w:val="1"/>
    </w:lvl>
    <w:lvl w:ilvl="3">
      <w:lvlJc w:val="left"/>
      <w:lvlText w:val="(%4)"/>
      <w:numFmt w:val="upperLetter"/>
      <w:start w:val="1"/>
    </w:lvl>
  </w:abstractNum>
  <w:abstractNum w:abstractNumId="61">
    <w:nsid w:val="7C58FD05"/>
    <w:multiLevelType w:val="hybridMultilevel"/>
    <w:lvl w:ilvl="0">
      <w:lvlJc w:val="left"/>
      <w:lvlText w:val="(%1)"/>
      <w:numFmt w:val="upperLetter"/>
      <w:start w:val="2"/>
    </w:lvl>
  </w:abstractNum>
  <w:abstractNum w:abstractNumId="62">
    <w:nsid w:val="23D86AAC"/>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63">
    <w:nsid w:val="45E6D486"/>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64">
    <w:nsid w:val="5C10FE21"/>
    <w:multiLevelType w:val="hybridMultilevel"/>
    <w:lvl w:ilvl="0">
      <w:lvlJc w:val="left"/>
      <w:lvlText w:val="(%1)"/>
      <w:numFmt w:val="decimal"/>
      <w:start w:val="2"/>
    </w:lvl>
  </w:abstractNum>
  <w:abstractNum w:abstractNumId="65">
    <w:nsid w:val="E7FFA2B"/>
    <w:multiLevelType w:val="hybridMultilevel"/>
    <w:lvl w:ilvl="0">
      <w:lvlJc w:val="left"/>
      <w:lvlText w:val="%1"/>
      <w:numFmt w:val="decimal"/>
      <w:start w:val="1"/>
    </w:lvl>
    <w:lvl w:ilvl="1">
      <w:lvlJc w:val="left"/>
      <w:lvlText w:val="(%2)"/>
      <w:numFmt w:val="upperLetter"/>
      <w:start w:val="2"/>
    </w:lvl>
  </w:abstractNum>
  <w:abstractNum w:abstractNumId="66">
    <w:nsid w:val="3C5991AA"/>
    <w:multiLevelType w:val="hybridMultilevel"/>
    <w:lvl w:ilvl="0">
      <w:lvlJc w:val="left"/>
      <w:lvlText w:val="(%1)"/>
      <w:numFmt w:val="decimal"/>
      <w:start w:val="2"/>
    </w:lvl>
    <w:lvl w:ilvl="1">
      <w:lvlJc w:val="left"/>
      <w:lvlText w:val="%2"/>
      <w:numFmt w:val="upperLetter"/>
      <w:start w:val="1"/>
    </w:lvl>
  </w:abstractNum>
  <w:abstractNum w:abstractNumId="67">
    <w:nsid w:val="4BD8591A"/>
    <w:multiLevelType w:val="hybridMultilevel"/>
    <w:lvl w:ilvl="0">
      <w:lvlJc w:val="left"/>
      <w:lvlText w:val="(%1)"/>
      <w:numFmt w:val="lowerLetter"/>
      <w:start w:val="7"/>
    </w:lvl>
    <w:lvl w:ilvl="1">
      <w:lvlJc w:val="left"/>
      <w:lvlText w:val="(%2)"/>
      <w:numFmt w:val="decimal"/>
      <w:start w:val="1"/>
    </w:lvl>
  </w:abstractNum>
  <w:abstractNum w:abstractNumId="68">
    <w:nsid w:val="78DF6A55"/>
    <w:multiLevelType w:val="hybridMultilevel"/>
    <w:lvl w:ilvl="0">
      <w:lvlJc w:val="left"/>
      <w:lvlText w:val="(%1)"/>
      <w:numFmt w:val="decimal"/>
      <w:start w:val="5"/>
    </w:lvl>
    <w:lvl w:ilvl="1">
      <w:lvlJc w:val="left"/>
      <w:lvlText w:val="(%2)"/>
      <w:numFmt w:val="upperLetter"/>
      <w:start w:val="1"/>
    </w:lvl>
  </w:abstractNum>
  <w:abstractNum w:abstractNumId="69">
    <w:nsid w:val="39B7AAA2"/>
    <w:multiLevelType w:val="hybridMultilevel"/>
    <w:lvl w:ilvl="0">
      <w:lvlJc w:val="left"/>
      <w:lvlText w:val="(%1)"/>
      <w:numFmt w:val="lowerLetter"/>
      <w:start w:val="1"/>
    </w:lvl>
  </w:abstractNum>
  <w:abstractNum w:abstractNumId="70">
    <w:nsid w:val="2B0D8DBE"/>
    <w:multiLevelType w:val="hybridMultilevel"/>
    <w:lvl w:ilvl="0">
      <w:lvlJc w:val="left"/>
      <w:lvlText w:val="(%1)"/>
      <w:numFmt w:val="lowerLetter"/>
      <w:start w:val="2"/>
    </w:lvl>
  </w:abstractNum>
  <w:abstractNum w:abstractNumId="71">
    <w:nsid w:val="6C80EC70"/>
    <w:multiLevelType w:val="hybridMultilevel"/>
    <w:lvl w:ilvl="0">
      <w:lvlJc w:val="left"/>
      <w:lvlText w:val="(%1)"/>
      <w:numFmt w:val="lowerLetter"/>
      <w:start w:val="1"/>
    </w:lvl>
  </w:abstractNum>
  <w:abstractNum w:abstractNumId="72">
    <w:nsid w:val="379E21B5"/>
    <w:multiLevelType w:val="hybridMultilevel"/>
    <w:lvl w:ilvl="0">
      <w:lvlJc w:val="left"/>
      <w:lvlText w:val="(%1)"/>
      <w:numFmt w:val="lowerLetter"/>
      <w:start w:val="1"/>
    </w:lvl>
  </w:abstractNum>
  <w:abstractNum w:abstractNumId="73">
    <w:nsid w:val="69E373"/>
    <w:multiLevelType w:val="hybridMultilevel"/>
    <w:lvl w:ilvl="0">
      <w:lvlJc w:val="left"/>
      <w:lvlText w:val="%1"/>
      <w:numFmt w:val="lowerLetter"/>
      <w:start w:val="1"/>
    </w:lvl>
    <w:lvl w:ilvl="1">
      <w:lvlJc w:val="left"/>
      <w:lvlText w:val="(%2)"/>
      <w:numFmt w:val="lowerLetter"/>
      <w:start w:val="1"/>
    </w:lvl>
  </w:abstractNum>
  <w:abstractNum w:abstractNumId="74">
    <w:nsid w:val="2C27173B"/>
    <w:multiLevelType w:val="hybridMultilevel"/>
    <w:lvl w:ilvl="0">
      <w:lvlJc w:val="left"/>
      <w:lvlText w:val="(%1)"/>
      <w:numFmt w:val="lowerLetter"/>
      <w:start w:val="3"/>
    </w:lvl>
    <w:lvl w:ilvl="1">
      <w:lvlJc w:val="left"/>
      <w:lvlText w:val="(%2)"/>
      <w:numFmt w:val="lowerLetter"/>
      <w:start w:val="4"/>
    </w:lvl>
  </w:abstractNum>
  <w:abstractNum w:abstractNumId="75">
    <w:nsid w:val="4C9B0904"/>
    <w:multiLevelType w:val="hybridMultilevel"/>
    <w:lvl w:ilvl="0">
      <w:lvlJc w:val="left"/>
      <w:lvlText w:val="(%1)"/>
      <w:numFmt w:val="lowerLetter"/>
      <w:start w:val="5"/>
    </w:lvl>
  </w:abstractNum>
  <w:abstractNum w:abstractNumId="76">
    <w:nsid w:val="6AA7B75C"/>
    <w:multiLevelType w:val="hybridMultilevel"/>
    <w:lvl w:ilvl="0">
      <w:lvlJc w:val="left"/>
      <w:lvlText w:val="(%1)"/>
      <w:numFmt w:val="lowerLetter"/>
      <w:start w:val="1"/>
    </w:lvl>
    <w:lvl w:ilvl="1">
      <w:lvlJc w:val="left"/>
      <w:lvlText w:val="(%2)"/>
      <w:numFmt w:val="decimal"/>
      <w:start w:val="1"/>
    </w:lvl>
  </w:abstractNum>
  <w:abstractNum w:abstractNumId="77">
    <w:nsid w:val="1DF029D3"/>
    <w:multiLevelType w:val="hybridMultilevel"/>
    <w:lvl w:ilvl="0">
      <w:lvlJc w:val="left"/>
      <w:lvlText w:val="(%1)"/>
      <w:numFmt w:val="lowerLetter"/>
      <w:start w:val="3"/>
    </w:lvl>
  </w:abstractNum>
  <w:abstractNum w:abstractNumId="78">
    <w:nsid w:val="5675FF36"/>
    <w:multiLevelType w:val="hybridMultilevel"/>
    <w:lvl w:ilvl="0">
      <w:lvlJc w:val="left"/>
      <w:lvlText w:val="(%1)"/>
      <w:numFmt w:val="lowerLetter"/>
      <w:start w:val="5"/>
    </w:lvl>
  </w:abstractNum>
  <w:abstractNum w:abstractNumId="79">
    <w:nsid w:val="3DD15094"/>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80">
    <w:nsid w:val="3DB012B3"/>
    <w:multiLevelType w:val="hybridMultilevel"/>
    <w:lvl w:ilvl="0">
      <w:lvlJc w:val="left"/>
      <w:lvlText w:val="(%1)"/>
      <w:numFmt w:val="lowerLetter"/>
      <w:start w:val="1"/>
    </w:lvl>
  </w:abstractNum>
  <w:abstractNum w:abstractNumId="81">
    <w:nsid w:val="2708C9AF"/>
    <w:multiLevelType w:val="hybridMultilevel"/>
    <w:lvl w:ilvl="0">
      <w:lvlJc w:val="left"/>
      <w:lvlText w:val="(%1)"/>
      <w:numFmt w:val="lowerLetter"/>
      <w:start w:val="1"/>
    </w:lvl>
    <w:lvl w:ilvl="1">
      <w:lvlJc w:val="left"/>
      <w:lvlText w:val="(%2)"/>
      <w:numFmt w:val="decimal"/>
      <w:start w:val="1"/>
    </w:lvl>
  </w:abstractNum>
  <w:abstractNum w:abstractNumId="82">
    <w:nsid w:val="5B25ACE2"/>
    <w:multiLevelType w:val="hybridMultilevel"/>
    <w:lvl w:ilvl="0">
      <w:lvlJc w:val="left"/>
      <w:lvlText w:val="(%1)"/>
      <w:numFmt w:val="lowerLetter"/>
      <w:start w:val="2"/>
    </w:lvl>
    <w:lvl w:ilvl="1">
      <w:lvlJc w:val="left"/>
      <w:lvlText w:val="(%2)"/>
      <w:numFmt w:val="decimal"/>
      <w:start w:val="1"/>
    </w:lvl>
  </w:abstractNum>
  <w:abstractNum w:abstractNumId="83">
    <w:nsid w:val="175DFCF0"/>
    <w:multiLevelType w:val="hybridMultilevel"/>
    <w:lvl w:ilvl="0">
      <w:lvlJc w:val="left"/>
      <w:lvlText w:val="(%1)"/>
      <w:numFmt w:val="decimal"/>
      <w:start w:val="1"/>
    </w:lvl>
  </w:abstractNum>
  <w:abstractNum w:abstractNumId="84">
    <w:nsid w:val="4F97E3E4"/>
    <w:multiLevelType w:val="hybridMultilevel"/>
    <w:lvl w:ilvl="0">
      <w:lvlJc w:val="left"/>
      <w:lvlText w:val="(%1)"/>
      <w:numFmt w:val="decimal"/>
      <w:start w:val="2"/>
    </w:lvl>
    <w:lvl w:ilvl="1">
      <w:lvlJc w:val="left"/>
      <w:lvlText w:val="(%2)"/>
      <w:numFmt w:val="lowerLetter"/>
      <w:start w:val="1"/>
    </w:lvl>
  </w:abstractNum>
  <w:abstractNum w:abstractNumId="85">
    <w:nsid w:val="53B0A9E"/>
    <w:multiLevelType w:val="hybridMultilevel"/>
    <w:lvl w:ilvl="0">
      <w:lvlJc w:val="left"/>
      <w:lvlText w:val="%1"/>
      <w:numFmt w:val="lowerRoman"/>
      <w:start w:val="1"/>
    </w:lvl>
    <w:lvl w:ilvl="1">
      <w:lvlJc w:val="left"/>
      <w:lvlText w:val="(%2)"/>
      <w:numFmt w:val="decimal"/>
      <w:start w:val="5"/>
    </w:lvl>
  </w:abstractNum>
  <w:abstractNum w:abstractNumId="86">
    <w:nsid w:val="34FD6B4F"/>
    <w:multiLevelType w:val="hybridMultilevel"/>
    <w:lvl w:ilvl="0">
      <w:lvlJc w:val="left"/>
      <w:lvlText w:val="(%1)"/>
      <w:numFmt w:val="lowerRoman"/>
      <w:start w:val="2"/>
    </w:lvl>
    <w:lvl w:ilvl="1">
      <w:lvlJc w:val="left"/>
      <w:lvlText w:val="(%2)"/>
      <w:numFmt w:val="decimal"/>
      <w:start w:val="6"/>
    </w:lvl>
  </w:abstractNum>
  <w:abstractNum w:abstractNumId="87">
    <w:nsid w:val="5915FF32"/>
    <w:multiLevelType w:val="hybridMultilevel"/>
    <w:lvl w:ilvl="0">
      <w:lvlJc w:val="left"/>
      <w:lvlText w:val="(%1)"/>
      <w:numFmt w:val="lowerLetter"/>
      <w:start w:val="1"/>
    </w:lvl>
  </w:abstractNum>
  <w:abstractNum w:abstractNumId="88">
    <w:nsid w:val="56438D15"/>
    <w:multiLevelType w:val="hybridMultilevel"/>
    <w:lvl w:ilvl="0">
      <w:lvlJc w:val="left"/>
      <w:lvlText w:val="(%1)"/>
      <w:numFmt w:val="lowerLetter"/>
      <w:start w:val="1"/>
    </w:lvl>
  </w:abstractNum>
  <w:abstractNum w:abstractNumId="89">
    <w:nsid w:val="519E3149"/>
    <w:multiLevelType w:val="hybridMultilevel"/>
    <w:lvl w:ilvl="0">
      <w:lvlJc w:val="left"/>
      <w:lvlText w:val="(%1)"/>
      <w:numFmt w:val="lowerLetter"/>
      <w:start w:val="1"/>
    </w:lvl>
  </w:abstractNum>
  <w:abstractNum w:abstractNumId="90">
    <w:nsid w:val="2C6E4AFD"/>
    <w:multiLevelType w:val="hybridMultilevel"/>
    <w:lvl w:ilvl="0">
      <w:lvlJc w:val="left"/>
      <w:lvlText w:val="(%1)"/>
      <w:numFmt w:val="decimal"/>
      <w:start w:val="1"/>
    </w:lvl>
  </w:abstractNum>
  <w:abstractNum w:abstractNumId="91">
    <w:nsid w:val="17A1B582"/>
    <w:multiLevelType w:val="hybridMultilevel"/>
    <w:lvl w:ilvl="0">
      <w:lvlJc w:val="left"/>
      <w:lvlText w:val="(%1)"/>
      <w:numFmt w:val="lowerLetter"/>
      <w:start w:val="2"/>
    </w:lvl>
  </w:abstractNum>
  <w:abstractNum w:abstractNumId="92">
    <w:nsid w:val="4DF72E4E"/>
    <w:multiLevelType w:val="hybridMultilevel"/>
    <w:lvl w:ilvl="0">
      <w:lvlJc w:val="left"/>
      <w:lvlText w:val="(%1)"/>
      <w:numFmt w:val="decimal"/>
      <w:start w:val="1"/>
    </w:lvl>
  </w:abstractNum>
  <w:abstractNum w:abstractNumId="93">
    <w:nsid w:val="5046B5A9"/>
    <w:multiLevelType w:val="hybridMultilevel"/>
    <w:lvl w:ilvl="0">
      <w:lvlJc w:val="left"/>
      <w:lvlText w:val="(%1)"/>
      <w:numFmt w:val="lowerLetter"/>
      <w:start w:val="3"/>
    </w:lvl>
  </w:abstractNum>
  <w:abstractNum w:abstractNumId="94">
    <w:nsid w:val="5D888A08"/>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lowerLetter"/>
      <w:start w:val="9"/>
    </w:lvl>
  </w:abstractNum>
  <w:abstractNum w:abstractNumId="95">
    <w:nsid w:val="2A082C70"/>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2"/>
    </w:lvl>
  </w:abstractNum>
  <w:abstractNum w:abstractNumId="96">
    <w:nsid w:val="5EC6AFD4"/>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97">
    <w:nsid w:val="19E21BB2"/>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98">
    <w:nsid w:val="75E0858A"/>
    <w:multiLevelType w:val="hybridMultilevel"/>
    <w:lvl w:ilvl="0">
      <w:lvlJc w:val="left"/>
      <w:lvlText w:val="(%1)"/>
      <w:numFmt w:val="lowerLetter"/>
      <w:start w:val="3"/>
    </w:lvl>
  </w:abstractNum>
  <w:abstractNum w:abstractNumId="99">
    <w:nsid w:val="57A61A29"/>
    <w:multiLevelType w:val="hybridMultilevel"/>
    <w:lvl w:ilvl="0">
      <w:lvlJc w:val="left"/>
      <w:lvlText w:val="(%1)"/>
      <w:numFmt w:val="lowerLetter"/>
      <w:start w:val="1"/>
    </w:lvl>
    <w:lvl w:ilvl="1">
      <w:lvlJc w:val="left"/>
      <w:lvlText w:val="(%2)"/>
      <w:numFmt w:val="decimal"/>
      <w:start w:val="1"/>
    </w:lvl>
  </w:abstractNum>
  <w:abstractNum w:abstractNumId="100">
    <w:nsid w:val="5399C654"/>
    <w:multiLevelType w:val="hybridMultilevel"/>
    <w:lvl w:ilvl="0">
      <w:lvlJc w:val="left"/>
      <w:lvlText w:val="(%1)"/>
      <w:numFmt w:val="lowerLetter"/>
      <w:start w:val="3"/>
    </w:lvl>
  </w:abstractNum>
  <w:abstractNum w:abstractNumId="101">
    <w:nsid w:val="20EE1348"/>
    <w:multiLevelType w:val="hybridMultilevel"/>
    <w:lvl w:ilvl="0">
      <w:lvlJc w:val="left"/>
      <w:lvlText w:val="(%1)"/>
      <w:numFmt w:val="decimal"/>
      <w:start w:val="1"/>
    </w:lvl>
  </w:abstractNum>
  <w:abstractNum w:abstractNumId="102">
    <w:nsid w:val="4427069A"/>
    <w:multiLevelType w:val="hybridMultilevel"/>
    <w:lvl w:ilvl="0">
      <w:lvlJc w:val="left"/>
      <w:lvlText w:val="(%1)"/>
      <w:numFmt w:val="lowerLetter"/>
      <w:start w:val="1"/>
    </w:lvl>
    <w:lvl w:ilvl="1">
      <w:lvlJc w:val="left"/>
      <w:lvlText w:val="(%2)"/>
      <w:numFmt w:val="decimal"/>
      <w:start w:val="1"/>
    </w:lvl>
  </w:abstractNum>
  <w:abstractNum w:abstractNumId="103">
    <w:nsid w:val="B37E80A"/>
    <w:multiLevelType w:val="hybridMultilevel"/>
    <w:lvl w:ilvl="0">
      <w:lvlJc w:val="left"/>
      <w:lvlText w:val="(%1)"/>
      <w:numFmt w:val="lowerLetter"/>
      <w:start w:val="6"/>
    </w:lvl>
    <w:lvl w:ilvl="1">
      <w:lvlJc w:val="left"/>
      <w:lvlText w:val="(%2)"/>
      <w:numFmt w:val="decimal"/>
      <w:start w:val="1"/>
    </w:lvl>
  </w:abstractNum>
  <w:abstractNum w:abstractNumId="104">
    <w:nsid w:val="2157F6BC"/>
    <w:multiLevelType w:val="hybridMultilevel"/>
    <w:lvl w:ilvl="0">
      <w:lvlJc w:val="left"/>
      <w:lvlText w:val="(%1)"/>
      <w:numFmt w:val="lowerLetter"/>
      <w:start w:val="1"/>
    </w:lvl>
  </w:abstractNum>
  <w:abstractNum w:abstractNumId="105">
    <w:nsid w:val="704E1DD5"/>
    <w:multiLevelType w:val="hybridMultilevel"/>
    <w:lvl w:ilvl="0">
      <w:lvlJc w:val="left"/>
      <w:lvlText w:val="(%1)"/>
      <w:numFmt w:val="lowerLetter"/>
      <w:start w:val="1"/>
    </w:lvl>
    <w:lvl w:ilvl="1">
      <w:lvlJc w:val="left"/>
      <w:lvlText w:val="(%2)"/>
      <w:numFmt w:val="decimal"/>
      <w:start w:val="1"/>
    </w:lvl>
  </w:abstractNum>
  <w:abstractNum w:abstractNumId="106">
    <w:nsid w:val="57D2F10E"/>
    <w:multiLevelType w:val="hybridMultilevel"/>
    <w:lvl w:ilvl="0">
      <w:lvlJc w:val="left"/>
      <w:lvlText w:val="(%1)"/>
      <w:numFmt w:val="lowerLetter"/>
      <w:start w:val="5"/>
    </w:lvl>
  </w:abstractNum>
  <w:abstractNum w:abstractNumId="107">
    <w:nsid w:val="BFFAE18"/>
    <w:multiLevelType w:val="hybridMultilevel"/>
    <w:lvl w:ilvl="0">
      <w:lvlJc w:val="left"/>
      <w:lvlText w:val="(%1)"/>
      <w:numFmt w:val="lowerLetter"/>
      <w:start w:val="1"/>
    </w:lvl>
  </w:abstractNum>
  <w:abstractNum w:abstractNumId="108">
    <w:nsid w:val="E3E47A8"/>
    <w:multiLevelType w:val="hybridMultilevel"/>
    <w:lvl w:ilvl="0">
      <w:lvlJc w:val="left"/>
      <w:lvlText w:val="(%1)"/>
      <w:numFmt w:val="lowerLetter"/>
      <w:start w:val="10"/>
    </w:lvl>
  </w:abstractNum>
  <w:abstractNum w:abstractNumId="109">
    <w:nsid w:val="2E48F044"/>
    <w:multiLevelType w:val="hybridMultilevel"/>
    <w:lvl w:ilvl="0">
      <w:lvlJc w:val="left"/>
      <w:lvlText w:val="(%1)"/>
      <w:numFmt w:val="lowerLetter"/>
      <w:start w:val="1"/>
    </w:lvl>
  </w:abstractNum>
  <w:abstractNum w:abstractNumId="110">
    <w:nsid w:val="49D0FEAC"/>
    <w:multiLevelType w:val="hybridMultilevel"/>
    <w:lvl w:ilvl="0">
      <w:lvlJc w:val="left"/>
      <w:lvlText w:val="(%1)"/>
      <w:numFmt w:val="lowerLetter"/>
      <w:start w:val="1"/>
    </w:lvl>
    <w:lvl w:ilvl="1">
      <w:lvlJc w:val="left"/>
      <w:lvlText w:val="(%2)"/>
      <w:numFmt w:val="decimal"/>
      <w:start w:val="1"/>
    </w:lvl>
  </w:abstractNum>
  <w:abstractNum w:abstractNumId="111">
    <w:nsid w:val="4BEE5A5B"/>
    <w:multiLevelType w:val="hybridMultilevel"/>
    <w:lvl w:ilvl="0">
      <w:lvlJc w:val="left"/>
      <w:lvlText w:val="(%1)"/>
      <w:numFmt w:val="lowerLetter"/>
      <w:start w:val="1"/>
    </w:lvl>
  </w:abstractNum>
  <w:abstractNum w:abstractNumId="112">
    <w:nsid w:val="5551B9F3"/>
    <w:multiLevelType w:val="hybridMultilevel"/>
    <w:lvl w:ilvl="0">
      <w:lvlJc w:val="left"/>
      <w:lvlText w:val="(%1)"/>
      <w:numFmt w:val="lowerLetter"/>
      <w:start w:val="4"/>
    </w:lvl>
  </w:abstractNum>
  <w:abstractNum w:abstractNumId="113">
    <w:nsid w:val="24F6AB8E"/>
    <w:multiLevelType w:val="hybridMultilevel"/>
    <w:lvl w:ilvl="0">
      <w:lvlJc w:val="left"/>
      <w:lvlText w:val="(%1)"/>
      <w:numFmt w:val="lowerLetter"/>
      <w:start w:val="1"/>
    </w:lvl>
  </w:abstractNum>
  <w:abstractNum w:abstractNumId="114">
    <w:nsid w:val="634C574C"/>
    <w:multiLevelType w:val="hybridMultilevel"/>
    <w:lvl w:ilvl="0">
      <w:lvlJc w:val="left"/>
      <w:lvlText w:val="(%1)"/>
      <w:numFmt w:val="lowerLetter"/>
      <w:start w:val="3"/>
    </w:lvl>
  </w:abstractNum>
  <w:abstractNum w:abstractNumId="115">
    <w:nsid w:val="24E99DD7"/>
    <w:multiLevelType w:val="hybridMultilevel"/>
    <w:lvl w:ilvl="0">
      <w:lvlJc w:val="left"/>
      <w:lvlText w:val="(%1)"/>
      <w:numFmt w:val="lowerLetter"/>
      <w:start w:val="1"/>
    </w:lvl>
  </w:abstractNum>
  <w:abstractNum w:abstractNumId="116">
    <w:nsid w:val="2A31B62D"/>
    <w:multiLevelType w:val="hybridMultilevel"/>
    <w:lvl w:ilvl="0">
      <w:lvlJc w:val="left"/>
      <w:lvlText w:val="(%1)"/>
      <w:numFmt w:val="lowerLetter"/>
      <w:start w:val="1"/>
    </w:lvl>
  </w:abstractNum>
  <w:abstractNum w:abstractNumId="117">
    <w:nsid w:val="1849C29B"/>
    <w:multiLevelType w:val="hybridMultilevel"/>
    <w:lvl w:ilvl="0">
      <w:lvlJc w:val="left"/>
      <w:lvlText w:val="(%1)"/>
      <w:numFmt w:val="lowerLetter"/>
      <w:start w:val="2"/>
    </w:lvl>
  </w:abstractNum>
  <w:abstractNum w:abstractNumId="118">
    <w:nsid w:val="7DFF9D09"/>
    <w:multiLevelType w:val="hybridMultilevel"/>
    <w:lvl w:ilvl="0">
      <w:lvlJc w:val="left"/>
      <w:lvlText w:val="(%1)"/>
      <w:numFmt w:val="lowerLetter"/>
      <w:start w:val="1"/>
    </w:lvl>
    <w:lvl w:ilvl="1">
      <w:lvlJc w:val="left"/>
      <w:lvlText w:val="(%2)"/>
      <w:numFmt w:val="decimal"/>
      <w:start w:val="1"/>
    </w:lvl>
  </w:abstractNum>
  <w:abstractNum w:abstractNumId="119">
    <w:nsid w:val="754342"/>
    <w:multiLevelType w:val="hybridMultilevel"/>
    <w:lvl w:ilvl="0">
      <w:lvlJc w:val="left"/>
      <w:lvlText w:val="(%1)"/>
      <w:numFmt w:val="lowerLetter"/>
      <w:start w:val="1"/>
    </w:lvl>
  </w:abstractNum>
  <w:abstractNum w:abstractNumId="120">
    <w:nsid w:val="69E7F3E5"/>
    <w:multiLevelType w:val="hybridMultilevel"/>
    <w:lvl w:ilvl="0">
      <w:lvlJc w:val="left"/>
      <w:lvlText w:val="(%1)"/>
      <w:numFmt w:val="lowerLetter"/>
      <w:start w:val="1"/>
    </w:lvl>
  </w:abstractNum>
  <w:abstractNum w:abstractNumId="121">
    <w:nsid w:val="2A6DE806"/>
    <w:multiLevelType w:val="hybridMultilevel"/>
    <w:lvl w:ilvl="0">
      <w:lvlJc w:val="left"/>
      <w:lvlText w:val="(%1)"/>
      <w:numFmt w:val="lowerLetter"/>
      <w:start w:val="2"/>
    </w:lvl>
  </w:abstractNum>
  <w:abstractNum w:abstractNumId="122">
    <w:nsid w:val="1816F8C4"/>
    <w:multiLevelType w:val="hybridMultilevel"/>
    <w:lvl w:ilvl="0">
      <w:lvlJc w:val="left"/>
      <w:lvlText w:val="(%1)"/>
      <w:numFmt w:val="lowerLetter"/>
      <w:start w:val="1"/>
    </w:lvl>
  </w:abstractNum>
  <w:abstractNum w:abstractNumId="123">
    <w:nsid w:val="37DF2233"/>
    <w:multiLevelType w:val="hybridMultilevel"/>
    <w:lvl w:ilvl="0">
      <w:lvlJc w:val="left"/>
      <w:lvlText w:val="(%1)"/>
      <w:numFmt w:val="lowerLetter"/>
      <w:start w:val="3"/>
    </w:lvl>
  </w:abstractNum>
  <w:abstractNum w:abstractNumId="124">
    <w:nsid w:val="7AB49DAF"/>
    <w:multiLevelType w:val="hybridMultilevel"/>
    <w:lvl w:ilvl="0">
      <w:lvlJc w:val="left"/>
      <w:lvlText w:val="(%1)"/>
      <w:numFmt w:val="decimal"/>
      <w:start w:val="1"/>
    </w:lvl>
  </w:abstractNum>
  <w:abstractNum w:abstractNumId="125">
    <w:nsid w:val="759F82CD"/>
    <w:multiLevelType w:val="hybridMultilevel"/>
    <w:lvl w:ilvl="0">
      <w:lvlJc w:val="left"/>
      <w:lvlText w:val="(%1)"/>
      <w:numFmt w:val="decimal"/>
      <w:start w:val="2"/>
    </w:lvl>
  </w:abstractNum>
  <w:abstractNum w:abstractNumId="126">
    <w:nsid w:val="61E74EA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27">
    <w:nsid w:val="597B4D84"/>
    <w:multiLevelType w:val="hybridMultilevel"/>
    <w:lvl w:ilvl="0">
      <w:lvlJc w:val="left"/>
      <w:lvlText w:val="(%1)"/>
      <w:numFmt w:val="lowerLetter"/>
      <w:start w:val="3"/>
    </w:lvl>
  </w:abstractNum>
  <w:abstractNum w:abstractNumId="128">
    <w:nsid w:val="F819E7F"/>
    <w:multiLevelType w:val="hybridMultilevel"/>
    <w:lvl w:ilvl="0">
      <w:lvlJc w:val="left"/>
      <w:lvlText w:val="%1"/>
      <w:numFmt w:val="decimal"/>
      <w:start w:val="1"/>
    </w:lvl>
    <w:lvl w:ilvl="1">
      <w:lvlJc w:val="left"/>
      <w:lvlText w:val="(%2)"/>
      <w:numFmt w:val="lowerLetter"/>
      <w:start w:val="5"/>
    </w:lvl>
  </w:abstractNum>
  <w:abstractNum w:abstractNumId="129">
    <w:nsid w:val="57C7D42D"/>
    <w:multiLevelType w:val="hybridMultilevel"/>
    <w:lvl w:ilvl="0">
      <w:lvlJc w:val="left"/>
      <w:lvlText w:val="(%1)"/>
      <w:numFmt w:val="decimal"/>
      <w:start w:val="6"/>
    </w:lvl>
    <w:lvl w:ilvl="1">
      <w:lvlJc w:val="left"/>
      <w:lvlText w:val="%2"/>
      <w:numFmt w:val="lowerLetter"/>
      <w:start w:val="1"/>
    </w:lvl>
  </w:abstractNum>
  <w:abstractNum w:abstractNumId="130">
    <w:nsid w:val="312167AD"/>
    <w:multiLevelType w:val="hybridMultilevel"/>
    <w:lvl w:ilvl="0">
      <w:lvlJc w:val="left"/>
      <w:lvlText w:val="(%1)"/>
      <w:numFmt w:val="lowerLetter"/>
      <w:start w:val="1"/>
    </w:lvl>
  </w:abstractNum>
  <w:abstractNum w:abstractNumId="131">
    <w:nsid w:val="631B64D4"/>
    <w:multiLevelType w:val="hybridMultilevel"/>
    <w:lvl w:ilvl="0">
      <w:lvlJc w:val="left"/>
      <w:lvlText w:val="(%1)"/>
      <w:numFmt w:val="lowerLetter"/>
      <w:start w:val="1"/>
    </w:lvl>
  </w:abstractNum>
  <w:abstractNum w:abstractNumId="132">
    <w:nsid w:val="78B5E776"/>
    <w:multiLevelType w:val="hybridMultilevel"/>
    <w:lvl w:ilvl="0">
      <w:lvlJc w:val="left"/>
      <w:lvlText w:val="(%1)"/>
      <w:numFmt w:val="decimal"/>
      <w:start w:val="8"/>
    </w:lvl>
    <w:lvl w:ilvl="1">
      <w:lvlJc w:val="left"/>
      <w:lvlText w:val="(%2)"/>
      <w:numFmt w:val="lowerLetter"/>
      <w:start w:val="1"/>
    </w:lvl>
  </w:abstractNum>
  <w:abstractNum w:abstractNumId="133">
    <w:nsid w:val="75486E47"/>
    <w:multiLevelType w:val="hybridMultilevel"/>
    <w:lvl w:ilvl="0">
      <w:lvlJc w:val="left"/>
      <w:lvlText w:val="(%1)"/>
      <w:numFmt w:val="lowerLetter"/>
      <w:start w:val="1"/>
    </w:lvl>
  </w:abstractNum>
  <w:abstractNum w:abstractNumId="134">
    <w:nsid w:val="6E534CDE"/>
    <w:multiLevelType w:val="hybridMultilevel"/>
    <w:lvl w:ilvl="0">
      <w:lvlJc w:val="left"/>
      <w:lvlText w:val="%1"/>
      <w:numFmt w:val="lowerRoman"/>
      <w:start w:val="1"/>
    </w:lvl>
    <w:lvl w:ilvl="1">
      <w:lvlJc w:val="left"/>
      <w:lvlText w:val="(%2)"/>
      <w:numFmt w:val="decimal"/>
      <w:start w:val="9"/>
    </w:lvl>
  </w:abstractNum>
  <w:abstractNum w:abstractNumId="135">
    <w:nsid w:val="1A0DDE32"/>
    <w:multiLevelType w:val="hybridMultilevel"/>
    <w:lvl w:ilvl="0">
      <w:lvlJc w:val="left"/>
      <w:lvlText w:val="(%1)"/>
      <w:numFmt w:val="lowerRoman"/>
      <w:start w:val="1"/>
    </w:lvl>
    <w:lvl w:ilvl="1">
      <w:lvlJc w:val="left"/>
      <w:lvlText w:val="%2"/>
      <w:numFmt w:val="decimal"/>
      <w:start w:val="1"/>
    </w:lvl>
  </w:abstractNum>
  <w:abstractNum w:abstractNumId="136">
    <w:nsid w:val="65968C1C"/>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137">
    <w:nsid w:val="46263DEC"/>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3"/>
    </w:lvl>
  </w:abstractNum>
  <w:abstractNum w:abstractNumId="138">
    <w:nsid w:val="260D8C4A"/>
    <w:multiLevelType w:val="hybridMultilevel"/>
    <w:lvl w:ilvl="0">
      <w:lvlJc w:val="left"/>
      <w:lvlText w:val="%1"/>
      <w:numFmt w:val="lowerRoman"/>
      <w:start w:val="1"/>
    </w:lvl>
    <w:lvl w:ilvl="1">
      <w:lvlJc w:val="left"/>
      <w:lvlText w:val="(%2)"/>
      <w:numFmt w:val="decimal"/>
      <w:start w:val="14"/>
    </w:lvl>
  </w:abstractNum>
  <w:abstractNum w:abstractNumId="139">
    <w:nsid w:val="73D4D3C4"/>
    <w:multiLevelType w:val="hybridMultilevel"/>
    <w:lvl w:ilvl="0">
      <w:lvlJc w:val="left"/>
      <w:lvlText w:val="(%1)"/>
      <w:numFmt w:val="lowerRoman"/>
      <w:start w:val="4"/>
    </w:lvl>
    <w:lvl w:ilvl="1">
      <w:lvlJc w:val="left"/>
      <w:lvlText w:val="%2"/>
      <w:numFmt w:val="decimal"/>
      <w:start w:val="1"/>
    </w:lvl>
  </w:abstractNum>
  <w:abstractNum w:abstractNumId="140">
    <w:nsid w:val="746F2E30"/>
    <w:multiLevelType w:val="hybridMultilevel"/>
    <w:lvl w:ilvl="0">
      <w:lvlJc w:val="left"/>
      <w:lvlText w:val="(%1)"/>
      <w:numFmt w:val="decimal"/>
      <w:start w:val="15"/>
    </w:lvl>
  </w:abstractNum>
  <w:abstractNum w:abstractNumId="141">
    <w:nsid w:val="6FDE8AF6"/>
    <w:multiLevelType w:val="hybridMultilevel"/>
    <w:lvl w:ilvl="0">
      <w:lvlJc w:val="left"/>
      <w:lvlText w:val="(%1)"/>
      <w:numFmt w:val="decimal"/>
      <w:start w:val="19"/>
    </w:lvl>
  </w:abstractNum>
  <w:abstractNum w:abstractNumId="142">
    <w:nsid w:val="3FC32E20"/>
    <w:multiLevelType w:val="hybridMultilevel"/>
    <w:lvl w:ilvl="0">
      <w:lvlJc w:val="left"/>
      <w:lvlText w:val="*"/>
      <w:numFmt w:val="bullet"/>
      <w:start w:val="1"/>
    </w:lvl>
  </w:abstractNum>
  <w:abstractNum w:abstractNumId="143">
    <w:nsid w:val="49C0E823"/>
    <w:multiLevelType w:val="hybridMultilevel"/>
    <w:lvl w:ilvl="0">
      <w:lvlJc w:val="left"/>
      <w:lvlText w:val="*"/>
      <w:numFmt w:val="bullet"/>
      <w:start w:val="1"/>
    </w:lvl>
  </w:abstractNum>
  <w:abstractNum w:abstractNumId="144">
    <w:nsid w:val="14D53685"/>
    <w:multiLevelType w:val="hybridMultilevel"/>
    <w:lvl w:ilvl="0">
      <w:lvlJc w:val="left"/>
      <w:lvlText w:val="*"/>
      <w:numFmt w:val="bullet"/>
      <w:start w:val="1"/>
    </w:lvl>
  </w:abstractNum>
  <w:abstractNum w:abstractNumId="145">
    <w:nsid w:val="230F856C"/>
    <w:multiLevelType w:val="hybridMultilevel"/>
    <w:lvl w:ilvl="0">
      <w:lvlJc w:val="left"/>
      <w:lvlText w:val="%1."/>
      <w:numFmt w:val="decimal"/>
      <w:start w:val="1"/>
    </w:lvl>
  </w:abstractNum>
  <w:abstractNum w:abstractNumId="146">
    <w:nsid w:val="6EAA85FB"/>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47">
    <w:nsid w:val="3F06ECB2"/>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1"/>
    </w:lvl>
  </w:abstractNum>
  <w:abstractNum w:abstractNumId="148">
    <w:nsid w:val="3B594807"/>
    <w:multiLevelType w:val="hybridMultilevel"/>
    <w:lvl w:ilvl="0">
      <w:lvlJc w:val="left"/>
      <w:lvlText w:val="%1"/>
      <w:numFmt w:val="decimal"/>
      <w:start w:val="1"/>
    </w:lvl>
    <w:lvl w:ilvl="1">
      <w:lvlJc w:val="left"/>
      <w:lvlText w:val="(%2)"/>
      <w:numFmt w:val="lowerLetter"/>
      <w:start w:val="2"/>
    </w:lvl>
  </w:abstractNum>
  <w:abstractNum w:abstractNumId="149">
    <w:nsid w:val="6CAA2304"/>
    <w:multiLevelType w:val="hybridMultilevel"/>
    <w:lvl w:ilvl="0">
      <w:lvlJc w:val="left"/>
      <w:lvlText w:val="%1."/>
      <w:numFmt w:val="decimal"/>
      <w:start w:val="4"/>
    </w:lvl>
    <w:lvl w:ilvl="1">
      <w:lvlJc w:val="left"/>
      <w:lvlText w:val="(%2)"/>
      <w:numFmt w:val="lowerLetter"/>
      <w:start w:val="1"/>
    </w:lvl>
  </w:abstractNum>
  <w:abstractNum w:abstractNumId="150">
    <w:nsid w:val="3F7C2FF4"/>
    <w:multiLevelType w:val="hybridMultilevel"/>
    <w:lvl w:ilvl="0">
      <w:lvlJc w:val="left"/>
      <w:lvlText w:val="(%1)"/>
      <w:numFmt w:val="lowerLetter"/>
      <w:start w:val="2"/>
    </w:lvl>
  </w:abstractNum>
  <w:abstractNum w:abstractNumId="151">
    <w:nsid w:val="25413B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2">
    <w:nsid w:val="17180B0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53">
    <w:nsid w:val="579328B9"/>
    <w:multiLevelType w:val="hybridMultilevel"/>
    <w:lvl w:ilvl="0">
      <w:lvlJc w:val="left"/>
      <w:lvlText w:val="(%1)"/>
      <w:numFmt w:val="lowerLetter"/>
      <w:start w:val="1"/>
    </w:lvl>
    <w:lvl w:ilvl="1">
      <w:lvlJc w:val="left"/>
      <w:lvlText w:val="(%2)"/>
      <w:numFmt w:val="lowerRoman"/>
      <w:start w:val="1"/>
    </w:lvl>
  </w:abstractNum>
  <w:abstractNum w:abstractNumId="154">
    <w:nsid w:val="5D205E20"/>
    <w:multiLevelType w:val="hybridMultilevel"/>
    <w:lvl w:ilvl="0">
      <w:lvlJc w:val="left"/>
      <w:lvlText w:val="%1."/>
      <w:numFmt w:val="decimal"/>
      <w:start w:val="1"/>
    </w:lvl>
  </w:abstractNum>
  <w:abstractNum w:abstractNumId="155">
    <w:nsid w:val="11CCA8BA"/>
    <w:multiLevelType w:val="hybridMultilevel"/>
    <w:lvl w:ilvl="0">
      <w:lvlJc w:val="left"/>
      <w:lvlText w:val="(%1)"/>
      <w:numFmt w:val="lowerLetter"/>
      <w:start w:val="1"/>
    </w:lvl>
  </w:abstractNum>
  <w:abstractNum w:abstractNumId="156">
    <w:nsid w:val="4D32AB86"/>
    <w:multiLevelType w:val="hybridMultilevel"/>
    <w:lvl w:ilvl="0">
      <w:lvlJc w:val="left"/>
      <w:lvlText w:val="(%1)"/>
      <w:numFmt w:val="lowerLetter"/>
      <w:start w:val="2"/>
    </w:lvl>
  </w:abstractNum>
  <w:abstractNum w:abstractNumId="157">
    <w:nsid w:val="3F07ACC3"/>
    <w:multiLevelType w:val="hybridMultilevel"/>
    <w:lvl w:ilvl="0">
      <w:lvlJc w:val="left"/>
      <w:lvlText w:val="%1."/>
      <w:numFmt w:val="decimal"/>
      <w:start w:val="2"/>
    </w:lvl>
  </w:abstractNum>
  <w:abstractNum w:abstractNumId="158">
    <w:nsid w:val="6B47F63E"/>
    <w:multiLevelType w:val="hybridMultilevel"/>
    <w:lvl w:ilvl="0">
      <w:lvlJc w:val="left"/>
      <w:lvlText w:val="(%1)"/>
      <w:numFmt w:val="lowerLetter"/>
      <w:start w:val="1"/>
    </w:lvl>
  </w:abstractNum>
  <w:abstractNum w:abstractNumId="159">
    <w:nsid w:val="5CB44A05"/>
    <w:multiLevelType w:val="hybridMultilevel"/>
    <w:lvl w:ilvl="0">
      <w:lvlJc w:val="left"/>
      <w:lvlText w:val="%1."/>
      <w:numFmt w:val="decimal"/>
      <w:start w:val="1"/>
    </w:lvl>
    <w:lvl w:ilvl="1">
      <w:lvlJc w:val="left"/>
      <w:lvlText w:val="%2."/>
      <w:numFmt w:val="lowerLetter"/>
      <w:start w:val="1"/>
    </w:lvl>
  </w:abstractNum>
  <w:abstractNum w:abstractNumId="160">
    <w:nsid w:val="16CF80F1"/>
    <w:multiLevelType w:val="hybridMultilevel"/>
    <w:lvl w:ilvl="0">
      <w:lvlJc w:val="left"/>
      <w:lvlText w:val="%1."/>
      <w:numFmt w:val="decimal"/>
      <w:start w:val="1"/>
    </w:lvl>
    <w:lvl w:ilvl="1">
      <w:lvlJc w:val="left"/>
      <w:lvlText w:val="%2."/>
      <w:numFmt w:val="lowerLetter"/>
      <w:start w:val="1"/>
    </w:lvl>
  </w:abstractNum>
  <w:abstractNum w:abstractNumId="161">
    <w:nsid w:val="1C695D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0"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69" Type="http://schemas.openxmlformats.org/officeDocument/2006/relationships/hyperlink" Target="http://www.sec.gov/Archives/edgar/data/1174922/000117492215000044/ex-31.htm" TargetMode="External"/><Relationship Id="rId71" Type="http://schemas.openxmlformats.org/officeDocument/2006/relationships/hyperlink" Target="http://www.sec.gov/Archives/edgar/data/1174922/000117492220000024/ex32-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2020-11-09T05:50:59Z</dcterms:created>
  <dcterms:modified xsi:type="dcterms:W3CDTF">2020-11-09T05:50:59Z</dcterms:modified>
</cp:coreProperties>
</file>