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1925955</wp:posOffset>
            </wp:positionH>
            <wp:positionV relativeFrom="paragraph">
              <wp:posOffset>105410</wp:posOffset>
            </wp:positionV>
            <wp:extent cx="3404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2"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1925955</wp:posOffset>
            </wp:positionH>
            <wp:positionV relativeFrom="paragraph">
              <wp:posOffset>134620</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58"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1925955</wp:posOffset>
            </wp:positionH>
            <wp:positionV relativeFrom="paragraph">
              <wp:posOffset>125730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45"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4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Date of Report (Date of earliest event reported): July 29,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1925955</wp:posOffset>
            </wp:positionH>
            <wp:positionV relativeFrom="paragraph">
              <wp:posOffset>118110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WYNN RESORTS,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1925955</wp:posOffset>
            </wp:positionH>
            <wp:positionV relativeFrom="paragraph">
              <wp:posOffset>113665</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30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2" w:lineRule="exact"/>
        <w:rPr>
          <w:sz w:val="24"/>
          <w:szCs w:val="24"/>
          <w:color w:val="auto"/>
        </w:rPr>
      </w:pPr>
    </w:p>
    <w:p>
      <w:pPr>
        <w:ind w:left="3840"/>
        <w:spacing w:after="0"/>
        <w:rPr>
          <w:sz w:val="20"/>
          <w:szCs w:val="20"/>
          <w:color w:val="auto"/>
        </w:rPr>
      </w:pPr>
      <w:r>
        <w:rPr>
          <w:rFonts w:ascii="Arial" w:cs="Arial" w:eastAsia="Arial" w:hAnsi="Arial"/>
          <w:sz w:val="32"/>
          <w:szCs w:val="32"/>
          <w:b w:val="1"/>
          <w:bCs w:val="1"/>
          <w:color w:val="auto"/>
        </w:rPr>
        <w:t>WYNN LAS VEGAS, LLC</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1925955</wp:posOffset>
            </wp:positionH>
            <wp:positionV relativeFrom="paragraph">
              <wp:posOffset>105410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0600"/>
          </w:cols>
          <w:pgMar w:left="240" w:top="206" w:right="1059" w:bottom="1440" w:gutter="0" w:footer="0" w:header="0"/>
        </w:sectPr>
      </w:pPr>
    </w:p>
    <w:p>
      <w:pPr>
        <w:spacing w:after="0" w:line="273"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206" w:right="105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540"/>
          </w:cols>
          <w:pgMar w:left="240" w:top="206" w:right="10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9300" w:space="720"/>
            <w:col w:w="580"/>
          </w:cols>
          <w:pgMar w:left="240" w:top="206" w:right="1059" w:bottom="1440" w:gutter="0" w:footer="0" w:header="0"/>
          <w:type w:val="continuous"/>
        </w:sectPr>
      </w:pPr>
    </w:p>
    <w:p>
      <w:pPr>
        <w:ind w:left="26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79" w:lineRule="exact"/>
        <w:rPr>
          <w:sz w:val="24"/>
          <w:szCs w:val="24"/>
          <w:color w:val="auto"/>
        </w:rPr>
      </w:pPr>
    </w:p>
    <w:p>
      <w:pPr>
        <w:sectPr>
          <w:pgSz w:w="11900" w:h="16838" w:orient="portrait"/>
          <w:cols w:equalWidth="0" w:num="2">
            <w:col w:w="9180" w:space="720"/>
            <w:col w:w="700"/>
          </w:cols>
          <w:pgMar w:left="240" w:top="206"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111125</wp:posOffset>
            </wp:positionV>
            <wp:extent cx="934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ectPr>
          <w:pgSz w:w="11900" w:h="16838" w:orient="portrait"/>
          <w:cols w:equalWidth="0" w:num="1">
            <w:col w:w="10600"/>
          </w:cols>
          <w:pgMar w:left="240" w:top="206" w:right="105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206" w:right="10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177" w:lineRule="exact"/>
        <w:rPr>
          <w:sz w:val="20"/>
          <w:szCs w:val="20"/>
          <w:color w:val="auto"/>
        </w:rPr>
      </w:pPr>
    </w:p>
    <w:p>
      <w:pPr>
        <w:ind w:firstLine="799"/>
        <w:spacing w:after="0" w:line="298" w:lineRule="auto"/>
        <w:rPr>
          <w:sz w:val="20"/>
          <w:szCs w:val="20"/>
          <w:color w:val="auto"/>
        </w:rPr>
      </w:pPr>
      <w:r>
        <w:rPr>
          <w:rFonts w:ascii="Arial" w:cs="Arial" w:eastAsia="Arial" w:hAnsi="Arial"/>
          <w:sz w:val="16"/>
          <w:szCs w:val="16"/>
          <w:color w:val="auto"/>
        </w:rPr>
        <w:t>On July 29, 2013, Wynn Resorts, Limited issued a press release announcing its results of operations for the second quarter of 2013.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4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177" w:lineRule="exact"/>
        <w:rPr>
          <w:sz w:val="20"/>
          <w:szCs w:val="20"/>
          <w:color w:val="auto"/>
        </w:rPr>
      </w:pPr>
    </w:p>
    <w:p>
      <w:pPr>
        <w:ind w:right="480" w:firstLine="799"/>
        <w:spacing w:after="0" w:line="332" w:lineRule="auto"/>
        <w:rPr>
          <w:sz w:val="20"/>
          <w:szCs w:val="20"/>
          <w:color w:val="auto"/>
        </w:rPr>
      </w:pPr>
      <w:r>
        <w:rPr>
          <w:rFonts w:ascii="Arial" w:cs="Arial" w:eastAsia="Arial" w:hAnsi="Arial"/>
          <w:sz w:val="16"/>
          <w:szCs w:val="16"/>
          <w:color w:val="auto"/>
        </w:rPr>
        <w:t>On July 29, 2013, Wynn Resorts, Limited announced that its Board of Directors has approved a quarterly cash dividend of $1.00 per share of its outstanding common stock. This cash dividend will be payable on August 26, 2013 to stockholders of record on August 12, 2013.</w:t>
      </w:r>
    </w:p>
    <w:p>
      <w:pPr>
        <w:spacing w:after="0" w:line="12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50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440" w:type="dxa"/>
            <w:vAlign w:val="bottom"/>
          </w:tcPr>
          <w:p>
            <w:pPr>
              <w:spacing w:after="0"/>
              <w:rPr>
                <w:sz w:val="19"/>
                <w:szCs w:val="19"/>
                <w:color w:val="auto"/>
              </w:rPr>
            </w:pPr>
          </w:p>
        </w:tc>
      </w:tr>
      <w:tr>
        <w:trPr>
          <w:trHeight w:val="425"/>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87"/>
              </w:rPr>
              <w:t>Press release, dated July 29, 2013, of Wynn Resorts, Limited.</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RESORTS, LIMITED</w:t>
      </w:r>
    </w:p>
    <w:p>
      <w:pPr>
        <w:spacing w:after="0" w:line="33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9"/>
                <w:szCs w:val="19"/>
                <w:color w:val="auto"/>
              </w:rPr>
            </w:pP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Maddox</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Matt Maddox</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2013</w:t>
      </w:r>
    </w:p>
    <w:p>
      <w:pPr>
        <w:spacing w:after="0" w:line="8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its sole member</w:t>
      </w:r>
    </w:p>
    <w:p>
      <w:pPr>
        <w:spacing w:after="0" w:line="286"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r>
      <w:tr>
        <w:trPr>
          <w:trHeight w:val="318"/>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9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1140" w:type="dxa"/>
            <w:vAlign w:val="bottom"/>
          </w:tcPr>
          <w:p>
            <w:pPr>
              <w:spacing w:after="0" w:line="202"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Press release, dated July 29, 2013, of Wynn Resorts, Limited.</w:t>
            </w:r>
          </w:p>
        </w:tc>
      </w:tr>
    </w:tbl>
    <w:p>
      <w:pPr>
        <w:sectPr>
          <w:pgSz w:w="11900" w:h="16838" w:orient="portrait"/>
          <w:cols w:equalWidth="0" w:num="1">
            <w:col w:w="11420"/>
          </w:cols>
          <w:pgMar w:left="240" w:top="27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Limited Reports Second Quarter 2013 Results</w:t>
      </w:r>
    </w:p>
    <w:p>
      <w:pPr>
        <w:spacing w:after="0" w:line="24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LAS VEGAS, July 29, 2013 — Wynn Resorts, Limited (Nasdaq: WYNN) today reported financial results for the second quarter ended June 30, 2013.</w:t>
      </w:r>
    </w:p>
    <w:p>
      <w:pPr>
        <w:spacing w:after="0" w:line="20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Net revenues for the second quarter of 2013 were $1,332.3 million, compared to $1,253.2 million in the second quarter of 2012. The revenue increase was driven by 16.2% higher revenues from our Las Vegas operations and a 2.6% revenue increase from our Macau operations. Adjusted property EBITDA (1) was $425.7 million for the second quarter of 2013, a 10.8% increase from $384.1 million in the second quarter of 2012.</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 US GAAP basis, net income attributable to Wynn Resorts for the second quarter of 2013 was $129.8 million, or $1.28 per diluted share, compared to a net income attributable to Wynn Resorts of $138.1 million, or $1.37 per diluted share in the second quarter of 2012. Net income for the second quarter of 2013 included a $26.6 million loss on the early retirement of debt.</w:t>
      </w:r>
    </w:p>
    <w:p>
      <w:pPr>
        <w:spacing w:after="0" w:line="208"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Adjusted net income attributable to Wynn Resorts (2) in the second quarter of 2013 was $152.9 million, or $1.51 per diluted share (adjusted EPS), compared to an adjusted net income attributable to Wynn Resorts of $139.0 million, or $1.38 per diluted share in the second quarter of 2012.</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Wynn Resorts also announced today that the Company has approved a cash dividend for the quarter of $1.00 per common share. This dividend will be payable on August 26, 2013, to stockholders of record on August 12, 2013.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In the second quarter of 2013, net revenues were $930.9 million, a 2.6% increase from the $907.6 million generated in the second quarter of 2012.</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Adjusted property EBITDA in the second quarter of 2013 was $290.1 million, down 4.0% from $302.2 million in the second quarter of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Table games turnover in the VIP segment was $29.9 billion for the second quarter of 2013, a 1.6% decline from $30.3 billion in the second quarter of 2012. VIP table games win as a percentage of turnover (calculated before commissions) for the quarter was 2.94%, which was within the expected range of 2.7% to 3.0% and higher than the 2.79% experienced in the second quarter of 2012.</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Table games win in the mass market segment increased by 8.5% in the second quarter to $217.0 million. Mass market table games win per unit per day increased by 6.5% to $11,671 from $10,963 per table in the second quarter of 2012. Drop in the mass market segment was $626.6 million in the second quarter of 2013, down 6.7% from the June 2012 quarter, while the segment’s win percentage of 34.6% was higher than the 29.8% generated in the 2012 quarter. Chips purchased at the casino cage are excluded from table games drop and will increase the expected win percentage. Note that customers purchase mass market gaming chips at either the gaming tables or the casino cage. With the increased purchases at the casino cage, we believe the relevant indicator of volumes in the mass market segment should be table games win.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Slot machine handle of $1.2 billion for the second quarter of 2013 was approximately flat with the prior-year quarter, while slot win declined 8.9% compared to the prior-year period. Win per unit per day was 2.9% lower at $731, compared to $752 in the second quarter of 2012. The average number of slots in the 2013 second quarter declined by 57 machines versus the 2012 period.</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second quarter of 2013, we began a renovation of the approximately 600 guestrooms in the original Wynn Macau tower, contributing to an approximate 5% reduction in the number of available room-nights compared to the second quarter of 2012. We expect to complete the guestroom renovation by the end of 2013.</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 w:name="page7"/>
    <w:bookmarkEnd w:id="6"/>
    <w:p>
      <w:pPr>
        <w:jc w:val="both"/>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achieved an Average Daily Rate (ADR) of $314 for the second quarter of 2013, 1.0% below the $317 reported in the 2012 quarter. Occupancy at Wynn Macau improved to 95.5% from 90.0% in the prior-year period, and revenue per available room (REVPAR) rose 5.0% to $300 in the 2013 quarter from $286 in last year’s second quarter. Gross non-casino revenues increased 3.3% during the quarter to $99.9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500 tables (285 VIP tables, 205 mass market tables and 10 poker tables) and 884 slot machines.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 Project in Macau</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is constructing a full-scale integrated resort containing a casino, hotel, convention, retail, entertainment and food and beverage offerings on Cotai and currently estimates the project budget to be approximately $4.0 billion. In February 2013, we started pre-foundation work and continue to remain on pace with the construction schedule. Additionally, negotiations for a guaranteed maximum price (GMP) contract for the project construction costs are nearing completion. We expect to open our resort in Cotai in the first half of 2016.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2013, we invested approximately $113.3 million in our Cotai project.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quarter ended June 30, 2013, net revenues were $401.4 million, a 16.2% increase from $345.6 million in the second quarter of 2012. Adjusted property EBITDA rose to $135.7 million, up 65.6% from the $81.9 million generated in the comparable period in 2012. EBITDA margin on net revenues was 33.8% in the second quarter of 2013 compared to 23.7% in the second quarter of 2012.</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casino revenues in the second quarter of 2013 were $142.6 million, a 44.7% increase from the second quarter of 2012. Table games drop of $548.0 million was down 4.8% compared to $575.6 million in the 2012 quarter and table games win percentage of 21.5% was within the property’s expected range of 21% to 24% and above the 15.0% reported in the 2012 quarter. Slot machine handle of $712.6 million was 0.7% above the $707.8 million in the comparable period of 2012 and net slot win was up 10.4% due to higher hold in the 2013 quarter.</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non-casino revenues for the quarter were $302.1 million, 3.9% higher than in the second quarter of 2012 due to increases in the hotel, food and beverage, and retail segments, and partially offset by lower entertainment revenues.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Room revenues were up 4.6% to $100.6 million during the quarter, versus $96.2 million in the second quarter of 2012. Average Daily Rate (ADR) was up 5.6% to $268, while occupancy of 86.9% was below the 87.6% experienced in the second quarter of 2012. Revenue per available room (REVPAR) was $233 in the 2013 quarter, 4.7% above the $222 reported in the prior-year quarter.</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Food and beverage revenues increased 5.9% to $146.6 million, a result of revenue increases at both the property’s restaurants and its nightclubs. Retail revenues were $22.1 million in the quarter, up 5.2% from last year’s quarter. Entertainment revenues declined to $14.7 million in the 2013 second quarter from $18.1 million due to a show that ended its run at the Encore Theater in November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total cash and investments balance at June 30, 2013 was $2.5 billion. Total debt outstanding at the end of the quarter was $6.0 billion, including $3.3 billion of Wynn Las Vegas debt, $749.4 million of Wynn Macau debt and $1.9 billion at the parent company.</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quarter ended June 30, 2013, stock-based compensation increased primarily due to the retirement of the Company’s former chief operating officer and the related accelerated vesting of shares previously granted to him.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91" w:right="239" w:bottom="1440" w:gutter="0" w:footer="0" w:header="0"/>
        </w:sectPr>
      </w:pPr>
    </w:p>
    <w:bookmarkStart w:id="7" w:name="page8"/>
    <w:bookmarkEnd w:id="7"/>
    <w:p>
      <w:pPr>
        <w:jc w:val="both"/>
        <w:ind w:right="2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both the 2013 and 2012 second quarters, the Company recorded adjustments to its reserve estimates for casino accounts receivable based on the results of historical collection patterns and current collection trends. This change was the primary factor that resulted in an $11.2 million and a $17.3 million credit to the provision for doubtful accounts for the second quarters of 2013 and 2012, respectively. The adjustment in the second quarter of 2013 was $14.9 million, consisting of a $12.2 million credit at Wynn Las Vegas and a $2.7 million credit at Wynn Macau.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Company will hold a conference call to discuss its results on July 29, 2013 at 5:30 a.m. PT (8:30 a.m. ET). Interested parties are invited to join the call by accessing a live audio webcast at http://www.wynnresorts.com (Investor Relations).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2012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ind w:firstLine="8"/>
        <w:spacing w:after="0" w:line="266" w:lineRule="auto"/>
        <w:tabs>
          <w:tab w:leader="none" w:pos="297"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397" w:lineRule="exact"/>
        <w:rPr>
          <w:rFonts w:ascii="Arial" w:cs="Arial" w:eastAsia="Arial" w:hAnsi="Arial"/>
          <w:sz w:val="16"/>
          <w:szCs w:val="16"/>
          <w:color w:val="auto"/>
        </w:rPr>
      </w:pPr>
    </w:p>
    <w:p>
      <w:pPr>
        <w:jc w:val="both"/>
        <w:ind w:firstLine="8"/>
        <w:spacing w:after="0" w:line="273" w:lineRule="auto"/>
        <w:tabs>
          <w:tab w:leader="none" w:pos="273"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net income attributable to Wynn Resorts is net income before pre-opening costs, property charges and other, and certain other non-operating income and expenses. Adjusted net income attributable to Wynn Resorts and adjusted net income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91" w:right="239" w:bottom="1440" w:gutter="0" w:footer="0" w:header="0"/>
        </w:sectPr>
      </w:pPr>
    </w:p>
    <w:bookmarkStart w:id="8" w:name="page9"/>
    <w:bookmarkEnd w:id="8"/>
    <w:p>
      <w:pPr>
        <w:jc w:val="both"/>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to adjusted net income attributable to Wynn Resorts, and (ii) operating income to adjusted property EBITDA and adjusted property EBITDA to net income attributable to Wynn Resorts.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9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5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2012</w:t>
            </w:r>
          </w:p>
        </w:tc>
        <w:tc>
          <w:tcPr>
            <w:tcW w:w="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50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2" w:lineRule="exact"/>
              <w:rPr>
                <w:sz w:val="20"/>
                <w:szCs w:val="20"/>
                <w:color w:val="auto"/>
              </w:rPr>
            </w:pPr>
            <w:r>
              <w:rPr>
                <w:rFonts w:ascii="Arial" w:cs="Arial" w:eastAsia="Arial" w:hAnsi="Arial"/>
                <w:sz w:val="18"/>
                <w:szCs w:val="18"/>
                <w:color w:val="auto"/>
              </w:rPr>
              <w:t>Casino</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1,016,148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953,390</w:t>
            </w:r>
          </w:p>
        </w:tc>
        <w:tc>
          <w:tcPr>
            <w:tcW w:w="46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2,122,651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$2,002,669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Rooms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129,373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124,880</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249,853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242,383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2" w:lineRule="exact"/>
              <w:rPr>
                <w:sz w:val="20"/>
                <w:szCs w:val="20"/>
                <w:color w:val="auto"/>
              </w:rPr>
            </w:pPr>
            <w:r>
              <w:rPr>
                <w:rFonts w:ascii="Arial" w:cs="Arial" w:eastAsia="Arial" w:hAnsi="Arial"/>
                <w:sz w:val="18"/>
                <w:szCs w:val="18"/>
                <w:color w:val="auto"/>
              </w:rPr>
              <w:t>Food and beverage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169,555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161,137</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309,256</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296,277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Entertainment, retail and other</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103,046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101,402</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204,594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207,311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440"/>
              <w:spacing w:after="0"/>
              <w:rPr>
                <w:sz w:val="20"/>
                <w:szCs w:val="20"/>
                <w:color w:val="auto"/>
              </w:rPr>
            </w:pPr>
            <w:r>
              <w:rPr>
                <w:rFonts w:ascii="Arial" w:cs="Arial" w:eastAsia="Arial" w:hAnsi="Arial"/>
                <w:sz w:val="18"/>
                <w:szCs w:val="18"/>
                <w:color w:val="auto"/>
              </w:rPr>
              <w:t>Gross revenues</w:t>
            </w:r>
          </w:p>
        </w:tc>
        <w:tc>
          <w:tcPr>
            <w:tcW w:w="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1,418,122</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1,340,809</w:t>
            </w: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2,886,354</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promotional allowances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(85,849)</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(87,602)</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(175,427)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(181,935)</w:t>
            </w:r>
          </w:p>
        </w:tc>
        <w:tc>
          <w:tcPr>
            <w:tcW w:w="0" w:type="dxa"/>
            <w:vAlign w:val="bottom"/>
          </w:tcPr>
          <w:p>
            <w:pPr>
              <w:spacing w:after="0"/>
              <w:rPr>
                <w:sz w:val="1"/>
                <w:szCs w:val="1"/>
                <w:color w:val="auto"/>
              </w:rPr>
            </w:pPr>
          </w:p>
        </w:tc>
      </w:tr>
      <w:tr>
        <w:trPr>
          <w:trHeight w:val="210"/>
        </w:trPr>
        <w:tc>
          <w:tcPr>
            <w:tcW w:w="5060" w:type="dxa"/>
            <w:vAlign w:val="bottom"/>
          </w:tcPr>
          <w:p>
            <w:pPr>
              <w:ind w:left="440"/>
              <w:spacing w:after="0"/>
              <w:rPr>
                <w:sz w:val="20"/>
                <w:szCs w:val="20"/>
                <w:color w:val="auto"/>
              </w:rPr>
            </w:pPr>
            <w:r>
              <w:rPr>
                <w:rFonts w:ascii="Arial" w:cs="Arial" w:eastAsia="Arial" w:hAnsi="Arial"/>
                <w:sz w:val="18"/>
                <w:szCs w:val="18"/>
                <w:color w:val="auto"/>
              </w:rPr>
              <w:t>Net revenues</w:t>
            </w:r>
          </w:p>
        </w:tc>
        <w:tc>
          <w:tcPr>
            <w:tcW w:w="8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1,332,273</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1,253,207</w:t>
            </w:r>
          </w:p>
        </w:tc>
        <w:tc>
          <w:tcPr>
            <w:tcW w:w="4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2,710,927</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costs and expenses: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2" w:lineRule="exact"/>
              <w:rPr>
                <w:sz w:val="20"/>
                <w:szCs w:val="20"/>
                <w:color w:val="auto"/>
              </w:rPr>
            </w:pPr>
            <w:r>
              <w:rPr>
                <w:rFonts w:ascii="Arial" w:cs="Arial" w:eastAsia="Arial" w:hAnsi="Arial"/>
                <w:sz w:val="18"/>
                <w:szCs w:val="18"/>
                <w:color w:val="auto"/>
              </w:rPr>
              <w:t>Casino</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665,422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645,688</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1,362,610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1,320,344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Rooms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33,984</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33,265</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67,374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63,249</w:t>
            </w: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2" w:lineRule="exact"/>
              <w:rPr>
                <w:sz w:val="20"/>
                <w:szCs w:val="20"/>
                <w:color w:val="auto"/>
              </w:rPr>
            </w:pPr>
            <w:r>
              <w:rPr>
                <w:rFonts w:ascii="Arial" w:cs="Arial" w:eastAsia="Arial" w:hAnsi="Arial"/>
                <w:sz w:val="18"/>
                <w:szCs w:val="18"/>
                <w:color w:val="auto"/>
              </w:rPr>
              <w:t>Food and beverage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95,467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84,522</w:t>
            </w:r>
          </w:p>
        </w:tc>
        <w:tc>
          <w:tcPr>
            <w:tcW w:w="22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169,340</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154,918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Entertainment, retail and other</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42,956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46,108</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83,282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97,766</w:t>
            </w: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132,381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99,777</w:t>
            </w:r>
          </w:p>
        </w:tc>
        <w:tc>
          <w:tcPr>
            <w:tcW w:w="22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227,290</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205,727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Provision for doubtful accounts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(11,225)</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(17,279)</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(4,221)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2" w:lineRule="exact"/>
              <w:rPr>
                <w:sz w:val="20"/>
                <w:szCs w:val="20"/>
                <w:color w:val="auto"/>
              </w:rPr>
            </w:pPr>
            <w:r>
              <w:rPr>
                <w:rFonts w:ascii="Arial" w:cs="Arial" w:eastAsia="Arial" w:hAnsi="Arial"/>
                <w:sz w:val="18"/>
                <w:szCs w:val="18"/>
                <w:color w:val="auto"/>
              </w:rPr>
              <w:t>Pre-opening costs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886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93,218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93,463</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185,736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185,868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20"/>
              <w:spacing w:after="0" w:line="202" w:lineRule="exact"/>
              <w:rPr>
                <w:sz w:val="20"/>
                <w:szCs w:val="20"/>
                <w:color w:val="auto"/>
              </w:rPr>
            </w:pPr>
            <w:r>
              <w:rPr>
                <w:rFonts w:ascii="Arial" w:cs="Arial" w:eastAsia="Arial" w:hAnsi="Arial"/>
                <w:sz w:val="18"/>
                <w:szCs w:val="18"/>
                <w:color w:val="auto"/>
              </w:rPr>
              <w:t>Property charges and other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5,612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3,540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10,958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13,826</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operating costs and expenses</w:t>
            </w:r>
          </w:p>
        </w:tc>
        <w:tc>
          <w:tcPr>
            <w:tcW w:w="84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1,058,249</w:t>
            </w: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989,084</w:t>
            </w:r>
          </w:p>
        </w:tc>
        <w:tc>
          <w:tcPr>
            <w:tcW w:w="46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2,103,255</w:t>
            </w: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2,042,483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506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274,024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264,123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607,672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524,222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4,158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8,380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(73,764)</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(73,874)</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(149,141)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(135,935)</w:t>
            </w: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2" w:lineRule="exact"/>
              <w:rPr>
                <w:sz w:val="20"/>
                <w:szCs w:val="20"/>
                <w:color w:val="auto"/>
              </w:rPr>
            </w:pPr>
            <w:r>
              <w:rPr>
                <w:rFonts w:ascii="Arial" w:cs="Arial" w:eastAsia="Arial" w:hAnsi="Arial"/>
                <w:sz w:val="18"/>
                <w:szCs w:val="18"/>
                <w:color w:val="auto"/>
              </w:rPr>
              <w:t>Increase in swap fair value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13,512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2,646</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16,656</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 on retirement of debt</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(26,578)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(26,578)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2" w:lineRule="exact"/>
              <w:rPr>
                <w:sz w:val="20"/>
                <w:szCs w:val="20"/>
                <w:color w:val="auto"/>
              </w:rPr>
            </w:pPr>
            <w:r>
              <w:rPr>
                <w:rFonts w:ascii="Arial" w:cs="Arial" w:eastAsia="Arial" w:hAnsi="Arial"/>
                <w:sz w:val="18"/>
                <w:szCs w:val="18"/>
                <w:color w:val="auto"/>
              </w:rPr>
              <w:t>Equity in income from unconsolidated affiliates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(1,081)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3,262</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(80,184)</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(69,570)</w:t>
            </w: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(146,830)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(131,377)</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193,840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194,553</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460,842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392,845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5060" w:type="dxa"/>
            <w:vAlign w:val="bottom"/>
          </w:tcPr>
          <w:p>
            <w:pPr>
              <w:ind w:left="220"/>
              <w:spacing w:after="0"/>
              <w:rPr>
                <w:sz w:val="20"/>
                <w:szCs w:val="20"/>
                <w:color w:val="auto"/>
              </w:rPr>
            </w:pPr>
            <w:r>
              <w:rPr>
                <w:rFonts w:ascii="Arial" w:cs="Arial" w:eastAsia="Arial" w:hAnsi="Arial"/>
                <w:sz w:val="18"/>
                <w:szCs w:val="18"/>
                <w:color w:val="auto"/>
              </w:rPr>
              <w:t>(Provision) benefit for income taxes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4,740</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192,716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199,293</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464,860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397,702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5060" w:type="dxa"/>
            <w:vAlign w:val="bottom"/>
          </w:tcPr>
          <w:p>
            <w:pPr>
              <w:ind w:left="220"/>
              <w:spacing w:after="0"/>
              <w:rPr>
                <w:sz w:val="20"/>
                <w:szCs w:val="20"/>
                <w:color w:val="auto"/>
              </w:rPr>
            </w:pPr>
            <w:r>
              <w:rPr>
                <w:rFonts w:ascii="Arial" w:cs="Arial" w:eastAsia="Arial" w:hAnsi="Arial"/>
                <w:sz w:val="18"/>
                <w:szCs w:val="18"/>
                <w:color w:val="auto"/>
              </w:rPr>
              <w:t>Less: Net income attributable to noncontrolling interest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(62,931)</w:t>
            </w:r>
          </w:p>
        </w:tc>
        <w:tc>
          <w:tcPr>
            <w:tcW w:w="10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(61,229)</w:t>
            </w:r>
          </w:p>
        </w:tc>
        <w:tc>
          <w:tcPr>
            <w:tcW w:w="220" w:type="dxa"/>
            <w:vAlign w:val="bottom"/>
          </w:tcPr>
          <w:p>
            <w:pPr>
              <w:spacing w:after="0"/>
              <w:rPr>
                <w:sz w:val="24"/>
                <w:szCs w:val="2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(132,112)</w:t>
            </w: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(119,074)</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Wynn Resorts, Limited</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129,785</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138,064</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332,748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278,628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Basic and diluted income per common share:</w:t>
            </w: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 attributable to Wynn Resorts, Limited: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440"/>
              <w:spacing w:after="0" w:line="202" w:lineRule="exact"/>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4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460" w:type="dxa"/>
            <w:vAlign w:val="bottom"/>
          </w:tcPr>
          <w:p>
            <w:pPr>
              <w:spacing w:after="0"/>
              <w:rPr>
                <w:sz w:val="17"/>
                <w:szCs w:val="17"/>
                <w:color w:val="auto"/>
              </w:rPr>
            </w:pP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3.32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100,484</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99,782</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100,361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60" w:type="dxa"/>
            <w:vAlign w:val="bottom"/>
          </w:tcPr>
          <w:p>
            <w:pPr>
              <w:ind w:left="44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101,549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101,010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101,493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per common share:</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50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ATTRIBUTABLE TO WYNN RESORTS, LIMITED TO ADJUSTED NET INCOME ATTRIBUTABLE TO WYNN RESORTS, LIMITED (amounts in thousands, except per share data) (unaudited)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17"/>
                <w:szCs w:val="17"/>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6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b w:val="1"/>
                <w:bCs w:val="1"/>
                <w:color w:val="auto"/>
                <w:w w:val="99"/>
              </w:rPr>
              <w:t>2012</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17"/>
                <w:szCs w:val="17"/>
                <w:color w:val="auto"/>
              </w:rPr>
            </w:pPr>
          </w:p>
        </w:tc>
      </w:tr>
      <w:tr>
        <w:trPr>
          <w:trHeight w:val="196"/>
        </w:trPr>
        <w:tc>
          <w:tcPr>
            <w:tcW w:w="6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attributable to Wynn Resorts, Limited</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129,785</w:t>
            </w:r>
          </w:p>
        </w:tc>
        <w:tc>
          <w:tcPr>
            <w:tcW w:w="2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138,064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332,748</w:t>
            </w:r>
          </w:p>
        </w:tc>
        <w:tc>
          <w:tcPr>
            <w:tcW w:w="2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278,628</w:t>
            </w:r>
          </w:p>
        </w:tc>
      </w:tr>
      <w:tr>
        <w:trPr>
          <w:trHeight w:val="203"/>
        </w:trPr>
        <w:tc>
          <w:tcPr>
            <w:tcW w:w="6600" w:type="dxa"/>
            <w:vAlign w:val="bottom"/>
          </w:tcPr>
          <w:p>
            <w:pPr>
              <w:ind w:left="220"/>
              <w:spacing w:after="0" w:line="202" w:lineRule="exact"/>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434</w:t>
            </w:r>
          </w:p>
        </w:tc>
        <w:tc>
          <w:tcPr>
            <w:tcW w:w="240" w:type="dxa"/>
            <w:vAlign w:val="bottom"/>
          </w:tcPr>
          <w:p>
            <w:pPr>
              <w:spacing w:after="0"/>
              <w:rPr>
                <w:sz w:val="17"/>
                <w:szCs w:val="17"/>
                <w:color w:val="auto"/>
              </w:rPr>
            </w:pP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886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Increase in swap fair value</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(13,512)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(2,646)</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(16,656)</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(4,930)</w:t>
            </w:r>
          </w:p>
        </w:tc>
      </w:tr>
      <w:tr>
        <w:trPr>
          <w:trHeight w:val="203"/>
        </w:trPr>
        <w:tc>
          <w:tcPr>
            <w:tcW w:w="6600" w:type="dxa"/>
            <w:vAlign w:val="bottom"/>
          </w:tcPr>
          <w:p>
            <w:pPr>
              <w:ind w:left="220"/>
              <w:spacing w:after="0" w:line="202" w:lineRule="exact"/>
              <w:rPr>
                <w:sz w:val="20"/>
                <w:szCs w:val="20"/>
                <w:color w:val="auto"/>
              </w:rPr>
            </w:pPr>
            <w:r>
              <w:rPr>
                <w:rFonts w:ascii="Arial" w:cs="Arial" w:eastAsia="Arial" w:hAnsi="Arial"/>
                <w:sz w:val="18"/>
                <w:szCs w:val="18"/>
                <w:color w:val="auto"/>
              </w:rPr>
              <w:t>Property charges and other</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5,612</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3,540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10,958</w:t>
            </w:r>
          </w:p>
        </w:tc>
        <w:tc>
          <w:tcPr>
            <w:tcW w:w="24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13,826</w:t>
            </w:r>
          </w:p>
        </w:tc>
      </w:tr>
      <w:tr>
        <w:trPr>
          <w:trHeight w:val="203"/>
        </w:trPr>
        <w:tc>
          <w:tcPr>
            <w:tcW w:w="6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 on retirement of debt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26,578</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26,578</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17"/>
                <w:szCs w:val="17"/>
                <w:color w:val="auto"/>
              </w:rPr>
            </w:pPr>
          </w:p>
        </w:tc>
      </w:tr>
      <w:tr>
        <w:trPr>
          <w:trHeight w:val="203"/>
        </w:trPr>
        <w:tc>
          <w:tcPr>
            <w:tcW w:w="6600" w:type="dxa"/>
            <w:vAlign w:val="bottom"/>
          </w:tcPr>
          <w:p>
            <w:pPr>
              <w:ind w:left="220"/>
              <w:spacing w:after="0" w:line="202" w:lineRule="exact"/>
              <w:rPr>
                <w:sz w:val="20"/>
                <w:szCs w:val="20"/>
                <w:color w:val="auto"/>
              </w:rPr>
            </w:pPr>
            <w:r>
              <w:rPr>
                <w:rFonts w:ascii="Arial" w:cs="Arial" w:eastAsia="Arial" w:hAnsi="Arial"/>
                <w:sz w:val="18"/>
                <w:szCs w:val="18"/>
                <w:color w:val="auto"/>
              </w:rPr>
              <w:t>Adjustment for noncontrolling interest</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4,027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4,047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(1,459)</w:t>
            </w:r>
          </w:p>
        </w:tc>
      </w:tr>
      <w:tr>
        <w:trPr>
          <w:trHeight w:val="27"/>
        </w:trPr>
        <w:tc>
          <w:tcPr>
            <w:tcW w:w="6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Adjusted net income attributable to Wynn Resorts, Limited (2)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152,924</w:t>
            </w:r>
          </w:p>
        </w:tc>
        <w:tc>
          <w:tcPr>
            <w:tcW w:w="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138,954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358,561</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290,893</w:t>
            </w:r>
          </w:p>
        </w:tc>
        <w:tc>
          <w:tcPr>
            <w:tcW w:w="100" w:type="dxa"/>
            <w:vAlign w:val="bottom"/>
            <w:shd w:val="clear" w:color="auto" w:fill="CCEEFF"/>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4"/>
        </w:trPr>
        <w:tc>
          <w:tcPr>
            <w:tcW w:w="6600" w:type="dxa"/>
            <w:vAlign w:val="bottom"/>
          </w:tcPr>
          <w:p>
            <w:pPr>
              <w:spacing w:after="0"/>
              <w:rPr>
                <w:sz w:val="20"/>
                <w:szCs w:val="20"/>
                <w:color w:val="auto"/>
              </w:rPr>
            </w:pPr>
            <w:r>
              <w:rPr>
                <w:rFonts w:ascii="Arial" w:cs="Arial" w:eastAsia="Arial" w:hAnsi="Arial"/>
                <w:sz w:val="18"/>
                <w:szCs w:val="18"/>
                <w:color w:val="auto"/>
              </w:rPr>
              <w:t>Adjusted net income attributable to Wynn Resorts, Limited per diluted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3.53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351"/>
        </w:trPr>
        <w:tc>
          <w:tcPr>
            <w:tcW w:w="6600" w:type="dxa"/>
            <w:vAlign w:val="bottom"/>
          </w:tcPr>
          <w:p>
            <w:pPr>
              <w:ind w:left="56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 ATTRIBUTABLE TO WYNN RESORTS, LIMITED</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8"/>
                <w:szCs w:val="18"/>
                <w:b w:val="1"/>
                <w:bCs w:val="1"/>
                <w:color w:val="auto"/>
              </w:rPr>
              <w:t>Three Months Ended June 30, 2013</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Macau</w:t>
            </w:r>
          </w:p>
        </w:tc>
        <w:tc>
          <w:tcPr>
            <w:tcW w:w="9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Las Vegas</w:t>
            </w:r>
          </w:p>
        </w:tc>
        <w:tc>
          <w:tcPr>
            <w:tcW w:w="500" w:type="dxa"/>
            <w:vAlign w:val="bottom"/>
          </w:tcPr>
          <w:p>
            <w:pPr>
              <w:spacing w:after="0"/>
              <w:rPr>
                <w:sz w:val="20"/>
                <w:szCs w:val="20"/>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Corporate</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Operations</w:t>
            </w:r>
          </w:p>
        </w:tc>
        <w:tc>
          <w:tcPr>
            <w:tcW w:w="9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4"/>
              </w:rPr>
              <w:t>Operations</w:t>
            </w:r>
          </w:p>
        </w:tc>
        <w:tc>
          <w:tcPr>
            <w:tcW w:w="500" w:type="dxa"/>
            <w:vAlign w:val="bottom"/>
          </w:tcPr>
          <w:p>
            <w:pPr>
              <w:spacing w:after="0"/>
              <w:rPr>
                <w:sz w:val="19"/>
                <w:szCs w:val="19"/>
                <w:color w:val="auto"/>
              </w:rPr>
            </w:pPr>
          </w:p>
        </w:tc>
        <w:tc>
          <w:tcPr>
            <w:tcW w:w="10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and Other</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216,236</w:t>
            </w:r>
          </w:p>
        </w:tc>
        <w:tc>
          <w:tcPr>
            <w:tcW w:w="108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49,551</w:t>
            </w:r>
          </w:p>
        </w:tc>
        <w:tc>
          <w:tcPr>
            <w:tcW w:w="7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8,237</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274,024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434</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29,526</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62,095</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1,597</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93,218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420"/>
              <w:spacing w:after="0" w:line="202" w:lineRule="exact"/>
              <w:rPr>
                <w:sz w:val="20"/>
                <w:szCs w:val="20"/>
                <w:color w:val="auto"/>
              </w:rPr>
            </w:pPr>
            <w:r>
              <w:rPr>
                <w:rFonts w:ascii="Arial" w:cs="Arial" w:eastAsia="Arial" w:hAnsi="Arial"/>
                <w:sz w:val="18"/>
                <w:szCs w:val="18"/>
                <w:color w:val="auto"/>
              </w:rPr>
              <w:t>Property charges and other</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(1,453)</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7,065</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Management and royalty fees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37,680</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6,033</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(43,713)</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420"/>
              <w:spacing w:after="0" w:line="202" w:lineRule="exact"/>
              <w:rPr>
                <w:sz w:val="20"/>
                <w:szCs w:val="20"/>
                <w:color w:val="auto"/>
              </w:rPr>
            </w:pPr>
            <w:r>
              <w:rPr>
                <w:rFonts w:ascii="Arial" w:cs="Arial" w:eastAsia="Arial" w:hAnsi="Arial"/>
                <w:sz w:val="18"/>
                <w:szCs w:val="18"/>
                <w:color w:val="auto"/>
              </w:rPr>
              <w:t>Corporate expenses and other</w:t>
            </w:r>
          </w:p>
        </w:tc>
        <w:tc>
          <w:tcPr>
            <w:tcW w:w="20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6,528</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8,427</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8,365</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23,320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1,137</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2,253</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25,356</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28,746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0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290,088</w:t>
            </w:r>
          </w:p>
        </w:tc>
        <w:tc>
          <w:tcPr>
            <w:tcW w:w="108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135,657</w:t>
            </w:r>
          </w:p>
        </w:tc>
        <w:tc>
          <w:tcPr>
            <w:tcW w:w="7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425,745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8"/>
                <w:szCs w:val="18"/>
                <w:b w:val="1"/>
                <w:bCs w:val="1"/>
                <w:color w:val="auto"/>
              </w:rPr>
              <w:t>Three Months Ended June 30, 2012</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Macau</w:t>
            </w:r>
          </w:p>
        </w:tc>
        <w:tc>
          <w:tcPr>
            <w:tcW w:w="9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Las Vegas</w:t>
            </w:r>
          </w:p>
        </w:tc>
        <w:tc>
          <w:tcPr>
            <w:tcW w:w="500" w:type="dxa"/>
            <w:vAlign w:val="bottom"/>
          </w:tcPr>
          <w:p>
            <w:pPr>
              <w:spacing w:after="0"/>
              <w:rPr>
                <w:sz w:val="20"/>
                <w:szCs w:val="20"/>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Corporate</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Operations</w:t>
            </w:r>
          </w:p>
        </w:tc>
        <w:tc>
          <w:tcPr>
            <w:tcW w:w="9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Operations</w:t>
            </w:r>
          </w:p>
        </w:tc>
        <w:tc>
          <w:tcPr>
            <w:tcW w:w="500" w:type="dxa"/>
            <w:vAlign w:val="bottom"/>
          </w:tcPr>
          <w:p>
            <w:pPr>
              <w:spacing w:after="0"/>
              <w:rPr>
                <w:sz w:val="19"/>
                <w:szCs w:val="19"/>
                <w:color w:val="auto"/>
              </w:rPr>
            </w:pPr>
          </w:p>
        </w:tc>
        <w:tc>
          <w:tcPr>
            <w:tcW w:w="10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and Other</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225,548</w:t>
            </w:r>
          </w:p>
        </w:tc>
        <w:tc>
          <w:tcPr>
            <w:tcW w:w="114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3,538</w:t>
            </w:r>
          </w:p>
        </w:tc>
        <w:tc>
          <w:tcPr>
            <w:tcW w:w="7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35,037</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264,123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29,985</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62,776</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93,463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Property charges and other</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1,366</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2,174</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3,540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420"/>
              <w:spacing w:after="0" w:line="202" w:lineRule="exact"/>
              <w:rPr>
                <w:sz w:val="20"/>
                <w:szCs w:val="20"/>
                <w:color w:val="auto"/>
              </w:rPr>
            </w:pPr>
            <w:r>
              <w:rPr>
                <w:rFonts w:ascii="Arial" w:cs="Arial" w:eastAsia="Arial" w:hAnsi="Arial"/>
                <w:sz w:val="18"/>
                <w:szCs w:val="18"/>
                <w:color w:val="auto"/>
              </w:rPr>
              <w:t>Management and royalty fees</w:t>
            </w:r>
          </w:p>
        </w:tc>
        <w:tc>
          <w:tcPr>
            <w:tcW w:w="20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36,374</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5,189</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(41,563)</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Corporate expenses and other</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7,840</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6,809</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2,892</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17,541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420"/>
              <w:spacing w:after="0" w:line="202" w:lineRule="exact"/>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1,097</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1,328</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2,781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5,206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Equity in income from unconsolidated affiliates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151</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302,210</w:t>
            </w:r>
          </w:p>
        </w:tc>
        <w:tc>
          <w:tcPr>
            <w:tcW w:w="11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81,919</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384,129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-4445</wp:posOffset>
            </wp:positionV>
            <wp:extent cx="16294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160" w:type="dxa"/>
            <w:vAlign w:val="bottom"/>
          </w:tcPr>
          <w:p>
            <w:pPr>
              <w:spacing w:after="0"/>
              <w:rPr>
                <w:sz w:val="7"/>
                <w:szCs w:val="7"/>
                <w:color w:val="auto"/>
              </w:rPr>
            </w:pPr>
          </w:p>
        </w:tc>
        <w:tc>
          <w:tcPr>
            <w:tcW w:w="3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3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425,745</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384,129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3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(93,218)</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420"/>
              <w:spacing w:after="0" w:line="202" w:lineRule="exact"/>
              <w:rPr>
                <w:sz w:val="20"/>
                <w:szCs w:val="20"/>
                <w:color w:val="auto"/>
              </w:rPr>
            </w:pPr>
            <w:r>
              <w:rPr>
                <w:rFonts w:ascii="Arial" w:cs="Arial" w:eastAsia="Arial" w:hAnsi="Arial"/>
                <w:sz w:val="18"/>
                <w:szCs w:val="18"/>
                <w:color w:val="auto"/>
              </w:rPr>
              <w:t>Property charges and other</w:t>
            </w:r>
          </w:p>
        </w:tc>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(5,612)</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Corporate expenses and other</w:t>
            </w:r>
          </w:p>
        </w:tc>
        <w:tc>
          <w:tcPr>
            <w:tcW w:w="3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(23,320)</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420"/>
              <w:spacing w:after="0" w:line="202" w:lineRule="exact"/>
              <w:rPr>
                <w:sz w:val="20"/>
                <w:szCs w:val="20"/>
                <w:color w:val="auto"/>
              </w:rPr>
            </w:pPr>
            <w:r>
              <w:rPr>
                <w:rFonts w:ascii="Arial" w:cs="Arial" w:eastAsia="Arial" w:hAnsi="Arial"/>
                <w:sz w:val="18"/>
                <w:szCs w:val="18"/>
                <w:color w:val="auto"/>
              </w:rPr>
              <w:t>Stock-based compensation</w:t>
            </w:r>
          </w:p>
        </w:tc>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(28,746)</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income</w:t>
            </w:r>
          </w:p>
        </w:tc>
        <w:tc>
          <w:tcPr>
            <w:tcW w:w="3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4,158</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42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(73,764)</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(73,874)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Increase in swap fair value</w:t>
            </w:r>
          </w:p>
        </w:tc>
        <w:tc>
          <w:tcPr>
            <w:tcW w:w="3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13,512</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2,646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420"/>
              <w:spacing w:after="0" w:line="202" w:lineRule="exact"/>
              <w:rPr>
                <w:sz w:val="20"/>
                <w:szCs w:val="20"/>
                <w:color w:val="auto"/>
              </w:rPr>
            </w:pPr>
            <w:r>
              <w:rPr>
                <w:rFonts w:ascii="Arial" w:cs="Arial" w:eastAsia="Arial" w:hAnsi="Arial"/>
                <w:sz w:val="18"/>
                <w:szCs w:val="18"/>
                <w:color w:val="auto"/>
              </w:rPr>
              <w:t>Loss on retirement of debt</w:t>
            </w:r>
          </w:p>
        </w:tc>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(26,578)</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w:t>
            </w:r>
          </w:p>
        </w:tc>
        <w:tc>
          <w:tcPr>
            <w:tcW w:w="3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2,097</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3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192,716</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199,293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w:t>
            </w:r>
          </w:p>
        </w:tc>
        <w:tc>
          <w:tcPr>
            <w:tcW w:w="3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(62,931)</w:t>
            </w: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attributable to Wynn Resorts, Limited</w:t>
            </w:r>
          </w:p>
        </w:tc>
        <w:tc>
          <w:tcPr>
            <w:tcW w:w="3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129,785</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138,064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680" w:type="dxa"/>
            <w:vAlign w:val="bottom"/>
          </w:tcPr>
          <w:p>
            <w:pPr>
              <w:jc w:val="right"/>
              <w:ind w:right="3012"/>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 ATTRIBUTABLE TO WYNN RESORTS, LIMITED</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12"/>
              <w:spacing w:after="0"/>
              <w:rPr>
                <w:sz w:val="20"/>
                <w:szCs w:val="20"/>
                <w:color w:val="auto"/>
              </w:rPr>
            </w:pPr>
            <w:r>
              <w:rPr>
                <w:rFonts w:ascii="Arial" w:cs="Arial" w:eastAsia="Arial" w:hAnsi="Arial"/>
                <w:sz w:val="18"/>
                <w:szCs w:val="18"/>
                <w:b w:val="1"/>
                <w:bCs w:val="1"/>
                <w:color w:val="auto"/>
              </w:rPr>
              <w:t>Six Months Ended June 30, 2013</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Macau</w:t>
            </w:r>
          </w:p>
        </w:tc>
        <w:tc>
          <w:tcPr>
            <w:tcW w:w="9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Las Vegas</w:t>
            </w:r>
          </w:p>
        </w:tc>
        <w:tc>
          <w:tcPr>
            <w:tcW w:w="500" w:type="dxa"/>
            <w:vAlign w:val="bottom"/>
          </w:tcPr>
          <w:p>
            <w:pPr>
              <w:spacing w:after="0"/>
              <w:rPr>
                <w:sz w:val="20"/>
                <w:szCs w:val="20"/>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Corporate</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Operations</w:t>
            </w:r>
          </w:p>
        </w:tc>
        <w:tc>
          <w:tcPr>
            <w:tcW w:w="9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4"/>
              </w:rPr>
              <w:t>Operations</w:t>
            </w:r>
          </w:p>
        </w:tc>
        <w:tc>
          <w:tcPr>
            <w:tcW w:w="500" w:type="dxa"/>
            <w:vAlign w:val="bottom"/>
          </w:tcPr>
          <w:p>
            <w:pPr>
              <w:spacing w:after="0"/>
              <w:rPr>
                <w:sz w:val="19"/>
                <w:szCs w:val="19"/>
                <w:color w:val="auto"/>
              </w:rPr>
            </w:pPr>
          </w:p>
        </w:tc>
        <w:tc>
          <w:tcPr>
            <w:tcW w:w="10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and Other</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467,762</w:t>
            </w:r>
          </w:p>
        </w:tc>
        <w:tc>
          <w:tcPr>
            <w:tcW w:w="108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89,970</w:t>
            </w:r>
          </w:p>
        </w:tc>
        <w:tc>
          <w:tcPr>
            <w:tcW w:w="74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49,940</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607,672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886</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58,823</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123,705</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3,208</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185,736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420"/>
              <w:spacing w:after="0" w:line="202" w:lineRule="exact"/>
              <w:rPr>
                <w:sz w:val="20"/>
                <w:szCs w:val="20"/>
                <w:color w:val="auto"/>
              </w:rPr>
            </w:pPr>
            <w:r>
              <w:rPr>
                <w:rFonts w:ascii="Arial" w:cs="Arial" w:eastAsia="Arial" w:hAnsi="Arial"/>
                <w:sz w:val="18"/>
                <w:szCs w:val="18"/>
                <w:color w:val="auto"/>
              </w:rPr>
              <w:t>Property charges and other</w:t>
            </w:r>
          </w:p>
        </w:tc>
        <w:tc>
          <w:tcPr>
            <w:tcW w:w="20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1,166</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9,819</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Management and royalty fees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76,876</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11,828</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(88,704)</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420"/>
              <w:spacing w:after="0" w:line="202" w:lineRule="exact"/>
              <w:rPr>
                <w:sz w:val="20"/>
                <w:szCs w:val="20"/>
                <w:color w:val="auto"/>
              </w:rPr>
            </w:pPr>
            <w:r>
              <w:rPr>
                <w:rFonts w:ascii="Arial" w:cs="Arial" w:eastAsia="Arial" w:hAnsi="Arial"/>
                <w:sz w:val="18"/>
                <w:szCs w:val="18"/>
                <w:color w:val="auto"/>
              </w:rPr>
              <w:t>Corporate expenses and other</w:t>
            </w:r>
          </w:p>
        </w:tc>
        <w:tc>
          <w:tcPr>
            <w:tcW w:w="20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13,146</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16,030</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11,926</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41,102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2,140</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4,480</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23,248</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29,868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0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409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620,799</w:t>
            </w:r>
          </w:p>
        </w:tc>
        <w:tc>
          <w:tcPr>
            <w:tcW w:w="108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256,014</w:t>
            </w:r>
          </w:p>
        </w:tc>
        <w:tc>
          <w:tcPr>
            <w:tcW w:w="74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876,813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12"/>
              <w:spacing w:after="0"/>
              <w:rPr>
                <w:sz w:val="20"/>
                <w:szCs w:val="20"/>
                <w:color w:val="auto"/>
              </w:rPr>
            </w:pPr>
            <w:r>
              <w:rPr>
                <w:rFonts w:ascii="Arial" w:cs="Arial" w:eastAsia="Arial" w:hAnsi="Arial"/>
                <w:sz w:val="18"/>
                <w:szCs w:val="18"/>
                <w:b w:val="1"/>
                <w:bCs w:val="1"/>
                <w:color w:val="auto"/>
              </w:rPr>
              <w:t>Six Months Ended June 30, 2012</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Macau</w:t>
            </w:r>
          </w:p>
        </w:tc>
        <w:tc>
          <w:tcPr>
            <w:tcW w:w="9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Las Vegas</w:t>
            </w:r>
          </w:p>
        </w:tc>
        <w:tc>
          <w:tcPr>
            <w:tcW w:w="500" w:type="dxa"/>
            <w:vAlign w:val="bottom"/>
          </w:tcPr>
          <w:p>
            <w:pPr>
              <w:spacing w:after="0"/>
              <w:rPr>
                <w:sz w:val="20"/>
                <w:szCs w:val="20"/>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Corporate</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Operations</w:t>
            </w:r>
          </w:p>
        </w:tc>
        <w:tc>
          <w:tcPr>
            <w:tcW w:w="9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Operations</w:t>
            </w:r>
          </w:p>
        </w:tc>
        <w:tc>
          <w:tcPr>
            <w:tcW w:w="500" w:type="dxa"/>
            <w:vAlign w:val="bottom"/>
          </w:tcPr>
          <w:p>
            <w:pPr>
              <w:spacing w:after="0"/>
              <w:rPr>
                <w:sz w:val="19"/>
                <w:szCs w:val="19"/>
                <w:color w:val="auto"/>
              </w:rPr>
            </w:pPr>
          </w:p>
        </w:tc>
        <w:tc>
          <w:tcPr>
            <w:tcW w:w="10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and Other</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437,271</w:t>
            </w:r>
          </w:p>
        </w:tc>
        <w:tc>
          <w:tcPr>
            <w:tcW w:w="108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23,964</w:t>
            </w:r>
          </w:p>
        </w:tc>
        <w:tc>
          <w:tcPr>
            <w:tcW w:w="74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62,987</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524,222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58,273</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126,194</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1,401</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185,868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Property charges and other</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7,934</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5,892</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13,826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420"/>
              <w:spacing w:after="0" w:line="202" w:lineRule="exact"/>
              <w:rPr>
                <w:sz w:val="20"/>
                <w:szCs w:val="20"/>
                <w:color w:val="auto"/>
              </w:rPr>
            </w:pPr>
            <w:r>
              <w:rPr>
                <w:rFonts w:ascii="Arial" w:cs="Arial" w:eastAsia="Arial" w:hAnsi="Arial"/>
                <w:sz w:val="18"/>
                <w:szCs w:val="18"/>
                <w:color w:val="auto"/>
              </w:rPr>
              <w:t>Management and royalty fees</w:t>
            </w:r>
          </w:p>
        </w:tc>
        <w:tc>
          <w:tcPr>
            <w:tcW w:w="20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74,433</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10,640</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(85,073)</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Corporate expenses and other</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14,388</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13,196</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14,711</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42,295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420"/>
              <w:spacing w:after="0" w:line="202" w:lineRule="exact"/>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(316)</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2,699</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5,471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7,854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Equity in income from unconsolidated affiliates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503</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591,983</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182,803</w:t>
            </w: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774,786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-4445</wp:posOffset>
            </wp:positionV>
            <wp:extent cx="16294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16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3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876,813</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774,786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(886)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3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(185,736)</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5"/>
              </w:rPr>
              <w:t>(185,868)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420"/>
              <w:spacing w:after="0" w:line="202" w:lineRule="exact"/>
              <w:rPr>
                <w:sz w:val="20"/>
                <w:szCs w:val="20"/>
                <w:color w:val="auto"/>
              </w:rPr>
            </w:pPr>
            <w:r>
              <w:rPr>
                <w:rFonts w:ascii="Arial" w:cs="Arial" w:eastAsia="Arial" w:hAnsi="Arial"/>
                <w:sz w:val="18"/>
                <w:szCs w:val="18"/>
                <w:color w:val="auto"/>
              </w:rPr>
              <w:t>Property charges and other</w:t>
            </w:r>
          </w:p>
        </w:tc>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(10,958)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(13,826)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Corporate expenses and other</w:t>
            </w:r>
          </w:p>
        </w:tc>
        <w:tc>
          <w:tcPr>
            <w:tcW w:w="3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(41,102)</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(42,295)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420"/>
              <w:spacing w:after="0" w:line="202" w:lineRule="exact"/>
              <w:rPr>
                <w:sz w:val="20"/>
                <w:szCs w:val="20"/>
                <w:color w:val="auto"/>
              </w:rPr>
            </w:pPr>
            <w:r>
              <w:rPr>
                <w:rFonts w:ascii="Arial" w:cs="Arial" w:eastAsia="Arial" w:hAnsi="Arial"/>
                <w:sz w:val="18"/>
                <w:szCs w:val="18"/>
                <w:color w:val="auto"/>
              </w:rPr>
              <w:t>Stock-based compensation</w:t>
            </w:r>
          </w:p>
        </w:tc>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(29,868)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(7,854)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income</w:t>
            </w:r>
          </w:p>
        </w:tc>
        <w:tc>
          <w:tcPr>
            <w:tcW w:w="3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8,380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4,048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42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(149,141)</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(135,935)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Increase in swap fair value</w:t>
            </w:r>
          </w:p>
        </w:tc>
        <w:tc>
          <w:tcPr>
            <w:tcW w:w="3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16,656</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420"/>
              <w:spacing w:after="0" w:line="202" w:lineRule="exact"/>
              <w:rPr>
                <w:sz w:val="20"/>
                <w:szCs w:val="20"/>
                <w:color w:val="auto"/>
              </w:rPr>
            </w:pPr>
            <w:r>
              <w:rPr>
                <w:rFonts w:ascii="Arial" w:cs="Arial" w:eastAsia="Arial" w:hAnsi="Arial"/>
                <w:sz w:val="18"/>
                <w:szCs w:val="18"/>
                <w:color w:val="auto"/>
              </w:rPr>
              <w:t>Loss on retirement of debt</w:t>
            </w:r>
          </w:p>
        </w:tc>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(26,578)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(4,828)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w:t>
            </w:r>
          </w:p>
        </w:tc>
        <w:tc>
          <w:tcPr>
            <w:tcW w:w="3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3,262</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Benefit for income taxes</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4,018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3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464,860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397,702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w:t>
            </w:r>
          </w:p>
        </w:tc>
        <w:tc>
          <w:tcPr>
            <w:tcW w:w="3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(132,112)</w:t>
            </w: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(119,074)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attributable to Wynn Resorts, Limited</w:t>
            </w:r>
          </w:p>
        </w:tc>
        <w:tc>
          <w:tcPr>
            <w:tcW w:w="3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332,748</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278,628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680" w:type="dxa"/>
            <w:vAlign w:val="bottom"/>
          </w:tcPr>
          <w:p>
            <w:pPr>
              <w:jc w:val="right"/>
              <w:ind w:right="3012"/>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60" w:type="dxa"/>
            <w:vAlign w:val="bottom"/>
          </w:tcPr>
          <w:p>
            <w:pPr>
              <w:spacing w:after="0"/>
              <w:rPr>
                <w:sz w:val="19"/>
                <w:szCs w:val="19"/>
                <w:color w:val="auto"/>
              </w:rPr>
            </w:pPr>
          </w:p>
        </w:tc>
        <w:tc>
          <w:tcPr>
            <w:tcW w:w="20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Three Months Ended</w:t>
            </w:r>
          </w:p>
        </w:tc>
        <w:tc>
          <w:tcPr>
            <w:tcW w:w="18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7560" w:type="dxa"/>
            <w:vAlign w:val="bottom"/>
          </w:tcPr>
          <w:p>
            <w:pPr>
              <w:spacing w:after="0"/>
              <w:rPr>
                <w:sz w:val="15"/>
                <w:szCs w:val="15"/>
                <w:color w:val="auto"/>
              </w:rPr>
            </w:pPr>
          </w:p>
        </w:tc>
        <w:tc>
          <w:tcPr>
            <w:tcW w:w="1000" w:type="dxa"/>
            <w:vAlign w:val="bottom"/>
          </w:tcPr>
          <w:p>
            <w:pPr>
              <w:jc w:val="right"/>
              <w:ind w:right="72"/>
              <w:spacing w:after="0" w:line="177" w:lineRule="exact"/>
              <w:rPr>
                <w:sz w:val="20"/>
                <w:szCs w:val="20"/>
                <w:color w:val="auto"/>
              </w:rPr>
            </w:pPr>
            <w:r>
              <w:rPr>
                <w:rFonts w:ascii="Arial" w:cs="Arial" w:eastAsia="Arial" w:hAnsi="Arial"/>
                <w:sz w:val="18"/>
                <w:szCs w:val="18"/>
                <w:b w:val="1"/>
                <w:bCs w:val="1"/>
                <w:color w:val="auto"/>
              </w:rPr>
              <w:t>June 30,</w:t>
            </w:r>
          </w:p>
        </w:tc>
        <w:tc>
          <w:tcPr>
            <w:tcW w:w="1000" w:type="dxa"/>
            <w:vAlign w:val="bottom"/>
          </w:tcPr>
          <w:p>
            <w:pPr>
              <w:jc w:val="right"/>
              <w:ind w:right="72"/>
              <w:spacing w:after="0" w:line="177" w:lineRule="exact"/>
              <w:rPr>
                <w:sz w:val="20"/>
                <w:szCs w:val="20"/>
                <w:color w:val="auto"/>
              </w:rPr>
            </w:pPr>
            <w:r>
              <w:rPr>
                <w:rFonts w:ascii="Arial" w:cs="Arial" w:eastAsia="Arial" w:hAnsi="Arial"/>
                <w:sz w:val="18"/>
                <w:szCs w:val="18"/>
                <w:b w:val="1"/>
                <w:bCs w:val="1"/>
                <w:color w:val="auto"/>
              </w:rPr>
              <w:t>June 30,</w:t>
            </w:r>
          </w:p>
        </w:tc>
        <w:tc>
          <w:tcPr>
            <w:tcW w:w="940" w:type="dxa"/>
            <w:vAlign w:val="bottom"/>
          </w:tcPr>
          <w:p>
            <w:pPr>
              <w:jc w:val="right"/>
              <w:ind w:right="32"/>
              <w:spacing w:after="0" w:line="177" w:lineRule="exact"/>
              <w:rPr>
                <w:sz w:val="20"/>
                <w:szCs w:val="20"/>
                <w:color w:val="auto"/>
              </w:rPr>
            </w:pPr>
            <w:r>
              <w:rPr>
                <w:rFonts w:ascii="Arial" w:cs="Arial" w:eastAsia="Arial" w:hAnsi="Arial"/>
                <w:sz w:val="18"/>
                <w:szCs w:val="18"/>
                <w:b w:val="1"/>
                <w:bCs w:val="1"/>
                <w:color w:val="auto"/>
              </w:rPr>
              <w:t>June 30,</w:t>
            </w:r>
          </w:p>
        </w:tc>
        <w:tc>
          <w:tcPr>
            <w:tcW w:w="920" w:type="dxa"/>
            <w:vAlign w:val="bottom"/>
          </w:tcPr>
          <w:p>
            <w:pPr>
              <w:jc w:val="right"/>
              <w:ind w:right="32"/>
              <w:spacing w:after="0" w:line="177" w:lineRule="exact"/>
              <w:rPr>
                <w:sz w:val="20"/>
                <w:szCs w:val="20"/>
                <w:color w:val="auto"/>
              </w:rPr>
            </w:pPr>
            <w:r>
              <w:rPr>
                <w:rFonts w:ascii="Arial" w:cs="Arial" w:eastAsia="Arial" w:hAnsi="Arial"/>
                <w:sz w:val="18"/>
                <w:szCs w:val="18"/>
                <w:b w:val="1"/>
                <w:bCs w:val="1"/>
                <w:color w:val="auto"/>
              </w:rPr>
              <w:t>June 30,</w:t>
            </w:r>
          </w:p>
        </w:tc>
      </w:tr>
      <w:tr>
        <w:trPr>
          <w:trHeight w:val="221"/>
        </w:trPr>
        <w:tc>
          <w:tcPr>
            <w:tcW w:w="75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2013</w:t>
            </w: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2013</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2012</w:t>
            </w:r>
          </w:p>
        </w:tc>
      </w:tr>
      <w:tr>
        <w:trPr>
          <w:trHeight w:val="183"/>
        </w:trPr>
        <w:tc>
          <w:tcPr>
            <w:tcW w:w="7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Room Statistics for Macau operations:</w:t>
            </w:r>
          </w:p>
        </w:tc>
        <w:tc>
          <w:tcPr>
            <w:tcW w:w="10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7560" w:type="dxa"/>
            <w:vAlign w:val="bottom"/>
          </w:tcPr>
          <w:p>
            <w:pPr>
              <w:ind w:left="440"/>
              <w:spacing w:after="0" w:line="202" w:lineRule="exact"/>
              <w:rPr>
                <w:sz w:val="20"/>
                <w:szCs w:val="20"/>
                <w:color w:val="auto"/>
              </w:rPr>
            </w:pPr>
            <w:r>
              <w:rPr>
                <w:rFonts w:ascii="Arial" w:cs="Arial" w:eastAsia="Arial" w:hAnsi="Arial"/>
                <w:sz w:val="18"/>
                <w:szCs w:val="18"/>
                <w:color w:val="auto"/>
              </w:rPr>
              <w:t>Occupancy %</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95.5%</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90.0%</w:t>
            </w: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94.7%</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90.7%</w:t>
            </w:r>
          </w:p>
        </w:tc>
      </w:tr>
      <w:tr>
        <w:trPr>
          <w:trHeight w:val="203"/>
        </w:trPr>
        <w:tc>
          <w:tcPr>
            <w:tcW w:w="75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2"/>
                <w:szCs w:val="22"/>
                <w:color w:val="auto"/>
                <w:vertAlign w:val="superscript"/>
              </w:rPr>
              <w:t>(a)</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$ 314</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$ 317</w:t>
            </w: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$ 315</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$ 321</w:t>
            </w:r>
          </w:p>
        </w:tc>
      </w:tr>
      <w:tr>
        <w:trPr>
          <w:trHeight w:val="293"/>
        </w:trPr>
        <w:tc>
          <w:tcPr>
            <w:tcW w:w="7560" w:type="dxa"/>
            <w:vAlign w:val="bottom"/>
          </w:tcPr>
          <w:p>
            <w:pPr>
              <w:ind w:left="440"/>
              <w:spacing w:after="0"/>
              <w:rPr>
                <w:sz w:val="20"/>
                <w:szCs w:val="20"/>
                <w:color w:val="auto"/>
              </w:rPr>
            </w:pPr>
            <w:r>
              <w:rPr>
                <w:rFonts w:ascii="Arial" w:cs="Arial" w:eastAsia="Arial" w:hAnsi="Arial"/>
                <w:sz w:val="18"/>
                <w:szCs w:val="18"/>
                <w:color w:val="auto"/>
              </w:rPr>
              <w:t xml:space="preserve">Revenue per available room (REVPAR) </w:t>
            </w:r>
            <w:r>
              <w:rPr>
                <w:rFonts w:ascii="Arial" w:cs="Arial" w:eastAsia="Arial" w:hAnsi="Arial"/>
                <w:sz w:val="22"/>
                <w:szCs w:val="22"/>
                <w:color w:val="auto"/>
                <w:vertAlign w:val="superscript"/>
              </w:rPr>
              <w:t>(b)</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$ 300</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$ 286</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$ 298</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$ 291</w:t>
            </w:r>
          </w:p>
        </w:tc>
      </w:tr>
      <w:tr>
        <w:trPr>
          <w:trHeight w:val="342"/>
        </w:trPr>
        <w:tc>
          <w:tcPr>
            <w:tcW w:w="7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information for Macau operations:</w:t>
            </w: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7560" w:type="dxa"/>
            <w:vAlign w:val="bottom"/>
          </w:tcPr>
          <w:p>
            <w:pPr>
              <w:ind w:left="440"/>
              <w:spacing w:after="0" w:line="203"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2"/>
                <w:szCs w:val="22"/>
                <w:color w:val="auto"/>
                <w:vertAlign w:val="superscript"/>
              </w:rPr>
              <w:t>(c)</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$24,571</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$23,479</w:t>
            </w: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$25,060</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$23,908</w:t>
            </w:r>
          </w:p>
        </w:tc>
      </w:tr>
      <w:tr>
        <w:trPr>
          <w:trHeight w:val="203"/>
        </w:trPr>
        <w:tc>
          <w:tcPr>
            <w:tcW w:w="75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2"/>
                <w:szCs w:val="22"/>
                <w:color w:val="auto"/>
                <w:vertAlign w:val="superscript"/>
              </w:rPr>
              <w:t>(d)</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$ 731</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$ 752</w:t>
            </w: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$ 769</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$ 812</w:t>
            </w:r>
          </w:p>
        </w:tc>
      </w:tr>
      <w:tr>
        <w:trPr>
          <w:trHeight w:val="203"/>
        </w:trPr>
        <w:tc>
          <w:tcPr>
            <w:tcW w:w="7560" w:type="dxa"/>
            <w:vAlign w:val="bottom"/>
          </w:tcPr>
          <w:p>
            <w:pPr>
              <w:ind w:left="440"/>
              <w:spacing w:after="0" w:line="202" w:lineRule="exact"/>
              <w:rPr>
                <w:sz w:val="20"/>
                <w:szCs w:val="20"/>
                <w:color w:val="auto"/>
              </w:rPr>
            </w:pPr>
            <w:r>
              <w:rPr>
                <w:rFonts w:ascii="Arial" w:cs="Arial" w:eastAsia="Arial" w:hAnsi="Arial"/>
                <w:sz w:val="18"/>
                <w:szCs w:val="18"/>
                <w:color w:val="auto"/>
              </w:rPr>
              <w:t>Average number of table games</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489</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490</w:t>
            </w: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492</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490</w:t>
            </w:r>
          </w:p>
        </w:tc>
      </w:tr>
      <w:tr>
        <w:trPr>
          <w:trHeight w:val="203"/>
        </w:trPr>
        <w:tc>
          <w:tcPr>
            <w:tcW w:w="7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Average number of slot machines</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869</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926</w:t>
            </w: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856</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927</w:t>
            </w:r>
          </w:p>
        </w:tc>
      </w:tr>
      <w:tr>
        <w:trPr>
          <w:trHeight w:val="635"/>
        </w:trPr>
        <w:tc>
          <w:tcPr>
            <w:tcW w:w="7560" w:type="dxa"/>
            <w:vAlign w:val="bottom"/>
          </w:tcPr>
          <w:p>
            <w:pPr>
              <w:spacing w:after="0"/>
              <w:rPr>
                <w:sz w:val="20"/>
                <w:szCs w:val="20"/>
                <w:color w:val="auto"/>
              </w:rPr>
            </w:pPr>
            <w:r>
              <w:rPr>
                <w:rFonts w:ascii="Arial" w:cs="Arial" w:eastAsia="Arial" w:hAnsi="Arial"/>
                <w:sz w:val="18"/>
                <w:szCs w:val="18"/>
                <w:color w:val="auto"/>
              </w:rPr>
              <w:t>Room Statistics for Las Vegas operations:</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7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Occupancy %</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86.9%</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87.6%</w:t>
            </w: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84.9%</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83.5%</w:t>
            </w:r>
          </w:p>
        </w:tc>
      </w:tr>
      <w:tr>
        <w:trPr>
          <w:trHeight w:val="203"/>
        </w:trPr>
        <w:tc>
          <w:tcPr>
            <w:tcW w:w="7560" w:type="dxa"/>
            <w:vAlign w:val="bottom"/>
          </w:tcPr>
          <w:p>
            <w:pPr>
              <w:ind w:left="440"/>
              <w:spacing w:after="0" w:line="203" w:lineRule="exact"/>
              <w:rPr>
                <w:sz w:val="20"/>
                <w:szCs w:val="20"/>
                <w:color w:val="auto"/>
              </w:rPr>
            </w:pPr>
            <w:r>
              <w:rPr>
                <w:rFonts w:ascii="Arial" w:cs="Arial" w:eastAsia="Arial" w:hAnsi="Arial"/>
                <w:sz w:val="18"/>
                <w:szCs w:val="18"/>
                <w:color w:val="auto"/>
              </w:rPr>
              <w:t xml:space="preserve">Average Daily Rate (ADR) </w:t>
            </w:r>
            <w:r>
              <w:rPr>
                <w:rFonts w:ascii="Arial" w:cs="Arial" w:eastAsia="Arial" w:hAnsi="Arial"/>
                <w:sz w:val="22"/>
                <w:szCs w:val="22"/>
                <w:color w:val="auto"/>
                <w:vertAlign w:val="superscript"/>
              </w:rPr>
              <w:t>(a)</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$ 268</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$ 254</w:t>
            </w: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$ 263</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$ 254</w:t>
            </w:r>
          </w:p>
        </w:tc>
      </w:tr>
      <w:tr>
        <w:trPr>
          <w:trHeight w:val="203"/>
        </w:trPr>
        <w:tc>
          <w:tcPr>
            <w:tcW w:w="75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 xml:space="preserve">Revenue per available room (REVPAR) </w:t>
            </w:r>
            <w:r>
              <w:rPr>
                <w:rFonts w:ascii="Arial" w:cs="Arial" w:eastAsia="Arial" w:hAnsi="Arial"/>
                <w:sz w:val="22"/>
                <w:szCs w:val="22"/>
                <w:color w:val="auto"/>
                <w:vertAlign w:val="superscript"/>
              </w:rPr>
              <w:t>(b)</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$ 233</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$ 222</w:t>
            </w: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$ 224</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$ 212</w:t>
            </w:r>
          </w:p>
        </w:tc>
      </w:tr>
      <w:tr>
        <w:trPr>
          <w:trHeight w:val="635"/>
        </w:trPr>
        <w:tc>
          <w:tcPr>
            <w:tcW w:w="7560" w:type="dxa"/>
            <w:vAlign w:val="bottom"/>
          </w:tcPr>
          <w:p>
            <w:pPr>
              <w:spacing w:after="0"/>
              <w:rPr>
                <w:sz w:val="20"/>
                <w:szCs w:val="20"/>
                <w:color w:val="auto"/>
              </w:rPr>
            </w:pPr>
            <w:r>
              <w:rPr>
                <w:rFonts w:ascii="Arial" w:cs="Arial" w:eastAsia="Arial" w:hAnsi="Arial"/>
                <w:sz w:val="18"/>
                <w:szCs w:val="18"/>
                <w:color w:val="auto"/>
              </w:rPr>
              <w:t>Other information for Las Vegas operations:</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75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2"/>
                <w:szCs w:val="22"/>
                <w:color w:val="auto"/>
                <w:vertAlign w:val="superscript"/>
              </w:rPr>
              <w:t>(c)</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$ 5,548</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$ 4,384</w:t>
            </w: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$ 7,025</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$ 5,923</w:t>
            </w:r>
          </w:p>
        </w:tc>
      </w:tr>
      <w:tr>
        <w:trPr>
          <w:trHeight w:val="203"/>
        </w:trPr>
        <w:tc>
          <w:tcPr>
            <w:tcW w:w="7560" w:type="dxa"/>
            <w:vAlign w:val="bottom"/>
          </w:tcPr>
          <w:p>
            <w:pPr>
              <w:ind w:left="440"/>
              <w:spacing w:after="0" w:line="202" w:lineRule="exact"/>
              <w:rPr>
                <w:sz w:val="20"/>
                <w:szCs w:val="20"/>
                <w:color w:val="auto"/>
              </w:rPr>
            </w:pPr>
            <w:r>
              <w:rPr>
                <w:rFonts w:ascii="Arial" w:cs="Arial" w:eastAsia="Arial" w:hAnsi="Arial"/>
                <w:sz w:val="18"/>
                <w:szCs w:val="18"/>
                <w:color w:val="auto"/>
              </w:rPr>
              <w:t>Table Win %</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21.5%</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15.0%</w:t>
            </w: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24.4%</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19.2%</w:t>
            </w:r>
          </w:p>
        </w:tc>
      </w:tr>
      <w:tr>
        <w:trPr>
          <w:trHeight w:val="203"/>
        </w:trPr>
        <w:tc>
          <w:tcPr>
            <w:tcW w:w="75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2"/>
                <w:szCs w:val="22"/>
                <w:color w:val="auto"/>
                <w:vertAlign w:val="superscript"/>
              </w:rPr>
              <w:t>(d)</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$ 231</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$ 186</w:t>
            </w: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$ 223</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$ 192</w:t>
            </w:r>
          </w:p>
        </w:tc>
      </w:tr>
      <w:tr>
        <w:trPr>
          <w:trHeight w:val="203"/>
        </w:trPr>
        <w:tc>
          <w:tcPr>
            <w:tcW w:w="7560" w:type="dxa"/>
            <w:vAlign w:val="bottom"/>
          </w:tcPr>
          <w:p>
            <w:pPr>
              <w:ind w:left="440"/>
              <w:spacing w:after="0" w:line="202" w:lineRule="exact"/>
              <w:rPr>
                <w:sz w:val="20"/>
                <w:szCs w:val="20"/>
                <w:color w:val="auto"/>
              </w:rPr>
            </w:pPr>
            <w:r>
              <w:rPr>
                <w:rFonts w:ascii="Arial" w:cs="Arial" w:eastAsia="Arial" w:hAnsi="Arial"/>
                <w:sz w:val="18"/>
                <w:szCs w:val="18"/>
                <w:color w:val="auto"/>
              </w:rPr>
              <w:t>Average number of table games</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233</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217</w:t>
            </w: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233</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219</w:t>
            </w:r>
          </w:p>
        </w:tc>
      </w:tr>
      <w:tr>
        <w:trPr>
          <w:trHeight w:val="203"/>
        </w:trPr>
        <w:tc>
          <w:tcPr>
            <w:tcW w:w="7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Average number of slot machines</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2,126</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2,398</w:t>
            </w: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2,157</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2,394</w:t>
            </w:r>
          </w:p>
        </w:tc>
      </w:tr>
    </w:tbl>
    <w:p>
      <w:pPr>
        <w:spacing w:after="0" w:line="327" w:lineRule="exact"/>
        <w:rPr>
          <w:sz w:val="20"/>
          <w:szCs w:val="20"/>
          <w:color w:val="auto"/>
        </w:rPr>
      </w:pPr>
    </w:p>
    <w:p>
      <w:pPr>
        <w:ind w:right="260" w:firstLine="8"/>
        <w:spacing w:after="0" w:line="239" w:lineRule="auto"/>
        <w:tabs>
          <w:tab w:leader="none" w:pos="263"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73" w:lineRule="exact"/>
        <w:rPr>
          <w:rFonts w:ascii="Arial" w:cs="Arial" w:eastAsia="Arial" w:hAnsi="Arial"/>
          <w:sz w:val="18"/>
          <w:szCs w:val="18"/>
          <w:color w:val="auto"/>
        </w:rPr>
      </w:pPr>
    </w:p>
    <w:p>
      <w:pPr>
        <w:ind w:right="180" w:firstLine="8"/>
        <w:spacing w:after="0" w:line="239" w:lineRule="auto"/>
        <w:tabs>
          <w:tab w:leader="none" w:pos="263"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rPr>
          <w:sz w:val="20"/>
          <w:szCs w:val="20"/>
          <w:color w:val="auto"/>
        </w:rPr>
      </w:pPr>
      <w:r>
        <w:rPr>
          <w:rFonts w:ascii="Arial" w:cs="Arial" w:eastAsia="Arial" w:hAnsi="Arial"/>
          <w:sz w:val="18"/>
          <w:szCs w:val="18"/>
          <w:color w:val="auto"/>
        </w:rPr>
        <w:t>Wynn Resorts, Limited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4" w:lineRule="auto"/>
        <w:rPr>
          <w:sz w:val="20"/>
          <w:szCs w:val="20"/>
          <w:color w:val="auto"/>
        </w:rPr>
      </w:pPr>
      <w:r>
        <w:rPr>
          <w:rFonts w:ascii="Arial" w:cs="Arial" w:eastAsia="Arial" w:hAnsi="Arial"/>
          <w:sz w:val="18"/>
          <w:szCs w:val="18"/>
          <w:color w:val="auto"/>
        </w:rPr>
        <w:t>Lewis Fanger,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2019-12-07T04:18:31Z</dcterms:created>
  <dcterms:modified xsi:type="dcterms:W3CDTF">2019-12-07T04:18:31Z</dcterms:modified>
</cp:coreProperties>
</file>