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371475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234950</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August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247650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4" w:lineRule="exact"/>
        <w:rPr>
          <w:sz w:val="24"/>
          <w:szCs w:val="24"/>
          <w:color w:val="auto"/>
        </w:rPr>
      </w:pPr>
    </w:p>
    <w:tbl>
      <w:tblPr>
        <w:tblLayout w:type="fixed"/>
        <w:tblInd w:w="1380" w:type="dxa"/>
        <w:tblCellMar>
          <w:top w:w="0" w:type="dxa"/>
          <w:left w:w="0" w:type="dxa"/>
          <w:bottom w:w="0" w:type="dxa"/>
          <w:right w:w="0" w:type="dxa"/>
        </w:tblCellMar>
      </w:tblPr>
      <w:tr>
        <w:trPr>
          <w:trHeight w:val="228"/>
        </w:trPr>
        <w:tc>
          <w:tcPr>
            <w:tcW w:w="2560" w:type="dxa"/>
            <w:vAlign w:val="bottom"/>
          </w:tcPr>
          <w:p>
            <w:pPr>
              <w:jc w:val="center"/>
              <w:ind w:right="41"/>
              <w:spacing w:after="0"/>
              <w:rPr>
                <w:sz w:val="20"/>
                <w:szCs w:val="20"/>
                <w:color w:val="auto"/>
              </w:rPr>
            </w:pPr>
            <w:r>
              <w:rPr>
                <w:rFonts w:ascii="Arial" w:cs="Arial" w:eastAsia="Arial" w:hAnsi="Arial"/>
                <w:sz w:val="18"/>
                <w:szCs w:val="18"/>
                <w:b w:val="1"/>
                <w:bCs w:val="1"/>
                <w:color w:val="auto"/>
                <w:w w:val="87"/>
              </w:rPr>
              <w:t>Nevada</w:t>
            </w:r>
          </w:p>
        </w:tc>
        <w:tc>
          <w:tcPr>
            <w:tcW w:w="368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20" w:type="dxa"/>
            <w:vAlign w:val="bottom"/>
          </w:tcPr>
          <w:p>
            <w:pPr>
              <w:jc w:val="right"/>
              <w:ind w:right="43"/>
              <w:spacing w:after="0"/>
              <w:rPr>
                <w:sz w:val="20"/>
                <w:szCs w:val="20"/>
                <w:color w:val="auto"/>
              </w:rPr>
            </w:pPr>
            <w:r>
              <w:rPr>
                <w:rFonts w:ascii="Arial" w:cs="Arial" w:eastAsia="Arial" w:hAnsi="Arial"/>
                <w:sz w:val="18"/>
                <w:szCs w:val="18"/>
                <w:b w:val="1"/>
                <w:bCs w:val="1"/>
                <w:color w:val="auto"/>
              </w:rPr>
              <w:t>46-0484987</w:t>
            </w:r>
          </w:p>
        </w:tc>
      </w:tr>
      <w:tr>
        <w:trPr>
          <w:trHeight w:val="175"/>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(State or other jurisdiction</w:t>
            </w:r>
          </w:p>
        </w:tc>
        <w:tc>
          <w:tcPr>
            <w:tcW w:w="3680" w:type="dxa"/>
            <w:vAlign w:val="bottom"/>
          </w:tcPr>
          <w:p>
            <w:pPr>
              <w:ind w:left="1240"/>
              <w:spacing w:after="0"/>
              <w:rPr>
                <w:sz w:val="20"/>
                <w:szCs w:val="20"/>
                <w:color w:val="auto"/>
              </w:rPr>
            </w:pPr>
            <w:r>
              <w:rPr>
                <w:rFonts w:ascii="Arial" w:cs="Arial" w:eastAsia="Arial" w:hAnsi="Arial"/>
                <w:sz w:val="14"/>
                <w:szCs w:val="14"/>
                <w:b w:val="1"/>
                <w:bCs w:val="1"/>
                <w:color w:val="auto"/>
              </w:rPr>
              <w:t>(Commission</w:t>
            </w:r>
          </w:p>
        </w:tc>
        <w:tc>
          <w:tcPr>
            <w:tcW w:w="1520" w:type="dxa"/>
            <w:vAlign w:val="bottom"/>
          </w:tcPr>
          <w:p>
            <w:pPr>
              <w:jc w:val="center"/>
              <w:ind w:left="363"/>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Identification No.)</w:t>
            </w:r>
          </w:p>
        </w:tc>
      </w:tr>
      <w:tr>
        <w:trPr>
          <w:trHeight w:val="255"/>
        </w:trPr>
        <w:tc>
          <w:tcPr>
            <w:tcW w:w="2560" w:type="dxa"/>
            <w:vAlign w:val="bottom"/>
          </w:tcPr>
          <w:p>
            <w:pPr>
              <w:jc w:val="center"/>
              <w:ind w:right="41"/>
              <w:spacing w:after="0"/>
              <w:rPr>
                <w:sz w:val="20"/>
                <w:szCs w:val="20"/>
                <w:color w:val="auto"/>
              </w:rPr>
            </w:pPr>
            <w:r>
              <w:rPr>
                <w:rFonts w:ascii="Arial" w:cs="Arial" w:eastAsia="Arial" w:hAnsi="Arial"/>
                <w:sz w:val="18"/>
                <w:szCs w:val="18"/>
                <w:b w:val="1"/>
                <w:bCs w:val="1"/>
                <w:color w:val="auto"/>
                <w:w w:val="86"/>
              </w:rPr>
              <w:t>3131 Las Vegas Boulevard South</w:t>
            </w:r>
          </w:p>
        </w:tc>
        <w:tc>
          <w:tcPr>
            <w:tcW w:w="36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19"/>
        </w:trPr>
        <w:tc>
          <w:tcPr>
            <w:tcW w:w="256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680" w:type="dxa"/>
            <w:vAlign w:val="bottom"/>
          </w:tcPr>
          <w:p>
            <w:pPr>
              <w:spacing w:after="0"/>
              <w:rPr>
                <w:sz w:val="19"/>
                <w:szCs w:val="19"/>
                <w:color w:val="auto"/>
              </w:rPr>
            </w:pPr>
          </w:p>
        </w:tc>
        <w:tc>
          <w:tcPr>
            <w:tcW w:w="1520" w:type="dxa"/>
            <w:vAlign w:val="bottom"/>
          </w:tcPr>
          <w:p>
            <w:pPr>
              <w:jc w:val="right"/>
              <w:ind w:right="243"/>
              <w:spacing w:after="0"/>
              <w:rPr>
                <w:sz w:val="20"/>
                <w:szCs w:val="20"/>
                <w:color w:val="auto"/>
              </w:rPr>
            </w:pPr>
            <w:r>
              <w:rPr>
                <w:rFonts w:ascii="Arial" w:cs="Arial" w:eastAsia="Arial" w:hAnsi="Arial"/>
                <w:sz w:val="18"/>
                <w:szCs w:val="18"/>
                <w:b w:val="1"/>
                <w:bCs w:val="1"/>
                <w:color w:val="auto"/>
              </w:rPr>
              <w:t>89109</w:t>
            </w:r>
          </w:p>
        </w:tc>
      </w:tr>
      <w:tr>
        <w:trPr>
          <w:trHeight w:val="209"/>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680" w:type="dxa"/>
            <w:vAlign w:val="bottom"/>
          </w:tcPr>
          <w:p>
            <w:pPr>
              <w:spacing w:after="0"/>
              <w:rPr>
                <w:sz w:val="18"/>
                <w:szCs w:val="18"/>
                <w:color w:val="auto"/>
              </w:rPr>
            </w:pPr>
          </w:p>
        </w:tc>
        <w:tc>
          <w:tcPr>
            <w:tcW w:w="1520" w:type="dxa"/>
            <w:vAlign w:val="bottom"/>
          </w:tcPr>
          <w:p>
            <w:pPr>
              <w:jc w:val="center"/>
              <w:ind w:left="363"/>
              <w:spacing w:after="0"/>
              <w:rPr>
                <w:sz w:val="20"/>
                <w:szCs w:val="20"/>
                <w:color w:val="auto"/>
              </w:rPr>
            </w:pPr>
            <w:r>
              <w:rPr>
                <w:rFonts w:ascii="Arial" w:cs="Arial" w:eastAsia="Arial" w:hAnsi="Arial"/>
                <w:sz w:val="14"/>
                <w:szCs w:val="14"/>
                <w:b w:val="1"/>
                <w:bCs w:val="1"/>
                <w:color w:val="auto"/>
                <w:w w:val="92"/>
              </w:rPr>
              <w:t>(Zip Code)</w:t>
            </w:r>
          </w:p>
        </w:tc>
      </w:tr>
      <w:tr>
        <w:trPr>
          <w:trHeight w:val="711"/>
        </w:trPr>
        <w:tc>
          <w:tcPr>
            <w:tcW w:w="2560" w:type="dxa"/>
            <w:vAlign w:val="bottom"/>
          </w:tcPr>
          <w:p>
            <w:pPr>
              <w:spacing w:after="0"/>
              <w:rPr>
                <w:sz w:val="24"/>
                <w:szCs w:val="24"/>
                <w:color w:val="auto"/>
              </w:rPr>
            </w:pPr>
          </w:p>
        </w:tc>
        <w:tc>
          <w:tcPr>
            <w:tcW w:w="3680" w:type="dxa"/>
            <w:vAlign w:val="bottom"/>
          </w:tcPr>
          <w:p>
            <w:pPr>
              <w:jc w:val="right"/>
              <w:ind w:right="1363"/>
              <w:spacing w:after="0"/>
              <w:rPr>
                <w:sz w:val="20"/>
                <w:szCs w:val="20"/>
                <w:color w:val="auto"/>
              </w:rPr>
            </w:pPr>
            <w:r>
              <w:rPr>
                <w:rFonts w:ascii="Arial" w:cs="Arial" w:eastAsia="Arial" w:hAnsi="Arial"/>
                <w:sz w:val="18"/>
                <w:szCs w:val="18"/>
                <w:b w:val="1"/>
                <w:bCs w:val="1"/>
                <w:color w:val="auto"/>
              </w:rPr>
              <w:t>(702) 770-7555</w:t>
            </w:r>
          </w:p>
        </w:tc>
        <w:tc>
          <w:tcPr>
            <w:tcW w:w="152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680" w:type="dxa"/>
            <w:vAlign w:val="bottom"/>
          </w:tcPr>
          <w:p>
            <w:pPr>
              <w:jc w:val="center"/>
              <w:ind w:right="243"/>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20" w:type="dxa"/>
            <w:vAlign w:val="bottom"/>
          </w:tcPr>
          <w:p>
            <w:pPr>
              <w:spacing w:after="0"/>
              <w:rPr>
                <w:sz w:val="15"/>
                <w:szCs w:val="15"/>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77470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Title of each class</w:t>
            </w:r>
          </w:p>
        </w:tc>
        <w:tc>
          <w:tcPr>
            <w:tcW w:w="2020" w:type="dxa"/>
            <w:vAlign w:val="bottom"/>
            <w:gridSpan w:val="2"/>
          </w:tcPr>
          <w:p>
            <w:pPr>
              <w:jc w:val="center"/>
              <w:ind w:left="532"/>
              <w:spacing w:after="0"/>
              <w:rPr>
                <w:sz w:val="20"/>
                <w:szCs w:val="20"/>
                <w:color w:val="auto"/>
              </w:rPr>
            </w:pPr>
            <w:r>
              <w:rPr>
                <w:rFonts w:ascii="Arial" w:cs="Arial" w:eastAsia="Arial" w:hAnsi="Arial"/>
                <w:sz w:val="18"/>
                <w:szCs w:val="18"/>
                <w:b w:val="1"/>
                <w:bCs w:val="1"/>
                <w:color w:val="auto"/>
                <w:w w:val="88"/>
              </w:rPr>
              <w:t>Trading Symbol(s)</w:t>
            </w:r>
          </w:p>
        </w:tc>
        <w:tc>
          <w:tcPr>
            <w:tcW w:w="5040" w:type="dxa"/>
            <w:vAlign w:val="bottom"/>
            <w:gridSpan w:val="2"/>
          </w:tcPr>
          <w:p>
            <w:pPr>
              <w:jc w:val="center"/>
              <w:ind w:left="1692"/>
              <w:spacing w:after="0"/>
              <w:rPr>
                <w:sz w:val="20"/>
                <w:szCs w:val="20"/>
                <w:color w:val="auto"/>
              </w:rPr>
            </w:pPr>
            <w:r>
              <w:rPr>
                <w:rFonts w:ascii="Arial" w:cs="Arial" w:eastAsia="Arial" w:hAnsi="Arial"/>
                <w:sz w:val="18"/>
                <w:szCs w:val="18"/>
                <w:b w:val="1"/>
                <w:bCs w:val="1"/>
                <w:color w:val="auto"/>
                <w:w w:val="85"/>
              </w:rPr>
              <w:t>Name of each exchange on which registered</w:t>
            </w:r>
          </w:p>
        </w:tc>
        <w:tc>
          <w:tcPr>
            <w:tcW w:w="92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2"/>
        </w:trPr>
        <w:tc>
          <w:tcPr>
            <w:tcW w:w="32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Common stock, par value $0.01</w:t>
            </w:r>
          </w:p>
        </w:tc>
        <w:tc>
          <w:tcPr>
            <w:tcW w:w="6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WYNN</w:t>
            </w:r>
          </w:p>
        </w:tc>
        <w:tc>
          <w:tcPr>
            <w:tcW w:w="178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87"/>
              </w:rPr>
              <w:t>Nasdaq Global Select Market</w:t>
            </w:r>
          </w:p>
        </w:tc>
        <w:tc>
          <w:tcPr>
            <w:tcW w:w="920" w:type="dxa"/>
            <w:vAlign w:val="bottom"/>
          </w:tcPr>
          <w:p>
            <w:pPr>
              <w:spacing w:after="0"/>
              <w:rPr>
                <w:sz w:val="21"/>
                <w:szCs w:val="21"/>
                <w:color w:val="auto"/>
              </w:rPr>
            </w:pP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16"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 w:lineRule="exact"/>
        <w:rPr>
          <w:sz w:val="24"/>
          <w:szCs w:val="24"/>
          <w:color w:val="auto"/>
        </w:rPr>
      </w:pPr>
    </w:p>
    <w:p>
      <w:pPr>
        <w:ind w:right="320"/>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521335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101" w:lineRule="exact"/>
        <w:rPr>
          <w:sz w:val="20"/>
          <w:szCs w:val="20"/>
          <w:color w:val="auto"/>
        </w:rPr>
      </w:pPr>
    </w:p>
    <w:p>
      <w:pPr>
        <w:jc w:val="both"/>
        <w:ind w:firstLine="394"/>
        <w:spacing w:after="0" w:line="252" w:lineRule="auto"/>
        <w:rPr>
          <w:sz w:val="20"/>
          <w:szCs w:val="20"/>
          <w:color w:val="auto"/>
        </w:rPr>
      </w:pPr>
      <w:r>
        <w:rPr>
          <w:rFonts w:ascii="Arial" w:cs="Arial" w:eastAsia="Arial" w:hAnsi="Arial"/>
          <w:sz w:val="18"/>
          <w:szCs w:val="18"/>
          <w:color w:val="auto"/>
        </w:rPr>
        <w:t>On August 11, 2023, Wynn Resorts, Limited ("Wynn Resorts") issued a press release regarding WynnBet, the online sports betting and iGaming platform operated by Wynn Resorts' subsidiary, Wynn Interactive Ltd. A copy of the press release is attached hereto as Exhibit 99.1 and is hereby incorporated by reference.</w:t>
      </w:r>
    </w:p>
    <w:p>
      <w:pPr>
        <w:spacing w:after="0" w:line="215" w:lineRule="exact"/>
        <w:rPr>
          <w:sz w:val="20"/>
          <w:szCs w:val="20"/>
          <w:color w:val="auto"/>
        </w:rPr>
      </w:pPr>
    </w:p>
    <w:p>
      <w:pPr>
        <w:jc w:val="both"/>
        <w:ind w:firstLine="394"/>
        <w:spacing w:after="0" w:line="252" w:lineRule="auto"/>
        <w:rPr>
          <w:sz w:val="20"/>
          <w:szCs w:val="20"/>
          <w:color w:val="auto"/>
        </w:rPr>
      </w:pPr>
      <w:r>
        <w:rPr>
          <w:rFonts w:ascii="Arial" w:cs="Arial" w:eastAsia="Arial" w:hAnsi="Arial"/>
          <w:sz w:val="18"/>
          <w:szCs w:val="18"/>
          <w:color w:val="auto"/>
        </w:rPr>
        <w:t>The information furnished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6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4"/>
        </w:trPr>
        <w:tc>
          <w:tcPr>
            <w:tcW w:w="2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3"/>
                <w:szCs w:val="23"/>
                <w:color w:val="auto"/>
              </w:rPr>
            </w:pPr>
          </w:p>
        </w:tc>
        <w:tc>
          <w:tcPr>
            <w:tcW w:w="44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6"/>
              </w:rPr>
              <w:t>Press release, dated August 11, 2023, of Wynn Resorts, Limited</w:t>
            </w:r>
          </w:p>
        </w:tc>
        <w:tc>
          <w:tcPr>
            <w:tcW w:w="5400" w:type="dxa"/>
            <w:vAlign w:val="bottom"/>
          </w:tcPr>
          <w:p>
            <w:pPr>
              <w:spacing w:after="0"/>
              <w:rPr>
                <w:sz w:val="23"/>
                <w:szCs w:val="23"/>
                <w:color w:val="auto"/>
              </w:rPr>
            </w:pPr>
          </w:p>
        </w:tc>
      </w:tr>
      <w:tr>
        <w:trPr>
          <w:trHeight w:val="242"/>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1"/>
                <w:szCs w:val="21"/>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0"/>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WYNN RESORTS, LIMITED</w:t>
      </w:r>
    </w:p>
    <w:p>
      <w:pPr>
        <w:spacing w:after="0" w:line="75" w:lineRule="exact"/>
        <w:rPr>
          <w:sz w:val="20"/>
          <w:szCs w:val="20"/>
          <w:color w:val="auto"/>
        </w:rPr>
      </w:pPr>
    </w:p>
    <w:p>
      <w:pPr>
        <w:ind w:left="460"/>
        <w:spacing w:after="0"/>
        <w:tabs>
          <w:tab w:leader="none" w:pos="6860" w:val="left"/>
          <w:tab w:leader="none" w:pos="7640" w:val="left"/>
        </w:tabs>
        <w:rPr>
          <w:sz w:val="20"/>
          <w:szCs w:val="20"/>
          <w:color w:val="auto"/>
        </w:rPr>
      </w:pPr>
      <w:r>
        <w:rPr>
          <w:rFonts w:ascii="Arial" w:cs="Arial" w:eastAsia="Arial" w:hAnsi="Arial"/>
          <w:sz w:val="18"/>
          <w:szCs w:val="18"/>
          <w:color w:val="auto"/>
        </w:rPr>
        <w:t>Dated: August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4777105</wp:posOffset>
            </wp:positionH>
            <wp:positionV relativeFrom="paragraph">
              <wp:posOffset>18415</wp:posOffset>
            </wp:positionV>
            <wp:extent cx="2428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Julie Cameron-Doe</w:t>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7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Reduction Of WynnBET Markets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LAS VEGAS (August 11, 2023) – Wynn Resorts, Limited (NASDAQ: WYNN) announced today its decision to close its online sports betting and iGaming platform, WynnBET, in certain jurisdictions.</w:t>
      </w:r>
    </w:p>
    <w:p>
      <w:pPr>
        <w:spacing w:after="0" w:line="20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light of the continued requirement for outsized marketing spend through user acquisition and promotions in online sports betting, we believe there are higher and better uses of capital deployment for Wynn Resorts shareholders,” said Julie Cameron-Doe, Chief Financial Officer of Wynn Resorts.</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believe in the long-term prospects of iGaming, the dearth of iGaming legislation and the presence of numerous other investment opportunities available to us around the globe have led us to the decision to curtail our capital investment in WynnBET to focus primarily on those states where we maintain a physical presence,” she continued.</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Working with its regulators and patrons, the Company will seek to cease operations in Arizona, Colorado, Indiana, Louisiana, New Jersey, Tennessee, Virginia, and West Virginia as soon as possible. Operations in Nevada and Massachusetts will continue unaffected and operations in New York and Michigan remain under review.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Wynn Resorts, Limited is traded on the Nasdaq Global Select Market under the ticker symbol WYNN and is part of the S&amp;P 500 Index. Wynn Resorts owns and operates Wynn Las Vegas (wynnlasvegas.com), Encore Boston Harbor (encorebostonharbor.com), Wynn Macau (wynnmacau.com), and Wynn Palace, Cotai (wynnpalace.com).</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Wynn and Encore Las Vegas feature two luxury hotel towers with a total of 4,748 spacious hotel rooms, suites and villas, approximately 194,000 square feet of casino space, 21 dining experiences featuring signature chefs and 11 bars, two award-winning spas, approximately 513,000 rentable square feet of meeting and convention space, approximately 155,000 square feet of retail space as well as two theaters, two nightclubs, a beach club and recreation and leisure facilities including Wynn Golf Club, an 18-hole, 128-acre championship golf course.</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Encore Boston Harbor is a luxury resort destination featuring a 211,000 square foot casino, 671 hotel rooms, an ultra-premium spa, specialty retail, 16 dining and lounge venues, and approximately 71,000 square feet of state-of-the-art ballroom and meeting spaces. Situated on the waterfront along the Mystic River in Everett, Massachusetts, the resort has created a six-acre public park and Harborwalk along the shoreline. It is the largest private, single-phase development in the history of the Commonwealth of Massachusetts.</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1,010 spacious rooms and suites, approximately 252,000 square feet of casino space, 14 food and beverage outlets, approximately 31,000 square feet of meeting and convention space, approximately 59,000 square feet of retail space, and recreation and leisure facilities including two opulent spas, a salon and a rotunda show.</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424,000 square feet of casino space, 14 food and beverage outlets, approximately 37,000 square feet of meeting and convention space, approximately 107,000 square feet of designer retail, SkyCabs that traverse an eight-acre Performance Lake, an extensive collection of rare art, a lush spa, salon and recreation and leisure facilities.</w:t>
      </w:r>
    </w:p>
    <w:p>
      <w:pPr>
        <w:sectPr>
          <w:pgSz w:w="11900" w:h="16838" w:orient="portrait"/>
          <w:cols w:equalWidth="0" w:num="1">
            <w:col w:w="11240"/>
          </w:cols>
          <w:pgMar w:left="320" w:top="138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Weaver</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michael.weaver@wynnresorts.com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702-770-7501</w:t>
      </w:r>
    </w:p>
    <w:sectPr>
      <w:pgSz w:w="11900" w:h="16838" w:orient="portrait"/>
      <w:cols w:equalWidth="0" w:num="1">
        <w:col w:w="10139"/>
      </w:cols>
      <w:pgMar w:left="320" w:top="13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2023-08-11T15:21:58Z</dcterms:created>
  <dcterms:modified xsi:type="dcterms:W3CDTF">2023-08-11T15:21:58Z</dcterms:modified>
</cp:coreProperties>
</file>