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MORAN JOHN A</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vMerge w:val="restart"/>
          </w:tcPr>
          <w:p>
            <w:pPr>
              <w:ind w:left="4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05/03/2006</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8"/>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8"/>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20" w:type="dxa"/>
            <w:vAlign w:val="bottom"/>
            <w:gridSpan w:val="5"/>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2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4"/>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82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05/03/2006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2,500</w:t>
            </w:r>
          </w:p>
        </w:tc>
        <w:tc>
          <w:tcPr>
            <w:tcW w:w="4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0.00</w:t>
            </w:r>
            <w:r>
              <w:rPr>
                <w:rFonts w:ascii="Arial" w:cs="Arial" w:eastAsia="Arial" w:hAnsi="Arial"/>
                <w:sz w:val="22"/>
                <w:szCs w:val="22"/>
                <w:color w:val="008000"/>
                <w:w w:val="95"/>
                <w:vertAlign w:val="superscript"/>
              </w:rPr>
              <w:t>(1)</w:t>
            </w:r>
          </w:p>
        </w:tc>
        <w:tc>
          <w:tcPr>
            <w:tcW w:w="1240" w:type="dxa"/>
            <w:vAlign w:val="bottom"/>
            <w:tcBorders>
              <w:bottom w:val="single" w:sz="8" w:color="2C2C2C"/>
            </w:tcBorders>
            <w:gridSpan w:val="2"/>
          </w:tcPr>
          <w:p>
            <w:pPr>
              <w:jc w:val="right"/>
              <w:ind w:right="399"/>
              <w:spacing w:after="0"/>
              <w:rPr>
                <w:sz w:val="20"/>
                <w:szCs w:val="20"/>
                <w:color w:val="auto"/>
              </w:rPr>
            </w:pPr>
            <w:r>
              <w:rPr>
                <w:rFonts w:ascii="Arial" w:cs="Arial" w:eastAsia="Arial" w:hAnsi="Arial"/>
                <w:sz w:val="18"/>
                <w:szCs w:val="18"/>
                <w:color w:val="0000FF"/>
              </w:rPr>
              <w:t>2,500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w w:val="99"/>
              </w:rPr>
              <w:t>Common Stock, par value $0.01</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121,000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9"/>
          </w:tcPr>
          <w:p>
            <w:pPr>
              <w:jc w:val="center"/>
              <w:ind w:left="6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560" w:type="dxa"/>
            <w:vAlign w:val="bottom"/>
            <w:gridSpan w:val="16"/>
          </w:tcPr>
          <w:p>
            <w:pPr>
              <w:jc w:val="center"/>
              <w:ind w:left="49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2002 Stock Incentive Plan. Shares vest on May 3, 2011. If reporting person ceases to be a director, the vesting of all the shares is accelerated to the last day the reporting person is a director.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Includes: (i) 120,000 shares of the Company's common stock held by Texas Gulf Partners in which Mr. Moran is a partner; and (ii) 1,000 shares of the Company's common stock held by the Carole Ann</w:t>
      </w:r>
    </w:p>
    <w:p>
      <w:pPr>
        <w:spacing w:after="0" w:line="22" w:lineRule="exact"/>
        <w:rPr>
          <w:rFonts w:ascii="Arial" w:cs="Arial" w:eastAsia="Arial" w:hAnsi="Arial"/>
          <w:sz w:val="12"/>
          <w:szCs w:val="12"/>
          <w:color w:val="008000"/>
        </w:rPr>
      </w:pPr>
    </w:p>
    <w:p>
      <w:pPr>
        <w:ind w:left="40" w:right="220"/>
        <w:spacing w:after="0" w:line="230" w:lineRule="auto"/>
        <w:rPr>
          <w:rFonts w:ascii="Arial" w:cs="Arial" w:eastAsia="Arial" w:hAnsi="Arial"/>
          <w:sz w:val="12"/>
          <w:szCs w:val="12"/>
          <w:color w:val="008000"/>
        </w:rPr>
      </w:pPr>
      <w:r>
        <w:rPr>
          <w:rFonts w:ascii="Arial" w:cs="Arial" w:eastAsia="Arial" w:hAnsi="Arial"/>
          <w:sz w:val="14"/>
          <w:szCs w:val="14"/>
          <w:color w:val="008000"/>
        </w:rPr>
        <w:t>Moran Revocable Trust for the benefit of Mr. Moran's wife, as to which Mr. Moran disclaims beneficial ownership. The filing of this report is not an admission that Mr. Moran is the beneficial owner of such securities for purposes of Section 16 or for any other purpose.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6"/>
              </w:rPr>
              <w:t>/s/ John Strzemp, as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05/04/2006</w:t>
            </w:r>
          </w:p>
        </w:tc>
        <w:tc>
          <w:tcPr>
            <w:tcW w:w="0" w:type="dxa"/>
            <w:vAlign w:val="bottom"/>
          </w:tcPr>
          <w:p>
            <w:pPr>
              <w:spacing w:after="0"/>
              <w:rPr>
                <w:sz w:val="1"/>
                <w:szCs w:val="1"/>
                <w:color w:val="auto"/>
              </w:rPr>
            </w:pPr>
          </w:p>
        </w:tc>
      </w:tr>
      <w:tr>
        <w:trPr>
          <w:trHeight w:val="88"/>
        </w:trPr>
        <w:tc>
          <w:tcPr>
            <w:tcW w:w="182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in-fact for John A. Moran</w:t>
            </w:r>
          </w:p>
        </w:tc>
        <w:tc>
          <w:tcPr>
            <w:tcW w:w="3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820" w:type="dxa"/>
            <w:vAlign w:val="bottom"/>
            <w:tcBorders>
              <w:bottom w:val="single" w:sz="8" w:color="auto"/>
            </w:tcBorders>
            <w:vMerge w:val="continue"/>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2019-12-24T01:15:32Z</dcterms:created>
  <dcterms:modified xsi:type="dcterms:W3CDTF">2019-12-24T01:15:32Z</dcterms:modified>
</cp:coreProperties>
</file>