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5, 2008</w:t>
      </w:r>
    </w:p>
    <w:p>
      <w:pPr>
        <w:spacing w:after="0" w:line="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71755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-232410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88-0494875</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34"/>
        </w:trPr>
        <w:tc>
          <w:tcPr>
            <w:tcW w:w="2120" w:type="dxa"/>
            <w:vAlign w:val="bottom"/>
          </w:tcPr>
          <w:p>
            <w:pPr>
              <w:jc w:val="center"/>
              <w:ind w:right="292"/>
              <w:spacing w:after="0" w:line="135"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Classification Code Number)</w:t>
            </w:r>
          </w:p>
        </w:tc>
        <w:tc>
          <w:tcPr>
            <w:tcW w:w="1660" w:type="dxa"/>
            <w:vAlign w:val="bottom"/>
          </w:tcPr>
          <w:p>
            <w:pPr>
              <w:jc w:val="center"/>
              <w:ind w:left="532"/>
              <w:spacing w:after="0" w:line="135" w:lineRule="exact"/>
              <w:rPr>
                <w:sz w:val="20"/>
                <w:szCs w:val="20"/>
                <w:color w:val="auto"/>
              </w:rPr>
            </w:pPr>
            <w:r>
              <w:rPr>
                <w:rFonts w:ascii="Arial" w:cs="Arial" w:eastAsia="Arial" w:hAnsi="Arial"/>
                <w:sz w:val="14"/>
                <w:szCs w:val="14"/>
                <w:b w:val="1"/>
                <w:bCs w:val="1"/>
                <w:color w:val="auto"/>
                <w:w w:val="89"/>
              </w:rPr>
              <w:t>Identification No.)</w:t>
            </w:r>
          </w:p>
        </w:tc>
      </w:tr>
      <w:tr>
        <w:trPr>
          <w:trHeight w:val="392"/>
        </w:trPr>
        <w:tc>
          <w:tcPr>
            <w:tcW w:w="2120" w:type="dxa"/>
            <w:vAlign w:val="bottom"/>
          </w:tcPr>
          <w:p>
            <w:pPr>
              <w:spacing w:after="0"/>
              <w:rPr>
                <w:sz w:val="24"/>
                <w:szCs w:val="24"/>
                <w:color w:val="auto"/>
              </w:rPr>
            </w:pPr>
          </w:p>
        </w:tc>
        <w:tc>
          <w:tcPr>
            <w:tcW w:w="5260" w:type="dxa"/>
            <w:vAlign w:val="bottom"/>
          </w:tcPr>
          <w:p>
            <w:pPr>
              <w:jc w:val="center"/>
              <w:ind w:right="163"/>
              <w:spacing w:after="0"/>
              <w:rPr>
                <w:sz w:val="20"/>
                <w:szCs w:val="20"/>
                <w:color w:val="auto"/>
              </w:rPr>
            </w:pPr>
            <w:r>
              <w:rPr>
                <w:rFonts w:ascii="Arial" w:cs="Arial" w:eastAsia="Arial" w:hAnsi="Arial"/>
                <w:sz w:val="32"/>
                <w:szCs w:val="32"/>
                <w:b w:val="1"/>
                <w:bCs w:val="1"/>
                <w:color w:val="auto"/>
                <w:w w:val="92"/>
              </w:rPr>
              <w:t>Wynn Las Vegas Capital Corp.</w:t>
            </w:r>
          </w:p>
        </w:tc>
        <w:tc>
          <w:tcPr>
            <w:tcW w:w="1660" w:type="dxa"/>
            <w:vAlign w:val="bottom"/>
          </w:tcPr>
          <w:p>
            <w:pPr>
              <w:spacing w:after="0"/>
              <w:rPr>
                <w:sz w:val="24"/>
                <w:szCs w:val="24"/>
                <w:color w:val="auto"/>
              </w:rPr>
            </w:pPr>
          </w:p>
        </w:tc>
      </w:tr>
      <w:tr>
        <w:trPr>
          <w:trHeight w:val="162"/>
        </w:trPr>
        <w:tc>
          <w:tcPr>
            <w:tcW w:w="2120" w:type="dxa"/>
            <w:vAlign w:val="bottom"/>
          </w:tcPr>
          <w:p>
            <w:pPr>
              <w:spacing w:after="0"/>
              <w:rPr>
                <w:sz w:val="14"/>
                <w:szCs w:val="14"/>
                <w:color w:val="auto"/>
              </w:rPr>
            </w:pPr>
          </w:p>
        </w:tc>
        <w:tc>
          <w:tcPr>
            <w:tcW w:w="5260" w:type="dxa"/>
            <w:vAlign w:val="bottom"/>
          </w:tcPr>
          <w:p>
            <w:pPr>
              <w:jc w:val="center"/>
              <w:ind w:right="16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660" w:type="dxa"/>
            <w:vAlign w:val="bottom"/>
          </w:tcPr>
          <w:p>
            <w:pPr>
              <w:spacing w:after="0"/>
              <w:rPr>
                <w:sz w:val="14"/>
                <w:szCs w:val="14"/>
                <w:color w:val="auto"/>
              </w:rPr>
            </w:pP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Nevada</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7990</w:t>
            </w:r>
          </w:p>
        </w:tc>
        <w:tc>
          <w:tcPr>
            <w:tcW w:w="166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46-0484992</w:t>
            </w:r>
          </w:p>
        </w:tc>
      </w:tr>
      <w:tr>
        <w:trPr>
          <w:trHeight w:val="149"/>
        </w:trPr>
        <w:tc>
          <w:tcPr>
            <w:tcW w:w="21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(Primary Standard</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9"/>
        </w:trPr>
        <w:tc>
          <w:tcPr>
            <w:tcW w:w="21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8"/>
              </w:rPr>
              <w:t>incorporation or organization)</w:t>
            </w:r>
          </w:p>
        </w:tc>
        <w:tc>
          <w:tcPr>
            <w:tcW w:w="5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Industrial Classification Code Number)</w:t>
            </w:r>
          </w:p>
        </w:tc>
        <w:tc>
          <w:tcPr>
            <w:tcW w:w="1660" w:type="dxa"/>
            <w:vAlign w:val="bottom"/>
          </w:tcPr>
          <w:p>
            <w:pPr>
              <w:jc w:val="center"/>
              <w:ind w:left="532"/>
              <w:spacing w:after="0" w:line="149" w:lineRule="exact"/>
              <w:rPr>
                <w:sz w:val="20"/>
                <w:szCs w:val="20"/>
                <w:color w:val="auto"/>
              </w:rPr>
            </w:pPr>
            <w:r>
              <w:rPr>
                <w:rFonts w:ascii="Arial" w:cs="Arial" w:eastAsia="Arial" w:hAnsi="Arial"/>
                <w:sz w:val="14"/>
                <w:szCs w:val="14"/>
                <w:b w:val="1"/>
                <w:bCs w:val="1"/>
                <w:color w:val="auto"/>
                <w:w w:val="89"/>
              </w:rPr>
              <w:t>Identification No.)</w:t>
            </w:r>
          </w:p>
        </w:tc>
      </w:tr>
      <w:tr>
        <w:trPr>
          <w:trHeight w:val="174"/>
        </w:trPr>
        <w:tc>
          <w:tcPr>
            <w:tcW w:w="2120" w:type="dxa"/>
            <w:vAlign w:val="bottom"/>
          </w:tcPr>
          <w:p>
            <w:pPr>
              <w:spacing w:after="0"/>
              <w:rPr>
                <w:sz w:val="15"/>
                <w:szCs w:val="15"/>
                <w:color w:val="auto"/>
              </w:rPr>
            </w:pPr>
          </w:p>
        </w:tc>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7"/>
              </w:rPr>
              <w:t>*See Table of Additional Registrants below</w:t>
            </w:r>
          </w:p>
        </w:tc>
        <w:tc>
          <w:tcPr>
            <w:tcW w:w="16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3131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770-7555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60325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President</w:t>
      </w:r>
    </w:p>
    <w:p>
      <w:pPr>
        <w:jc w:val="center"/>
        <w:spacing w:after="0" w:line="222" w:lineRule="auto"/>
        <w:rPr>
          <w:sz w:val="20"/>
          <w:szCs w:val="20"/>
          <w:color w:val="auto"/>
        </w:rPr>
      </w:pPr>
      <w:r>
        <w:rPr>
          <w:rFonts w:ascii="Arial" w:cs="Arial" w:eastAsia="Arial" w:hAnsi="Arial"/>
          <w:sz w:val="14"/>
          <w:szCs w:val="14"/>
          <w:b w:val="1"/>
          <w:bCs w:val="1"/>
          <w:color w:val="auto"/>
        </w:rPr>
        <w:t>c/o Wynn Resorts, Limited</w:t>
      </w:r>
    </w:p>
    <w:p>
      <w:pPr>
        <w:jc w:val="center"/>
        <w:spacing w:after="0" w:line="221" w:lineRule="auto"/>
        <w:rPr>
          <w:sz w:val="20"/>
          <w:szCs w:val="20"/>
          <w:color w:val="auto"/>
        </w:rPr>
      </w:pPr>
      <w:r>
        <w:rPr>
          <w:rFonts w:ascii="Arial" w:cs="Arial" w:eastAsia="Arial" w:hAnsi="Arial"/>
          <w:sz w:val="14"/>
          <w:szCs w:val="14"/>
          <w:b w:val="1"/>
          <w:bCs w:val="1"/>
          <w:color w:val="auto"/>
        </w:rPr>
        <w:t>3131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770-7000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of all communications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Jerome L. Coben, Esq.</w:t>
      </w:r>
    </w:p>
    <w:p>
      <w:pPr>
        <w:jc w:val="center"/>
        <w:spacing w:after="0" w:line="221" w:lineRule="auto"/>
        <w:rPr>
          <w:sz w:val="20"/>
          <w:szCs w:val="20"/>
          <w:color w:val="auto"/>
        </w:rPr>
      </w:pPr>
      <w:r>
        <w:rPr>
          <w:rFonts w:ascii="Arial" w:cs="Arial" w:eastAsia="Arial" w:hAnsi="Arial"/>
          <w:sz w:val="14"/>
          <w:szCs w:val="14"/>
          <w:b w:val="1"/>
          <w:bCs w:val="1"/>
          <w:color w:val="auto"/>
        </w:rPr>
        <w:t>Casey T. Fleck, Esq.</w:t>
      </w:r>
    </w:p>
    <w:p>
      <w:pPr>
        <w:jc w:val="center"/>
        <w:spacing w:after="0" w:line="221" w:lineRule="auto"/>
        <w:rPr>
          <w:sz w:val="20"/>
          <w:szCs w:val="20"/>
          <w:color w:val="auto"/>
        </w:rPr>
      </w:pPr>
      <w:r>
        <w:rPr>
          <w:rFonts w:ascii="Arial" w:cs="Arial" w:eastAsia="Arial" w:hAnsi="Arial"/>
          <w:sz w:val="14"/>
          <w:szCs w:val="14"/>
          <w:b w:val="1"/>
          <w:bCs w:val="1"/>
          <w:color w:val="auto"/>
        </w:rPr>
        <w:t>Skadden, Arps, Slate, Meagher &amp; Flom LLP</w:t>
      </w:r>
    </w:p>
    <w:p>
      <w:pPr>
        <w:jc w:val="center"/>
        <w:spacing w:after="0" w:line="222" w:lineRule="auto"/>
        <w:rPr>
          <w:sz w:val="20"/>
          <w:szCs w:val="20"/>
          <w:color w:val="auto"/>
        </w:rPr>
      </w:pPr>
      <w:r>
        <w:rPr>
          <w:rFonts w:ascii="Arial" w:cs="Arial" w:eastAsia="Arial" w:hAnsi="Arial"/>
          <w:sz w:val="14"/>
          <w:szCs w:val="14"/>
          <w:b w:val="1"/>
          <w:bCs w:val="1"/>
          <w:color w:val="auto"/>
        </w:rPr>
        <w:t>300 South Grand Avenue, Suite 3400</w:t>
      </w:r>
    </w:p>
    <w:p>
      <w:pPr>
        <w:jc w:val="center"/>
        <w:spacing w:after="0" w:line="221" w:lineRule="auto"/>
        <w:rPr>
          <w:sz w:val="20"/>
          <w:szCs w:val="20"/>
          <w:color w:val="auto"/>
        </w:rPr>
      </w:pPr>
      <w:r>
        <w:rPr>
          <w:rFonts w:ascii="Arial" w:cs="Arial" w:eastAsia="Arial" w:hAnsi="Arial"/>
          <w:sz w:val="14"/>
          <w:szCs w:val="14"/>
          <w:b w:val="1"/>
          <w:bCs w:val="1"/>
          <w:color w:val="auto"/>
        </w:rPr>
        <w:t>Los Angeles, California 90071</w:t>
      </w:r>
    </w:p>
    <w:p>
      <w:pPr>
        <w:ind w:left="5300"/>
        <w:spacing w:after="0" w:line="222" w:lineRule="auto"/>
        <w:rPr>
          <w:sz w:val="24"/>
          <w:szCs w:val="24"/>
          <w:color w:val="auto"/>
        </w:rPr>
      </w:pPr>
      <w:r>
        <w:rPr>
          <w:rFonts w:ascii="Arial" w:cs="Arial" w:eastAsia="Arial" w:hAnsi="Arial"/>
          <w:sz w:val="14"/>
          <w:szCs w:val="14"/>
          <w:b w:val="1"/>
          <w:bCs w:val="1"/>
          <w:color w:val="auto"/>
        </w:rPr>
        <w:t>(213) 687-5000</w:t>
      </w:r>
    </w:p>
    <w:p>
      <w:pPr>
        <w:ind w:left="5300" w:hanging="325"/>
        <w:spacing w:after="0"/>
        <w:tabs>
          <w:tab w:leader="none" w:pos="5300" w:val="left"/>
        </w:tabs>
        <w:numPr>
          <w:ilvl w:val="0"/>
          <w:numId w:val="1"/>
        </w:numPr>
        <w:rPr>
          <w:rFonts w:ascii="Arial" w:cs="Arial" w:eastAsia="Arial" w:hAnsi="Arial"/>
          <w:sz w:val="12"/>
          <w:szCs w:val="12"/>
          <w:b w:val="1"/>
          <w:bCs w:val="1"/>
          <w:color w:val="auto"/>
        </w:rPr>
      </w:pPr>
      <w:r>
        <w:rPr>
          <w:rFonts w:ascii="Arial" w:cs="Arial" w:eastAsia="Arial" w:hAnsi="Arial"/>
          <w:sz w:val="12"/>
          <w:szCs w:val="12"/>
          <w:b w:val="1"/>
          <w:bCs w:val="1"/>
          <w:color w:val="auto"/>
        </w:rPr>
        <w:t>687-5600 (facsimile)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66040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4"/>
          <w:szCs w:val="24"/>
          <w:color w:val="auto"/>
        </w:rPr>
      </w:pPr>
    </w:p>
    <w:p>
      <w:pPr>
        <w:ind w:left="360"/>
        <w:spacing w:after="0"/>
        <w:tabs>
          <w:tab w:leader="none" w:pos="4340" w:val="left"/>
        </w:tabs>
        <w:rPr>
          <w:sz w:val="20"/>
          <w:szCs w:val="20"/>
          <w:color w:val="auto"/>
        </w:rPr>
      </w:pPr>
      <w:r>
        <w:rPr>
          <w:rFonts w:ascii="Arial" w:cs="Arial" w:eastAsia="Arial" w:hAnsi="Arial"/>
          <w:sz w:val="14"/>
          <w:szCs w:val="14"/>
          <w:b w:val="1"/>
          <w:bCs w:val="1"/>
          <w:color w:val="auto"/>
        </w:rPr>
        <w:t>Approximate date of commencement of proposed sale to the public:</w:t>
      </w:r>
      <w:r>
        <w:rPr>
          <w:sz w:val="20"/>
          <w:szCs w:val="20"/>
          <w:color w:val="auto"/>
        </w:rPr>
        <w:tab/>
      </w:r>
      <w:r>
        <w:rPr>
          <w:rFonts w:ascii="Arial" w:cs="Arial" w:eastAsia="Arial" w:hAnsi="Arial"/>
          <w:sz w:val="12"/>
          <w:szCs w:val="12"/>
          <w:color w:val="auto"/>
        </w:rPr>
        <w:t>As soon as practicable after this registration statement becomes effective.</w:t>
      </w:r>
    </w:p>
    <w:p>
      <w:pPr>
        <w:spacing w:after="0" w:line="10"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29" w:lineRule="exact"/>
        <w:rPr>
          <w:sz w:val="24"/>
          <w:szCs w:val="24"/>
          <w:color w:val="auto"/>
        </w:rPr>
      </w:pPr>
    </w:p>
    <w:p>
      <w:pPr>
        <w:ind w:right="60" w:firstLine="342"/>
        <w:spacing w:after="0" w:line="155"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60" w:firstLine="342"/>
        <w:spacing w:after="0" w:line="161" w:lineRule="exact"/>
        <w:rPr>
          <w:sz w:val="20"/>
          <w:szCs w:val="20"/>
          <w:color w:val="auto"/>
        </w:rPr>
      </w:pPr>
      <w:r>
        <w:rPr>
          <w:rFonts w:ascii="Arial" w:cs="Arial" w:eastAsia="Arial" w:hAnsi="Arial"/>
          <w:sz w:val="14"/>
          <w:szCs w:val="14"/>
          <w:color w:val="auto"/>
        </w:rPr>
        <w:t xml:space="preserve">If this Form is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52070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6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60" w:type="dxa"/>
            <w:vAlign w:val="bottom"/>
            <w:vMerge w:val="restart"/>
          </w:tcPr>
          <w:p>
            <w:pPr>
              <w:jc w:val="center"/>
              <w:ind w:left="235"/>
              <w:spacing w:after="0"/>
              <w:rPr>
                <w:sz w:val="20"/>
                <w:szCs w:val="20"/>
                <w:color w:val="auto"/>
              </w:rPr>
            </w:pPr>
            <w:r>
              <w:rPr>
                <w:rFonts w:ascii="Arial" w:cs="Arial" w:eastAsia="Arial" w:hAnsi="Arial"/>
                <w:sz w:val="14"/>
                <w:szCs w:val="14"/>
                <w:b w:val="1"/>
                <w:bCs w:val="1"/>
                <w:color w:val="auto"/>
                <w:w w:val="84"/>
              </w:rPr>
              <w:t>Title of each class of</w:t>
            </w:r>
          </w:p>
        </w:tc>
        <w:tc>
          <w:tcPr>
            <w:tcW w:w="2160" w:type="dxa"/>
            <w:vAlign w:val="bottom"/>
          </w:tcPr>
          <w:p>
            <w:pPr>
              <w:spacing w:after="0"/>
              <w:rPr>
                <w:sz w:val="10"/>
                <w:szCs w:val="10"/>
                <w:color w:val="auto"/>
              </w:rPr>
            </w:pPr>
          </w:p>
        </w:tc>
        <w:tc>
          <w:tcPr>
            <w:tcW w:w="186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w w:val="85"/>
              </w:rPr>
              <w:t>Proposed maximum</w:t>
            </w:r>
          </w:p>
        </w:tc>
        <w:tc>
          <w:tcPr>
            <w:tcW w:w="1880" w:type="dxa"/>
            <w:vAlign w:val="bottom"/>
          </w:tcPr>
          <w:p>
            <w:pPr>
              <w:jc w:val="center"/>
              <w:spacing w:after="0" w:line="124" w:lineRule="exact"/>
              <w:rPr>
                <w:sz w:val="20"/>
                <w:szCs w:val="20"/>
                <w:color w:val="auto"/>
              </w:rPr>
            </w:pPr>
            <w:r>
              <w:rPr>
                <w:rFonts w:ascii="Arial" w:cs="Arial" w:eastAsia="Arial" w:hAnsi="Arial"/>
                <w:sz w:val="14"/>
                <w:szCs w:val="14"/>
                <w:b w:val="1"/>
                <w:bCs w:val="1"/>
                <w:color w:val="auto"/>
                <w:w w:val="86"/>
              </w:rPr>
              <w:t>Proposed maximum</w:t>
            </w:r>
          </w:p>
        </w:tc>
        <w:tc>
          <w:tcPr>
            <w:tcW w:w="1040" w:type="dxa"/>
            <w:vAlign w:val="bottom"/>
          </w:tcPr>
          <w:p>
            <w:pPr>
              <w:jc w:val="center"/>
              <w:ind w:left="312"/>
              <w:spacing w:after="0" w:line="124"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2160" w:type="dxa"/>
            <w:vAlign w:val="bottom"/>
          </w:tcPr>
          <w:p>
            <w:pPr>
              <w:jc w:val="center"/>
              <w:ind w:left="552"/>
              <w:spacing w:after="0" w:line="135" w:lineRule="exact"/>
              <w:rPr>
                <w:sz w:val="20"/>
                <w:szCs w:val="20"/>
                <w:color w:val="auto"/>
              </w:rPr>
            </w:pPr>
            <w:r>
              <w:rPr>
                <w:rFonts w:ascii="Arial" w:cs="Arial" w:eastAsia="Arial" w:hAnsi="Arial"/>
                <w:sz w:val="14"/>
                <w:szCs w:val="14"/>
                <w:b w:val="1"/>
                <w:bCs w:val="1"/>
                <w:color w:val="auto"/>
                <w:w w:val="86"/>
              </w:rPr>
              <w:t>Amount to be</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offering price</w:t>
            </w: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aggregate</w:t>
            </w:r>
          </w:p>
        </w:tc>
        <w:tc>
          <w:tcPr>
            <w:tcW w:w="1040" w:type="dxa"/>
            <w:vAlign w:val="bottom"/>
          </w:tcPr>
          <w:p>
            <w:pPr>
              <w:jc w:val="center"/>
              <w:ind w:left="292"/>
              <w:spacing w:after="0" w:line="135"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60" w:type="dxa"/>
            <w:vAlign w:val="bottom"/>
            <w:tcBorders>
              <w:bottom w:val="single" w:sz="8" w:color="auto"/>
            </w:tcBorders>
          </w:tcPr>
          <w:p>
            <w:pPr>
              <w:jc w:val="center"/>
              <w:ind w:left="215"/>
              <w:spacing w:after="0"/>
              <w:rPr>
                <w:sz w:val="20"/>
                <w:szCs w:val="20"/>
                <w:color w:val="auto"/>
              </w:rPr>
            </w:pPr>
            <w:r>
              <w:rPr>
                <w:rFonts w:ascii="Arial" w:cs="Arial" w:eastAsia="Arial" w:hAnsi="Arial"/>
                <w:sz w:val="14"/>
                <w:szCs w:val="14"/>
                <w:b w:val="1"/>
                <w:bCs w:val="1"/>
                <w:color w:val="auto"/>
                <w:w w:val="83"/>
              </w:rPr>
              <w:t>securities to be registered</w:t>
            </w:r>
          </w:p>
        </w:tc>
        <w:tc>
          <w:tcPr>
            <w:tcW w:w="216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b w:val="1"/>
                <w:bCs w:val="1"/>
                <w:color w:val="auto"/>
                <w:w w:val="85"/>
              </w:rPr>
              <w:t>registered</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security</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offering price</w:t>
            </w:r>
          </w:p>
        </w:tc>
        <w:tc>
          <w:tcPr>
            <w:tcW w:w="104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78"/>
              </w:rPr>
              <w:t>fee</w:t>
            </w:r>
          </w:p>
        </w:tc>
        <w:tc>
          <w:tcPr>
            <w:tcW w:w="0" w:type="dxa"/>
            <w:vAlign w:val="bottom"/>
          </w:tcPr>
          <w:p>
            <w:pPr>
              <w:spacing w:after="0"/>
              <w:rPr>
                <w:sz w:val="1"/>
                <w:szCs w:val="1"/>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tcPr>
          <w:p>
            <w:pPr>
              <w:spacing w:after="0" w:line="169" w:lineRule="exact"/>
              <w:rPr>
                <w:sz w:val="20"/>
                <w:szCs w:val="20"/>
                <w:color w:val="auto"/>
              </w:rPr>
            </w:pPr>
            <w:r>
              <w:rPr>
                <w:rFonts w:ascii="Arial" w:cs="Arial" w:eastAsia="Arial" w:hAnsi="Arial"/>
                <w:sz w:val="12"/>
                <w:szCs w:val="12"/>
                <w:color w:val="auto"/>
              </w:rPr>
              <w:t xml:space="preserve">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w:t>
            </w:r>
          </w:p>
        </w:tc>
        <w:tc>
          <w:tcPr>
            <w:tcW w:w="216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color w:val="auto"/>
                <w:w w:val="86"/>
              </w:rPr>
              <w:t>$400,000,000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100%</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$400,000,000(1)</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$15,720</w:t>
            </w:r>
          </w:p>
        </w:tc>
        <w:tc>
          <w:tcPr>
            <w:tcW w:w="0" w:type="dxa"/>
            <w:vAlign w:val="bottom"/>
          </w:tcPr>
          <w:p>
            <w:pPr>
              <w:spacing w:after="0"/>
              <w:rPr>
                <w:sz w:val="1"/>
                <w:szCs w:val="1"/>
                <w:color w:val="auto"/>
              </w:rPr>
            </w:pPr>
          </w:p>
        </w:tc>
      </w:tr>
      <w:tr>
        <w:trPr>
          <w:trHeight w:val="169"/>
        </w:trPr>
        <w:tc>
          <w:tcPr>
            <w:tcW w:w="448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2"/>
                <w:szCs w:val="12"/>
                <w:color w:val="auto"/>
              </w:rPr>
              <w:t xml:space="preserve">Guarantees related to the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w:t>
            </w:r>
          </w:p>
        </w:tc>
        <w:tc>
          <w:tcPr>
            <w:tcW w:w="216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color w:val="auto"/>
              </w:rPr>
              <w:t>N/A</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N/A</w:t>
            </w:r>
          </w:p>
        </w:tc>
        <w:tc>
          <w:tcPr>
            <w:tcW w:w="104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color w:val="auto"/>
                <w:w w:val="98"/>
              </w:rPr>
              <w:t>N/A(2)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promulgated under the Securities Act of 1933, as amended.</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457(n), no additional fee is being paid in respect of the Guarantees. The Guarantees are not traded separately.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59690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2" w:lineRule="exact"/>
        <w:rPr>
          <w:sz w:val="24"/>
          <w:szCs w:val="24"/>
          <w:color w:val="auto"/>
        </w:rPr>
      </w:pPr>
    </w:p>
    <w:p>
      <w:pPr>
        <w:ind w:right="20" w:firstLine="342"/>
        <w:spacing w:after="0" w:line="231"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SECTION 8(a), MAY DETERMINE.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5860" w:type="dxa"/>
            <w:vAlign w:val="bottom"/>
            <w:gridSpan w:val="3"/>
          </w:tcPr>
          <w:p>
            <w:pPr>
              <w:ind w:left="2460"/>
              <w:spacing w:after="0"/>
              <w:rPr>
                <w:sz w:val="20"/>
                <w:szCs w:val="20"/>
                <w:color w:val="auto"/>
              </w:rPr>
            </w:pPr>
            <w:r>
              <w:rPr>
                <w:rFonts w:ascii="Arial" w:cs="Arial" w:eastAsia="Arial" w:hAnsi="Arial"/>
                <w:sz w:val="14"/>
                <w:szCs w:val="14"/>
                <w:b w:val="1"/>
                <w:bCs w:val="1"/>
                <w:color w:val="auto"/>
              </w:rPr>
              <w:t>TABLE OF ADDITIONAL REGISTRANTS</w:t>
            </w:r>
          </w:p>
        </w:tc>
        <w:tc>
          <w:tcPr>
            <w:tcW w:w="1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5"/>
        </w:trPr>
        <w:tc>
          <w:tcPr>
            <w:tcW w:w="19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6"/>
              </w:rPr>
              <w:t>State or Other Jurisdiction of</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90"/>
              </w:rPr>
              <w:t>Primary Standard Industrial</w:t>
            </w:r>
          </w:p>
        </w:tc>
        <w:tc>
          <w:tcPr>
            <w:tcW w:w="9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I.R.S. Employer</w:t>
            </w:r>
          </w:p>
        </w:tc>
      </w:tr>
      <w:tr>
        <w:trPr>
          <w:trHeight w:val="161"/>
        </w:trPr>
        <w:tc>
          <w:tcPr>
            <w:tcW w:w="1960" w:type="dxa"/>
            <w:vAlign w:val="bottom"/>
          </w:tcPr>
          <w:p>
            <w:pPr>
              <w:spacing w:after="0"/>
              <w:rPr>
                <w:sz w:val="20"/>
                <w:szCs w:val="20"/>
                <w:color w:val="auto"/>
              </w:rPr>
            </w:pPr>
            <w:r>
              <w:rPr>
                <w:rFonts w:ascii="Arial" w:cs="Arial" w:eastAsia="Arial" w:hAnsi="Arial"/>
                <w:sz w:val="14"/>
                <w:szCs w:val="14"/>
                <w:b w:val="1"/>
                <w:bCs w:val="1"/>
                <w:color w:val="auto"/>
                <w:w w:val="94"/>
              </w:rPr>
              <w:t>Name of Additional Registrant*</w:t>
            </w:r>
          </w:p>
        </w:tc>
        <w:tc>
          <w:tcPr>
            <w:tcW w:w="3280" w:type="dxa"/>
            <w:vAlign w:val="bottom"/>
          </w:tcPr>
          <w:p>
            <w:pPr>
              <w:spacing w:after="0"/>
              <w:rPr>
                <w:sz w:val="14"/>
                <w:szCs w:val="14"/>
                <w:color w:val="auto"/>
              </w:rPr>
            </w:pPr>
          </w:p>
        </w:tc>
        <w:tc>
          <w:tcPr>
            <w:tcW w:w="2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Incorporation or Formation</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w w:val="87"/>
              </w:rPr>
              <w:t>Classification Code Number</w:t>
            </w:r>
          </w:p>
        </w:tc>
        <w:tc>
          <w:tcPr>
            <w:tcW w:w="1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Identification No.</w:t>
            </w:r>
          </w:p>
        </w:tc>
      </w:tr>
      <w:tr>
        <w:trPr>
          <w:trHeight w:val="131"/>
        </w:trPr>
        <w:tc>
          <w:tcPr>
            <w:tcW w:w="196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rPr>
              <w:t>Las Vegas Jet, LLC</w:t>
            </w:r>
          </w:p>
        </w:tc>
        <w:tc>
          <w:tcPr>
            <w:tcW w:w="3280" w:type="dxa"/>
            <w:vAlign w:val="bottom"/>
          </w:tcPr>
          <w:p>
            <w:pPr>
              <w:spacing w:after="0"/>
              <w:rPr>
                <w:sz w:val="11"/>
                <w:szCs w:val="11"/>
                <w:color w:val="auto"/>
              </w:rPr>
            </w:pPr>
          </w:p>
        </w:tc>
        <w:tc>
          <w:tcPr>
            <w:tcW w:w="1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Nevada</w:t>
            </w:r>
          </w:p>
        </w:tc>
        <w:tc>
          <w:tcPr>
            <w:tcW w:w="880" w:type="dxa"/>
            <w:vAlign w:val="bottom"/>
          </w:tcPr>
          <w:p>
            <w:pPr>
              <w:spacing w:after="0"/>
              <w:rPr>
                <w:sz w:val="11"/>
                <w:szCs w:val="11"/>
                <w:color w:val="auto"/>
              </w:rPr>
            </w:pPr>
          </w:p>
        </w:tc>
        <w:tc>
          <w:tcPr>
            <w:tcW w:w="16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7990</w:t>
            </w:r>
          </w:p>
        </w:tc>
        <w:tc>
          <w:tcPr>
            <w:tcW w:w="900" w:type="dxa"/>
            <w:vAlign w:val="bottom"/>
          </w:tcPr>
          <w:p>
            <w:pPr>
              <w:spacing w:after="0"/>
              <w:rPr>
                <w:sz w:val="11"/>
                <w:szCs w:val="11"/>
                <w:color w:val="auto"/>
              </w:rPr>
            </w:pPr>
          </w:p>
        </w:tc>
        <w:tc>
          <w:tcPr>
            <w:tcW w:w="10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88-0460935</w:t>
            </w:r>
          </w:p>
        </w:tc>
        <w:tc>
          <w:tcPr>
            <w:tcW w:w="20" w:type="dxa"/>
            <w:vAlign w:val="bottom"/>
          </w:tcPr>
          <w:p>
            <w:pPr>
              <w:spacing w:after="0"/>
              <w:rPr>
                <w:sz w:val="11"/>
                <w:szCs w:val="11"/>
                <w:color w:val="auto"/>
              </w:rPr>
            </w:pP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World Travel, LLC</w:t>
            </w:r>
          </w:p>
        </w:tc>
        <w:tc>
          <w:tcPr>
            <w:tcW w:w="3280" w:type="dxa"/>
            <w:vAlign w:val="bottom"/>
          </w:tcPr>
          <w:p>
            <w:pPr>
              <w:spacing w:after="0"/>
              <w:rPr>
                <w:sz w:val="12"/>
                <w:szCs w:val="12"/>
                <w:color w:val="auto"/>
              </w:rPr>
            </w:pPr>
          </w:p>
        </w:tc>
        <w:tc>
          <w:tcPr>
            <w:tcW w:w="2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Nevada</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7990</w:t>
            </w:r>
          </w:p>
        </w:tc>
        <w:tc>
          <w:tcPr>
            <w:tcW w:w="1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47-0846667</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Wynn Golf, LLC</w:t>
            </w:r>
          </w:p>
        </w:tc>
        <w:tc>
          <w:tcPr>
            <w:tcW w:w="3280" w:type="dxa"/>
            <w:vAlign w:val="bottom"/>
          </w:tcPr>
          <w:p>
            <w:pPr>
              <w:spacing w:after="0"/>
              <w:rPr>
                <w:sz w:val="12"/>
                <w:szCs w:val="12"/>
                <w:color w:val="auto"/>
              </w:rPr>
            </w:pPr>
          </w:p>
        </w:tc>
        <w:tc>
          <w:tcPr>
            <w:tcW w:w="2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Nevada</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7990</w:t>
            </w:r>
          </w:p>
        </w:tc>
        <w:tc>
          <w:tcPr>
            <w:tcW w:w="1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20-1267401</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Wynn Show Performers, LLC</w:t>
            </w:r>
          </w:p>
        </w:tc>
        <w:tc>
          <w:tcPr>
            <w:tcW w:w="3280" w:type="dxa"/>
            <w:vAlign w:val="bottom"/>
          </w:tcPr>
          <w:p>
            <w:pPr>
              <w:spacing w:after="0"/>
              <w:rPr>
                <w:sz w:val="12"/>
                <w:szCs w:val="12"/>
                <w:color w:val="auto"/>
              </w:rPr>
            </w:pPr>
          </w:p>
        </w:tc>
        <w:tc>
          <w:tcPr>
            <w:tcW w:w="2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Nevada</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7990</w:t>
            </w:r>
          </w:p>
        </w:tc>
        <w:tc>
          <w:tcPr>
            <w:tcW w:w="1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20-0475541</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color w:val="auto"/>
              </w:rPr>
              <w:t>Wynn Sunrise, LLC</w:t>
            </w:r>
          </w:p>
        </w:tc>
        <w:tc>
          <w:tcPr>
            <w:tcW w:w="3280" w:type="dxa"/>
            <w:vAlign w:val="bottom"/>
          </w:tcPr>
          <w:p>
            <w:pPr>
              <w:spacing w:after="0"/>
              <w:rPr>
                <w:sz w:val="12"/>
                <w:szCs w:val="12"/>
                <w:color w:val="auto"/>
              </w:rPr>
            </w:pPr>
          </w:p>
        </w:tc>
        <w:tc>
          <w:tcPr>
            <w:tcW w:w="258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Nevada</w:t>
            </w:r>
          </w:p>
        </w:tc>
        <w:tc>
          <w:tcPr>
            <w:tcW w:w="1680" w:type="dxa"/>
            <w:vAlign w:val="bottom"/>
          </w:tcPr>
          <w:p>
            <w:pPr>
              <w:jc w:val="right"/>
              <w:spacing w:after="0" w:line="149" w:lineRule="exact"/>
              <w:rPr>
                <w:sz w:val="20"/>
                <w:szCs w:val="20"/>
                <w:color w:val="auto"/>
              </w:rPr>
            </w:pPr>
            <w:r>
              <w:rPr>
                <w:rFonts w:ascii="Arial" w:cs="Arial" w:eastAsia="Arial" w:hAnsi="Arial"/>
                <w:sz w:val="14"/>
                <w:szCs w:val="14"/>
                <w:color w:val="auto"/>
              </w:rPr>
              <w:t>7990</w:t>
            </w:r>
          </w:p>
        </w:tc>
        <w:tc>
          <w:tcPr>
            <w:tcW w:w="1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20-1366675</w:t>
            </w:r>
          </w:p>
        </w:tc>
      </w:tr>
      <w:tr>
        <w:trPr>
          <w:trHeight w:val="172"/>
        </w:trPr>
        <w:tc>
          <w:tcPr>
            <w:tcW w:w="1960" w:type="dxa"/>
            <w:vAlign w:val="bottom"/>
          </w:tcPr>
          <w:p>
            <w:pPr>
              <w:spacing w:after="0"/>
              <w:rPr>
                <w:sz w:val="20"/>
                <w:szCs w:val="20"/>
                <w:color w:val="auto"/>
              </w:rPr>
            </w:pPr>
            <w:r>
              <w:rPr>
                <w:rFonts w:ascii="Arial" w:cs="Arial" w:eastAsia="Arial" w:hAnsi="Arial"/>
                <w:sz w:val="14"/>
                <w:szCs w:val="14"/>
                <w:color w:val="auto"/>
              </w:rPr>
              <w:t>Kevyn, LLC</w:t>
            </w:r>
          </w:p>
        </w:tc>
        <w:tc>
          <w:tcPr>
            <w:tcW w:w="3280" w:type="dxa"/>
            <w:vAlign w:val="bottom"/>
          </w:tcPr>
          <w:p>
            <w:pPr>
              <w:spacing w:after="0"/>
              <w:rPr>
                <w:sz w:val="14"/>
                <w:szCs w:val="14"/>
                <w:color w:val="auto"/>
              </w:rPr>
            </w:pPr>
          </w:p>
        </w:tc>
        <w:tc>
          <w:tcPr>
            <w:tcW w:w="2580" w:type="dxa"/>
            <w:vAlign w:val="bottom"/>
            <w:gridSpan w:val="2"/>
          </w:tcPr>
          <w:p>
            <w:pPr>
              <w:jc w:val="right"/>
              <w:ind w:right="880"/>
              <w:spacing w:after="0"/>
              <w:rPr>
                <w:sz w:val="20"/>
                <w:szCs w:val="20"/>
                <w:color w:val="auto"/>
              </w:rPr>
            </w:pPr>
            <w:r>
              <w:rPr>
                <w:rFonts w:ascii="Arial" w:cs="Arial" w:eastAsia="Arial" w:hAnsi="Arial"/>
                <w:sz w:val="14"/>
                <w:szCs w:val="14"/>
                <w:color w:val="auto"/>
              </w:rPr>
              <w:t>Nevada</w:t>
            </w:r>
          </w:p>
        </w:tc>
        <w:tc>
          <w:tcPr>
            <w:tcW w:w="1680" w:type="dxa"/>
            <w:vAlign w:val="bottom"/>
          </w:tcPr>
          <w:p>
            <w:pPr>
              <w:jc w:val="right"/>
              <w:spacing w:after="0"/>
              <w:rPr>
                <w:sz w:val="20"/>
                <w:szCs w:val="20"/>
                <w:color w:val="auto"/>
              </w:rPr>
            </w:pPr>
            <w:r>
              <w:rPr>
                <w:rFonts w:ascii="Arial" w:cs="Arial" w:eastAsia="Arial" w:hAnsi="Arial"/>
                <w:sz w:val="14"/>
                <w:szCs w:val="14"/>
                <w:color w:val="auto"/>
              </w:rPr>
              <w:t>7990</w:t>
            </w:r>
          </w:p>
        </w:tc>
        <w:tc>
          <w:tcPr>
            <w:tcW w:w="1940" w:type="dxa"/>
            <w:vAlign w:val="bottom"/>
            <w:gridSpan w:val="3"/>
          </w:tcPr>
          <w:p>
            <w:pPr>
              <w:jc w:val="right"/>
              <w:ind w:right="20"/>
              <w:spacing w:after="0"/>
              <w:rPr>
                <w:sz w:val="20"/>
                <w:szCs w:val="20"/>
                <w:color w:val="auto"/>
              </w:rPr>
            </w:pPr>
            <w:r>
              <w:rPr>
                <w:rFonts w:ascii="Arial" w:cs="Arial" w:eastAsia="Arial" w:hAnsi="Arial"/>
                <w:sz w:val="14"/>
                <w:szCs w:val="14"/>
                <w:color w:val="auto"/>
              </w:rPr>
              <w:t>88-0464939</w:t>
            </w:r>
          </w:p>
        </w:tc>
      </w:tr>
    </w:tbl>
    <w:p>
      <w:pPr>
        <w:spacing w:after="0" w:line="93" w:lineRule="exact"/>
        <w:rPr>
          <w:sz w:val="24"/>
          <w:szCs w:val="24"/>
          <w:color w:val="auto"/>
        </w:rPr>
      </w:pPr>
    </w:p>
    <w:p>
      <w:pPr>
        <w:ind w:left="120" w:right="220" w:hanging="112"/>
        <w:spacing w:after="0" w:line="186" w:lineRule="auto"/>
        <w:tabs>
          <w:tab w:leader="none" w:pos="120" w:val="left"/>
        </w:tabs>
        <w:numPr>
          <w:ilvl w:val="0"/>
          <w:numId w:val="3"/>
        </w:numPr>
        <w:rPr>
          <w:rFonts w:ascii="Arial" w:cs="Arial" w:eastAsia="Arial" w:hAnsi="Arial"/>
          <w:sz w:val="27"/>
          <w:szCs w:val="27"/>
          <w:color w:val="auto"/>
          <w:vertAlign w:val="superscript"/>
        </w:rPr>
      </w:pPr>
      <w:r>
        <w:rPr>
          <w:rFonts w:ascii="Arial" w:cs="Arial" w:eastAsia="Arial" w:hAnsi="Arial"/>
          <w:sz w:val="14"/>
          <w:szCs w:val="14"/>
          <w:color w:val="auto"/>
        </w:rPr>
        <w:t xml:space="preserve">Address and telephone number of principal executive offices are the same as Wynn Las Vegas, LLC. The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were issued by Wynn Las Vegas, LLC and Wynn Las Vegas Capital Corp. The additional registrants are guarantors.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March 5, 2008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Las Vegas Capital Corp.</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Offer to exchange $400,000,000 of their outstanding</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(CUSIPs 983130 AH8 and U 98347 AD6)</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15" w:lineRule="exact"/>
        <w:rPr>
          <w:sz w:val="20"/>
          <w:szCs w:val="20"/>
          <w:color w:val="auto"/>
        </w:rPr>
      </w:pPr>
    </w:p>
    <w:p>
      <w:pPr>
        <w:jc w:val="center"/>
        <w:ind w:left="4800"/>
        <w:spacing w:after="0"/>
        <w:tabs>
          <w:tab w:leader="none" w:pos="680" w:val="left"/>
        </w:tabs>
        <w:rPr>
          <w:sz w:val="20"/>
          <w:szCs w:val="20"/>
          <w:color w:val="auto"/>
        </w:rPr>
      </w:pPr>
      <w:r>
        <w:rPr>
          <w:rFonts w:ascii="Arial" w:cs="Arial" w:eastAsia="Arial" w:hAnsi="Arial"/>
          <w:sz w:val="22"/>
          <w:szCs w:val="22"/>
          <w:b w:val="1"/>
          <w:bCs w:val="1"/>
          <w:color w:val="auto"/>
        </w:rPr>
        <w:t>(CUSIP</w:t>
      </w:r>
      <w:r>
        <w:rPr>
          <w:sz w:val="20"/>
          <w:szCs w:val="20"/>
          <w:color w:val="auto"/>
        </w:rPr>
        <w:tab/>
      </w:r>
      <w:r>
        <w:rPr>
          <w:rFonts w:ascii="Arial" w:cs="Arial" w:eastAsia="Arial" w:hAnsi="Arial"/>
          <w:sz w:val="22"/>
          <w:szCs w:val="22"/>
          <w:b w:val="1"/>
          <w:bCs w:val="1"/>
          <w:color w:val="auto"/>
        </w:rPr>
        <w:t>)</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that have been registered under the Securities Act of 1933, as amended</w:t>
      </w:r>
    </w:p>
    <w:p>
      <w:pPr>
        <w:sectPr>
          <w:pgSz w:w="11900" w:h="16838" w:orient="portrait"/>
          <w:cols w:equalWidth="0" w:num="1">
            <w:col w:w="11420"/>
          </w:cols>
          <w:pgMar w:left="240" w:top="459" w:right="239" w:bottom="1440" w:gutter="0" w:footer="0" w:header="0"/>
        </w:sectPr>
      </w:pPr>
    </w:p>
    <w:p>
      <w:pPr>
        <w:spacing w:after="0" w:line="86" w:lineRule="exact"/>
        <w:rPr>
          <w:sz w:val="20"/>
          <w:szCs w:val="20"/>
          <w:color w:val="auto"/>
        </w:rPr>
      </w:pPr>
    </w:p>
    <w:p>
      <w:pPr>
        <w:ind w:left="360"/>
        <w:spacing w:after="0"/>
        <w:rPr>
          <w:sz w:val="20"/>
          <w:szCs w:val="20"/>
          <w:color w:val="auto"/>
        </w:rPr>
      </w:pPr>
      <w:r>
        <w:rPr>
          <w:rFonts w:ascii="Arial" w:cs="Arial" w:eastAsia="Arial" w:hAnsi="Arial"/>
          <w:sz w:val="12"/>
          <w:szCs w:val="12"/>
          <w:b w:val="1"/>
          <w:bCs w:val="1"/>
          <w:color w:val="auto"/>
        </w:rPr>
        <w:t>The exchange offer will expire at 5:00 p.m., New York City time, on</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2008, unless we extend the exchange offer.</w:t>
      </w:r>
    </w:p>
    <w:p>
      <w:pPr>
        <w:spacing w:after="0" w:line="113" w:lineRule="exact"/>
        <w:rPr>
          <w:sz w:val="20"/>
          <w:szCs w:val="20"/>
          <w:color w:val="auto"/>
        </w:rPr>
      </w:pPr>
    </w:p>
    <w:p>
      <w:pPr>
        <w:sectPr>
          <w:pgSz w:w="11900" w:h="16838" w:orient="portrait"/>
          <w:cols w:equalWidth="0" w:num="2">
            <w:col w:w="4220" w:space="720"/>
            <w:col w:w="6480"/>
          </w:cols>
          <w:pgMar w:left="240" w:top="459" w:right="239" w:bottom="1440" w:gutter="0" w:footer="0" w:header="0"/>
          <w:type w:val="continuous"/>
        </w:sectPr>
      </w:pPr>
    </w:p>
    <w:p>
      <w:pPr>
        <w:ind w:right="160" w:firstLine="342"/>
        <w:spacing w:after="0" w:line="246" w:lineRule="auto"/>
        <w:rPr>
          <w:sz w:val="20"/>
          <w:szCs w:val="20"/>
          <w:color w:val="auto"/>
        </w:rPr>
      </w:pPr>
      <w:r>
        <w:rPr>
          <w:rFonts w:ascii="Arial" w:cs="Arial" w:eastAsia="Arial" w:hAnsi="Arial"/>
          <w:sz w:val="12"/>
          <w:szCs w:val="12"/>
          <w:color w:val="auto"/>
        </w:rPr>
        <w:t xml:space="preserve">We refer to the registered notes offered in this exchange offer as the “new notes” and to all outstanding $400,000,000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issued on November 6, 2007 as the “old notes.” The old notes were issued as additional notes under the indenture, dated as of December 14, 2004, as supplemented by a first supplemental indenture, dated as of June 29,</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2"/>
          <w:szCs w:val="12"/>
          <w:color w:val="auto"/>
        </w:rPr>
        <w:t xml:space="preserve">2005, and a second supplemental indenture, dated as of July 29, 2005. On December 14, 2004, we issued $1.3 billion aggregate principal amount of our 6 </w:t>
      </w:r>
      <w:r>
        <w:rPr>
          <w:rFonts w:ascii="Arial" w:cs="Arial" w:eastAsia="Arial" w:hAnsi="Arial"/>
          <w:sz w:val="19"/>
          <w:szCs w:val="19"/>
          <w:color w:val="auto"/>
          <w:vertAlign w:val="superscript"/>
        </w:rPr>
        <w:t>5</w:t>
      </w:r>
      <w:r>
        <w:rPr>
          <w:rFonts w:ascii="Arial" w:cs="Arial" w:eastAsia="Arial" w:hAnsi="Arial"/>
          <w:sz w:val="12"/>
          <w:szCs w:val="12"/>
          <w:color w:val="auto"/>
        </w:rPr>
        <w:t>/8% first mortgage notes due 2014 (which we refer to as the “original 2004 notes”), which we subsequently offered to exchange for registered notes (which we refer to as the “registered 2004 notes”) substantially identical to the original 2004 notes, except that the registered 2004 notes had been registered under the Securities Act of 1933, as amended. The exchange offer for the original 2004 notes closed on June 29, 2005. The exchange offer described in this prospectus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applies only to the $400,000,000 aggregate principal amount of our 6 </w:t>
      </w:r>
      <w:r>
        <w:rPr>
          <w:rFonts w:ascii="Arial" w:cs="Arial" w:eastAsia="Arial" w:hAnsi="Arial"/>
          <w:sz w:val="22"/>
          <w:szCs w:val="22"/>
          <w:color w:val="auto"/>
          <w:vertAlign w:val="superscript"/>
        </w:rPr>
        <w:t>5</w:t>
      </w:r>
      <w:r>
        <w:rPr>
          <w:rFonts w:ascii="Arial" w:cs="Arial" w:eastAsia="Arial" w:hAnsi="Arial"/>
          <w:sz w:val="14"/>
          <w:szCs w:val="14"/>
          <w:color w:val="auto"/>
        </w:rPr>
        <w:t>/8% first mortgage notes due 2014 issued on November 6, 2007.</w:t>
      </w:r>
    </w:p>
    <w:p>
      <w:pPr>
        <w:spacing w:after="0" w:line="74" w:lineRule="exact"/>
        <w:rPr>
          <w:sz w:val="20"/>
          <w:szCs w:val="20"/>
          <w:color w:val="auto"/>
        </w:rPr>
      </w:pPr>
    </w:p>
    <w:p>
      <w:pPr>
        <w:ind w:right="80" w:firstLine="342"/>
        <w:spacing w:after="0" w:line="228" w:lineRule="auto"/>
        <w:rPr>
          <w:sz w:val="20"/>
          <w:szCs w:val="20"/>
          <w:color w:val="auto"/>
        </w:rPr>
      </w:pPr>
      <w:r>
        <w:rPr>
          <w:rFonts w:ascii="Arial" w:cs="Arial" w:eastAsia="Arial" w:hAnsi="Arial"/>
          <w:sz w:val="14"/>
          <w:szCs w:val="14"/>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Terms of the exchange offer:</w:t>
      </w:r>
    </w:p>
    <w:p>
      <w:pPr>
        <w:spacing w:after="0" w:line="55" w:lineRule="exact"/>
        <w:rPr>
          <w:sz w:val="20"/>
          <w:szCs w:val="20"/>
          <w:color w:val="auto"/>
        </w:rPr>
      </w:pPr>
    </w:p>
    <w:p>
      <w:pPr>
        <w:ind w:left="800" w:hanging="454"/>
        <w:spacing w:after="0"/>
        <w:tabs>
          <w:tab w:leader="none" w:pos="80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will exchange the new notes for all outstanding old notes that are validly tendered pursuant to the exchange offer and not properly withdrawn prior to the expiration of the exchange offer.</w:t>
      </w:r>
    </w:p>
    <w:p>
      <w:pPr>
        <w:spacing w:after="0" w:line="78" w:lineRule="exact"/>
        <w:rPr>
          <w:rFonts w:ascii="Arial" w:cs="Arial" w:eastAsia="Arial" w:hAnsi="Arial"/>
          <w:sz w:val="12"/>
          <w:szCs w:val="12"/>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You may withdraw tenders of old notes at any time prior to the expiration of the exchange offer.</w:t>
      </w:r>
    </w:p>
    <w:p>
      <w:pPr>
        <w:spacing w:after="0" w:line="55" w:lineRule="exact"/>
        <w:rPr>
          <w:rFonts w:ascii="Arial" w:cs="Arial" w:eastAsia="Arial" w:hAnsi="Arial"/>
          <w:sz w:val="14"/>
          <w:szCs w:val="14"/>
          <w:color w:val="auto"/>
        </w:rPr>
      </w:pPr>
    </w:p>
    <w:p>
      <w:pPr>
        <w:ind w:left="800" w:hanging="454"/>
        <w:spacing w:after="0" w:line="239"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terms of the new notes are substantially identical to those of the old notes, except that the transfer restrictions, registration rights and liquidated damages provisions relating to the old notes will not apply to the new notes.</w:t>
      </w:r>
    </w:p>
    <w:p>
      <w:pPr>
        <w:spacing w:after="0" w:line="43" w:lineRule="exact"/>
        <w:rPr>
          <w:rFonts w:ascii="Arial" w:cs="Arial" w:eastAsia="Arial" w:hAnsi="Arial"/>
          <w:sz w:val="14"/>
          <w:szCs w:val="14"/>
          <w:color w:val="auto"/>
        </w:rPr>
      </w:pPr>
    </w:p>
    <w:p>
      <w:pPr>
        <w:ind w:left="800" w:right="360" w:hanging="454"/>
        <w:spacing w:after="0" w:line="239"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exchange of old notes for new notes will not be a taxable transaction for United States federal income tax purposes, but you should see the discussion under the heading “Material United States Federal Income Tax Considerations” for more information.</w:t>
      </w:r>
    </w:p>
    <w:p>
      <w:pPr>
        <w:spacing w:after="0" w:line="43" w:lineRule="exact"/>
        <w:rPr>
          <w:rFonts w:ascii="Arial" w:cs="Arial" w:eastAsia="Arial" w:hAnsi="Arial"/>
          <w:sz w:val="14"/>
          <w:szCs w:val="14"/>
          <w:color w:val="auto"/>
        </w:rPr>
      </w:pPr>
    </w:p>
    <w:p>
      <w:pPr>
        <w:ind w:left="800" w:hanging="454"/>
        <w:spacing w:after="0"/>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not receive any cash proceeds from the exchange offer.</w:t>
      </w:r>
    </w:p>
    <w:p>
      <w:pPr>
        <w:spacing w:after="0" w:line="55" w:lineRule="exact"/>
        <w:rPr>
          <w:rFonts w:ascii="Arial" w:cs="Arial" w:eastAsia="Arial" w:hAnsi="Arial"/>
          <w:sz w:val="14"/>
          <w:szCs w:val="14"/>
          <w:color w:val="auto"/>
        </w:rPr>
      </w:pPr>
    </w:p>
    <w:p>
      <w:pPr>
        <w:ind w:left="800" w:right="200" w:hanging="454"/>
        <w:spacing w:after="0" w:line="239" w:lineRule="auto"/>
        <w:tabs>
          <w:tab w:leader="none" w:pos="8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issued the old notes in a transaction not requiring registration under the Securities Act, and as a result, transfer of the old notes is restricted. We are making the exchange offer to satisfy your registration rights as a holder of old notes.</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established trading market for the new notes, although the old notes currently trade in The PORTAL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See “Risk Factors” beginning on page 16 for a discussion of risks you should consider prior to tendering your old notes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123825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right="440" w:firstLine="342"/>
        <w:spacing w:after="0" w:line="239" w:lineRule="auto"/>
        <w:rPr>
          <w:sz w:val="20"/>
          <w:szCs w:val="20"/>
          <w:color w:val="auto"/>
        </w:rPr>
      </w:pPr>
      <w:r>
        <w:rPr>
          <w:rFonts w:ascii="Arial" w:cs="Arial" w:eastAsia="Arial" w:hAnsi="Arial"/>
          <w:sz w:val="14"/>
          <w:szCs w:val="14"/>
          <w:i w:val="1"/>
          <w:i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8" w:lineRule="exact"/>
        <w:rPr>
          <w:sz w:val="20"/>
          <w:szCs w:val="20"/>
          <w:color w:val="auto"/>
        </w:rPr>
      </w:pPr>
    </w:p>
    <w:p>
      <w:pPr>
        <w:ind w:right="560" w:firstLine="342"/>
        <w:spacing w:after="0" w:line="239" w:lineRule="auto"/>
        <w:rPr>
          <w:sz w:val="20"/>
          <w:szCs w:val="20"/>
          <w:color w:val="auto"/>
        </w:rPr>
      </w:pPr>
      <w:r>
        <w:rPr>
          <w:rFonts w:ascii="Arial" w:cs="Arial" w:eastAsia="Arial" w:hAnsi="Arial"/>
          <w:sz w:val="14"/>
          <w:szCs w:val="14"/>
          <w:i w:val="1"/>
          <w:iCs w:val="1"/>
          <w:color w:val="auto"/>
        </w:rPr>
        <w:t>Neither the Nevada Gaming Commission, the Nevada State Gaming Control Board nor any other state gaming commission or gaming authority has passed upon the accuracy or adequacy of this prospectus or the investment merits of the new notes being offered by this prospectus. Any representation to the contrary is unlawful.</w:t>
      </w:r>
    </w:p>
    <w:p>
      <w:pPr>
        <w:spacing w:after="0" w:line="58" w:lineRule="exact"/>
        <w:rPr>
          <w:sz w:val="20"/>
          <w:szCs w:val="20"/>
          <w:color w:val="auto"/>
        </w:rPr>
      </w:pPr>
    </w:p>
    <w:tbl>
      <w:tblPr>
        <w:tblLayout w:type="fixed"/>
        <w:tblInd w:w="440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The date of this prospectus is</w:t>
            </w:r>
          </w:p>
        </w:tc>
        <w:tc>
          <w:tcPr>
            <w:tcW w:w="680" w:type="dxa"/>
            <w:vAlign w:val="bottom"/>
          </w:tcPr>
          <w:p>
            <w:pPr>
              <w:jc w:val="right"/>
              <w:spacing w:after="0"/>
              <w:rPr>
                <w:sz w:val="20"/>
                <w:szCs w:val="20"/>
                <w:color w:val="auto"/>
              </w:rPr>
            </w:pPr>
            <w:r>
              <w:rPr>
                <w:rFonts w:ascii="Arial" w:cs="Arial" w:eastAsia="Arial" w:hAnsi="Arial"/>
                <w:sz w:val="14"/>
                <w:szCs w:val="14"/>
                <w:color w:val="auto"/>
              </w:rPr>
              <w:t>, 2008</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You should rely only on the information contained in this prospectus. We have not authorized any other person to provide you with different information. If anyone provides you with different or inconsistent information, you should not rely on it. We are not making an offer to exchange the new notes in any jurisdiction where it is not permitted. You should assume that the information appearing in this prospectus is accurate only as of the date of the applicable document. Our business, financial condition, results of operations and prospects may have changed since that date.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6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Industry Data</w:t>
              </w:r>
            </w:hyperlink>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25"/>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6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Summary</w:t>
              </w:r>
            </w:hyperlink>
          </w:p>
        </w:tc>
        <w:tc>
          <w:tcPr>
            <w:tcW w:w="10360" w:type="dxa"/>
            <w:vAlign w:val="bottom"/>
            <w:gridSpan w:val="2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1016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Ratio of Earnings to Fixed Charges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Capitalization</w:t>
              </w:r>
            </w:hyperlink>
          </w:p>
        </w:tc>
        <w:tc>
          <w:tcPr>
            <w:tcW w:w="1480" w:type="dxa"/>
            <w:vAlign w:val="bottom"/>
            <w:tcBorders>
              <w:top w:val="single" w:sz="8" w:color="0000EE"/>
            </w:tcBorders>
            <w:gridSpan w:val="7"/>
          </w:tcPr>
          <w:p>
            <w:pPr>
              <w:spacing w:after="0"/>
              <w:rPr>
                <w:sz w:val="17"/>
                <w:szCs w:val="17"/>
                <w:color w:val="auto"/>
              </w:rPr>
            </w:pPr>
          </w:p>
        </w:tc>
        <w:tc>
          <w:tcPr>
            <w:tcW w:w="8580" w:type="dxa"/>
            <w:vAlign w:val="bottom"/>
            <w:gridSpan w:val="1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Selected Consolidated Financial Data</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Business</w:t>
              </w:r>
            </w:hyperlink>
          </w:p>
        </w:tc>
        <w:tc>
          <w:tcPr>
            <w:tcW w:w="5660" w:type="dxa"/>
            <w:vAlign w:val="bottom"/>
            <w:tcBorders>
              <w:top w:val="single" w:sz="8" w:color="0000EE"/>
            </w:tcBorders>
            <w:gridSpan w:val="22"/>
          </w:tcPr>
          <w:p>
            <w:pPr>
              <w:spacing w:after="0"/>
              <w:rPr>
                <w:sz w:val="17"/>
                <w:szCs w:val="17"/>
                <w:color w:val="auto"/>
              </w:rPr>
            </w:pPr>
          </w:p>
        </w:tc>
        <w:tc>
          <w:tcPr>
            <w:tcW w:w="47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Management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Director and Executive Compensation and Other Matters</w:t>
              </w:r>
            </w:hyperlink>
          </w:p>
        </w:tc>
        <w:tc>
          <w:tcPr>
            <w:tcW w:w="704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Security Ownership of Certain Beneficial Owners and Management</w:t>
              </w:r>
            </w:hyperlink>
          </w:p>
        </w:tc>
        <w:tc>
          <w:tcPr>
            <w:tcW w:w="628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Certain Relationships and Related Transactions</w:t>
              </w:r>
            </w:hyperlink>
          </w:p>
        </w:tc>
        <w:tc>
          <w:tcPr>
            <w:tcW w:w="772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91">
              <w:r>
                <w:rPr>
                  <w:rFonts w:ascii="Arial" w:cs="Arial" w:eastAsia="Arial" w:hAnsi="Arial"/>
                  <w:sz w:val="18"/>
                  <w:szCs w:val="18"/>
                  <w:color w:val="0000EE"/>
                  <w:w w:val="88"/>
                </w:rPr>
                <w:t>The Exchange Offer</w:t>
              </w:r>
            </w:hyperlink>
          </w:p>
        </w:tc>
        <w:tc>
          <w:tcPr>
            <w:tcW w:w="962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the New Notes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73">
              <w:r>
                <w:rPr>
                  <w:rFonts w:ascii="Arial" w:cs="Arial" w:eastAsia="Arial" w:hAnsi="Arial"/>
                  <w:sz w:val="18"/>
                  <w:szCs w:val="18"/>
                  <w:color w:val="0000EE"/>
                  <w:w w:val="88"/>
                </w:rPr>
                <w:t>Description of Certain Indebtedness</w:t>
              </w:r>
            </w:hyperlink>
          </w:p>
        </w:tc>
        <w:tc>
          <w:tcPr>
            <w:tcW w:w="852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Disbursement Agreement</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tcBorders>
            <w:gridSpan w:val="12"/>
          </w:tcPr>
          <w:p>
            <w:pPr>
              <w:spacing w:after="0" w:line="196" w:lineRule="exact"/>
              <w:rPr>
                <w:rFonts w:ascii="Arial" w:cs="Arial" w:eastAsia="Arial" w:hAnsi="Arial"/>
                <w:sz w:val="18"/>
                <w:szCs w:val="18"/>
                <w:color w:val="0000EE"/>
                <w:w w:val="94"/>
              </w:rPr>
            </w:pPr>
            <w:hyperlink w:anchor="page178">
              <w:r>
                <w:rPr>
                  <w:rFonts w:ascii="Arial" w:cs="Arial" w:eastAsia="Arial" w:hAnsi="Arial"/>
                  <w:sz w:val="18"/>
                  <w:szCs w:val="18"/>
                  <w:color w:val="0000EE"/>
                  <w:w w:val="94"/>
                </w:rPr>
                <w:t>Intercreditor Agreement</w:t>
              </w:r>
            </w:hyperlink>
          </w:p>
        </w:tc>
        <w:tc>
          <w:tcPr>
            <w:tcW w:w="9260" w:type="dxa"/>
            <w:vAlign w:val="bottom"/>
            <w:gridSpan w:val="1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9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79">
              <w:r>
                <w:rPr>
                  <w:rFonts w:ascii="Arial" w:cs="Arial" w:eastAsia="Arial" w:hAnsi="Arial"/>
                  <w:sz w:val="18"/>
                  <w:szCs w:val="18"/>
                  <w:color w:val="0000EE"/>
                  <w:w w:val="88"/>
                </w:rPr>
                <w:t>Material United States Federal Income Tax Considerations</w:t>
              </w:r>
            </w:hyperlink>
          </w:p>
        </w:tc>
        <w:tc>
          <w:tcPr>
            <w:tcW w:w="692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Plan of Distribution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Legal Matters</w:t>
              </w:r>
            </w:hyperlink>
          </w:p>
        </w:tc>
        <w:tc>
          <w:tcPr>
            <w:tcW w:w="96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Experts</w:t>
              </w:r>
            </w:hyperlink>
          </w:p>
        </w:tc>
        <w:tc>
          <w:tcPr>
            <w:tcW w:w="10080" w:type="dxa"/>
            <w:vAlign w:val="bottom"/>
            <w:gridSpan w:val="1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5"/>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Where You Can Find More Information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800" w:type="dxa"/>
            <w:vAlign w:val="bottom"/>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2">
              <w:r>
                <w:rPr>
                  <w:rFonts w:ascii="Arial" w:cs="Arial" w:eastAsia="Arial" w:hAnsi="Arial"/>
                  <w:sz w:val="18"/>
                  <w:szCs w:val="18"/>
                  <w:color w:val="0000EE"/>
                  <w:w w:val="88"/>
                </w:rPr>
                <w:t>Index to Consolidated Financial Statements</w:t>
              </w:r>
            </w:hyperlink>
          </w:p>
        </w:tc>
        <w:tc>
          <w:tcPr>
            <w:tcW w:w="7980" w:type="dxa"/>
            <w:vAlign w:val="bottom"/>
            <w:gridSpan w:val="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 xml:space="preserve">This prospectus contains summaries of the material terms of certain documents. Copies of these documents, except for certain exhibits and schedules, will be made available to you without charge upon written or oral request to us. Requests for documents or other additional information should be directed to Wynn Las Vegas, LLC, 3131 Las Vegas Boulevard South, Las Vegas, Nevada 89109, Attention: Legal Department, Telephone (702) 770-7000. </w:t>
      </w:r>
      <w:r>
        <w:rPr>
          <w:rFonts w:ascii="Arial" w:cs="Arial" w:eastAsia="Arial" w:hAnsi="Arial"/>
          <w:sz w:val="15"/>
          <w:szCs w:val="15"/>
          <w:b w:val="1"/>
          <w:bCs w:val="1"/>
          <w:color w:val="auto"/>
        </w:rPr>
        <w:t>To obtain timely</w:t>
      </w:r>
      <w:r>
        <w:rPr>
          <w:rFonts w:ascii="Arial" w:cs="Arial" w:eastAsia="Arial" w:hAnsi="Arial"/>
          <w:sz w:val="15"/>
          <w:szCs w:val="15"/>
          <w:color w:val="auto"/>
        </w:rPr>
        <w:t xml:space="preserve"> </w:t>
      </w:r>
      <w:r>
        <w:rPr>
          <w:rFonts w:ascii="Arial" w:cs="Arial" w:eastAsia="Arial" w:hAnsi="Arial"/>
          <w:sz w:val="15"/>
          <w:szCs w:val="15"/>
          <w:b w:val="1"/>
          <w:bCs w:val="1"/>
          <w:color w:val="auto"/>
        </w:rPr>
        <w:t>delivery of documents or information, we must receive your request no later than five (5) business days before the expiration date of the exchange offer.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DATA</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Industry data used throughout this prospectus are based on surveys and studies conducted by third parties and industry and general publications. Although we believe these sources are reliable, we have not independently verified the information and cannot guarantee its accuracy and completeness.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prospectus contains statements that are “forward-looking” statements within the meaning of Section 27A of the Securities Act and Section 21E of the Exchange Act,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statements contained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relating to:</w:t>
      </w:r>
    </w:p>
    <w:p>
      <w:pPr>
        <w:spacing w:after="0" w:line="35" w:lineRule="exact"/>
        <w:rPr>
          <w:sz w:val="20"/>
          <w:szCs w:val="20"/>
          <w:color w:val="auto"/>
        </w:rPr>
      </w:pPr>
    </w:p>
    <w:p>
      <w:pPr>
        <w:ind w:left="900" w:right="3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one property for all of our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applications for, and maintenance of, licenses and approvals under applicable jurisdictional laws and regulations (including gaming laws and regulations);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9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For a more detailed discussion of these and other risk factors, please read carefully the information under the caption “Risk Factors.”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i w:val="1"/>
          <w:iCs w:val="1"/>
          <w:color w:val="auto"/>
        </w:rPr>
        <w:t>This summary highlights certain material information contained in this prospectus and does not contain all of the information that may be important to you. We urge you to read this entire prospectus carefully, including the financial data and related notes and the “Risk Factors” section beginning on page 16 before making an investment decision. You should read this summary together with the more detailed information contained elsewhere in this prospectus and in our financial statements and accompanying notes.</w:t>
      </w:r>
    </w:p>
    <w:p>
      <w:pPr>
        <w:spacing w:after="0" w:line="143" w:lineRule="exact"/>
        <w:rPr>
          <w:sz w:val="20"/>
          <w:szCs w:val="20"/>
          <w:color w:val="auto"/>
        </w:rPr>
      </w:pPr>
    </w:p>
    <w:p>
      <w:pPr>
        <w:ind w:left="200" w:right="160" w:firstLine="443"/>
        <w:spacing w:after="0" w:line="291" w:lineRule="auto"/>
        <w:rPr>
          <w:sz w:val="20"/>
          <w:szCs w:val="20"/>
          <w:color w:val="auto"/>
        </w:rPr>
      </w:pPr>
      <w:r>
        <w:rPr>
          <w:rFonts w:ascii="Arial" w:cs="Arial" w:eastAsia="Arial" w:hAnsi="Arial"/>
          <w:sz w:val="15"/>
          <w:szCs w:val="15"/>
          <w:i w:val="1"/>
          <w:iCs w:val="1"/>
          <w:color w:val="auto"/>
        </w:rPr>
        <w:t>The new notes will be jointly issued by Wynn Las Vegas, LLC, a Nevada limited liability company, and its wholly owned subsidiary, Wynn Las Vegas Capital Corp., a Nevada corporation (“Wynn Capital”). Wynn Las Vegas, LLC and Wynn Capital together are hereinafter referred to as the “Issuers.” The new notes will be guaranteed by all of our subsidiaries other than Wynn Capital and Wynn Completion Guarantor, LLC. Unless the context otherwise requires, all references in this prospectus to the “Company,” “we,” “us” or “our,” or similar terms, refer to Wynn Las Vegas, LLC and its consolidated</w:t>
      </w:r>
    </w:p>
    <w:p>
      <w:pPr>
        <w:spacing w:after="0" w:line="1"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6"/>
          <w:szCs w:val="16"/>
          <w:i w:val="1"/>
          <w:iCs w:val="1"/>
          <w:color w:val="auto"/>
        </w:rPr>
        <w:t xml:space="preserve">subsidiaries (other than Wynn Completion Guarantor, LLC). The 6 </w:t>
      </w:r>
      <w:r>
        <w:rPr>
          <w:rFonts w:ascii="Arial" w:cs="Arial" w:eastAsia="Arial" w:hAnsi="Arial"/>
          <w:sz w:val="20"/>
          <w:szCs w:val="20"/>
          <w:i w:val="1"/>
          <w:iCs w:val="1"/>
          <w:color w:val="auto"/>
          <w:vertAlign w:val="superscript"/>
        </w:rPr>
        <w:t>5</w:t>
      </w:r>
      <w:r>
        <w:rPr>
          <w:rFonts w:ascii="Arial" w:cs="Arial" w:eastAsia="Arial" w:hAnsi="Arial"/>
          <w:sz w:val="16"/>
          <w:szCs w:val="16"/>
          <w:i w:val="1"/>
          <w:iCs w:val="1"/>
          <w:color w:val="auto"/>
        </w:rPr>
        <w:t>/</w:t>
      </w:r>
      <w:r>
        <w:rPr>
          <w:rFonts w:ascii="Arial" w:cs="Arial" w:eastAsia="Arial" w:hAnsi="Arial"/>
          <w:sz w:val="12"/>
          <w:szCs w:val="12"/>
          <w:i w:val="1"/>
          <w:iCs w:val="1"/>
          <w:color w:val="auto"/>
        </w:rPr>
        <w:t>8</w:t>
      </w:r>
      <w:r>
        <w:rPr>
          <w:rFonts w:ascii="Arial" w:cs="Arial" w:eastAsia="Arial" w:hAnsi="Arial"/>
          <w:sz w:val="16"/>
          <w:szCs w:val="16"/>
          <w:i w:val="1"/>
          <w:iCs w:val="1"/>
          <w:color w:val="auto"/>
        </w:rPr>
        <w:t>% first mortgage notes due 2014 are sometimes referred to herein as the “notes,” which term, except with respect to discussions of original issue discount and other income tax consequences and unless the context otherwise requires, includes the new notes, the old notes, the original 2004 notes and the registered 2004 notes. The sole member of Wynn Las Vegas, LLC is Wynn Resorts Holdings, LLC (“Wynn Holdings”), and the sole member of Wynn Holdings is Wynn Resorts, Limited (“Wynn Resorts”).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left="200" w:right="180" w:firstLine="443"/>
        <w:spacing w:after="0" w:line="259"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constructing an expansion of Wynn Las Vegas named “Encore at Wynn Las Vegas,” or “Encore.” We commenced operations with the opening of Wynn Las Vegas on April 28, 2005. Prior to April 28, 2005, we were solely a development stage company.</w:t>
      </w:r>
    </w:p>
    <w:p>
      <w:pPr>
        <w:spacing w:after="0" w:line="140"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 and our average daily room rate was $300, which compares favorably to the overall 90.4% average occupancy and $132 average daily room rate of Las Vegas.</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15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4152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20" w:firstLine="443"/>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offices are located at 3131 Las Vegas Boulevard South, Las Vegas, Nevada 89109, and our telephone number is (702) 770-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7000.</w:t>
      </w:r>
    </w:p>
    <w:p>
      <w:pPr>
        <w:spacing w:after="0" w:line="3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Wynn Las Vegas</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 xml:space="preserve">Tryst </w:t>
      </w:r>
      <w:r>
        <w:rPr>
          <w:rFonts w:ascii="Arial" w:cs="Arial" w:eastAsia="Arial" w:hAnsi="Arial"/>
          <w:sz w:val="16"/>
          <w:szCs w:val="16"/>
          <w:color w:val="auto"/>
        </w:rPr>
        <w:t>and</w:t>
      </w:r>
      <w:r>
        <w:rPr>
          <w:rFonts w:ascii="Arial" w:cs="Arial" w:eastAsia="Arial" w:hAnsi="Arial"/>
          <w:sz w:val="16"/>
          <w:szCs w:val="16"/>
          <w:i w:val="1"/>
          <w:iCs w:val="1"/>
          <w:color w:val="auto"/>
        </w:rPr>
        <w:t xml:space="preserve"> Blush, </w:t>
      </w:r>
      <w:r>
        <w:rPr>
          <w:rFonts w:ascii="Arial" w:cs="Arial" w:eastAsia="Arial" w:hAnsi="Arial"/>
          <w:sz w:val="16"/>
          <w:szCs w:val="16"/>
          <w:color w:val="auto"/>
        </w:rPr>
        <w:t>our nightclubs</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areas of the retail promenade, a portion of the baccarat area to feature a casino bar and improved public baccarat</w:t>
      </w:r>
      <w:r>
        <w:rPr>
          <w:rFonts w:ascii="Arial" w:cs="Arial" w:eastAsia="Arial" w:hAnsi="Arial"/>
          <w:sz w:val="16"/>
          <w:szCs w:val="16"/>
          <w:i w:val="1"/>
          <w:iCs w:val="1"/>
          <w:color w:val="auto"/>
        </w:rPr>
        <w:t xml:space="preserve"> </w:t>
      </w:r>
      <w:r>
        <w:rPr>
          <w:rFonts w:ascii="Arial" w:cs="Arial" w:eastAsia="Arial" w:hAnsi="Arial"/>
          <w:sz w:val="16"/>
          <w:szCs w:val="16"/>
          <w:color w:val="auto"/>
        </w:rPr>
        <w:t>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Encore at Wynn Las Vegas</w:t>
      </w:r>
    </w:p>
    <w:p>
      <w:pPr>
        <w:spacing w:after="0" w:line="177"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left="200" w:right="100" w:firstLine="443"/>
        <w:spacing w:after="0" w:line="253" w:lineRule="auto"/>
        <w:rPr>
          <w:sz w:val="20"/>
          <w:szCs w:val="20"/>
          <w:color w:val="auto"/>
        </w:rPr>
      </w:pPr>
      <w:r>
        <w:rPr>
          <w:rFonts w:ascii="Arial" w:cs="Arial" w:eastAsia="Arial" w:hAnsi="Arial"/>
          <w:sz w:val="18"/>
          <w:szCs w:val="18"/>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47"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we executed the First Amendment to the Contract which set the guaranteed maximum price (“GMP”) for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 Strategy</w:t>
      </w:r>
    </w:p>
    <w:p>
      <w:pPr>
        <w:spacing w:after="0" w:line="177" w:lineRule="exact"/>
        <w:rPr>
          <w:sz w:val="20"/>
          <w:szCs w:val="20"/>
          <w:color w:val="auto"/>
        </w:rPr>
      </w:pPr>
    </w:p>
    <w:p>
      <w:pPr>
        <w:ind w:left="200" w:firstLine="443"/>
        <w:spacing w:after="0" w:line="314" w:lineRule="auto"/>
        <w:rPr>
          <w:sz w:val="20"/>
          <w:szCs w:val="20"/>
          <w:color w:val="auto"/>
        </w:rPr>
      </w:pPr>
      <w:r>
        <w:rPr>
          <w:rFonts w:ascii="Arial" w:cs="Arial" w:eastAsia="Arial" w:hAnsi="Arial"/>
          <w:sz w:val="15"/>
          <w:szCs w:val="15"/>
          <w:i w:val="1"/>
          <w:iCs w:val="1"/>
          <w:color w:val="auto"/>
        </w:rPr>
        <w:t>Capitalize on the “Wynn” Brand</w:t>
      </w:r>
      <w:r>
        <w:rPr>
          <w:rFonts w:ascii="Arial" w:cs="Arial" w:eastAsia="Arial" w:hAnsi="Arial"/>
          <w:sz w:val="15"/>
          <w:szCs w:val="15"/>
          <w:color w:val="auto"/>
        </w:rPr>
        <w:t>. We believe Steve Wynn is the preeminent designer, developer and operator of destination casino resorts and, as such,</w:t>
      </w:r>
      <w:r>
        <w:rPr>
          <w:rFonts w:ascii="Arial" w:cs="Arial" w:eastAsia="Arial" w:hAnsi="Arial"/>
          <w:sz w:val="15"/>
          <w:szCs w:val="15"/>
          <w:i w:val="1"/>
          <w:iCs w:val="1"/>
          <w:color w:val="auto"/>
        </w:rPr>
        <w:t xml:space="preserve"> </w:t>
      </w:r>
      <w:r>
        <w:rPr>
          <w:rFonts w:ascii="Arial" w:cs="Arial" w:eastAsia="Arial" w:hAnsi="Arial"/>
          <w:sz w:val="15"/>
          <w:szCs w:val="15"/>
          <w:color w:val="auto"/>
        </w:rPr>
        <w:t>has 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05"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w:t>
      </w:r>
      <w:r>
        <w:rPr>
          <w:rFonts w:ascii="Arial" w:cs="Arial" w:eastAsia="Arial" w:hAnsi="Arial"/>
          <w:sz w:val="16"/>
          <w:szCs w:val="16"/>
          <w:i w:val="1"/>
          <w:iCs w:val="1"/>
          <w:color w:val="auto"/>
        </w:rPr>
        <w:t xml:space="preserve"> </w:t>
      </w:r>
      <w:r>
        <w:rPr>
          <w:rFonts w:ascii="Arial" w:cs="Arial" w:eastAsia="Arial" w:hAnsi="Arial"/>
          <w:sz w:val="16"/>
          <w:szCs w:val="16"/>
          <w:color w:val="auto"/>
        </w:rPr>
        <w:t>gaming 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 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23"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i w:val="1"/>
          <w:iCs w:val="1"/>
          <w:color w:val="auto"/>
        </w:rPr>
        <w:t>Marketing</w:t>
      </w:r>
      <w:r>
        <w:rPr>
          <w:rFonts w:ascii="Arial" w:cs="Arial" w:eastAsia="Arial" w:hAnsi="Arial"/>
          <w:sz w:val="16"/>
          <w:szCs w:val="16"/>
          <w:color w:val="auto"/>
        </w:rPr>
        <w:t>. We have positioned Wynn Las Vegas as a full-service luxury resort and casino in the leisure, convention and tour and travel markets. We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Wynn Las Vegas directly to gaming customers using database marketing techniques, as well as using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20"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high roller and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left="200" w:right="840" w:firstLine="443"/>
        <w:spacing w:after="0" w:line="268" w:lineRule="auto"/>
        <w:rPr>
          <w:sz w:val="20"/>
          <w:szCs w:val="20"/>
          <w:color w:val="auto"/>
        </w:rPr>
      </w:pPr>
      <w:r>
        <w:rPr>
          <w:rFonts w:ascii="Arial" w:cs="Arial" w:eastAsia="Arial" w:hAnsi="Arial"/>
          <w:sz w:val="18"/>
          <w:szCs w:val="18"/>
          <w:color w:val="auto"/>
        </w:rPr>
        <w:t>We also create general market awareness for Wynn Las Vegas through conventions and various media channels, including television, radio, newspapers, magazines, the internet, direct mail and billboards.</w:t>
      </w:r>
    </w:p>
    <w:p>
      <w:pPr>
        <w:spacing w:after="0" w:line="132"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Las Vegas Real Estate Assets</w:t>
      </w:r>
      <w:r>
        <w:rPr>
          <w:rFonts w:ascii="Arial" w:cs="Arial" w:eastAsia="Arial" w:hAnsi="Arial"/>
          <w:sz w:val="18"/>
          <w:szCs w:val="18"/>
          <w:color w:val="auto"/>
        </w:rPr>
        <w:t>. Wynn Las Vegas is located on approximately 55 acres on the famed Las Vegas Strip. Our property is located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3.2 million square feet of convention space operated by the Las Vegas Convention and Visitors Authority and the Palazzo and Venetian Casino Resort and</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087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208788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its adjoining approximately 1.8 million square foot Sands Expo Center; diagonally across from The Mirage and the Treasure Island Hotel and Casino; directly across from the Fashion Show Mall and Trump Towers; and across from Echelon Place and The Plaza, which are currently under development. Encore is being developed on approximately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6"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32"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Experienced Management Team</w:t>
      </w:r>
      <w:r>
        <w:rPr>
          <w:rFonts w:ascii="Arial" w:cs="Arial" w:eastAsia="Arial" w:hAnsi="Arial"/>
          <w:sz w:val="18"/>
          <w:szCs w:val="18"/>
          <w:color w:val="auto"/>
        </w:rPr>
        <w:t>. Mr. Wynn and his team bring significant experience in designing, developing and operating casino resorts. Mr. Wynn</w:t>
      </w:r>
      <w:r>
        <w:rPr>
          <w:rFonts w:ascii="Arial" w:cs="Arial" w:eastAsia="Arial" w:hAnsi="Arial"/>
          <w:sz w:val="18"/>
          <w:szCs w:val="18"/>
          <w:i w:val="1"/>
          <w:iCs w:val="1"/>
          <w:color w:val="auto"/>
        </w:rPr>
        <w:t xml:space="preserve"> </w:t>
      </w:r>
      <w:r>
        <w:rPr>
          <w:rFonts w:ascii="Arial" w:cs="Arial" w:eastAsia="Arial" w:hAnsi="Arial"/>
          <w:sz w:val="18"/>
          <w:szCs w:val="18"/>
          <w:color w:val="auto"/>
        </w:rPr>
        <w:t>and many members of our current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407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40702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Old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Expiration Date; Tenders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583"/>
        <w:spacing w:after="0"/>
        <w:rPr>
          <w:sz w:val="20"/>
          <w:szCs w:val="20"/>
          <w:color w:val="auto"/>
        </w:rPr>
      </w:pPr>
      <w:r>
        <w:rPr>
          <w:rFonts w:ascii="Arial" w:cs="Arial" w:eastAsia="Arial" w:hAnsi="Arial"/>
          <w:sz w:val="18"/>
          <w:szCs w:val="18"/>
          <w:b w:val="1"/>
          <w:bCs w:val="1"/>
          <w:color w:val="auto"/>
        </w:rPr>
        <w:t>The Exchange Offer</w:t>
      </w:r>
    </w:p>
    <w:p>
      <w:pPr>
        <w:spacing w:after="0" w:line="245"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which we issued November 6, 2007.</w:t>
      </w:r>
    </w:p>
    <w:p>
      <w:pPr>
        <w:spacing w:after="0" w:line="166" w:lineRule="exact"/>
        <w:rPr>
          <w:sz w:val="20"/>
          <w:szCs w:val="20"/>
          <w:color w:val="auto"/>
        </w:rPr>
      </w:pPr>
    </w:p>
    <w:p>
      <w:pPr>
        <w:ind w:left="3"/>
        <w:spacing w:after="0" w:line="287" w:lineRule="auto"/>
        <w:rPr>
          <w:sz w:val="20"/>
          <w:szCs w:val="20"/>
          <w:color w:val="auto"/>
        </w:rPr>
      </w:pPr>
      <w:r>
        <w:rPr>
          <w:rFonts w:ascii="Arial" w:cs="Arial" w:eastAsia="Arial" w:hAnsi="Arial"/>
          <w:sz w:val="15"/>
          <w:szCs w:val="15"/>
          <w:color w:val="auto"/>
        </w:rPr>
        <w:t>The old notes were issued as additional notes under the indenture, dated as of December 14, 2004, as supplemented by a first supplemental indenture, dated as of June 29, 2005, and a second supplemental indenture, dated as of July 29, 2005. On December 14, 2004, we issued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w:t>
      </w:r>
    </w:p>
    <w:p>
      <w:pPr>
        <w:spacing w:after="0" w:line="1" w:lineRule="exact"/>
        <w:rPr>
          <w:sz w:val="20"/>
          <w:szCs w:val="20"/>
          <w:color w:val="auto"/>
        </w:rPr>
      </w:pPr>
    </w:p>
    <w:p>
      <w:pPr>
        <w:ind w:left="3" w:right="80"/>
        <w:spacing w:after="0" w:line="228" w:lineRule="auto"/>
        <w:rPr>
          <w:sz w:val="20"/>
          <w:szCs w:val="20"/>
          <w:color w:val="auto"/>
        </w:rPr>
      </w:pPr>
      <w:r>
        <w:rPr>
          <w:rFonts w:ascii="Arial" w:cs="Arial" w:eastAsia="Arial" w:hAnsi="Arial"/>
          <w:sz w:val="18"/>
          <w:szCs w:val="18"/>
          <w:color w:val="auto"/>
        </w:rPr>
        <w:t xml:space="preserve">the $400,000,000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84" w:lineRule="exact"/>
        <w:rPr>
          <w:sz w:val="20"/>
          <w:szCs w:val="20"/>
          <w:color w:val="auto"/>
        </w:rPr>
      </w:pPr>
    </w:p>
    <w:p>
      <w:pPr>
        <w:ind w:left="3"/>
        <w:spacing w:after="0" w:line="288" w:lineRule="auto"/>
        <w:rPr>
          <w:sz w:val="20"/>
          <w:szCs w:val="20"/>
          <w:color w:val="auto"/>
        </w:rPr>
      </w:pPr>
      <w:r>
        <w:rPr>
          <w:rFonts w:ascii="Arial" w:cs="Arial" w:eastAsia="Arial" w:hAnsi="Arial"/>
          <w:sz w:val="16"/>
          <w:szCs w:val="16"/>
          <w:color w:val="auto"/>
        </w:rPr>
        <w:t>The old notes are, and, upon consummation of the exchange offer, the new notes will be, pari passu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87" w:lineRule="exact"/>
        <w:rPr>
          <w:sz w:val="20"/>
          <w:szCs w:val="20"/>
          <w:color w:val="auto"/>
        </w:rPr>
      </w:pPr>
    </w:p>
    <w:p>
      <w:pPr>
        <w:ind w:left="3" w:right="320"/>
        <w:spacing w:after="0" w:line="264" w:lineRule="auto"/>
        <w:rPr>
          <w:sz w:val="20"/>
          <w:szCs w:val="20"/>
          <w:color w:val="auto"/>
        </w:rPr>
      </w:pPr>
      <w:r>
        <w:rPr>
          <w:rFonts w:ascii="Arial" w:cs="Arial" w:eastAsia="Arial" w:hAnsi="Arial"/>
          <w:sz w:val="16"/>
          <w:szCs w:val="16"/>
          <w:color w:val="auto"/>
        </w:rPr>
        <w:t xml:space="preserve">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issuance of which has been registered under the Securities Act of 1933. The form and the terms of the new notes are substantially identical to those of the old notes, except that the transfer restrictions, registration rights and liquidated damages provisions relating to the old notes do not apply to the new notes.</w:t>
      </w:r>
    </w:p>
    <w:p>
      <w:pPr>
        <w:spacing w:after="0" w:line="166" w:lineRule="exact"/>
        <w:rPr>
          <w:sz w:val="20"/>
          <w:szCs w:val="20"/>
          <w:color w:val="auto"/>
        </w:rPr>
      </w:pPr>
    </w:p>
    <w:p>
      <w:pPr>
        <w:ind w:left="3" w:right="20"/>
        <w:spacing w:after="0" w:line="255" w:lineRule="auto"/>
        <w:rPr>
          <w:sz w:val="20"/>
          <w:szCs w:val="20"/>
          <w:color w:val="auto"/>
        </w:rPr>
      </w:pPr>
      <w:r>
        <w:rPr>
          <w:rFonts w:ascii="Arial" w:cs="Arial" w:eastAsia="Arial" w:hAnsi="Arial"/>
          <w:sz w:val="18"/>
          <w:szCs w:val="18"/>
          <w:color w:val="auto"/>
        </w:rPr>
        <w:t>We are offering to issue up to $400,000,000 aggregate principal amount of new notes in exchange for a like principal amount of old notes to satisfy our obligations under the registration rights agreement that we entered into when the old notes were issued in a transaction consummated in reliance upon the exemption from registration provided by Rule 144A under the Securities Act.</w:t>
      </w:r>
    </w:p>
    <w:p>
      <w:pPr>
        <w:spacing w:after="0" w:line="183" w:lineRule="exact"/>
        <w:rPr>
          <w:sz w:val="20"/>
          <w:szCs w:val="20"/>
          <w:color w:val="auto"/>
        </w:rPr>
      </w:pPr>
    </w:p>
    <w:p>
      <w:pPr>
        <w:ind w:left="3" w:right="140"/>
        <w:spacing w:after="0" w:line="268" w:lineRule="auto"/>
        <w:rPr>
          <w:sz w:val="20"/>
          <w:szCs w:val="20"/>
          <w:color w:val="auto"/>
        </w:rPr>
      </w:pPr>
      <w:r>
        <w:rPr>
          <w:rFonts w:ascii="Arial" w:cs="Arial" w:eastAsia="Arial" w:hAnsi="Arial"/>
          <w:sz w:val="18"/>
          <w:szCs w:val="18"/>
          <w:color w:val="auto"/>
        </w:rPr>
        <w:t>The exchange offer will expire at 5:00 p.m., New York City time, on , 2008, unless we extend the exchange offer. By tendering your old notes, you represent to us that:</w:t>
      </w:r>
    </w:p>
    <w:p>
      <w:pPr>
        <w:spacing w:after="0" w:line="51" w:lineRule="exact"/>
        <w:rPr>
          <w:sz w:val="20"/>
          <w:szCs w:val="20"/>
          <w:color w:val="auto"/>
        </w:rPr>
      </w:pPr>
    </w:p>
    <w:p>
      <w:pPr>
        <w:ind w:left="423" w:hanging="423"/>
        <w:spacing w:after="0"/>
        <w:tabs>
          <w:tab w:leader="none" w:pos="423"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are not our “affiliate,” as defined in Rule 405 under the Securities Act;</w:t>
      </w:r>
    </w:p>
    <w:p>
      <w:pPr>
        <w:spacing w:after="0" w:line="200" w:lineRule="exact"/>
        <w:rPr>
          <w:sz w:val="20"/>
          <w:szCs w:val="20"/>
          <w:color w:val="auto"/>
        </w:rPr>
      </w:pPr>
    </w:p>
    <w:p>
      <w:pPr>
        <w:sectPr>
          <w:pgSz w:w="11900" w:h="16838" w:orient="portrait"/>
          <w:cols w:equalWidth="0" w:num="2">
            <w:col w:w="3677" w:space="720"/>
            <w:col w:w="6843"/>
          </w:cols>
          <w:pgMar w:left="240" w:top="459" w:right="419" w:bottom="1440" w:gutter="0" w:footer="0" w:header="0"/>
          <w:type w:val="continuous"/>
        </w:sectPr>
      </w:pP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820" w:right="30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new notes you receive in the exchange offer are being acquired by you in the ordinary course of your business;</w:t>
      </w:r>
    </w:p>
    <w:p>
      <w:pPr>
        <w:spacing w:after="0" w:line="50" w:lineRule="exact"/>
        <w:rPr>
          <w:rFonts w:ascii="Arial" w:cs="Arial" w:eastAsia="Arial" w:hAnsi="Arial"/>
          <w:sz w:val="18"/>
          <w:szCs w:val="18"/>
          <w:color w:val="auto"/>
        </w:rPr>
      </w:pPr>
    </w:p>
    <w:p>
      <w:pPr>
        <w:ind w:left="4820" w:right="360" w:hanging="423"/>
        <w:spacing w:after="0" w:line="256"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time of the commencement of the exchange offer, neither you nor, to your knowledge, anyone receiving new notes from you, has any arrangement or understanding with any person to participate in the distribution, as defined in the Securities Act, of the new notes in violation of the Securities Act;</w:t>
      </w:r>
    </w:p>
    <w:p>
      <w:pPr>
        <w:spacing w:after="0" w:line="62" w:lineRule="exact"/>
        <w:rPr>
          <w:rFonts w:ascii="Arial" w:cs="Arial" w:eastAsia="Arial" w:hAnsi="Arial"/>
          <w:sz w:val="18"/>
          <w:szCs w:val="18"/>
          <w:color w:val="auto"/>
        </w:rPr>
      </w:pPr>
    </w:p>
    <w:p>
      <w:pPr>
        <w:ind w:left="4820" w:right="260" w:hanging="423"/>
        <w:spacing w:after="0" w:line="254"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a broker-dealer, you will receive the new notes for your own account in exchange for old notes that were acquired by you as a result of your market-making or other trading activities and that you will deliver a prospectus in connection with any resale of the new notes you receive; for further information regarding resales of the new notes by participating broker-dealers, see the discussion under the caption “Plan of Distribution”; and</w:t>
      </w:r>
    </w:p>
    <w:p>
      <w:pPr>
        <w:spacing w:after="0" w:line="63" w:lineRule="exact"/>
        <w:rPr>
          <w:rFonts w:ascii="Arial" w:cs="Arial" w:eastAsia="Arial" w:hAnsi="Arial"/>
          <w:sz w:val="18"/>
          <w:szCs w:val="18"/>
          <w:color w:val="auto"/>
        </w:rPr>
      </w:pPr>
    </w:p>
    <w:p>
      <w:pPr>
        <w:ind w:left="4820" w:right="380" w:hanging="423"/>
        <w:spacing w:after="0" w:line="268" w:lineRule="auto"/>
        <w:tabs>
          <w:tab w:leader="none" w:pos="4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as defined in the Securities 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ind w:left="200"/>
              <w:spacing w:after="0"/>
              <w:rPr>
                <w:sz w:val="20"/>
                <w:szCs w:val="20"/>
                <w:color w:val="auto"/>
              </w:rPr>
            </w:pPr>
            <w:r>
              <w:rPr>
                <w:rFonts w:ascii="Arial" w:cs="Arial" w:eastAsia="Arial" w:hAnsi="Arial"/>
                <w:sz w:val="18"/>
                <w:szCs w:val="18"/>
                <w:color w:val="auto"/>
              </w:rPr>
              <w:t>Withdrawal; Non-Acceptance</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4"/>
              </w:rPr>
              <w:t>You may withdraw any old notes tendered in the exchange offer at any time prior to 5:00 p.m.,</w:t>
            </w:r>
          </w:p>
        </w:tc>
      </w:tr>
      <w:tr>
        <w:trPr>
          <w:trHeight w:val="216"/>
        </w:trPr>
        <w:tc>
          <w:tcPr>
            <w:tcW w:w="3480" w:type="dxa"/>
            <w:vAlign w:val="bottom"/>
          </w:tcPr>
          <w:p>
            <w:pPr>
              <w:spacing w:after="0"/>
              <w:rPr>
                <w:sz w:val="18"/>
                <w:szCs w:val="18"/>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New York City time, on</w:t>
            </w:r>
          </w:p>
        </w:tc>
        <w:tc>
          <w:tcPr>
            <w:tcW w:w="4640" w:type="dxa"/>
            <w:vAlign w:val="bottom"/>
          </w:tcPr>
          <w:p>
            <w:pPr>
              <w:ind w:left="180"/>
              <w:spacing w:after="0"/>
              <w:rPr>
                <w:sz w:val="20"/>
                <w:szCs w:val="20"/>
                <w:color w:val="auto"/>
              </w:rPr>
            </w:pPr>
            <w:r>
              <w:rPr>
                <w:rFonts w:ascii="Arial" w:cs="Arial" w:eastAsia="Arial" w:hAnsi="Arial"/>
                <w:sz w:val="18"/>
                <w:szCs w:val="18"/>
                <w:color w:val="auto"/>
              </w:rPr>
              <w:t>, 2008, which date we may extend if we extend the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3"/>
              </w:rPr>
              <w:t>exchange offer. If we decide for any reason not to accept any old notes tendered for exchange,</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the old notes will be returned to the registered holder at our expense promptly after the expiration</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or termination of the exchange offer. In the case of old notes tendered by book-entry transfer into</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6"/>
              </w:rPr>
              <w:t>the exchange agent’s account at The Depository Trust Company (“DTC”), any withdrawn or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8"/>
              </w:rPr>
              <w:t>unaccepted old notes will be credited to the tendering holder’s account at DTC. For further</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information regarding the withdrawal of tendered old notes, see “The Exchange Offer—Terms of</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5"/>
              </w:rPr>
              <w:t>the Exchange Offer; Period for Tendering Old Notes” and “The Exchange Offer—Withdrawal</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rPr>
              <w:t>Rights.”</w:t>
            </w:r>
          </w:p>
        </w:tc>
        <w:tc>
          <w:tcPr>
            <w:tcW w:w="4640" w:type="dxa"/>
            <w:vAlign w:val="bottom"/>
          </w:tcPr>
          <w:p>
            <w:pPr>
              <w:spacing w:after="0"/>
              <w:rPr>
                <w:sz w:val="19"/>
                <w:szCs w:val="19"/>
                <w:color w:val="auto"/>
              </w:rPr>
            </w:pPr>
          </w:p>
        </w:tc>
      </w:tr>
      <w:tr>
        <w:trPr>
          <w:trHeight w:val="412"/>
        </w:trPr>
        <w:tc>
          <w:tcPr>
            <w:tcW w:w="3480" w:type="dxa"/>
            <w:vAlign w:val="bottom"/>
          </w:tcPr>
          <w:p>
            <w:pPr>
              <w:ind w:left="200"/>
              <w:spacing w:after="0"/>
              <w:rPr>
                <w:sz w:val="20"/>
                <w:szCs w:val="20"/>
                <w:color w:val="auto"/>
              </w:rPr>
            </w:pPr>
            <w:r>
              <w:rPr>
                <w:rFonts w:ascii="Arial" w:cs="Arial" w:eastAsia="Arial" w:hAnsi="Arial"/>
                <w:sz w:val="18"/>
                <w:szCs w:val="18"/>
                <w:color w:val="auto"/>
              </w:rPr>
              <w:t>Conditions to the Exchange Offer</w:t>
            </w: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1"/>
              </w:rPr>
              <w:t>We are not required to accept for exchange or to issue new notes in exchange for any old notes,</w:t>
            </w:r>
          </w:p>
        </w:tc>
      </w:tr>
      <w:tr>
        <w:trPr>
          <w:trHeight w:val="216"/>
        </w:trPr>
        <w:tc>
          <w:tcPr>
            <w:tcW w:w="3480" w:type="dxa"/>
            <w:vAlign w:val="bottom"/>
          </w:tcPr>
          <w:p>
            <w:pPr>
              <w:spacing w:after="0"/>
              <w:rPr>
                <w:sz w:val="18"/>
                <w:szCs w:val="18"/>
                <w:color w:val="auto"/>
              </w:rPr>
            </w:pPr>
          </w:p>
        </w:tc>
        <w:tc>
          <w:tcPr>
            <w:tcW w:w="7980" w:type="dxa"/>
            <w:vAlign w:val="bottom"/>
            <w:gridSpan w:val="3"/>
          </w:tcPr>
          <w:p>
            <w:pPr>
              <w:ind w:left="920"/>
              <w:spacing w:after="0"/>
              <w:rPr>
                <w:sz w:val="20"/>
                <w:szCs w:val="20"/>
                <w:color w:val="auto"/>
              </w:rPr>
            </w:pPr>
            <w:r>
              <w:rPr>
                <w:rFonts w:ascii="Arial" w:cs="Arial" w:eastAsia="Arial" w:hAnsi="Arial"/>
                <w:sz w:val="18"/>
                <w:szCs w:val="18"/>
                <w:color w:val="auto"/>
                <w:w w:val="92"/>
              </w:rPr>
              <w:t>and we may terminate or amend the exchange offer, if any of the following events occur prior to</w:t>
            </w:r>
          </w:p>
        </w:tc>
      </w:tr>
      <w:tr>
        <w:trPr>
          <w:trHeight w:val="222"/>
        </w:trPr>
        <w:tc>
          <w:tcPr>
            <w:tcW w:w="3480" w:type="dxa"/>
            <w:vAlign w:val="bottom"/>
          </w:tcPr>
          <w:p>
            <w:pPr>
              <w:spacing w:after="0"/>
              <w:rPr>
                <w:sz w:val="19"/>
                <w:szCs w:val="19"/>
                <w:color w:val="auto"/>
              </w:rPr>
            </w:pPr>
          </w:p>
        </w:tc>
        <w:tc>
          <w:tcPr>
            <w:tcW w:w="3340" w:type="dxa"/>
            <w:vAlign w:val="bottom"/>
            <w:gridSpan w:val="2"/>
          </w:tcPr>
          <w:p>
            <w:pPr>
              <w:ind w:left="920"/>
              <w:spacing w:after="0"/>
              <w:rPr>
                <w:sz w:val="20"/>
                <w:szCs w:val="20"/>
                <w:color w:val="auto"/>
              </w:rPr>
            </w:pPr>
            <w:r>
              <w:rPr>
                <w:rFonts w:ascii="Arial" w:cs="Arial" w:eastAsia="Arial" w:hAnsi="Arial"/>
                <w:sz w:val="18"/>
                <w:szCs w:val="18"/>
                <w:color w:val="auto"/>
                <w:w w:val="93"/>
              </w:rPr>
              <w:t>our acceptance of the old notes:</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5"/>
              </w:rPr>
              <w:t>the exchange offer violates any applicable law or applicable interpretation of the staff of</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the SEC;</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an action or proceeding shall have been instituted or threatened in any court or by any</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3"/>
              </w:rPr>
              <w:t>governmental agency that might materially impair our or our guarantors’ ability to proceed</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with the exchange offer;</w:t>
            </w:r>
          </w:p>
        </w:tc>
        <w:tc>
          <w:tcPr>
            <w:tcW w:w="4640" w:type="dxa"/>
            <w:vAlign w:val="bottom"/>
          </w:tcPr>
          <w:p>
            <w:pPr>
              <w:spacing w:after="0"/>
              <w:rPr>
                <w:sz w:val="19"/>
                <w:szCs w:val="19"/>
                <w:color w:val="auto"/>
              </w:rPr>
            </w:pP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we do not receive all the governmental approvals that we believe are necessary to</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rPr>
              <w:t>consummate the exchange offer; or</w:t>
            </w:r>
          </w:p>
        </w:tc>
      </w:tr>
      <w:tr>
        <w:trPr>
          <w:trHeight w:val="291"/>
        </w:trPr>
        <w:tc>
          <w:tcPr>
            <w:tcW w:w="3480" w:type="dxa"/>
            <w:vAlign w:val="bottom"/>
          </w:tcPr>
          <w:p>
            <w:pPr>
              <w:spacing w:after="0"/>
              <w:rPr>
                <w:sz w:val="24"/>
                <w:szCs w:val="24"/>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0"/>
              </w:rPr>
              <w:t>there has been proposed, adopted, or enacted any law, statute, rule or regulation that, in our</w:t>
            </w:r>
          </w:p>
        </w:tc>
      </w:tr>
      <w:tr>
        <w:trPr>
          <w:trHeight w:val="216"/>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20" w:type="dxa"/>
            <w:vAlign w:val="bottom"/>
            <w:gridSpan w:val="2"/>
          </w:tcPr>
          <w:p>
            <w:pPr>
              <w:ind w:left="180"/>
              <w:spacing w:after="0"/>
              <w:rPr>
                <w:sz w:val="20"/>
                <w:szCs w:val="20"/>
                <w:color w:val="auto"/>
              </w:rPr>
            </w:pPr>
            <w:r>
              <w:rPr>
                <w:rFonts w:ascii="Arial" w:cs="Arial" w:eastAsia="Arial" w:hAnsi="Arial"/>
                <w:sz w:val="18"/>
                <w:szCs w:val="18"/>
                <w:color w:val="auto"/>
                <w:w w:val="96"/>
              </w:rPr>
              <w:t>reasonable judgment, would materially impair our ability to consummate the exchange</w:t>
            </w:r>
          </w:p>
        </w:tc>
      </w:tr>
      <w:tr>
        <w:trPr>
          <w:trHeight w:val="222"/>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80" w:type="dxa"/>
            <w:vAlign w:val="bottom"/>
          </w:tcPr>
          <w:p>
            <w:pPr>
              <w:ind w:left="180"/>
              <w:spacing w:after="0"/>
              <w:rPr>
                <w:sz w:val="20"/>
                <w:szCs w:val="20"/>
                <w:color w:val="auto"/>
              </w:rPr>
            </w:pPr>
            <w:r>
              <w:rPr>
                <w:rFonts w:ascii="Arial" w:cs="Arial" w:eastAsia="Arial" w:hAnsi="Arial"/>
                <w:sz w:val="18"/>
                <w:szCs w:val="18"/>
                <w:color w:val="auto"/>
              </w:rPr>
              <w:t>offer.</w:t>
            </w:r>
          </w:p>
        </w:tc>
        <w:tc>
          <w:tcPr>
            <w:tcW w:w="4640" w:type="dxa"/>
            <w:vAlign w:val="bottom"/>
          </w:tcPr>
          <w:p>
            <w:pPr>
              <w:spacing w:after="0"/>
              <w:rPr>
                <w:sz w:val="19"/>
                <w:szCs w:val="19"/>
                <w:color w:val="auto"/>
              </w:rPr>
            </w:pPr>
          </w:p>
        </w:tc>
      </w:tr>
      <w:tr>
        <w:trPr>
          <w:trHeight w:val="161"/>
        </w:trPr>
        <w:tc>
          <w:tcPr>
            <w:tcW w:w="3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4640" w:type="dxa"/>
            <w:vAlign w:val="bottom"/>
            <w:tcBorders>
              <w:bottom w:val="single" w:sz="8" w:color="auto"/>
            </w:tcBorders>
          </w:tcPr>
          <w:p>
            <w:pPr>
              <w:spacing w:after="0"/>
              <w:rPr>
                <w:sz w:val="13"/>
                <w:szCs w:val="13"/>
                <w:color w:val="auto"/>
              </w:rPr>
            </w:pPr>
          </w:p>
        </w:tc>
      </w:tr>
      <w:tr>
        <w:trPr>
          <w:trHeight w:val="359"/>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Pr>
          <w:p>
            <w:pPr>
              <w:ind w:left="1040"/>
              <w:spacing w:after="0"/>
              <w:rPr>
                <w:sz w:val="20"/>
                <w:szCs w:val="20"/>
                <w:color w:val="auto"/>
              </w:rPr>
            </w:pPr>
            <w:r>
              <w:rPr>
                <w:rFonts w:ascii="Arial" w:cs="Arial" w:eastAsia="Arial" w:hAnsi="Arial"/>
                <w:sz w:val="18"/>
                <w:szCs w:val="18"/>
                <w:color w:val="auto"/>
              </w:rPr>
              <w:t>6</w:t>
            </w:r>
          </w:p>
        </w:tc>
        <w:tc>
          <w:tcPr>
            <w:tcW w:w="46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200"/>
        <w:spacing w:after="0" w:line="259" w:lineRule="auto"/>
        <w:rPr>
          <w:sz w:val="20"/>
          <w:szCs w:val="20"/>
          <w:color w:val="auto"/>
        </w:rPr>
      </w:pPr>
      <w:r>
        <w:rPr>
          <w:rFonts w:ascii="Arial" w:cs="Arial" w:eastAsia="Arial" w:hAnsi="Arial"/>
          <w:sz w:val="18"/>
          <w:szCs w:val="18"/>
          <w:color w:val="auto"/>
        </w:rPr>
        <w:t>We may waive any of the above conditions in our reasonable discretion. See the discussion below under the caption “The Exchange Offer—Conditions to the Exchange Offer” for more information regarding the conditions to the exchange offer.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Procedures for Tendering Old Notes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3"/>
              </w:rPr>
              <w:t>Unless you comply with the procedure described below under the caption “The Exchange Offer</w:t>
            </w:r>
          </w:p>
        </w:tc>
      </w:tr>
      <w:tr>
        <w:trPr>
          <w:trHeight w:val="216"/>
        </w:trPr>
        <w:tc>
          <w:tcPr>
            <w:tcW w:w="3560" w:type="dxa"/>
            <w:vAlign w:val="bottom"/>
          </w:tcPr>
          <w:p>
            <w:pPr>
              <w:spacing w:after="0"/>
              <w:rPr>
                <w:sz w:val="18"/>
                <w:szCs w:val="18"/>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—Guaranteed Delivery Procedures,” you must do one of the following on or prior to the</w:t>
            </w:r>
          </w:p>
        </w:tc>
      </w:tr>
      <w:tr>
        <w:trPr>
          <w:trHeight w:val="222"/>
        </w:trPr>
        <w:tc>
          <w:tcPr>
            <w:tcW w:w="3560" w:type="dxa"/>
            <w:vAlign w:val="bottom"/>
          </w:tcPr>
          <w:p>
            <w:pPr>
              <w:spacing w:after="0"/>
              <w:rPr>
                <w:sz w:val="19"/>
                <w:szCs w:val="19"/>
                <w:color w:val="auto"/>
              </w:rPr>
            </w:pP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rPr>
              <w:t>expiration or termination of the exchange offer to participate in the exchange offer: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sending (i) the certificates for your old notes (in proper form for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3"/>
              </w:rPr>
              <w:t>transfer), (ii) a properly completed and duly executed letter of transmittal and (iii) all other</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documents required by the letter of transmittal to U.S. Bank National Association,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exchange agent, at one of the addresses listed below under the caption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Offer—Exchange Agent”;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tender your old notes by using the book-entry transfer procedures described below and</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6"/>
              </w:rPr>
              <w:t>transmitting a properly completed and duly executed letter of transmittal, or an agent’s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message instead of the letter of transmittal, to the exchange agent. For a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transfer to constitute a valid tender of your old notes in the exchange offer, U.S. Bank</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National Association, as exchange agent, must receive a confirmation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transfer of your old notes into the exchange agent’s account at DTC prior to the expiration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2"/>
              </w:rPr>
              <w:t>or termination of the exchange offer. For more information regarding the use of book-entry</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8"/>
              </w:rPr>
              <w:t>transfer procedures, including a description of the required agent’s message, see the</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discussion below under the caption “The Exchange Offer—Book-Entry Transfers.” As</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used in this prospectus, the term “agent’s message” means a message, transmitted by DTC</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5"/>
              </w:rPr>
              <w:t>to and received by the exchange agent and forming a part of a book-entry confirmation,</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9"/>
              </w:rPr>
              <w:t>which states that DTC has received an express acknowledgment from the tendering</w:t>
            </w:r>
          </w:p>
        </w:tc>
      </w:tr>
      <w:tr>
        <w:trPr>
          <w:trHeight w:val="216"/>
        </w:trPr>
        <w:tc>
          <w:tcPr>
            <w:tcW w:w="3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0"/>
              </w:rPr>
              <w:t>participant stating that such participant has received and agrees to be bound by the letter of</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transmittal and that we may enforce such letter of transmittal against such participant.</w:t>
            </w:r>
          </w:p>
        </w:tc>
      </w:tr>
      <w:tr>
        <w:trPr>
          <w:trHeight w:val="412"/>
        </w:trPr>
        <w:tc>
          <w:tcPr>
            <w:tcW w:w="3560" w:type="dxa"/>
            <w:vAlign w:val="bottom"/>
          </w:tcPr>
          <w:p>
            <w:pPr>
              <w:ind w:left="200"/>
              <w:spacing w:after="0"/>
              <w:rPr>
                <w:sz w:val="20"/>
                <w:szCs w:val="20"/>
                <w:color w:val="auto"/>
              </w:rPr>
            </w:pPr>
            <w:r>
              <w:rPr>
                <w:rFonts w:ascii="Arial" w:cs="Arial" w:eastAsia="Arial" w:hAnsi="Arial"/>
                <w:sz w:val="18"/>
                <w:szCs w:val="18"/>
                <w:color w:val="auto"/>
              </w:rPr>
              <w:t>Guaranteed Delivery Procedures</w:t>
            </w:r>
          </w:p>
        </w:tc>
        <w:tc>
          <w:tcPr>
            <w:tcW w:w="7900" w:type="dxa"/>
            <w:vAlign w:val="bottom"/>
            <w:gridSpan w:val="2"/>
          </w:tcPr>
          <w:p>
            <w:pPr>
              <w:ind w:left="840"/>
              <w:spacing w:after="0"/>
              <w:rPr>
                <w:sz w:val="20"/>
                <w:szCs w:val="20"/>
                <w:color w:val="auto"/>
              </w:rPr>
            </w:pPr>
            <w:r>
              <w:rPr>
                <w:rFonts w:ascii="Arial" w:cs="Arial" w:eastAsia="Arial" w:hAnsi="Arial"/>
                <w:sz w:val="18"/>
                <w:szCs w:val="18"/>
                <w:color w:val="auto"/>
                <w:w w:val="90"/>
              </w:rPr>
              <w:t>If you are a registered holder of old notes and wish to tender your old notes in the exchange offer,</w:t>
            </w:r>
          </w:p>
        </w:tc>
      </w:tr>
      <w:tr>
        <w:trPr>
          <w:trHeight w:val="222"/>
        </w:trPr>
        <w:tc>
          <w:tcPr>
            <w:tcW w:w="356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but:</w:t>
            </w:r>
          </w:p>
        </w:tc>
        <w:tc>
          <w:tcPr>
            <w:tcW w:w="6720" w:type="dxa"/>
            <w:vAlign w:val="bottom"/>
          </w:tcPr>
          <w:p>
            <w:pPr>
              <w:spacing w:after="0"/>
              <w:rPr>
                <w:sz w:val="19"/>
                <w:szCs w:val="19"/>
                <w:color w:val="auto"/>
              </w:rPr>
            </w:pPr>
          </w:p>
        </w:tc>
      </w:tr>
      <w:tr>
        <w:trPr>
          <w:trHeight w:val="297"/>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old notes are not immediately available;</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w w:val="97"/>
              </w:rPr>
              <w:t>time will not permit your old notes or other required documents to reach the exchange</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agent before the expiration or termination of the exchange offer; or</w:t>
            </w:r>
          </w:p>
        </w:tc>
      </w:tr>
      <w:tr>
        <w:trPr>
          <w:trHeight w:val="291"/>
        </w:trPr>
        <w:tc>
          <w:tcPr>
            <w:tcW w:w="3560" w:type="dxa"/>
            <w:vAlign w:val="bottom"/>
          </w:tcPr>
          <w:p>
            <w:pPr>
              <w:spacing w:after="0"/>
              <w:rPr>
                <w:sz w:val="24"/>
                <w:szCs w:val="24"/>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6720" w:type="dxa"/>
            <w:vAlign w:val="bottom"/>
          </w:tcPr>
          <w:p>
            <w:pPr>
              <w:ind w:left="80"/>
              <w:spacing w:after="0"/>
              <w:rPr>
                <w:sz w:val="20"/>
                <w:szCs w:val="20"/>
                <w:color w:val="auto"/>
              </w:rPr>
            </w:pPr>
            <w:r>
              <w:rPr>
                <w:rFonts w:ascii="Arial" w:cs="Arial" w:eastAsia="Arial" w:hAnsi="Arial"/>
                <w:sz w:val="18"/>
                <w:szCs w:val="18"/>
                <w:color w:val="auto"/>
              </w:rPr>
              <w:t>the procedure for book-entry transfer cannot be completed prior to the expiration or</w:t>
            </w:r>
          </w:p>
        </w:tc>
      </w:tr>
      <w:tr>
        <w:trPr>
          <w:trHeight w:val="222"/>
        </w:trPr>
        <w:tc>
          <w:tcPr>
            <w:tcW w:w="3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720" w:type="dxa"/>
            <w:vAlign w:val="bottom"/>
          </w:tcPr>
          <w:p>
            <w:pPr>
              <w:ind w:left="80"/>
              <w:spacing w:after="0"/>
              <w:rPr>
                <w:sz w:val="20"/>
                <w:szCs w:val="20"/>
                <w:color w:val="auto"/>
              </w:rPr>
            </w:pPr>
            <w:r>
              <w:rPr>
                <w:rFonts w:ascii="Arial" w:cs="Arial" w:eastAsia="Arial" w:hAnsi="Arial"/>
                <w:sz w:val="18"/>
                <w:szCs w:val="18"/>
                <w:color w:val="auto"/>
              </w:rPr>
              <w:t>termination of the exchange offer;</w:t>
            </w:r>
          </w:p>
        </w:tc>
      </w:tr>
      <w:tr>
        <w:trPr>
          <w:trHeight w:val="161"/>
        </w:trPr>
        <w:tc>
          <w:tcPr>
            <w:tcW w:w="35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r>
      <w:tr>
        <w:trPr>
          <w:trHeight w:val="359"/>
        </w:trPr>
        <w:tc>
          <w:tcPr>
            <w:tcW w:w="3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720" w:type="dxa"/>
            <w:vAlign w:val="bottom"/>
          </w:tcPr>
          <w:p>
            <w:pPr>
              <w:ind w:left="9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12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180"/>
        <w:spacing w:after="0" w:line="268" w:lineRule="auto"/>
        <w:rPr>
          <w:sz w:val="20"/>
          <w:szCs w:val="20"/>
          <w:color w:val="auto"/>
        </w:rPr>
      </w:pPr>
      <w:r>
        <w:rPr>
          <w:rFonts w:ascii="Arial" w:cs="Arial" w:eastAsia="Arial" w:hAnsi="Arial"/>
          <w:sz w:val="18"/>
          <w:szCs w:val="18"/>
          <w:color w:val="auto"/>
        </w:rPr>
        <w:t>then you may tender old notes by following the procedures described below under the caption “The Exchange Offer—Guaranteed Delivery Procedures.”</w:t>
      </w:r>
    </w:p>
    <w:p>
      <w:pPr>
        <w:sectPr>
          <w:pgSz w:w="11900" w:h="16838" w:orient="portrait"/>
          <w:cols w:equalWidth="0" w:num="1">
            <w:col w:w="11180"/>
          </w:cols>
          <w:pgMar w:left="240" w:top="459" w:right="479" w:bottom="1440" w:gutter="0" w:footer="0" w:header="0"/>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If you are a beneficial owner whose old notes are registered in the name of a broker, dealer, commercial bank, trust company or other nominee and you wish to tender your old notes in the exchange offer, you should promptly contact the person in whose name the old notes are registered and instruct that person to tender them on your behalf. If you wish to tender in the exchange offer on your own behalf, prior to completing and executing the letter of transmittal and delivering your old notes, you must either make appropriate arrangements to register ownership of the old notes in your name, or obtain a properly completed bond power from the person in whose name the old notes are registered.</w:t>
      </w:r>
    </w:p>
    <w:p>
      <w:pPr>
        <w:spacing w:after="0" w:line="159" w:lineRule="exact"/>
        <w:rPr>
          <w:sz w:val="20"/>
          <w:szCs w:val="20"/>
          <w:color w:val="auto"/>
        </w:rPr>
      </w:pPr>
    </w:p>
    <w:p>
      <w:pPr>
        <w:sectPr>
          <w:pgSz w:w="11900" w:h="16838" w:orient="portrait"/>
          <w:cols w:equalWidth="0" w:num="2">
            <w:col w:w="3680" w:space="720"/>
            <w:col w:w="6780"/>
          </w:cols>
          <w:pgMar w:left="240" w:top="459" w:right="479" w:bottom="1440" w:gutter="0" w:footer="0" w:header="0"/>
          <w:type w:val="continuous"/>
        </w:sectPr>
      </w:pPr>
    </w:p>
    <w:p>
      <w:pPr>
        <w:ind w:left="4400" w:hanging="4197"/>
        <w:spacing w:after="0" w:line="298" w:lineRule="auto"/>
        <w:rPr>
          <w:sz w:val="20"/>
          <w:szCs w:val="20"/>
          <w:color w:val="auto"/>
        </w:rPr>
      </w:pPr>
      <w:r>
        <w:rPr>
          <w:rFonts w:ascii="Arial" w:cs="Arial" w:eastAsia="Arial" w:hAnsi="Arial"/>
          <w:sz w:val="16"/>
          <w:szCs w:val="16"/>
          <w:color w:val="auto"/>
        </w:rPr>
        <w:t>Material United States Federal Income Tax Considerations The exchange of old notes for new notes in the exchange offer will not be a taxable transaction for United States federal income tax purposes. See the discussion below under the caption “Material United States Federal Income Tax Considerations” for more information regarding the United States federal income tax consequences to you of the exchange offer.</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Use of Proceeds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We will not receive any cash proceeds from the exchange offer.</w:t>
            </w:r>
          </w:p>
        </w:tc>
      </w:tr>
      <w:tr>
        <w:trPr>
          <w:trHeight w:val="426"/>
        </w:trPr>
        <w:tc>
          <w:tcPr>
            <w:tcW w:w="2680" w:type="dxa"/>
            <w:vAlign w:val="bottom"/>
          </w:tcPr>
          <w:p>
            <w:pPr>
              <w:spacing w:after="0"/>
              <w:rPr>
                <w:sz w:val="20"/>
                <w:szCs w:val="20"/>
                <w:color w:val="auto"/>
              </w:rPr>
            </w:pPr>
            <w:r>
              <w:rPr>
                <w:rFonts w:ascii="Arial" w:cs="Arial" w:eastAsia="Arial" w:hAnsi="Arial"/>
                <w:sz w:val="18"/>
                <w:szCs w:val="18"/>
                <w:color w:val="auto"/>
              </w:rPr>
              <w:t>Exchange Agent</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U.S. Bank National Association is the exchange agent for the exchange offer. You can find the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7"/>
              </w:rPr>
              <w:t>address and telephone number of the exchange agent below under the caption, “The Exchange</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Offer—Exchange Agent.”</w:t>
            </w:r>
          </w:p>
        </w:tc>
      </w:tr>
      <w:tr>
        <w:trPr>
          <w:trHeight w:val="412"/>
        </w:trPr>
        <w:tc>
          <w:tcPr>
            <w:tcW w:w="2680" w:type="dxa"/>
            <w:vAlign w:val="bottom"/>
          </w:tcPr>
          <w:p>
            <w:pPr>
              <w:spacing w:after="0"/>
              <w:rPr>
                <w:sz w:val="20"/>
                <w:szCs w:val="20"/>
                <w:color w:val="auto"/>
              </w:rPr>
            </w:pPr>
            <w:r>
              <w:rPr>
                <w:rFonts w:ascii="Arial" w:cs="Arial" w:eastAsia="Arial" w:hAnsi="Arial"/>
                <w:sz w:val="18"/>
                <w:szCs w:val="18"/>
                <w:color w:val="auto"/>
              </w:rPr>
              <w:t>Resales</w:t>
            </w: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Based on interpretations by the staff of the SEC, as set forth in no-action letters issued to third</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9"/>
              </w:rPr>
              <w:t>parties, we believe that the new notes issued in the exchange offer may be offered for resale,</w:t>
            </w:r>
          </w:p>
        </w:tc>
      </w:tr>
      <w:tr>
        <w:trPr>
          <w:trHeight w:val="216"/>
        </w:trPr>
        <w:tc>
          <w:tcPr>
            <w:tcW w:w="2680" w:type="dxa"/>
            <w:vAlign w:val="bottom"/>
          </w:tcPr>
          <w:p>
            <w:pPr>
              <w:spacing w:after="0"/>
              <w:rPr>
                <w:sz w:val="18"/>
                <w:szCs w:val="18"/>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w w:val="88"/>
              </w:rPr>
              <w:t>resold or otherwise transferred by you without compliance with the registration and prospectus</w:t>
            </w:r>
          </w:p>
        </w:tc>
      </w:tr>
      <w:tr>
        <w:trPr>
          <w:trHeight w:val="222"/>
        </w:trPr>
        <w:tc>
          <w:tcPr>
            <w:tcW w:w="2680" w:type="dxa"/>
            <w:vAlign w:val="bottom"/>
          </w:tcPr>
          <w:p>
            <w:pPr>
              <w:spacing w:after="0"/>
              <w:rPr>
                <w:sz w:val="19"/>
                <w:szCs w:val="19"/>
                <w:color w:val="auto"/>
              </w:rPr>
            </w:pPr>
          </w:p>
        </w:tc>
        <w:tc>
          <w:tcPr>
            <w:tcW w:w="8180" w:type="dxa"/>
            <w:vAlign w:val="bottom"/>
            <w:gridSpan w:val="2"/>
          </w:tcPr>
          <w:p>
            <w:pPr>
              <w:ind w:left="1520"/>
              <w:spacing w:after="0"/>
              <w:rPr>
                <w:sz w:val="20"/>
                <w:szCs w:val="20"/>
                <w:color w:val="auto"/>
              </w:rPr>
            </w:pPr>
            <w:r>
              <w:rPr>
                <w:rFonts w:ascii="Arial" w:cs="Arial" w:eastAsia="Arial" w:hAnsi="Arial"/>
                <w:sz w:val="18"/>
                <w:szCs w:val="18"/>
                <w:color w:val="auto"/>
              </w:rPr>
              <w:t>delivery requirements of the Securities Act as long as:</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acquiring the new notes in the ordinary course of your business;</w:t>
            </w:r>
          </w:p>
        </w:tc>
      </w:tr>
      <w:tr>
        <w:trPr>
          <w:trHeight w:val="291"/>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w w:val="96"/>
              </w:rPr>
              <w:t>you are not participating, do not intend to participate and have no arrangement or</w:t>
            </w:r>
          </w:p>
        </w:tc>
      </w:tr>
      <w:tr>
        <w:trPr>
          <w:trHeight w:val="222"/>
        </w:trPr>
        <w:tc>
          <w:tcPr>
            <w:tcW w:w="26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w w:val="94"/>
              </w:rPr>
              <w:t>understanding with any person to participate, in a distribution of the new notes; and</w:t>
            </w:r>
          </w:p>
        </w:tc>
      </w:tr>
      <w:tr>
        <w:trPr>
          <w:trHeight w:val="297"/>
        </w:trPr>
        <w:tc>
          <w:tcPr>
            <w:tcW w:w="2680" w:type="dxa"/>
            <w:vAlign w:val="bottom"/>
          </w:tcPr>
          <w:p>
            <w:pPr>
              <w:spacing w:after="0"/>
              <w:rPr>
                <w:sz w:val="24"/>
                <w:szCs w:val="24"/>
                <w:color w:val="auto"/>
              </w:rPr>
            </w:pPr>
          </w:p>
        </w:tc>
        <w:tc>
          <w:tcPr>
            <w:tcW w:w="1760" w:type="dxa"/>
            <w:vAlign w:val="bottom"/>
          </w:tcPr>
          <w:p>
            <w:pPr>
              <w:ind w:left="1520"/>
              <w:spacing w:after="0"/>
              <w:rPr>
                <w:sz w:val="20"/>
                <w:szCs w:val="20"/>
                <w:color w:val="auto"/>
              </w:rPr>
            </w:pPr>
            <w:r>
              <w:rPr>
                <w:rFonts w:ascii="Arial" w:cs="Arial" w:eastAsia="Arial" w:hAnsi="Arial"/>
                <w:sz w:val="18"/>
                <w:szCs w:val="18"/>
                <w:color w:val="auto"/>
              </w:rPr>
              <w:t>•</w:t>
            </w:r>
          </w:p>
        </w:tc>
        <w:tc>
          <w:tcPr>
            <w:tcW w:w="6420" w:type="dxa"/>
            <w:vAlign w:val="bottom"/>
          </w:tcPr>
          <w:p>
            <w:pPr>
              <w:ind w:left="180"/>
              <w:spacing w:after="0"/>
              <w:rPr>
                <w:sz w:val="20"/>
                <w:szCs w:val="20"/>
                <w:color w:val="auto"/>
              </w:rPr>
            </w:pPr>
            <w:r>
              <w:rPr>
                <w:rFonts w:ascii="Arial" w:cs="Arial" w:eastAsia="Arial" w:hAnsi="Arial"/>
                <w:sz w:val="18"/>
                <w:szCs w:val="18"/>
                <w:color w:val="auto"/>
              </w:rPr>
              <w:t>you are not an affiliate of ours.</w:t>
            </w:r>
          </w:p>
        </w:tc>
      </w:tr>
    </w:tbl>
    <w:p>
      <w:pPr>
        <w:spacing w:after="0" w:line="196" w:lineRule="exact"/>
        <w:rPr>
          <w:sz w:val="20"/>
          <w:szCs w:val="20"/>
          <w:color w:val="auto"/>
        </w:rPr>
      </w:pPr>
    </w:p>
    <w:p>
      <w:pPr>
        <w:ind w:left="4400" w:right="100"/>
        <w:spacing w:after="0" w:line="332" w:lineRule="auto"/>
        <w:rPr>
          <w:sz w:val="20"/>
          <w:szCs w:val="20"/>
          <w:color w:val="auto"/>
        </w:rPr>
      </w:pPr>
      <w:r>
        <w:rPr>
          <w:rFonts w:ascii="Arial" w:cs="Arial" w:eastAsia="Arial" w:hAnsi="Arial"/>
          <w:sz w:val="16"/>
          <w:szCs w:val="16"/>
          <w:color w:val="auto"/>
        </w:rPr>
        <w:t>If you are an affiliate of ours, are engaged in or intend to engage in or have any arrangement or understanding with any person to participate in, the distribution of new notes:</w:t>
      </w: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type w:val="continuous"/>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866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86664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you cannot rely on the applicable interpretations of the staff of the SEC;</w:t>
      </w:r>
    </w:p>
    <w:p>
      <w:pPr>
        <w:spacing w:after="0" w:line="113" w:lineRule="exact"/>
        <w:rPr>
          <w:sz w:val="20"/>
          <w:szCs w:val="20"/>
          <w:color w:val="auto"/>
        </w:rPr>
      </w:pPr>
    </w:p>
    <w:p>
      <w:pPr>
        <w:sectPr>
          <w:pgSz w:w="11900" w:h="16838" w:orient="portrait"/>
          <w:cols w:equalWidth="0" w:num="2">
            <w:col w:w="4460" w:space="360"/>
            <w:col w:w="6380"/>
          </w:cols>
          <w:pgMar w:left="240" w:top="459" w:right="45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will not be entitled to tender your old notes in the exchange offer; and</w:t>
      </w:r>
    </w:p>
    <w:p>
      <w:pPr>
        <w:spacing w:after="0" w:line="113" w:lineRule="exact"/>
        <w:rPr>
          <w:sz w:val="20"/>
          <w:szCs w:val="20"/>
          <w:color w:val="auto"/>
        </w:rPr>
      </w:pPr>
    </w:p>
    <w:p>
      <w:pPr>
        <w:sectPr>
          <w:pgSz w:w="11900" w:h="16838" w:orient="portrait"/>
          <w:cols w:equalWidth="0" w:num="2">
            <w:col w:w="4460" w:space="360"/>
            <w:col w:w="6380"/>
          </w:cols>
          <w:pgMar w:left="240" w:top="459" w:right="45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spacing w:after="0" w:line="268" w:lineRule="auto"/>
        <w:rPr>
          <w:sz w:val="20"/>
          <w:szCs w:val="20"/>
          <w:color w:val="auto"/>
        </w:rPr>
      </w:pPr>
      <w:r>
        <w:rPr>
          <w:rFonts w:ascii="Arial" w:cs="Arial" w:eastAsia="Arial" w:hAnsi="Arial"/>
          <w:sz w:val="18"/>
          <w:szCs w:val="18"/>
          <w:color w:val="auto"/>
        </w:rPr>
        <w:t>you must comply with the registration requirements of the Securities Act in connection with any resale transaction.</w:t>
      </w:r>
    </w:p>
    <w:p>
      <w:pPr>
        <w:spacing w:after="0" w:line="172" w:lineRule="exact"/>
        <w:rPr>
          <w:sz w:val="20"/>
          <w:szCs w:val="20"/>
          <w:color w:val="auto"/>
        </w:rPr>
      </w:pPr>
    </w:p>
    <w:p>
      <w:pPr>
        <w:sectPr>
          <w:pgSz w:w="11900" w:h="16838" w:orient="portrait"/>
          <w:cols w:equalWidth="0" w:num="2">
            <w:col w:w="4460" w:space="360"/>
            <w:col w:w="6380"/>
          </w:cols>
          <w:pgMar w:left="240" w:top="459" w:right="459" w:bottom="1440" w:gutter="0" w:footer="0" w:header="0"/>
          <w:type w:val="continuous"/>
        </w:sectPr>
      </w:pPr>
    </w:p>
    <w:p>
      <w:pPr>
        <w:ind w:left="4400" w:right="80"/>
        <w:spacing w:after="0" w:line="291" w:lineRule="auto"/>
        <w:rPr>
          <w:sz w:val="20"/>
          <w:szCs w:val="20"/>
          <w:color w:val="auto"/>
        </w:rPr>
      </w:pPr>
      <w:r>
        <w:rPr>
          <w:rFonts w:ascii="Arial" w:cs="Arial" w:eastAsia="Arial" w:hAnsi="Arial"/>
          <w:sz w:val="16"/>
          <w:szCs w:val="16"/>
          <w:color w:val="auto"/>
        </w:rPr>
        <w:t>Each broker or dealer that receives new notes for its own account in exchange for old notes that were acquired as a result of market-making or other trading activities must acknowledge that it will comply with the registration and prospectus delivery requirements of the Securities Act in connection with any offer, resale or other transfer of the new notes issued in the exchange offer, including information with respect to any selling holder required by the Securities Act in connection with any resale of the new notes.</w:t>
      </w:r>
    </w:p>
    <w:p>
      <w:pPr>
        <w:spacing w:after="0" w:line="16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ectPr>
          <w:pgSz w:w="11900" w:h="16838" w:orient="portrait"/>
          <w:cols w:equalWidth="0" w:num="1">
            <w:col w:w="11200"/>
          </w:cols>
          <w:pgMar w:left="240" w:top="459" w:right="459" w:bottom="1440" w:gutter="0" w:footer="0" w:header="0"/>
          <w:type w:val="continuous"/>
        </w:sectPr>
      </w:pPr>
    </w:p>
    <w:p>
      <w:pPr>
        <w:spacing w:after="0" w:line="9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Incorporated, SEC no-action letter (June 5, 1991) and Shearman &amp; Sterling, SEC no-action letter (July 2, 1993); and</w:t>
      </w:r>
    </w:p>
    <w:p>
      <w:pPr>
        <w:spacing w:after="0" w:line="62" w:lineRule="exact"/>
        <w:rPr>
          <w:sz w:val="20"/>
          <w:szCs w:val="20"/>
          <w:color w:val="auto"/>
        </w:rPr>
      </w:pPr>
    </w:p>
    <w:p>
      <w:pPr>
        <w:sectPr>
          <w:pgSz w:w="11900" w:h="16838" w:orient="portrait"/>
          <w:cols w:equalWidth="0" w:num="2">
            <w:col w:w="4460" w:space="360"/>
            <w:col w:w="6380"/>
          </w:cols>
          <w:pgMar w:left="240" w:top="459" w:right="45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370" w:lineRule="auto"/>
        <w:rPr>
          <w:sz w:val="20"/>
          <w:szCs w:val="20"/>
          <w:color w:val="auto"/>
        </w:rPr>
      </w:pPr>
      <w:r>
        <w:rPr>
          <w:rFonts w:ascii="Arial" w:cs="Arial" w:eastAsia="Arial" w:hAnsi="Arial"/>
          <w:sz w:val="15"/>
          <w:szCs w:val="15"/>
          <w:color w:val="auto"/>
        </w:rPr>
        <w:t>must also be named as a selling noteholder in connection with the registration and prospectus delivery requirements of the Securities Act relating to any resale transaction.</w:t>
      </w:r>
    </w:p>
    <w:p>
      <w:pPr>
        <w:spacing w:after="0" w:line="103" w:lineRule="exact"/>
        <w:rPr>
          <w:sz w:val="20"/>
          <w:szCs w:val="20"/>
          <w:color w:val="auto"/>
        </w:rPr>
      </w:pPr>
    </w:p>
    <w:p>
      <w:pPr>
        <w:sectPr>
          <w:pgSz w:w="11900" w:h="16838" w:orient="portrait"/>
          <w:cols w:equalWidth="0" w:num="2">
            <w:col w:w="4460" w:space="360"/>
            <w:col w:w="638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Broker-Dealers</w:t>
      </w:r>
    </w:p>
    <w:p>
      <w:pPr>
        <w:spacing w:after="0" w:line="20" w:lineRule="exact"/>
        <w:rPr>
          <w:sz w:val="20"/>
          <w:szCs w:val="20"/>
          <w:color w:val="auto"/>
        </w:rPr>
      </w:pPr>
      <w:r>
        <w:rPr>
          <w:sz w:val="20"/>
          <w:szCs w:val="20"/>
          <w:color w:val="auto"/>
        </w:rPr>
        <w:br w:type="column"/>
      </w:r>
    </w:p>
    <w:p>
      <w:pPr>
        <w:ind w:right="160"/>
        <w:spacing w:after="0" w:line="288"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w:t>
      </w:r>
    </w:p>
    <w:p>
      <w:pPr>
        <w:spacing w:after="0" w:line="2" w:lineRule="exact"/>
        <w:rPr>
          <w:sz w:val="20"/>
          <w:szCs w:val="20"/>
          <w:color w:val="auto"/>
        </w:rPr>
      </w:pPr>
    </w:p>
    <w:p>
      <w:pPr>
        <w:sectPr>
          <w:pgSz w:w="11900" w:h="16838" w:orient="portrait"/>
          <w:cols w:equalWidth="0" w:num="2">
            <w:col w:w="3680" w:space="720"/>
            <w:col w:w="6800"/>
          </w:cols>
          <w:pgMar w:left="240" w:top="459" w:right="459" w:bottom="1440" w:gutter="0" w:footer="0" w:header="0"/>
          <w:type w:val="continuous"/>
        </w:sectPr>
      </w:pPr>
    </w:p>
    <w:p>
      <w:pPr>
        <w:ind w:left="4400" w:right="80"/>
        <w:spacing w:after="0" w:line="284" w:lineRule="auto"/>
        <w:rPr>
          <w:sz w:val="20"/>
          <w:szCs w:val="20"/>
          <w:color w:val="auto"/>
        </w:rPr>
      </w:pPr>
      <w:r>
        <w:rPr>
          <w:rFonts w:ascii="Arial" w:cs="Arial" w:eastAsia="Arial" w:hAnsi="Arial"/>
          <w:sz w:val="15"/>
          <w:szCs w:val="15"/>
          <w:color w:val="auto"/>
        </w:rPr>
        <w:t>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later of (i) 180 days following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registration statement containing</w:t>
      </w:r>
    </w:p>
    <w:p>
      <w:pPr>
        <w:spacing w:after="0" w:line="14" w:lineRule="exact"/>
        <w:rPr>
          <w:sz w:val="20"/>
          <w:szCs w:val="20"/>
          <w:color w:val="auto"/>
        </w:rPr>
      </w:pPr>
    </w:p>
    <w:p>
      <w:pPr>
        <w:ind w:left="4400" w:right="180"/>
        <w:spacing w:after="0" w:line="224" w:lineRule="auto"/>
        <w:rPr>
          <w:sz w:val="20"/>
          <w:szCs w:val="20"/>
          <w:color w:val="auto"/>
        </w:rPr>
      </w:pPr>
      <w:r>
        <w:rPr>
          <w:rFonts w:ascii="Arial" w:cs="Arial" w:eastAsia="Arial" w:hAnsi="Arial"/>
          <w:sz w:val="18"/>
          <w:szCs w:val="18"/>
          <w:color w:val="auto"/>
        </w:rPr>
        <w:t>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 See “Plan of Distribution” beginning on page 176 for more information.</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038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50380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we issued the old notes on November 6, 2007, we entered into a registration rights agreement with the initial purchasers of the old notes. Under the terms of the registration rights agreement, we agreed to:</w:t>
      </w:r>
    </w:p>
    <w:p>
      <w:pPr>
        <w:spacing w:after="0" w:line="59"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file the exchange offer registration statement with the SEC on or prior to March 5, 2008;</w:t>
      </w:r>
    </w:p>
    <w:p>
      <w:pPr>
        <w:spacing w:after="0" w:line="113"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use all commercially reasonable efforts to cause the exchange offer registration statement to be declared effective no later than July 3, 2008;</w:t>
      </w:r>
    </w:p>
    <w:p>
      <w:pPr>
        <w:spacing w:after="0" w:line="5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use all commercially reasonable efforts to consummate the exchange offer within 30 business days after the date on which the exchange offer registration statement is declared effective, or, if later, within 10 business days after the exchange offer expires;</w:t>
      </w:r>
    </w:p>
    <w:p>
      <w:pPr>
        <w:spacing w:after="0" w:line="26"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jc w:val="both"/>
        <w:ind w:right="120"/>
        <w:spacing w:after="0" w:line="259" w:lineRule="auto"/>
        <w:rPr>
          <w:sz w:val="20"/>
          <w:szCs w:val="20"/>
          <w:color w:val="auto"/>
        </w:rPr>
      </w:pPr>
      <w:r>
        <w:rPr>
          <w:rFonts w:ascii="Arial" w:cs="Arial" w:eastAsia="Arial" w:hAnsi="Arial"/>
          <w:sz w:val="18"/>
          <w:szCs w:val="18"/>
          <w:color w:val="auto"/>
        </w:rPr>
        <w:t>use all commercially reasonable efforts to file a shelf registration statement for the resale of the old notes if we cannot effect an exchange offer within the time periods listed above and in certain other circumstances; and</w:t>
      </w:r>
    </w:p>
    <w:p>
      <w:pPr>
        <w:spacing w:after="0" w:line="59"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4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if we fail to meet our registration obligations, we will pay liquidated damages in an amount equal to $0.05 per week per $1,000 of the principal amount of old notes held by a holder</w:t>
      </w:r>
    </w:p>
    <w:p>
      <w:pPr>
        <w:spacing w:after="0" w:line="1" w:lineRule="exact"/>
        <w:rPr>
          <w:sz w:val="20"/>
          <w:szCs w:val="20"/>
          <w:color w:val="auto"/>
        </w:rPr>
      </w:pPr>
    </w:p>
    <w:p>
      <w:pPr>
        <w:sectPr>
          <w:pgSz w:w="11900" w:h="16838" w:orient="portrait"/>
          <w:cols w:equalWidth="0" w:num="2">
            <w:col w:w="4460" w:space="360"/>
            <w:col w:w="6420"/>
          </w:cols>
          <w:pgMar w:left="240" w:top="459" w:right="419" w:bottom="1440" w:gutter="0" w:footer="0" w:header="0"/>
          <w:type w:val="continuous"/>
        </w:sectPr>
      </w:pPr>
    </w:p>
    <w:p>
      <w:pPr>
        <w:ind w:left="4820"/>
        <w:spacing w:after="0"/>
        <w:rPr>
          <w:sz w:val="20"/>
          <w:szCs w:val="20"/>
          <w:color w:val="auto"/>
        </w:rPr>
      </w:pPr>
      <w:r>
        <w:rPr>
          <w:rFonts w:ascii="Arial" w:cs="Arial" w:eastAsia="Arial" w:hAnsi="Arial"/>
          <w:sz w:val="16"/>
          <w:szCs w:val="16"/>
          <w:color w:val="auto"/>
        </w:rPr>
        <w:t>for each day that we default on our registration obligations, increasing by an additional</w:t>
      </w:r>
    </w:p>
    <w:p>
      <w:pPr>
        <w:spacing w:after="0" w:line="32" w:lineRule="exact"/>
        <w:rPr>
          <w:sz w:val="20"/>
          <w:szCs w:val="20"/>
          <w:color w:val="auto"/>
        </w:rPr>
      </w:pPr>
    </w:p>
    <w:p>
      <w:pPr>
        <w:ind w:left="4820"/>
        <w:spacing w:after="0" w:line="302" w:lineRule="auto"/>
        <w:rPr>
          <w:sz w:val="20"/>
          <w:szCs w:val="20"/>
          <w:color w:val="auto"/>
        </w:rPr>
      </w:pPr>
      <w:r>
        <w:rPr>
          <w:rFonts w:ascii="Arial" w:cs="Arial" w:eastAsia="Arial" w:hAnsi="Arial"/>
          <w:sz w:val="16"/>
          <w:szCs w:val="16"/>
          <w:color w:val="auto"/>
        </w:rPr>
        <w:t>$0.05 per week per $1,000 of the principal amount of old notes for each subsequent 90-day period our registration obligations are not met, up to a maximum of liquidated damages equal to $0.50 per week per $1,000 of the principal amount of old notes.</w:t>
      </w: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177"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described in the legend on the certificate for your old notes. In general, you may offer or sell your old notes only:</w:t>
      </w:r>
    </w:p>
    <w:p>
      <w:pPr>
        <w:spacing w:after="0" w:line="51" w:lineRule="exact"/>
        <w:rPr>
          <w:sz w:val="20"/>
          <w:szCs w:val="20"/>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offered or sold under an exemption from registration under the Securities Act and applicable state securities laws; or</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17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sell new notes received in the exchange offer, may require us to file, and to cause to become effective, a shelf registration statement covering resales of the old notes by these holders. For more information regarding the consequences of not tendering your old notes and our obligations to file a shelf registration statement, see “The Exchange Offer—Consequences of Exchanging or Failing to Exchange Old Notes.”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09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109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Description of the New Notes</w:t>
      </w:r>
    </w:p>
    <w:p>
      <w:pPr>
        <w:spacing w:after="0" w:line="177" w:lineRule="exact"/>
        <w:rPr>
          <w:sz w:val="20"/>
          <w:szCs w:val="20"/>
          <w:color w:val="auto"/>
        </w:rPr>
      </w:pPr>
    </w:p>
    <w:p>
      <w:pPr>
        <w:jc w:val="both"/>
        <w:ind w:left="200" w:right="220" w:firstLine="443"/>
        <w:spacing w:after="0" w:line="259" w:lineRule="auto"/>
        <w:rPr>
          <w:sz w:val="20"/>
          <w:szCs w:val="20"/>
          <w:color w:val="auto"/>
        </w:rPr>
      </w:pPr>
      <w:r>
        <w:rPr>
          <w:rFonts w:ascii="Arial" w:cs="Arial" w:eastAsia="Arial" w:hAnsi="Arial"/>
          <w:sz w:val="18"/>
          <w:szCs w:val="18"/>
          <w:color w:val="auto"/>
        </w:rPr>
        <w:t>The terms of the new notes and those of the outstanding old notes are substantially identical, except that the transfer restrictions, registration rights and liquidated damages provisions relating to the old notes do not apply to the new notes. For a more complete understanding of the new notes, see “Description of the New Notes” in this prospectus.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20" w:type="dxa"/>
            <w:vAlign w:val="bottom"/>
          </w:tcPr>
          <w:p>
            <w:pPr>
              <w:ind w:left="200"/>
              <w:spacing w:after="0"/>
              <w:rPr>
                <w:sz w:val="20"/>
                <w:szCs w:val="20"/>
                <w:color w:val="auto"/>
              </w:rPr>
            </w:pPr>
            <w:r>
              <w:rPr>
                <w:rFonts w:ascii="Arial" w:cs="Arial" w:eastAsia="Arial" w:hAnsi="Arial"/>
                <w:sz w:val="18"/>
                <w:szCs w:val="18"/>
                <w:color w:val="auto"/>
              </w:rPr>
              <w:t>Issuers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Wynn Las Vegas, LLC and Wynn Las Vegas Capital Corp.</w:t>
            </w:r>
          </w:p>
        </w:tc>
      </w:tr>
      <w:tr>
        <w:trPr>
          <w:trHeight w:val="536"/>
        </w:trPr>
        <w:tc>
          <w:tcPr>
            <w:tcW w:w="31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$400,000,000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December 1, 2014.</w:t>
            </w:r>
          </w:p>
        </w:tc>
      </w:tr>
      <w:tr>
        <w:trPr>
          <w:trHeight w:val="304"/>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Upon consummation of the exchange offer, the new notes will be pari passu with, and will vote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0"/>
              </w:rPr>
              <w:t>with, the old notes, the original 2004 notes and the registered 2004 notes on any matter submitted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to noteholders. However, because the old notes were issued with more than de minimis original</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issue discount, upon consummation of the exchange offer, the new notes will be of a separate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series from, and will have a different CUSIP number than, the registered 2004 notes and will not</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be fungible with the registered 2004 notes.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Subsidiary Guarantees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The new notes will be unconditionally guaranteed by all of our subsidiaries (except Wynn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6"/>
              </w:rPr>
              <w:t>Capital, which is a co-issuer of the new notes, and Wynn Completion Guarantor, LLC) on an</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equal and ratable basis with the guarantees by such guarantors of our credit facilities. The</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3"/>
              </w:rPr>
              <w:t>guarantees may be released if the lenders under our credit facilities release the corresponding</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8"/>
              </w:rPr>
              <w:t>guarantees provided by such guarantors in respect of our credit facilities and certain other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conditions set forth in the indenture are satisfied.</w:t>
            </w:r>
          </w:p>
        </w:tc>
      </w:tr>
      <w:tr>
        <w:trPr>
          <w:trHeight w:val="522"/>
        </w:trPr>
        <w:tc>
          <w:tcPr>
            <w:tcW w:w="312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year.</w:t>
            </w:r>
          </w:p>
        </w:tc>
      </w:tr>
      <w:tr>
        <w:trPr>
          <w:trHeight w:val="342"/>
        </w:trPr>
        <w:tc>
          <w:tcPr>
            <w:tcW w:w="31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June 1 and December 1 of each year.</w:t>
            </w:r>
          </w:p>
        </w:tc>
      </w:tr>
      <w:tr>
        <w:trPr>
          <w:trHeight w:val="426"/>
        </w:trPr>
        <w:tc>
          <w:tcPr>
            <w:tcW w:w="312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The new notes will be senior obligations of the issuers and will rank pari passu in right of</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payment with all other senior indebtedness of the issuers, including our obligations under our</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credit facilities.</w:t>
            </w:r>
          </w:p>
        </w:tc>
      </w:tr>
      <w:tr>
        <w:trPr>
          <w:trHeight w:val="291"/>
        </w:trPr>
        <w:tc>
          <w:tcPr>
            <w:tcW w:w="3120" w:type="dxa"/>
            <w:vAlign w:val="bottom"/>
          </w:tcPr>
          <w:p>
            <w:pPr>
              <w:spacing w:after="0"/>
              <w:rPr>
                <w:sz w:val="24"/>
                <w:szCs w:val="24"/>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4"/>
              </w:rPr>
              <w:t>The guarantees of the new notes will be senior obligations of the guarantors and will rank pari</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9"/>
              </w:rPr>
              <w:t>passu in right of payment with all other senior obligations of the guarantors, including the</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guarantors’ obligations under our credit facilities.</w:t>
            </w:r>
          </w:p>
        </w:tc>
      </w:tr>
      <w:tr>
        <w:trPr>
          <w:trHeight w:val="412"/>
        </w:trPr>
        <w:tc>
          <w:tcPr>
            <w:tcW w:w="3120" w:type="dxa"/>
            <w:vAlign w:val="bottom"/>
          </w:tcPr>
          <w:p>
            <w:pPr>
              <w:ind w:left="200"/>
              <w:spacing w:after="0"/>
              <w:rPr>
                <w:sz w:val="20"/>
                <w:szCs w:val="20"/>
                <w:color w:val="auto"/>
              </w:rPr>
            </w:pPr>
            <w:r>
              <w:rPr>
                <w:rFonts w:ascii="Arial" w:cs="Arial" w:eastAsia="Arial" w:hAnsi="Arial"/>
                <w:sz w:val="18"/>
                <w:szCs w:val="18"/>
                <w:color w:val="auto"/>
              </w:rPr>
              <w:t>Security</w:t>
            </w: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120" w:type="dxa"/>
            <w:vAlign w:val="bottom"/>
          </w:tcPr>
          <w:p>
            <w:pPr>
              <w:spacing w:after="0"/>
              <w:rPr>
                <w:sz w:val="18"/>
                <w:szCs w:val="18"/>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w w:val="92"/>
              </w:rPr>
              <w:t>liens, the new notes will be secured on an equal and ratable basis (with certain exceptions) with</w:t>
            </w:r>
          </w:p>
        </w:tc>
      </w:tr>
      <w:tr>
        <w:trPr>
          <w:trHeight w:val="222"/>
        </w:trPr>
        <w:tc>
          <w:tcPr>
            <w:tcW w:w="3120" w:type="dxa"/>
            <w:vAlign w:val="bottom"/>
          </w:tcPr>
          <w:p>
            <w:pPr>
              <w:spacing w:after="0"/>
              <w:rPr>
                <w:sz w:val="19"/>
                <w:szCs w:val="19"/>
                <w:color w:val="auto"/>
              </w:rPr>
            </w:pPr>
          </w:p>
        </w:tc>
        <w:tc>
          <w:tcPr>
            <w:tcW w:w="8340" w:type="dxa"/>
            <w:vAlign w:val="bottom"/>
            <w:gridSpan w:val="2"/>
          </w:tcPr>
          <w:p>
            <w:pPr>
              <w:ind w:left="1280"/>
              <w:spacing w:after="0"/>
              <w:rPr>
                <w:sz w:val="20"/>
                <w:szCs w:val="20"/>
                <w:color w:val="auto"/>
              </w:rPr>
            </w:pPr>
            <w:r>
              <w:rPr>
                <w:rFonts w:ascii="Arial" w:cs="Arial" w:eastAsia="Arial" w:hAnsi="Arial"/>
                <w:sz w:val="18"/>
                <w:szCs w:val="18"/>
                <w:color w:val="auto"/>
              </w:rPr>
              <w:t>our obligations under our credit facilities, by:</w:t>
            </w:r>
          </w:p>
        </w:tc>
      </w:tr>
      <w:tr>
        <w:trPr>
          <w:trHeight w:val="291"/>
        </w:trPr>
        <w:tc>
          <w:tcPr>
            <w:tcW w:w="3120" w:type="dxa"/>
            <w:vAlign w:val="bottom"/>
          </w:tcPr>
          <w:p>
            <w:pPr>
              <w:spacing w:after="0"/>
              <w:rPr>
                <w:sz w:val="24"/>
                <w:szCs w:val="24"/>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6820" w:type="dxa"/>
            <w:vAlign w:val="bottom"/>
          </w:tcPr>
          <w:p>
            <w:pPr>
              <w:ind w:left="180"/>
              <w:spacing w:after="0"/>
              <w:rPr>
                <w:sz w:val="20"/>
                <w:szCs w:val="20"/>
                <w:color w:val="auto"/>
              </w:rPr>
            </w:pPr>
            <w:r>
              <w:rPr>
                <w:rFonts w:ascii="Arial" w:cs="Arial" w:eastAsia="Arial" w:hAnsi="Arial"/>
                <w:sz w:val="18"/>
                <w:szCs w:val="18"/>
                <w:color w:val="auto"/>
                <w:w w:val="93"/>
              </w:rPr>
              <w:t>a perfected first priority lien on substantially all of our existing and future assets, including</w:t>
            </w:r>
          </w:p>
        </w:tc>
      </w:tr>
      <w:tr>
        <w:trPr>
          <w:trHeight w:val="216"/>
        </w:trPr>
        <w:tc>
          <w:tcPr>
            <w:tcW w:w="3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the land on which Wynn Las Vegas is located and the land on which Encore is being</w:t>
            </w:r>
          </w:p>
        </w:tc>
      </w:tr>
      <w:tr>
        <w:trPr>
          <w:trHeight w:val="222"/>
        </w:trPr>
        <w:tc>
          <w:tcPr>
            <w:tcW w:w="3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constructed, all improvements constructed in connection with Wynn Las</w:t>
            </w:r>
          </w:p>
        </w:tc>
      </w:tr>
      <w:tr>
        <w:trPr>
          <w:trHeight w:val="161"/>
        </w:trPr>
        <w:tc>
          <w:tcPr>
            <w:tcW w:w="3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6820" w:type="dxa"/>
            <w:vAlign w:val="bottom"/>
            <w:tcBorders>
              <w:bottom w:val="single" w:sz="8" w:color="auto"/>
            </w:tcBorders>
          </w:tcPr>
          <w:p>
            <w:pPr>
              <w:spacing w:after="0"/>
              <w:rPr>
                <w:sz w:val="13"/>
                <w:szCs w:val="13"/>
                <w:color w:val="auto"/>
              </w:rPr>
            </w:pPr>
          </w:p>
        </w:tc>
      </w:tr>
      <w:tr>
        <w:trPr>
          <w:trHeight w:val="359"/>
        </w:trPr>
        <w:tc>
          <w:tcPr>
            <w:tcW w:w="3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820" w:type="dxa"/>
            <w:vAlign w:val="bottom"/>
          </w:tcPr>
          <w:p>
            <w:pPr>
              <w:jc w:val="right"/>
              <w:ind w:right="5572"/>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40" w:type="dxa"/>
            <w:vAlign w:val="bottom"/>
            <w:tcBorders>
              <w:top w:val="single" w:sz="8" w:color="auto"/>
              <w:left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Vegas and Encore, all other real property held by us, certain personal property, including</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items of furniture, fixtures and equipment located within Wynn Las Vegas and Encore,</w:t>
            </w:r>
          </w:p>
        </w:tc>
      </w:tr>
      <w:tr>
        <w:trPr>
          <w:trHeight w:val="216"/>
        </w:trPr>
        <w:tc>
          <w:tcPr>
            <w:tcW w:w="3040" w:type="dxa"/>
            <w:vAlign w:val="bottom"/>
            <w:tcBorders>
              <w:lef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6"/>
              </w:rPr>
              <w:t>water rights for the resort’s water feature, and all material agreements and contractual</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rights;</w:t>
            </w:r>
          </w:p>
        </w:tc>
      </w:tr>
      <w:tr>
        <w:trPr>
          <w:trHeight w:val="304"/>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7"/>
              </w:rPr>
              <w:t>a perfected first priority pledge of the equity interests in Wynn Las Vegas, LLC, Wynn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Capital, Wynn Completion Guarantor, LLC and the guarantors;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3"/>
              </w:rPr>
              <w:t>a perfected first priority lien on all amounts on deposit from time to time in the completion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guarantee deposit account (currently $31.1 million).</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5"/>
              </w:rPr>
              <w:t>To the extent permitted by gaming and other applicable laws and subject to certain permitted</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0"/>
              </w:rPr>
              <w:t>liens, the subsidiary guarantors’ obligations under the guarantees of the notes will be secured, on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2"/>
              </w:rPr>
              <w:t>an equal and ratable basis (with certain exceptions) with such guarantors’ obligations under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8"/>
              </w:rPr>
              <w:t>guarantees of our credit facilities, by a perfected first priority lien on substantially all of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existing and future assets of the subsidiary guarantors, including the Wynn Las Vegas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course, water rights for the golf course, and all material agreements and contractual rights.</w:t>
            </w:r>
          </w:p>
        </w:tc>
      </w:tr>
      <w:tr>
        <w:trPr>
          <w:trHeight w:val="291"/>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1"/>
              </w:rPr>
              <w:t>The notes will not be secured by World Travel, LLC’s aircraft. The notes will also not be secured</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by any proceeds on deposit from time to time in our bank proceeds account.</w:t>
            </w:r>
          </w:p>
        </w:tc>
      </w:tr>
      <w:tr>
        <w:trPr>
          <w:trHeight w:val="412"/>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Release of Collateral</w:t>
            </w: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6"/>
              </w:rPr>
              <w:t>The security interests in all of the collateral securing our obligations under the notes and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w w:val="97"/>
              </w:rPr>
              <w:t>obligations of the subsidiary guarantors under the subsidiary guarantees, including the golf</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course land, may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completion date for Encore has occurred;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lenders under our existing credit facilities release their security interest in such</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collateral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 and</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2"/>
              </w:rPr>
              <w:t>the lenders under any other outstanding secured debt (other than capital lease obligations</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and purchase money indebtedness) have released their security interest in such collateral.</w:t>
            </w:r>
          </w:p>
        </w:tc>
      </w:tr>
      <w:tr>
        <w:trPr>
          <w:trHeight w:val="297"/>
        </w:trPr>
        <w:tc>
          <w:tcPr>
            <w:tcW w:w="3040" w:type="dxa"/>
            <w:vAlign w:val="bottom"/>
            <w:tcBorders>
              <w:left w:val="single" w:sz="8" w:color="auto"/>
            </w:tcBorders>
          </w:tcPr>
          <w:p>
            <w:pPr>
              <w:spacing w:after="0"/>
              <w:rPr>
                <w:sz w:val="24"/>
                <w:szCs w:val="24"/>
                <w:color w:val="auto"/>
              </w:rPr>
            </w:pPr>
          </w:p>
        </w:tc>
        <w:tc>
          <w:tcPr>
            <w:tcW w:w="842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The security interests in the golf course land may also be released if:</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no default or event of default has occurred and is continuing;</w:t>
            </w:r>
          </w:p>
        </w:tc>
      </w:tr>
      <w:tr>
        <w:trPr>
          <w:trHeight w:val="291"/>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the lenders under our existing credit facilities concurrently release their security interests in</w:t>
            </w:r>
          </w:p>
        </w:tc>
      </w:tr>
      <w:tr>
        <w:trPr>
          <w:trHeight w:val="222"/>
        </w:trPr>
        <w:tc>
          <w:tcPr>
            <w:tcW w:w="3040" w:type="dxa"/>
            <w:vAlign w:val="bottom"/>
            <w:tcBorders>
              <w:left w:val="single" w:sz="8" w:color="auto"/>
            </w:tcBorders>
          </w:tcPr>
          <w:p>
            <w:pPr>
              <w:spacing w:after="0"/>
              <w:rPr>
                <w:sz w:val="19"/>
                <w:szCs w:val="19"/>
                <w:color w:val="auto"/>
              </w:rPr>
            </w:pPr>
          </w:p>
        </w:tc>
        <w:tc>
          <w:tcPr>
            <w:tcW w:w="160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the golf course land (other than in connection with a refinancing);</w:t>
            </w:r>
          </w:p>
        </w:tc>
      </w:tr>
      <w:tr>
        <w:trPr>
          <w:trHeight w:val="297"/>
        </w:trPr>
        <w:tc>
          <w:tcPr>
            <w:tcW w:w="3040" w:type="dxa"/>
            <w:vAlign w:val="bottom"/>
            <w:tcBorders>
              <w:left w:val="single" w:sz="8" w:color="auto"/>
            </w:tcBorders>
          </w:tcPr>
          <w:p>
            <w:pPr>
              <w:spacing w:after="0"/>
              <w:rPr>
                <w:sz w:val="24"/>
                <w:szCs w:val="24"/>
                <w:color w:val="auto"/>
              </w:rPr>
            </w:pP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Encore is open and operating; and</w:t>
            </w:r>
          </w:p>
        </w:tc>
      </w:tr>
      <w:tr>
        <w:trPr>
          <w:trHeight w:val="161"/>
        </w:trPr>
        <w:tc>
          <w:tcPr>
            <w:tcW w:w="3040" w:type="dxa"/>
            <w:vAlign w:val="bottom"/>
            <w:tcBorders>
              <w:left w:val="single" w:sz="8" w:color="auto"/>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400" w:type="dxa"/>
            <w:vAlign w:val="bottom"/>
            <w:tcBorders>
              <w:top w:val="single" w:sz="8" w:color="auto"/>
              <w:left w:val="single" w:sz="8" w:color="auto"/>
            </w:tcBorders>
          </w:tcPr>
          <w:p>
            <w:pPr>
              <w:spacing w:after="0"/>
              <w:rPr>
                <w:sz w:val="24"/>
                <w:szCs w:val="24"/>
                <w:color w:val="auto"/>
              </w:rPr>
            </w:pP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7"/>
              </w:rPr>
              <w:t>our total debt does not exceed 6.5 times our Consolidated EBITDA (as defined in the</w:t>
            </w:r>
          </w:p>
        </w:tc>
      </w:tr>
      <w:tr>
        <w:trPr>
          <w:trHeight w:val="222"/>
        </w:trPr>
        <w:tc>
          <w:tcPr>
            <w:tcW w:w="3400" w:type="dxa"/>
            <w:vAlign w:val="bottom"/>
            <w:tcBorders>
              <w:lef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indenture) for the most recent four full fiscal quarters.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However, if we incur or guarantee debt to finance costs related to the development of the golf</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course parcel into a mixed use hotel, casino and residence resort complex pursuant to the debt</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incurrence baskets described below under the caption “Description of the New Notes—Certain</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Covenants—Incurrence of Indebtedness and Issuance of Disqualified Stock,” then the security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interest in the golf course land may not be released without obtaining the consent of holders of at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least 90% of the outstanding principal amount of the notes.</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The security interest in approximately 20 acres of the golf course land granted by one of our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3"/>
              </w:rPr>
              <w:t>subsidiaries may be released if the lenders under our credit facilities concurrently release their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2"/>
              </w:rPr>
              <w:t>lien on such land (other than pursuant to a refinancing) and no default or event of default exists</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or is continuing.</w:t>
            </w:r>
          </w:p>
        </w:tc>
      </w:tr>
      <w:tr>
        <w:trPr>
          <w:trHeight w:val="291"/>
        </w:trPr>
        <w:tc>
          <w:tcPr>
            <w:tcW w:w="3400" w:type="dxa"/>
            <w:vAlign w:val="bottom"/>
            <w:tcBorders>
              <w:left w:val="single" w:sz="8" w:color="auto"/>
            </w:tcBorders>
          </w:tcPr>
          <w:p>
            <w:pPr>
              <w:spacing w:after="0"/>
              <w:rPr>
                <w:sz w:val="24"/>
                <w:szCs w:val="24"/>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In addition, the indenture provides for releases of the security interests in certain collateral under</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specified circumstances and also provides that security interests in the collateral can be released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 connection with asset sales, permitted investments and other permitted dispositions.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We cannot redeem the notes until December 1, 2009. On or after December 1, 2009, we may</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redeem some or all of the notes at a premium declining ratably to zero, plus accrued and unpaid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Gaming Redemption</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0"/>
              </w:rPr>
              <w:t>The notes will be subject to redemption requirements imposed by gaming laws and regulations of</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gaming authorities in Nevada or other jurisdictions.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Change of Control Offer</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4"/>
              </w:rPr>
              <w:t>If a change of control occurs, we must offer to repurchase the notes at 101% of their principal</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amount, plus accrued and unpaid interest.</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Asset Sales and Events of Loss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1"/>
              </w:rPr>
              <w:t>If we or any of our restricted subsidiaries sell certain assets or experience certain events of loss,</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96"/>
              </w:rPr>
              <w:t>we must either reinvest the proceeds of such sale in Wynn Las Vegas or Encore, or offer to</w:t>
            </w:r>
          </w:p>
        </w:tc>
      </w:tr>
      <w:tr>
        <w:trPr>
          <w:trHeight w:val="216"/>
        </w:trPr>
        <w:tc>
          <w:tcPr>
            <w:tcW w:w="3400" w:type="dxa"/>
            <w:vAlign w:val="bottom"/>
            <w:tcBorders>
              <w:left w:val="single" w:sz="8" w:color="auto"/>
            </w:tcBorders>
          </w:tcPr>
          <w:p>
            <w:pPr>
              <w:spacing w:after="0"/>
              <w:rPr>
                <w:sz w:val="18"/>
                <w:szCs w:val="18"/>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w w:val="89"/>
              </w:rPr>
              <w:t>repurchase the notes and repay indebtedness under our credit facilities on a pro rata basis, subject</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to certain exceptions, with any proceeds not reinvested in our business.</w:t>
            </w:r>
          </w:p>
        </w:tc>
      </w:tr>
      <w:tr>
        <w:trPr>
          <w:trHeight w:val="291"/>
        </w:trPr>
        <w:tc>
          <w:tcPr>
            <w:tcW w:w="34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Indenture Provisions</w:t>
            </w: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The indenture governing the notes contains covenants restricting our and our restricted</w:t>
            </w:r>
          </w:p>
        </w:tc>
      </w:tr>
      <w:tr>
        <w:trPr>
          <w:trHeight w:val="222"/>
        </w:trPr>
        <w:tc>
          <w:tcPr>
            <w:tcW w:w="3400" w:type="dxa"/>
            <w:vAlign w:val="bottom"/>
            <w:tcBorders>
              <w:left w:val="single" w:sz="8" w:color="auto"/>
            </w:tcBorders>
          </w:tcPr>
          <w:p>
            <w:pPr>
              <w:spacing w:after="0"/>
              <w:rPr>
                <w:sz w:val="19"/>
                <w:szCs w:val="19"/>
                <w:color w:val="auto"/>
              </w:rPr>
            </w:pPr>
          </w:p>
        </w:tc>
        <w:tc>
          <w:tcPr>
            <w:tcW w:w="8060" w:type="dxa"/>
            <w:vAlign w:val="bottom"/>
            <w:tcBorders>
              <w:right w:val="single" w:sz="8" w:color="auto"/>
            </w:tcBorders>
            <w:gridSpan w:val="2"/>
          </w:tcPr>
          <w:p>
            <w:pPr>
              <w:ind w:left="1000"/>
              <w:spacing w:after="0"/>
              <w:rPr>
                <w:sz w:val="20"/>
                <w:szCs w:val="20"/>
                <w:color w:val="auto"/>
              </w:rPr>
            </w:pPr>
            <w:r>
              <w:rPr>
                <w:rFonts w:ascii="Arial" w:cs="Arial" w:eastAsia="Arial" w:hAnsi="Arial"/>
                <w:sz w:val="18"/>
                <w:szCs w:val="18"/>
                <w:color w:val="auto"/>
              </w:rPr>
              <w:t>subsidiaries’ ability to:</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pay dividends or distributions or repurchase equity;</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incur additional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make investments;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create liens on assets to secure debt;</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transactions with affiliates;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issue stock of, or member’s interests in, subsidiaries;</w:t>
            </w:r>
          </w:p>
        </w:tc>
      </w:tr>
      <w:tr>
        <w:trPr>
          <w:trHeight w:val="297"/>
        </w:trPr>
        <w:tc>
          <w:tcPr>
            <w:tcW w:w="3400" w:type="dxa"/>
            <w:vAlign w:val="bottom"/>
            <w:tcBorders>
              <w:left w:val="single" w:sz="8" w:color="auto"/>
            </w:tcBorders>
          </w:tcPr>
          <w:p>
            <w:pPr>
              <w:spacing w:after="0"/>
              <w:rPr>
                <w:sz w:val="24"/>
                <w:szCs w:val="24"/>
                <w:color w:val="auto"/>
              </w:rPr>
            </w:pPr>
          </w:p>
        </w:tc>
        <w:tc>
          <w:tcPr>
            <w:tcW w:w="1240" w:type="dxa"/>
            <w:vAlign w:val="bottom"/>
          </w:tcPr>
          <w:p>
            <w:pPr>
              <w:ind w:left="1000"/>
              <w:spacing w:after="0"/>
              <w:rPr>
                <w:sz w:val="20"/>
                <w:szCs w:val="20"/>
                <w:color w:val="auto"/>
              </w:rPr>
            </w:pPr>
            <w:r>
              <w:rPr>
                <w:rFonts w:ascii="Arial" w:cs="Arial" w:eastAsia="Arial" w:hAnsi="Arial"/>
                <w:sz w:val="18"/>
                <w:szCs w:val="18"/>
                <w:color w:val="auto"/>
              </w:rPr>
              <w:t>•</w:t>
            </w:r>
          </w:p>
        </w:tc>
        <w:tc>
          <w:tcPr>
            <w:tcW w:w="68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enter into sale-leaseback transactions;</w:t>
            </w:r>
          </w:p>
        </w:tc>
      </w:tr>
      <w:tr>
        <w:trPr>
          <w:trHeight w:val="161"/>
        </w:trPr>
        <w:tc>
          <w:tcPr>
            <w:tcW w:w="3400" w:type="dxa"/>
            <w:vAlign w:val="bottom"/>
            <w:tcBorders>
              <w:left w:val="single" w:sz="8" w:color="auto"/>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820" w:type="dxa"/>
            <w:vAlign w:val="bottom"/>
            <w:tcBorders>
              <w:bottom w:val="single" w:sz="8" w:color="auto"/>
              <w:right w:val="single" w:sz="8" w:color="auto"/>
            </w:tcBorders>
          </w:tcPr>
          <w:p>
            <w:pPr>
              <w:spacing w:after="0"/>
              <w:rPr>
                <w:sz w:val="13"/>
                <w:szCs w:val="13"/>
                <w:color w:val="auto"/>
              </w:rPr>
            </w:pPr>
          </w:p>
        </w:tc>
      </w:tr>
      <w:tr>
        <w:trPr>
          <w:trHeight w:val="359"/>
        </w:trPr>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20" w:type="dxa"/>
            <w:vAlign w:val="bottom"/>
          </w:tcPr>
          <w:p>
            <w:pPr>
              <w:ind w:left="98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60"/>
          </w:cols>
          <w:pgMar w:left="240" w:top="459" w:right="1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6"/>
        </w:trPr>
        <w:tc>
          <w:tcPr>
            <w:tcW w:w="3140" w:type="dxa"/>
            <w:vAlign w:val="bottom"/>
            <w:tcBorders>
              <w:top w:val="single" w:sz="8" w:color="auto"/>
              <w:left w:val="single" w:sz="8" w:color="auto"/>
            </w:tcBorders>
          </w:tcPr>
          <w:p>
            <w:pPr>
              <w:spacing w:after="0"/>
              <w:rPr>
                <w:sz w:val="24"/>
                <w:szCs w:val="24"/>
                <w:color w:val="auto"/>
              </w:rPr>
            </w:pPr>
          </w:p>
        </w:tc>
        <w:tc>
          <w:tcPr>
            <w:tcW w:w="168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engage in other businesses;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merge or consolidate with another company;</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transfer and sell assets;</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issue disqualified stock;</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297"/>
        </w:trPr>
        <w:tc>
          <w:tcPr>
            <w:tcW w:w="3140" w:type="dxa"/>
            <w:vAlign w:val="bottom"/>
            <w:tcBorders>
              <w:left w:val="single" w:sz="8" w:color="auto"/>
            </w:tcBorders>
          </w:tcPr>
          <w:p>
            <w:pPr>
              <w:spacing w:after="0"/>
              <w:rPr>
                <w:sz w:val="24"/>
                <w:szCs w:val="24"/>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rPr>
              <w:t>•</w:t>
            </w:r>
          </w:p>
        </w:tc>
        <w:tc>
          <w:tcPr>
            <w:tcW w:w="6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designate restricted and unrestricted subsidiaries.</w:t>
            </w: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Intercreditor Agreement</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7"/>
              </w:rPr>
              <w:t>The trustee under the indenture for the notes and the agent for the lenders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facilities have entered into an intercreditor agreement that will govern the relationship among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holders of the notes, the lenders under our credit facilities and holders of permitted senior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junior indebtedness. Under the intercreditor agreement, the trustee on behalf of the holders of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notes and the agent for the lenders under our credit facilities have appointed a collateral agent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with respect to the collateral granted in favor of the holders of the notes and the lenders under our</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credit facilities. The liens on the collateral that secure the notes (which shall not include our bank</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proceeds account, with respect to which the intercreditor agreement provides that the collateral</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agent will have a lien for the sole benefit of the lenders under our credit facilities) will rank pari</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passu with the liens on such collateral that secure our credit facilities and any other permitted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senior debt, and will rank prior to the liens on such collateral that secure any permitted junior</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99"/>
              </w:rPr>
              <w:t>debt.</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spacing w:after="0"/>
              <w:rPr>
                <w:sz w:val="24"/>
                <w:szCs w:val="24"/>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Pursuant to the intercreditor agreement, each of the agent under our credit facilities and, from and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after the expiration of 30 days after a payment default or acceleration under the indenture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governing the notes, lenders under our credit facilities and holders of notes controlling a majority</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6"/>
              </w:rPr>
              <w:t>of the aggregate amount of loans and notes outstanding may instruct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commence the exercise of remedies against the collateral. In addition, the agent under our credit</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facilities will have the right, subject to certain limited exceptions, to direct the collateral agent to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enter into amendments of, or waive defaults under, or, subject to certain conditions, release all of</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1"/>
              </w:rPr>
              <w:t>the collateral from, the security documents that grant liens on the collateral without obtaining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4"/>
              </w:rPr>
              <w:t>consent of the trustee or the holders of the notes. The agent under our credit facilities will also</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2"/>
              </w:rPr>
              <w:t>have the right, at any time when amounts outstanding under our credit facilities equal or exceed</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5"/>
              </w:rPr>
              <w:t>$100.0 million, to amend the intercreditor agreement without the consent of the trustee or the</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8"/>
              </w:rPr>
              <w:t>holders of the notes, for the purpose of revising or altering the subordination provisions in</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respect of any junior debt provided that such amendment does not affect the provisions</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3"/>
              </w:rPr>
              <w:t>governing the relationship between the lenders under our credit facilities and the holders of the</w:t>
            </w:r>
          </w:p>
        </w:tc>
      </w:tr>
      <w:tr>
        <w:trPr>
          <w:trHeight w:val="222"/>
        </w:trPr>
        <w:tc>
          <w:tcPr>
            <w:tcW w:w="3140" w:type="dxa"/>
            <w:vAlign w:val="bottom"/>
            <w:tcBorders>
              <w:left w:val="single" w:sz="8" w:color="auto"/>
            </w:tcBorders>
          </w:tcPr>
          <w:p>
            <w:pPr>
              <w:spacing w:after="0"/>
              <w:rPr>
                <w:sz w:val="19"/>
                <w:szCs w:val="19"/>
                <w:color w:val="auto"/>
              </w:rPr>
            </w:pPr>
          </w:p>
        </w:tc>
        <w:tc>
          <w:tcPr>
            <w:tcW w:w="1680" w:type="dxa"/>
            <w:vAlign w:val="bottom"/>
          </w:tcPr>
          <w:p>
            <w:pPr>
              <w:ind w:left="1260"/>
              <w:spacing w:after="0"/>
              <w:rPr>
                <w:sz w:val="20"/>
                <w:szCs w:val="20"/>
                <w:color w:val="auto"/>
              </w:rPr>
            </w:pPr>
            <w:r>
              <w:rPr>
                <w:rFonts w:ascii="Arial" w:cs="Arial" w:eastAsia="Arial" w:hAnsi="Arial"/>
                <w:sz w:val="18"/>
                <w:szCs w:val="18"/>
                <w:color w:val="auto"/>
                <w:w w:val="81"/>
              </w:rPr>
              <w:t>notes.</w:t>
            </w:r>
          </w:p>
        </w:tc>
        <w:tc>
          <w:tcPr>
            <w:tcW w:w="6640" w:type="dxa"/>
            <w:vAlign w:val="bottom"/>
            <w:tcBorders>
              <w:right w:val="single" w:sz="8" w:color="auto"/>
            </w:tcBorders>
          </w:tcPr>
          <w:p>
            <w:pPr>
              <w:spacing w:after="0"/>
              <w:rPr>
                <w:sz w:val="19"/>
                <w:szCs w:val="19"/>
                <w:color w:val="auto"/>
              </w:rPr>
            </w:pPr>
          </w:p>
        </w:tc>
      </w:tr>
      <w:tr>
        <w:trPr>
          <w:trHeight w:val="291"/>
        </w:trPr>
        <w:tc>
          <w:tcPr>
            <w:tcW w:w="31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Completion Guarantee</w:t>
            </w: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One of our wholly owned unrestricted subsidiaries, Wynn Completion Guarantor, LLC,</w:t>
            </w:r>
          </w:p>
        </w:tc>
      </w:tr>
      <w:tr>
        <w:trPr>
          <w:trHeight w:val="216"/>
        </w:trPr>
        <w:tc>
          <w:tcPr>
            <w:tcW w:w="3140" w:type="dxa"/>
            <w:vAlign w:val="bottom"/>
            <w:tcBorders>
              <w:left w:val="single" w:sz="8" w:color="auto"/>
            </w:tcBorders>
          </w:tcPr>
          <w:p>
            <w:pPr>
              <w:spacing w:after="0"/>
              <w:rPr>
                <w:sz w:val="18"/>
                <w:szCs w:val="18"/>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w w:val="90"/>
              </w:rPr>
              <w:t>sometimes referred to as the completion guarantor, has provided a completion guarantee in favor</w:t>
            </w:r>
          </w:p>
        </w:tc>
      </w:tr>
      <w:tr>
        <w:trPr>
          <w:trHeight w:val="222"/>
        </w:trPr>
        <w:tc>
          <w:tcPr>
            <w:tcW w:w="3140" w:type="dxa"/>
            <w:vAlign w:val="bottom"/>
            <w:tcBorders>
              <w:left w:val="single" w:sz="8" w:color="auto"/>
            </w:tcBorders>
          </w:tcPr>
          <w:p>
            <w:pPr>
              <w:spacing w:after="0"/>
              <w:rPr>
                <w:sz w:val="19"/>
                <w:szCs w:val="19"/>
                <w:color w:val="auto"/>
              </w:rPr>
            </w:pPr>
          </w:p>
        </w:tc>
        <w:tc>
          <w:tcPr>
            <w:tcW w:w="8320" w:type="dxa"/>
            <w:vAlign w:val="bottom"/>
            <w:tcBorders>
              <w:right w:val="single" w:sz="8" w:color="auto"/>
            </w:tcBorders>
            <w:gridSpan w:val="2"/>
          </w:tcPr>
          <w:p>
            <w:pPr>
              <w:ind w:left="1260"/>
              <w:spacing w:after="0"/>
              <w:rPr>
                <w:sz w:val="20"/>
                <w:szCs w:val="20"/>
                <w:color w:val="auto"/>
              </w:rPr>
            </w:pPr>
            <w:r>
              <w:rPr>
                <w:rFonts w:ascii="Arial" w:cs="Arial" w:eastAsia="Arial" w:hAnsi="Arial"/>
                <w:sz w:val="18"/>
                <w:szCs w:val="18"/>
                <w:color w:val="auto"/>
              </w:rPr>
              <w:t>of the trustee under the</w:t>
            </w:r>
          </w:p>
        </w:tc>
      </w:tr>
      <w:tr>
        <w:trPr>
          <w:trHeight w:val="161"/>
        </w:trPr>
        <w:tc>
          <w:tcPr>
            <w:tcW w:w="3140" w:type="dxa"/>
            <w:vAlign w:val="bottom"/>
            <w:tcBorders>
              <w:left w:val="single" w:sz="8" w:color="auto"/>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r>
      <w:tr>
        <w:trPr>
          <w:trHeight w:val="359"/>
        </w:trPr>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40" w:type="dxa"/>
            <w:vAlign w:val="bottom"/>
          </w:tcPr>
          <w:p>
            <w:pPr>
              <w:ind w:left="80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60"/>
          </w:cols>
          <w:pgMar w:left="240" w:top="459" w:right="1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860" w:type="dxa"/>
            <w:vAlign w:val="bottom"/>
            <w:tcBorders>
              <w:top w:val="single" w:sz="8" w:color="auto"/>
              <w:left w:val="single" w:sz="8" w:color="auto"/>
            </w:tcBorders>
          </w:tcPr>
          <w:p>
            <w:pPr>
              <w:spacing w:after="0"/>
              <w:rPr>
                <w:sz w:val="24"/>
                <w:szCs w:val="24"/>
                <w:color w:val="auto"/>
              </w:rPr>
            </w:pPr>
          </w:p>
        </w:tc>
        <w:tc>
          <w:tcPr>
            <w:tcW w:w="860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color w:val="auto"/>
                <w:w w:val="91"/>
              </w:rPr>
              <w:t>indenture for the notes (for the benefit of the holders of the notes) and the agent under our credit</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facilities (as the representative of the lenders under our credit facilities). The completion</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0"/>
              </w:rPr>
              <w:t>guarantee consists of cash collateralized by a security interest in a collateral account holding cash</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1"/>
              </w:rPr>
              <w:t>or short-term highly rated securities and pledged to the lenders under our credit facilities and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holders of the notes as security for the completion guarantee. As of December 31, 2007, there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7"/>
              </w:rPr>
              <w:t>was $31.1 million on deposit in the completion guarantee collateral account. Subject to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3"/>
              </w:rPr>
              <w:t>intercreditor agreement, upon the occurrence of an event of default under our credit facilities or</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4"/>
              </w:rPr>
              <w:t>the indenture governing the notes, the lenders under our credit facilities and the holders of the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8"/>
              </w:rPr>
              <w:t>notes will be permitted to exercise remedies against deposits in the completion guarantee</w:t>
            </w:r>
          </w:p>
        </w:tc>
      </w:tr>
      <w:tr>
        <w:trPr>
          <w:trHeight w:val="216"/>
        </w:trPr>
        <w:tc>
          <w:tcPr>
            <w:tcW w:w="2860" w:type="dxa"/>
            <w:vAlign w:val="bottom"/>
            <w:tcBorders>
              <w:left w:val="single" w:sz="8" w:color="auto"/>
            </w:tcBorders>
          </w:tcPr>
          <w:p>
            <w:pPr>
              <w:spacing w:after="0"/>
              <w:rPr>
                <w:sz w:val="18"/>
                <w:szCs w:val="18"/>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collateral account. After the satisfaction of certain conditions relating to the completion of Wynn</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Las Vegas and Encore, any amounts remaining in this account will be released to us.</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Securities issued in book-entry form will be issued to Cede &amp; Co. as nominee of DTC.</w:t>
            </w:r>
          </w:p>
        </w:tc>
      </w:tr>
      <w:tr>
        <w:trPr>
          <w:trHeight w:val="311"/>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The laws of the State of New York.</w:t>
            </w:r>
          </w:p>
        </w:tc>
      </w:tr>
      <w:tr>
        <w:trPr>
          <w:trHeight w:val="304"/>
        </w:trPr>
        <w:tc>
          <w:tcPr>
            <w:tcW w:w="28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w w:val="92"/>
              </w:rPr>
              <w:t>You should refer to the section entitled “Risk Factors,” beginning on page 16, for a discussion of</w:t>
            </w:r>
          </w:p>
        </w:tc>
      </w:tr>
      <w:tr>
        <w:trPr>
          <w:trHeight w:val="222"/>
        </w:trPr>
        <w:tc>
          <w:tcPr>
            <w:tcW w:w="2860" w:type="dxa"/>
            <w:vAlign w:val="bottom"/>
            <w:tcBorders>
              <w:left w:val="single" w:sz="8" w:color="auto"/>
            </w:tcBorders>
          </w:tcPr>
          <w:p>
            <w:pPr>
              <w:spacing w:after="0"/>
              <w:rPr>
                <w:sz w:val="19"/>
                <w:szCs w:val="19"/>
                <w:color w:val="auto"/>
              </w:rPr>
            </w:pPr>
          </w:p>
        </w:tc>
        <w:tc>
          <w:tcPr>
            <w:tcW w:w="8600" w:type="dxa"/>
            <w:vAlign w:val="bottom"/>
            <w:tcBorders>
              <w:right w:val="single" w:sz="8" w:color="auto"/>
            </w:tcBorders>
          </w:tcPr>
          <w:p>
            <w:pPr>
              <w:ind w:left="1540"/>
              <w:spacing w:after="0"/>
              <w:rPr>
                <w:sz w:val="20"/>
                <w:szCs w:val="20"/>
                <w:color w:val="auto"/>
              </w:rPr>
            </w:pPr>
            <w:r>
              <w:rPr>
                <w:rFonts w:ascii="Arial" w:cs="Arial" w:eastAsia="Arial" w:hAnsi="Arial"/>
                <w:sz w:val="18"/>
                <w:szCs w:val="18"/>
                <w:color w:val="auto"/>
              </w:rPr>
              <w:t>certain risks involved in investing in the notes.</w:t>
            </w:r>
          </w:p>
        </w:tc>
      </w:tr>
      <w:tr>
        <w:trPr>
          <w:trHeight w:val="161"/>
        </w:trPr>
        <w:tc>
          <w:tcPr>
            <w:tcW w:w="2860" w:type="dxa"/>
            <w:vAlign w:val="bottom"/>
            <w:tcBorders>
              <w:left w:val="single" w:sz="8" w:color="auto"/>
              <w:bottom w:val="single" w:sz="8" w:color="auto"/>
            </w:tcBorders>
          </w:tcPr>
          <w:p>
            <w:pPr>
              <w:spacing w:after="0"/>
              <w:rPr>
                <w:sz w:val="13"/>
                <w:szCs w:val="13"/>
                <w:color w:val="auto"/>
              </w:rPr>
            </w:pPr>
          </w:p>
        </w:tc>
        <w:tc>
          <w:tcPr>
            <w:tcW w:w="8600" w:type="dxa"/>
            <w:vAlign w:val="bottom"/>
            <w:tcBorders>
              <w:bottom w:val="single" w:sz="8" w:color="auto"/>
              <w:right w:val="single" w:sz="8" w:color="auto"/>
            </w:tcBorders>
          </w:tcPr>
          <w:p>
            <w:pPr>
              <w:spacing w:after="0"/>
              <w:rPr>
                <w:sz w:val="13"/>
                <w:szCs w:val="13"/>
                <w:color w:val="auto"/>
              </w:rPr>
            </w:pPr>
          </w:p>
        </w:tc>
      </w:tr>
      <w:tr>
        <w:trPr>
          <w:trHeight w:val="359"/>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460"/>
          </w:cols>
          <w:pgMar w:left="240" w:top="459" w:right="1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an investment decision. The risks and uncertainties described below are not the only ones that we face. Additional risks and uncertainties not presently known to us or that we currently deem immaterial may also impair our business operations. If any of these risks actually occur, our business, financial condition and results of operations could be materially adversely affected. In that case, the value of the new notes could decline substantially, and you may lose part or all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As of December 31, 2007, we had total outstanding debt of approximately $2 billion. Upon the satisfaction of certain conditions, we will be able to incur up to an additional $883.3 million under our credit facilities to fund the construction of Encore. In addition, our credit agreement and the indenture for the notes permit us to incur additional indebtedness in connection with potential expansion plans under certain circumstances in the future. Our substantial indebtedness could have important consequences. For example:</w:t>
      </w:r>
    </w:p>
    <w:p>
      <w:pPr>
        <w:spacing w:after="0" w:line="32" w:lineRule="exact"/>
        <w:rPr>
          <w:sz w:val="20"/>
          <w:szCs w:val="20"/>
          <w:color w:val="auto"/>
        </w:rPr>
      </w:pPr>
    </w:p>
    <w:p>
      <w:pPr>
        <w:ind w:left="900" w:right="20" w:hanging="446"/>
        <w:spacing w:after="0" w:line="35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60" w:hanging="547"/>
        <w:spacing w:after="0"/>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construction costs of Encore, which will reduce the available cash flow to fund working capital, other capital expenditures and other general corporate purposes;</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construction costs of Encore, satisfy working capital requirements, or pay for other capital expenditures, debt service or other obligations;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the notes.</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customers spending less at our properties, which would adversely affect our revenues.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entirely dependent on one property for all of our cash flow, which subjects us to greater risks than a gaming company with more operating properties.</w:t>
      </w:r>
    </w:p>
    <w:p>
      <w:pPr>
        <w:spacing w:after="0" w:line="1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(opening in December 2008).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5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in Atlantic City, New Jersey, riverboat gaming facilities in other states, casino facilities on Native American lands and elsewhere in the world, state lotteries, and other forms of gaming. The proliferation of gaming activities in other areas could significantly harm our business as well. The impact on our business from the legalization of gaming activities in other metropolitan areas is unclear at this time. In addition, new or renovated casinos in Macau or elsewhere in Asia could draw Asian gaming customers, including high-rollers, away from Wynn Las Vegas.</w:t>
      </w:r>
    </w:p>
    <w:p>
      <w:pPr>
        <w:spacing w:after="0" w:line="2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5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2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14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Simultaneous expansion of Wynn Macau and construction of Encore may stretch management time and resources and may impact Wynn Las Vegas.</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affiliate, Wynn Resorts (Macau), S.A., has commenced construction of its Wynn Diamond Suites expansion which includes an additional hotel tower and related amenities and is currently expected to open in 2010. Development and construction efforts for Encore continue. Since there is overlap of the development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construction of this project with the construction of Encore, members of Wynn Resorts’ senior management are simultaneously involved in planning and developing both of these projects. Expanding Wynn Macau simultaneously with the development and construction of Encore may divert management resources from the construction and/or completion of Encore. Management’s inability to devote sufficient time and attention to Encore may delay its construction or opening. Any delay caused by such circumstances could have a negative effect on our business and operations.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25" w:lineRule="exact"/>
        <w:rPr>
          <w:sz w:val="20"/>
          <w:szCs w:val="20"/>
          <w:color w:val="auto"/>
        </w:rPr>
      </w:pPr>
    </w:p>
    <w:p>
      <w:pPr>
        <w:ind w:right="160" w:firstLine="456"/>
        <w:spacing w:after="0" w:line="312" w:lineRule="auto"/>
        <w:rPr>
          <w:sz w:val="20"/>
          <w:szCs w:val="20"/>
          <w:color w:val="auto"/>
        </w:rPr>
      </w:pPr>
      <w:r>
        <w:rPr>
          <w:rFonts w:ascii="Arial" w:cs="Arial" w:eastAsia="Arial" w:hAnsi="Arial"/>
          <w:sz w:val="15"/>
          <w:szCs w:val="15"/>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jc w:val="both"/>
        <w:ind w:right="30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$800 million of losses that could result from these acts. However, these types of acts could expose us to losses that exceed our coverage and could have a significant negative impact on our operations.</w:t>
      </w:r>
    </w:p>
    <w:p>
      <w:pPr>
        <w:spacing w:after="0" w:line="8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Wynn Holdings’ ownership of, or right to use, the Wynn-related service marks, our business or results of operations could be harmed.</w:t>
      </w:r>
    </w:p>
    <w:p>
      <w:pPr>
        <w:spacing w:after="0" w:line="5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Wynn Holdings. Wynn Holdings has filed applications with the United States Patent and Trademark Office (“PTO”), to register a variety of WYNN-related trademarks and service marks in connection with a variety of goods and services. These marks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Wynn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Even if Wynn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“WYNN DIAMOND,” and “ENCORE.” Some of the applications are based upon ongoing use and others are based upon a bona fide intent to use the marks in the future.</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notes and would constitute an event of default under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each own approximately 21% of Wynn Resorts’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On November 13,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2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 In addition, in November 2006, this agreement was amended to require the written consent of both Mr. Wynn and Aruze USA, Inc. prior to either party selling or transferring any shares of Wynn Resorts that it owns.</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the Construction and Development of Encore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construction and development costs of Encore are estimates only, and actual construction and development costs may be higher than expected.</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While we believe that the estimated construction and development costs for Encore are reasonable, these construction and development costs are estimates and the actual costs may be higher than expected. Although we will have certain owners’ contingencies to cover cost overruns, these contingencies may not be sufficient to cover the full amount of such overruns. If these contingencies are not sufficient to cover these costs, we may not have the funds required to pay the excess costs and would be dependent upon Wynn Resorts, which is not a guarantor of debt, to contribute additional capital to achieve final completion of the project. Wynn Resorts has no operations except for those of its subsidiaries, which are not obligated to satisfy any obligations or liabilities of Wynn Resorts.</w:t>
      </w:r>
    </w:p>
    <w:p>
      <w:pPr>
        <w:spacing w:after="0" w:line="199"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We intend to fund a substantial portion of the construction and development costs of Encore and our substantial debt service and other obligations with cash flows generated by Wynn Las Vegas, which may not be sufficient to fund such construction and development costs and debt service obligations.</w:t>
      </w:r>
    </w:p>
    <w:p>
      <w:pPr>
        <w:ind w:firstLine="456"/>
        <w:spacing w:after="0" w:line="323" w:lineRule="auto"/>
        <w:rPr>
          <w:sz w:val="20"/>
          <w:szCs w:val="20"/>
          <w:color w:val="auto"/>
        </w:rPr>
      </w:pPr>
      <w:r>
        <w:rPr>
          <w:rFonts w:ascii="Arial" w:cs="Arial" w:eastAsia="Arial" w:hAnsi="Arial"/>
          <w:sz w:val="15"/>
          <w:szCs w:val="15"/>
          <w:color w:val="auto"/>
        </w:rPr>
        <w:t>Our ability to make interest payments under our credit facilities, the notes and any other indebtedness, and to fund a substantial portion of the construction and development costs of Encore, is dependent on our ability to generate sufficient cash flow from our operations at Wynn Las Vegas. We cannot assure you that Wynn Las Vegas will continue to be able to generate sufficient cash flow to make the interest payments under our credit facilities, the notes and any other indebtedness, and fund other costs (including the construction and development of Encore). Our ability to generate cash flow depends on many factors, including:</w:t>
      </w:r>
    </w:p>
    <w:p>
      <w:pPr>
        <w:spacing w:after="0" w:line="1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Some of these factors are beyond our control. Any inability to generate sufficient cash flows to meet our debt service and other obligations (including the construction and development of Encore) would have a material adverse effect on our operating results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85"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anticipate that only some of the subcontractors engaged for Encore will post bonds guaranteeing timely completion of a subcontractor’s work and payment for all of that subcontractor’s labor and materials. We cannot assure you that these bonds will be adequate to ensure completion of the work.</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Encore may not commence operations on schedule and construction costs for the project may exceed budgeted amounts. Failure to complete Encore on schedule or within budget could result in a default under our credit facilities and may have a significant negative effect on us and on our ability to make payments on our debt,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Encore.</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of December 31, 2007, we had approximately $883.3 million available under our credit facilities, which we intend to use to fund construction of Encore. We expect to use the availability under our credit facilities, the proceeds of the offering of the old notes and cash flow from operations to fund the remaining construction costs of Encore.</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have entered into an amended and restated disbursement agreement with the agent under our credit facilities which establishes conditions for the disbursement of funds for Encore.</w:t>
      </w:r>
    </w:p>
    <w:p>
      <w:pPr>
        <w:spacing w:after="0" w:line="132"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our credit facilities and/or their consultants and agent and may therefore be beyond our control. Failure to satisfy the conditions to the drawdowns under our credit facilities could impact our ability to construct Encore. We may not have access to alternative sources of funds necessary to construct Encore on satisfactory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default occurs with respect to the notes, the value of the collateral may not be sufficient to repay the holders of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we had approximately $225 million outstanding under our senior secured term loan credit facility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$883.7 million of borrowing availability under our revolving credit facility. Under the indenture governing the notes, we may be permitted to incur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indebtedness that could be secured by first priority liens on the collateral, which liens would have a priority to liens securing the notes and our credit facilities.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any borrowings from creditors with liens that have a priority to the liens securing the notes, the amounts outstanding under the notes and our credit facilities. If these proceeds were not sufficient to repay amounts outstanding under the notes, after paying any higher priority creditors and sharing pari passu with obligations under our credit facilities, then holders of the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The intercreditor agreement permits the agent under our credit facilities to amend the terms of, and waive defaults under, the security documents and to amend certain provisions of the intercreditor agreement.</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security documents create the liens on the collateral in favor of a collateral agent for the benefit of the holders of the notes and the lenders under our credit facilities. However, the intercreditor agreement grants the agent under our credit facilities certain rights that may adversely affect the interest of the holders of the notes under the security documents. The intercreditor agreement permits the agent under our credit facilities, without the consent of the holders of the notes, to direct the collateral agent to amend various terms of, and waive defaults under, the security documents. The agent under our credit facilities is entitled to exercise this right even at a time when no amounts are outstanding under our credit facilities. If the agent under our credit facilities exercises such rights, the holders of the notes may not be able to enforce the terms of the security documents and exercise their rights thereunder. The intercreditor agreement will release the agent for the lenders from all liability to the extent permitted by law, except for fraud or willful misconduct.</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addition, the agent under our credit facilities is entitled, at any time when the amount outstanding under our credit facilities equals or exceeds $100 million and without the consent of the trustee or the holders of the notes, to amend the subordination provisions that apply to any permitted junior secured debt that we may incur. Any such amendment could increase, perhaps significantly, the rights of any holders of junior debt under the intercreditor agreement to the detriment of the holders of the notes. Any such amendment could also adversely affect the ability of the trustee or the holders of the notes to enforce remedies against the collateral and recover the proceeds thereof.</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intercreditor agreement limits the ability of the holders of the notes to control decisions regarding the collateral and to take enforcement actions.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intercreditor agreement provides that for the first 30 days following an occurrence of an event of default under our credit facilities or a payment event of default under the indenture governing the notes, only the agent for the lenders under our credit facilities will have the right to instruct the collateral agent to enforce their security interests and initiate the exercise of remedies against the collateral, and the holders of the notes will not have any rights to direct such remedies. From and after the expiration of such 30 day period, either the agent for the lenders under our credit facilities, or the lenders under our credit facilities and the holders of the notes controlling a majority of the aggregate amount of loans and notes outstanding, may instruct the collateral agent to commence the exercise of remedies against the collateral. Given that the amount of loans advanced by the lenders under our credit facilities may, from time to time, be substantially smaller than the outstanding amount of the notes, the lenders’ interests may not be aligned with those of noteholders and the lenders may have different motives or strategies to protect their investment. As such, the lenders under our credit facilities may choose to instruct the collateral agent to enforce their security interest or may initiate the exercise of other remedies against the collateral at any given time even though allowing us additional time to resolve any issues or take any other actions could increase the likelihood of repayment of the notes. In addition, the intercreditor agreement includes certain provisions, such as waivers of certain rights or consents to certain proceedings in bankruptcy, that may not be enforceable in bankruptcy.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institute bankruptcy proceedings to prevent foreclosure of the collateral.</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an exercise of remedies, the lenders under our credit facilities or the holders of the notes may institute foreclosure proceedings against the collateral. To prevent foreclosure, we may be motivated to commence voluntary bankruptcy proceedings, or certain creditors may be motivated to institute involuntary bankruptcy proceedings against us under the United States Bankruptcy Code. The commencement of any such bankruptcy proceedings would expose the holders of the notes to additional risks, including, without limitation, additional restrictions on exercising rights against collateral and on otherwise pursuing or obtaining repayment of the notes. See “—Bankruptcy laws may significantly impair your rights to repossess and dispose of collateral securing the notes, and otherwise collect on any amounts due thereunder” below.</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laws will impose additional restrictions on foreclosure.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a result of gaming restrictions, in any foreclosure sale of Wynn Las Vegas, the purchaser or the operator of the facility would need to be licensed to operate the resort’s casino under the Nevada gaming laws and regulations. If the note trustee acting on behalf of the holders of the notes or the lenders under our credit facilities purchased Wynn Las Vegas at a foreclosure sale, the note trustee or such lenders would not be permitted to continue gaming operations at Wynn Las Vegas unless they retained an entity licensed under the Nevada gaming laws to conduct gaming operations at the facility. The holders of the notes may have to be licensed or found suitable in any event.</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notes trustee must obtain prior approval from, and may be required to be licensed by, the Nevada gaming authorities before the note trustee can foreclose on the pledged equity interests in our restricted subsidiaries.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notes upon acceleration of the notes, and to otherwise pursue or obtain repayment of the notes, is likely to be significantly impaired or delayed by applicable bankruptcy law if a bankruptcy case is commenced by or against us prior to a taking of possession or disposition of the collateral securing the notes by the note trustee for the benefit of the holders of the notes.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Parties who have provided services or supplies in connection with Wynn Las Vegas and Encore may have a lien on the property senior to the security interests securing the notes and guarantees.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Nevada law provides contractors, subcontractors and material suppliers with a lien on the property improved by their services or supplies in order to secure their right to be paid. If these parties are not paid in full, they may seek foreclosure of their liens. In Nevada, the priority of all mechanics’ liens related to a particular construction project relate back to the date on which any contractor first commenced work. Accordingly, contractors, subcontractors and suppliers providing goods and services in connection with the expansion project who after recordation of the deed of trust securing the notes otherwise comply with the applicable requirements of Nevada law may have a lien on the property senior in priority to the lien securing the notes until they are paid in full. In the event of a liquidation, proceeds from the sale of collateral will be used to pay the holders of any mechanics’ liens then in existence before holders of the notes.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Bankruptcy laws may significantly impair your rights to repossess and dispose of collateral securing the notes, and otherwise collect on any amounts due thereunder.</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If a bankruptcy case were to be commenced by or against us prior to the repossession and disposition of note collateral, the right of the trustee to repossess and dispose of the note collateral upon the occurrence of an event of default under the indenture is likely to be significantly impaired by applicable bankruptcy law. A bankruptcy case may be commenced by us or by certain unsecured creditors as provided in the United States Bankruptcy Code.</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notes and the lenders under our credit facilities, from repossessing their security from a debtor in a bankruptcy case, or from disposing of collateral in their possession, without bankruptcy court approval. Moreover, applicable bankruptcy law and/or the bankruptcy court may permit the debtor to continue to retain and use the collateral even though the debtor is in default under the applicable debt instruments, provided that the secured creditor is given “adequate protection” of its interest in the collateral.</w:t>
      </w:r>
    </w:p>
    <w:p>
      <w:pPr>
        <w:spacing w:after="0" w:line="11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meaning of the term “adequate protection” may vary according to circumstances, but it is generally intended to protect the value of the secured creditor’s interest in the collateral from diminution as a result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stay of repossession or disposition or any use of the collateral by the debtor during the pendency of the bankruptcy case. “Adequate protection” may include cash payments or the granting of additional security, of such type, at such time and in such amount as the bankruptcy court may determine.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noteholders may not have any consent rights with respect to the use of those funds by us during the pendency of a bankruptcy proceeding. In view of the lack of a precise definition of the term “adequate protection,” the broad discretionary powers of a bankruptcy court and the possible complexity of valuation issues, it is impossible to predict how long payments under the notes could be delayed following commencement of a bankruptcy case, whether or when the note trustee could repossess or dispose of the collateral or whether or to what extent, through the requirement of “adequate protection,” the holders of the notes would be compensated for any delay in payment or loss of value of the collateral.</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United States Bankruptcy Code, a claim is a secured claim up to the value of the collateral that secures it. In most cases, interest stops accruing on the date of commencement of the bankruptcy case, but if the collateral’s value exceeds the amount of the claim, interest may continue to accrue on the claim up to the collateral’s value. On the other hand, if the amount of the claim exceeds the collateral’s value, the excess constitutes an unsecured claim. Generally, the United States Bankruptcy Code contemplates that secured creditors will be paid in full. If a bankruptcy proceeding is commenced by or against us, we cannot assure you that the Bankruptcy Court would find that your collateral’s value exceeds the amount outstanding under the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might bear on the recovery by the holders of the notes in these circumstances, among others, would include:</w:t>
      </w:r>
    </w:p>
    <w:p>
      <w:pPr>
        <w:spacing w:after="0" w:line="90" w:lineRule="exact"/>
        <w:rPr>
          <w:sz w:val="20"/>
          <w:szCs w:val="20"/>
          <w:color w:val="auto"/>
        </w:rPr>
      </w:pPr>
    </w:p>
    <w:p>
      <w:pPr>
        <w:ind w:left="900" w:right="3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Encore;</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lenders with higher priority liens or other secured creditors may seek, and perhaps receive, relief from the automatic stay to foreclose their respective liens;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original issue discount may be disallowed in a bankruptcy proceeding as unmatured interest.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Moreover, in a bankruptcy proceeding, the bankruptcy court would have broad discretion to approve transactions that could disadvantage the holders of the notes. For example, under certain circumstances, a bankruptcy court could approve our or third parties’ motions for sales of collateral on terms favorable to us, require you to accept subordinated or other securities in exchange for the notes, or order substantive consolidation of us with Wynn Resorts in a bankruptcy in which Wynn Resorts was debtor.</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Accordingly, regardless of the ultimate disposition of any of these or other motions or claims, there can be no assurances, pending or following the completion of the bankruptcy proceeding, with respect to the following: whether and when any payments under the notes would be made; whether or when the trustee could foreclose upon or sell the collateral; whether the terms and conditions of the notes or any rights of the noteholders could be altered in a bankruptcy case without the trustee’s or your consent; whether the trustee or you would be able to enforce your rights against the subsidiary guarantors under their guarantees; and whether and to what extent noteholders would be compensated for any delay in payment or decline in the collateral’s value.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rights under agreements serving as collateral for the notes may be rejected in bankruptcy.</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Among other things, contract rights under certain of our agreements serve as collateral for the notes, including rights that stem from the agreements to which we are a party, such as our Design Build Architectural, Engineering and Construction Services Agreement, dated as of February 27, 2007, with Tutor-Saliba Corporation for the design and construction of Encore. If a bankruptcy case were to be commenced by or against Tutor, it is possible that Tutor or a trustee appointed in its bankruptcy case might reject the Tutor construction contract pursuant to section 365 or section 1123 of the United States Bankruptcy Code, which rejection would render the contract unenforceable against Tutor. Additionally, to the extent any rejected agreement constitutes a lease of real property, the resulting claim of the lessor for damages resulting from termination may be capped pursuant to section 502(b)(6) of the United States Bankruptcy Code.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the notes have no liens on certain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holders of the notes do not have a lien on our gaming or liquor licenses, because under the Nevada gaming laws they may not be pledged as collateral. In addition, the notes and our credit facilities are not secured by any assets related to Wynn Macau, and the holders of the notes have no claim against those assets. The notes also are not secured by, among other things, World Travel, LLC’s aircraft. Accordingly, such assets are not available to the holders upon an exercise of remedies under the collateral documents.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noteholders’ liens on all or part of the collateral will be released if certain conditions are met.</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liens on all of the collateral will be released if the lenders under our credit facilities release their liens on such collateral (other than in connection with a refinancing) and (i) no default or event of default has occurred, (ii) the completion date for Encore has occurred and (iii) the lenders under any other outstanding secured debt (other than capital lease obligations and purchase money indebtedness) have released their security interest in such collateral.</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the liens on the golf course land and related water rights may be released so long as Encore is open and operating and (i) no default or event of default has occurred and is continuing immediately prior to or after giving effect to such release, (ii) the lenders under our credit facilities concurrently release their first priority liens on the golf course land (other than in connection with a refinancing) and (iii) both immediately prior to the release of the lien and after giving pro forma effect to such release our and our restricted subsidiaries’ total debt does not exceed 6.5 times Consolidated EBITDA (as defined in the indenture for the notes) for the last four full fiscal quarters.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Once the security interests in the golf course land and the related water rights are released, the noteholders will have only a first priority lien on the assets comprising the hotel and casino, the equity interest of Wynn Holdings or Wynn Las Vegas and the equity interest in our restricted subsidiaries. In the event that the security interests on all of the collateral are released, the notes will become our unsecured obligations. As our senior unsecured obligations, the notes would be effectively subordinated to any secured indebtedness of the issuers and the guarantors up to the value of the collateral securing such indebtedness, would rank senior in right of payment to any subordinated indebtedness of the issuers and guarantors, and would rank equal in right of payment to any existing and future unsecured senior indebtedness of the issuers and guarantors.</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addition, the indenture provides for releases of the security interests in certain collateral under specified circumstances and also provides that security interests in the collateral can be released in connection with asset sales, permitted investments and other permitted dispositions.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additional liens on collateral provided after the notes are issued could also be avoided as preferential transfers.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indenture provides that certain future restricted subsidiaries will guarantee the notes and secure their guarantees with liens on their assets. The indenture also requires us to grant liens on certain assets that we and the existing guarantors acquire after the notes are issued. If the entity granting an additional lien were insolvent at the time of the grant and if such grant was made within 90 days before that entity commenced a bankruptcy case (or one year before commencement of a bankruptcy case if the creditor that benefited from the lien is an “insider” under the United States Bankruptcy Code), the additional lien could be avoided as a preferential transfer.</w:t>
      </w:r>
    </w:p>
    <w:p>
      <w:pPr>
        <w:spacing w:after="0" w:line="2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avoid the notes, guarantees, and liens, and to require noteholders to return payments received from us or the guarantors.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creditors or the creditors of our guarantors could challenge the issuance of the notes or the guarantors’ issuance of their guarantees, and the liens on the assets that secure the notes and guarantees, respectively, as fraudulent conveyances or on other grounds. Under the federal bankruptcy law and similar provisions of state fraudulent transfer laws, the issuance of notes, the delivery of the guarantees, and the granting of liens could be avoided (that is, cancelled) as fraudulent transfers if a court determined that the issuer, at the time it issued the notes or granted the liens, or the guarantor, at the time it issued the guarantee or granted the liens (or, in some jurisdictions, when payment became due under the guarantee):</w:t>
      </w:r>
    </w:p>
    <w:p>
      <w:pPr>
        <w:spacing w:after="0" w:line="35"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issued the notes or guarantees, as the case may be, or granted the liens with the intent to hinder, delay or defraud its existing or future creditors; or</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notes or guarantees, as the case may be, or granting of the liens, and if the issuer or guarantor: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issued the notes, issued the guarantee, or granted the liens;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issuer’s or guarantor’s remaining assets constituted unreasonably small capital; or</w:t>
      </w:r>
    </w:p>
    <w:p>
      <w:pPr>
        <w:spacing w:after="0" w:line="113" w:lineRule="exact"/>
        <w:rPr>
          <w:rFonts w:ascii="Arial" w:cs="Arial" w:eastAsia="Arial" w:hAnsi="Arial"/>
          <w:sz w:val="16"/>
          <w:szCs w:val="16"/>
          <w:color w:val="auto"/>
        </w:rPr>
      </w:pPr>
    </w:p>
    <w:p>
      <w:pPr>
        <w:ind w:left="1460" w:hanging="547"/>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generally as they mature.</w:t>
      </w:r>
    </w:p>
    <w:p>
      <w:pPr>
        <w:spacing w:after="0" w:line="17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A court likely would find that a guarantor did not receive reasonably equivalent value or fair consideration for its guaranty or pledge of assets unless it benefited directly or indirectly from the notes issuance. If the guarantees were avoided or limited under fraudulent transfer or other laws, any claim you may make against the guarantors for amounts payable on the notes would be unenforceable to the extent of such avoidance or limitation.</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sum of its property, at a fair valuation;</w:t>
      </w:r>
    </w:p>
    <w:p>
      <w:pPr>
        <w:spacing w:after="0" w:line="9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cannot be sure what standard a bankruptcy court would apply in making these determinations or, regardless of the standard, that a bankruptcy court would not avoid the guarantees.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collateral securing the notes includes real property and, as a result, holders of the notes may be subject to certain environmental risks.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that can adversely affect the property’s value or result in investigative or remedial costs or liabilities that could be material. In addition, under the federal Comprehensive Environmental Response, Compensation, and Liability Act, as amended (“CERCLA”), a secured lender may be held liable, in certain limited circumstances, for the costs of remediating a release of, or preventing a threatened release of, hazardous substances at a mortgaged property or at an owned property after foreclosure. There may be similar risks under state laws or common law theories.</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 .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fulfill our repurchase obligations with respect to the notes upon a change of control.</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we experience certain specific change of control events, we will be required to offer to repurchase all outstanding notes at 101% of their principal amount, plus accrued and unpaid interest to the date of repurchase. We cannot assure you that we will have available funds sufficient to pay the change of control purchase price for any or all of the notes that might be delivered by holders of the notes seeking to accept the change of control offer. Moreover, under the indenture governing the notes, certain important corporate events, such as leveraged recapitalizations that would increase the level of our indebtedness, would not constitute a “change of control” and thus would not give rise to any repurchase rights. See “Description of the New Notes—Repurchase at the Option of Holders —Change of Control.”</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addition, our credit facilities contain, and any future credit agreement likely will contain, restrictions or prohibitions on our ability to repurchase the notes under certain circumstances. If these change of control events or similar events occur at a time when we are prohibited from repurchasing the notes, we may seek the consent of our lenders to purchase the notes or could attempt to refinance the obligations that contain these prohibitions or restrictions. If we do not obtain our lenders’ consent or refinance these obligations, we will not be able to repurchase the notes. Accordingly, the holders of the notes may not receive the change of control purchase price for their notes in the event of a sale or other change of control, which will give the trustee and the holders of the notes the right to declare an event of default and accelerate the repayment of the notes. See “Description of the New Notes—Events of Default and Remedies.”</w:t>
      </w:r>
    </w:p>
    <w:p>
      <w:pPr>
        <w:spacing w:after="0" w:line="20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In the event that a bankruptcy court orders the substantive consolidation of us with certain affiliated parties, payments on the notes could be delayed or reduced.</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our separate existence and that our assets and liabilities can be readily identified as distinct from those of Wynn Resorts and its other subsidiaries. However, we cannot assure you that a bankruptcy court would agree in the event that any of Wynn Resorts or any of its other subsidiaries becomes a debtor under the United States Bankruptcy Code. If a bankruptcy court concludes that substantive consolidation of us with any affiliated party referred to in this paragraph is warranted, noteholders should expect payments on the notes to be delayed and/or reduced.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guarantors of the notes likely will not be able to contribute to any payments with respect to the notes.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Although the assets of the subsidiary guarantors are important to our operations, they are not expected to generate significant cash flows. As such, you should not expect any of the guarantors to contribute to any payments of principal, interest or other amounts required to be made on the notes.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Resorts will not be required to contribute to payments of principal, interest or other amounts required to be made on the notes regardless of whether it has unrestricted funds from other sources. In addition, certain subsidiaries of Wynn Resorts, including the entities involved in the development of Wynn Macau, are parties to financing or other agreements that restrict their ability to make any payments or distributions to Wynn Resorts.</w:t>
      </w:r>
    </w:p>
    <w:p>
      <w:pPr>
        <w:spacing w:after="0" w:line="18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5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Unrestricted subsidiaries will generally not be subject to the covenants under the notes indenture. Unrestricted subsidiaries may enter into financing arrangements that limit their ability to make loans, dividends or other payments to us. Accordingly, we may not be able to rely on the cash flow or assets of unrestricted subsidiaries to pay any of our indebtedness, including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redeem your notes due to regulatory considerations, either as required by gaming authorities or in our discretion.</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indenture grants us the power to redeem the notes that you own or control if any gaming authority requires you, or a beneficial owner of the notes, to be licensed, qualified or found suitable under any applicable gaming law and:</w:t>
      </w:r>
    </w:p>
    <w:p>
      <w:pPr>
        <w:spacing w:after="0" w:line="51" w:lineRule="exact"/>
        <w:rPr>
          <w:sz w:val="20"/>
          <w:szCs w:val="20"/>
          <w:color w:val="auto"/>
        </w:rPr>
      </w:pPr>
    </w:p>
    <w:p>
      <w:pPr>
        <w:ind w:left="900" w:right="1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gaming authority);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or such beneficial owner is determined by a gaming authority to be unsuitable to own or control the notes.</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Under the foregoing circumstances, under the indenture, we may redeem, and if required by the applicable gaming authority, we must redeem, your notes to the extent required by the gaming authority or deemed necessary or advisable by us. The redemption price will be equal to:</w:t>
      </w:r>
    </w:p>
    <w:p>
      <w:pPr>
        <w:spacing w:after="0" w:line="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As a holder of the notes, you may be required to comply with registration, licensing, qualification or other requirements under gaming laws or dispose of your securities.</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gaming authority of any jurisdiction in which we currently or in the future conduct or propose to conduct gaming may require that a holder of the notes be registered, licensed, qualified or found suitable, or comply with other requirements under applicable gaming laws. If you purchase or otherwise accept an interest in the notes, by the terms of the indenture governing the notes, you will agree to comply with all of these requirements, including your agreement to register or apply for a license, qualification or a finding of suitability, or comply with any other requirement, within the required time period, as provided by the relevant gaming authority. If you fail to apply to be, or fail to become, registered, licensed or qualified, or are found unsuitable or fail to comply with any other requirement of a gaming authority, then we will have the right, at our option, to:</w:t>
      </w:r>
    </w:p>
    <w:p>
      <w:pPr>
        <w:spacing w:after="0" w:line="39" w:lineRule="exact"/>
        <w:rPr>
          <w:sz w:val="20"/>
          <w:szCs w:val="20"/>
          <w:color w:val="auto"/>
        </w:rPr>
      </w:pPr>
    </w:p>
    <w:p>
      <w:pPr>
        <w:ind w:left="900" w:right="3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you to sell your notes or beneficial interest in the notes within 30 days after you receive notice of our election, or any earlier date that the relevant gaming authority may request or prescribe;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redeem your notes (possibly within less than 30 days following the notice of redemption if requested or prescribed by the gaming authority) at a price equal to:</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lesser of (1) the principal amount of the notes and (2) the price that you or the beneficial owner paid for the notes, in either case, together with accrued and unpaid interest on the notes.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will notify the indenture trustee in writing of any redemption as soon as practicable. We will not be responsible for any costs or expenses you may incur in connection with your registration, application for a license, qualification or a finding of suitability, or your compliance with any other requirement of a gaming authority. The indenture governing the notes also provides that as soon as you are required to sell your notes as a result of a gaming authority action, you will, to the extent required by applicable gaming laws, have no further right:</w:t>
      </w:r>
    </w:p>
    <w:p>
      <w:pPr>
        <w:spacing w:after="0" w:line="62"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exercise, directly or indirectly, any right conferred by the notes; or</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receive from us any interest or any other distributions or payments, or any remuneration in any form, relating to the notes, except the redemption price we refer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“Description of the New Notes—Gaming Redemption.”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new notes.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Because the old notes were issued with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 An active market may not develop for the new notes, and there can be no assurance as to the liquidity of any market that may develop for the new notes. If an active market does not develop, the market price and liquidity of the new notes may be adversely affected. If any of the new notes are traded after their initial issuance, they may trade at a discount from the price you paid for the old notes. Future trading prices of the notes will depend on many factors, including, among other things, prevailing interest rates, our operating results and the market for similar securities. Historically, the market for high-yield debt has been subject to disruptions that have caused substantial fluctuations in the prices of these securities. In addition, securities of gaming companies historically have been more volatile than securities of other companies. The market for the new notes may be subject to such disruptions, and there can be no assurance that the notes will not be subject to such volatility, either of which could have an adverse effect on the price and liquidity of the notes. We do not intend to apply for listing of the notes on any securities exchange or for quotation of the notes in any automated dealer quotation system, although the old notes currently trade in The PORTAL Market.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who fail to exchange their old notes will continue to be subject to restrictions on transfer and may have reduced liquidity after the exchange offer.</w:t>
      </w:r>
    </w:p>
    <w:p>
      <w:pPr>
        <w:spacing w:after="0" w:line="1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you do not exchange your old notes in the exchange offer, you will continue to be subject to the restrictions on transfer applicable to your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are offered and sold under an exemption from these requirements. We do not plan to register the old notes under the Securities Act.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Furthermore, we have not conditioned the exchange offer on receipt of any minimum or maximum principal amount of old notes. As old notes are tendered and accepted in the exchange offer, the principal amount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remaining outstanding old notes will decrease. This decrease could reduce the liquidity of the trading market for the old notes. We cannot assure you of the liquidity, or even the continuation, of the trading market for the outstanding old notes following the exchange offer.</w:t>
      </w:r>
    </w:p>
    <w:p>
      <w:pPr>
        <w:spacing w:after="0" w:line="85"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For further information regarding the consequences of not tendering your old notes in the exchange offer, see the discussions below under the captions “The Exchange Offer—Consequences of Exchanging or Failing to Exchange Old Notes” and “Material United States Federal Income Tax Considerations.”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to receive new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Delivery of new notes in exchange for old notes tendered and accepted for exchange pursuant to the exchange offer will be made only after timely receipt by the exchange agent of the following:</w:t>
      </w:r>
    </w:p>
    <w:p>
      <w:pPr>
        <w:spacing w:after="0" w:line="51" w:lineRule="exact"/>
        <w:rPr>
          <w:sz w:val="20"/>
          <w:szCs w:val="20"/>
          <w:color w:val="auto"/>
        </w:rPr>
      </w:pPr>
    </w:p>
    <w:p>
      <w:pPr>
        <w:ind w:left="900" w:right="120" w:hanging="446"/>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certificates for old notes or a book-entry confirmation of a book-entry transfer of old notes into the exchange agent’s account at DTC, New York, New York as a depository, including an agent’s message, as defined in this prospectus, if the tendering holder does not deliver a letter of transmittal;</w:t>
      </w:r>
    </w:p>
    <w:p>
      <w:pPr>
        <w:ind w:left="900" w:right="46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Therefore, holders of old notes who would like to tender old notes in exchange for new notes should be sure to allow enough time for the necessary documents to be timely received by the exchange agent. We are not required to notify you of defects or irregularities in tenders of old notes for exchange. Old notes that are not tendered or that are tendered but we do not accept for exchange will, following consummation of the exchange offer, continue to be subject to the existing transfer restrictions under the Securities Act and will no longer have the registration and other rights under the registration rights agreement. See “The Exchange Offer—Procedures for Tendering Old Notes” and “The Exchange Offer—Consequences of Exchanging or Failing to Exchange Old Notes.”</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new notes, you may be deemed to have received restricted securities. If you are deemed to have received restricted securities, you will be required to comply with the registration and prospectus delivery requirements of the Securities Act in connection with any resale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not receive any cash proceeds from the exchange offer. Any old notes that are properly tendered and exchanged pursuant to the exchange offer will be retired and cancelled.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investments minus capitalized interest. “Fixed charges” consist of interest cost whether expensed or capitalized, amortization of debt issuance costs and a portion of operating lease rental expense deemed to be representative of the interest factor.</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table below sets forth our capitalization, on a consolidated basis, as of December 31, 2007. The data in the table should be read in conjunction with “Management’s Discussion and Analysis of Financial Condition and Results of Operations” and our consolidated financial statements and notes thereto.</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As of December 31,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60"/>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net of $10.8 million of original issue discount</w:t>
            </w:r>
          </w:p>
        </w:tc>
        <w:tc>
          <w:tcPr>
            <w:tcW w:w="216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1,689,184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Credit facilities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860"/>
              <w:spacing w:after="0"/>
              <w:rPr>
                <w:sz w:val="20"/>
                <w:szCs w:val="20"/>
                <w:color w:val="auto"/>
              </w:rPr>
            </w:pPr>
            <w:r>
              <w:rPr>
                <w:rFonts w:ascii="Arial" w:cs="Arial" w:eastAsia="Arial" w:hAnsi="Arial"/>
                <w:sz w:val="18"/>
                <w:szCs w:val="18"/>
                <w:color w:val="auto"/>
              </w:rPr>
              <w:t>Aircraft financing</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 members’ equity</w:t>
            </w:r>
          </w:p>
        </w:tc>
        <w:tc>
          <w:tcPr>
            <w:tcW w:w="1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16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jc w:val="right"/>
              <w:ind w:right="2132"/>
              <w:spacing w:after="0"/>
              <w:rPr>
                <w:sz w:val="20"/>
                <w:szCs w:val="20"/>
                <w:color w:val="auto"/>
              </w:rPr>
            </w:pPr>
            <w:r>
              <w:rPr>
                <w:rFonts w:ascii="Arial" w:cs="Arial" w:eastAsia="Arial" w:hAnsi="Arial"/>
                <w:sz w:val="18"/>
                <w:szCs w:val="18"/>
                <w:color w:val="auto"/>
              </w:rPr>
              <w:t>35</w:t>
            </w:r>
          </w:p>
        </w:tc>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2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selected data presented below as of and for the years ended December 31, 2007, 2006, 2005, 2004 and 2003 is derived from our audited consolidated financial statements.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data should be read together with our consolidated financial statements and notes thereto, “Management’s Discussion and Analysis of Financial Condition and Results of Operations” and the other information contained in this prospectus.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revenues(1)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722,292</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1,139,348</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1,295,851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Operating income/(loss)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(18,981)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13,056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116,456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200,621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(160,502)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Ratio of earnings to fixed charges(2)</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1.12X</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1.87X</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Deficiency of earnings to cover fixed charges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(275,502)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4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4"/>
              </w:rPr>
              <w:t>As of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4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18,234</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87,777</w:t>
            </w:r>
          </w:p>
        </w:tc>
        <w:tc>
          <w:tcPr>
            <w:tcW w:w="4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93,820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146,521</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investments(3)</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394,757</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565,230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1,448,529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214,574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865,130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1,209,183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2,788,302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3,195,828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3,119,888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3,647,256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long-term obligations(4)</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927,327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1,356,593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1,763,995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1,683,906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2,035,653</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1,276,868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1,224,829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1,242,770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Wynn Las Vegas opened on April 28, 2005.</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purposes of computing the ratio of earnings to fixed charges, “earnings” are defined as earnings before income taxes plus fixed charges, amortization of capitalized interest and distributed income of equity invested minus capitalized interest. “Fixed charges” consist of interest cost whether expensed or capitalized, amortization of debt issuance costs and a portion of operating lease rental expense deemed to be representative of the interest factor. Our earnings were inadequate to cover our fixed charges by $94.5 million, $275.5 million, and $73.4 million for the years ended December 31, 2003, 2004 and 2005, respectively. Our ratio of earnings to fixed charges was 1.12x and 1.87x for the years ended December 31, 2006 and 2007, respectively.</w:t>
      </w:r>
    </w:p>
    <w:p>
      <w:pPr>
        <w:spacing w:after="0" w:line="3"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Restricted cash and investments primarily reflects the proceeds of our debt and equity financings that are restricted for the construction of Encore and prior to December 31, 2005 for Wynn Las Vegas.</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long-term portion of due to affiliates.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In addition, on April 28, 2006, we commenced construction of Encore, a hotel casino resort which when completed will be fully integrated with Wynn Las Vegas. Until the opening of Wynn Las Vegas in 2005, we were solely a development stage company.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utilizes approximately 18 additional acres across Sands Avenue, a portion of which is improved with an employee parking garage, and approximately 5 acres adjacent to our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currently features:</w:t>
      </w:r>
    </w:p>
    <w:p>
      <w:pPr>
        <w:spacing w:after="0" w:line="90" w:lineRule="exact"/>
        <w:rPr>
          <w:sz w:val="20"/>
          <w:szCs w:val="20"/>
          <w:color w:val="auto"/>
        </w:rPr>
      </w:pPr>
    </w:p>
    <w:p>
      <w:pPr>
        <w:ind w:left="900" w:right="2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Mobil Five Star and Michelin award-winning restaurant, Alex;</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showrooms, two nightclubs and a lounge.</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Tower Suites at Wynn Las Vegas is the only casino resort in the world that holds both the Mobil five star and AAA five diamond distinctions. In addition, Wynn Las Vegas was recognized in November 2007 by Michelin, the esteemed European restaurant rating system. Two Michelin stars were awarded to Alex and one Michelin star was awarded to each of Wing Lei and Daniel Boulud Brasserie. Additionally, Wynn Las Vegas received five red pavilions, the highest for Michelin rated accommodations.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2007.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 During the year ended December 31, 2007, projects included remodeling the Le Rêve Theater to enhance the customer experience, two retail outlet conversions and the conversion of Lure to the nightclub Blush.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December 2008.</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which opened in March 2007. The project budget will be funded from our existing credit facilities, remaining proceeds from the issuance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We currently rely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We opened Wynn Las Vegas on April 28, 2005. Accordingly, our results of operations for the years ended December 31, 2007 and 2006 include full periods for Wynn Las Vegas, however, the year ended December 31, 2005 contains only 248 days of operations.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recorded net income for the year ended December 31, 2007 of $124.2 million, which represents a $114.4 million increase from the $9.8 million recorded during the year ended December 31, 2006. This increase is due to significant increases in revenues and operating income primarily related to our casino operations as identified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discussions of our operational performance for the periods in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84"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2007 compared to financial results for the year ended December 31, 2006.</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Net revenues for the year ended December 31, 2007 were comprised of $642.3 million in net casino revenues (49.6% of total net revenues) and $653.5 million of net non-casino revenues (50.4% of total net revenues). Net revenues for the year ended December 31, 2006 were comprised of $535.6 million in net casino revenues (47.0% of total net revenues) and $603.8 million of net non-casino revenues (53.0% of total net revenues). We believe the quality of our resorts’ non-casino amenities, combined with providing guests an unparalleled total resort experience, has driven a premium in our ADR and other non-gaming revenues as well as increased the length of casino play.</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2007 of approximately $642.3 million represents an increase of approximately $106.8 million (or 19.9%) from casino revenues of $535.6 million for the year ended December 31, 2006. The increase in casino revenues is primarily driven by Wynn Las Vegas’ success in the high-end gaming market. For the year ended December 31, 2007, we experienced a 14.6% increase in drop and our average table games win percentage (before discounts) of 25.3% was above the expected range of 21.0% to 24.0%. During the year ended December 31, 2006, our average table game win percentage (before discounts) was 22.1%. Slot handle at Wynn Las Vegas increased slightly during the year ended December 31, 2007 as compared to 2006, and our slot win percentage for the years ended December 31, 2007 and 2006 was within the expected range of 4.5% and 5.5%.</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2007, room revenues were approximately $285.7 million, which represents a $17.5 million (or 6.5%) increase over the $268.2 million generated for the year ended December 31, 2006. The increase is primarily driven by increased occupancy and rates as noted in the table of key operating measures noted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8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89"/>
              </w:rPr>
              <w:t>2007</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300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1300" w:type="dxa"/>
            <w:vAlign w:val="bottom"/>
            <w:gridSpan w:val="2"/>
          </w:tcPr>
          <w:p>
            <w:pPr>
              <w:jc w:val="right"/>
              <w:ind w:right="652"/>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288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$311 million, retail revenues of approximately $94.8 million, entertainment revenues of approximately $64.5 million, and other revenues from outlets, including the spa and salon, of approximately $50.2 million. 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During the year ended December 31, 2007, departmental expenses included casino expenses of $276.5 million, rooms expenses of $75.8 million, food and beverage expenses of $192.5 million, and entertainment, retail and other expenses of $145.5 million. Also included are general and administrative expenses of</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approximately $199.8 million and approximately $21.1 million charged as a provision for doubtful accounts receivable. During the year ended December 31, 2006, departmental expenses included casino expenses of $250.4 million, room expenses of $71.2 million, food and beverage expenses of $185.4 million, and entertainment, retail and other expenses of $129.9 million. Also included are general and administrative expenses of approximately $180.7 million and approximately $20.7 million charged as a provision for doubtful accounts receivable. The increase of Wynn Las Vegas expenses is commensurate with the increase in revenues.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Management fees were $19.5 million for the year ended December 31, 2007 compared to $17.1 million for the prior year as a result of increased revenues.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Pre-opening costs for the year ended December 31, 2007 of $6.5 million increased by $4.4 million compared to the $2 million incurred during the year ended December 31, 2006. Pre-opening costs for the year ended December 31, 2007 were incurred with the opening of “Monty Python’s Spamalot” and the development of Encore. As the development and construction of Encore progresses in 2008, we expect associated pre-opening costs to increase as opening approaches in December 2008, but not to the same level as we experienced with the opening of Wynn Las Vegas on April 28, 2005.</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2007 of $152.8 million increased by $5.2 million compared to the $147.6 million incurred in the year ended December 31, 2006, primarily due to the addition of a new employee parking garage and the amortization of additional show production costs.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construction of Wynn Las Vegas and Encore,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When Encore opens and these assets are placed into service in December 2008, we will begin recognizing the associated depreciation expense thereon. Depreciation expense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2007 of $6 million decreased by $8.4 million compared to the $14.4 million incurred for the year ended December 31,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continue to make enhancements and refinements to Wynn Las Vegas.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Lure to the nightclub Blush.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Interest income was $14.2 million for the year ended December 31, 2007, a decrease of $8.6 million compared to $22.8 million for the year ended December 31, 2006. This decrease is primarily due to reduced interest income earned on restricted cash balances during the year ended December 31, 2007 compared to 2006 as our restricted cash was used to fund costs related to the development and construction of Encore.</w:t>
      </w:r>
    </w:p>
    <w:p>
      <w:pPr>
        <w:spacing w:after="0" w:line="107"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Interest expense, net of capitalized interest of $33.6 million, was $86.1 million for the year ended December 31, 2007 compared to $117.8 million, net of capitalized interest of $7.7 million, for the year ended December 31, 2006. This decrease is due to lower average debt balances under the credit facilities during the year, lower interest rates as a result of the August 2006 bank refinancing and increased capitalized interest of $25.9 million due to the continued construction of Encore, offset by approximately $4 million of additional interest expense related to the $400 million of debt issued in November 2007. Interest capitalization will increase in future periods as Encore construction progresses.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interest rate swap is accounted for in accordance with SFAS No. 133, “Accounting for Derivative Instruments and Hedging Activity,” as amended. The fair value of our interest rate swap is recorded as either an asset or liability with changes in the fair value of the interest rate swap recorded as an increase (decrease) in swap fair value. We recorded a decrease in swap fair value of approximately $4.4 million for the year ended December 31, 2007 and an increase in swap fair value of approximately $871,000 for the year ended December 31, 2006 resulting from a decrease in the fair value of our interest rate swap from December 31, 2006 to December 31, 2007 and an increase in the fair value of our interest rate swap from December 31, 2005 to December 31, 2006 (December 31, 2005 to August 15, 2006 in the case of the terminated swap), respectively. We began 2006 with two $200 million notional amount interest rate swaps. On August 15, 2006, concurrent with the refinancing of our Credit Facilities (see “Liquidity and Capital Resources—Financing Activities”), we terminated one of our two previously existing interest rate swaps. For further information on our interest rate swaps, see “Quantitative and Qualitative Disclosures about Market Risk.”</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from extinguishment of debt for the year ended December 31, 2007 was $157,000. In March 2007, World Travel, LLC, a subsidiary of Wynn Las Vegas, LLC, refinanced a $44.75 million note payable. The new loan had an original principal balance of $42 million and is due April 1, 2017. In connection with this transaction, we incurred a net loss from extinguishment of debt of $157,000 related to the write-off of unamortized debt issue costs associated with the original loan during the year ended December 31, 2007. 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12% Second Mortgage Notes due 2010 (the “Second Mortgage Notes”) and incurred a $1.7 million redemption premium which is also included as loss from extinguishment of debt.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year ended December 31, 2006 compared to financial results for the year ended December 31, 2005.</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results of operations for the year ended December 31, 2006 include a full period of operations for Wynn Las Vegas and only 248 days of Wynn Las Vegas operations for the year ended December 31, 2005.</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Net revenues for the year ended December 31, 2006 were comprised of $535.6 million in casino revenues (47% of total net revenues) and $603.8 million of net non-casino revenues (53% of total net revenues). Net revenues for the 248 days of operations for the year ended December 31, 2005 were comprised of $353.7 million in net casino revenues (49% of total net revenues) and $368.6 million of net non-casino revenues (51% of total net revenues). We believe the quality of our resorts’ non-casino amenities, combined with providing guests an unparalleled total resort experience, has driven a premium in our ADR and other non-gaming revenues.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Casino revenues for the year ended December 31, 2006 of approximately $535.6 million represents an approximately $181.9 million (or 51.4%) increase from the casino revenues of $353.7 million for the 248 days of operations for the year ended December 30, 2005. The increase in casino revenues was primarily driven by Wynn Las Vegas being open for all of 2006 as opposed to only 248 days in 2005. For the year ended December 31, 2006, our average table games win percentage (before discounts) of 22.1% was within the expected range of 21% to 24%. During the year ended December 31, 2005, our average table game win percentage (before discounts) was 21.5%. Our slot win percentage for the years ended December 31, 2006 and 2005 was within the expected range of 4.5% and 5.5%.</w:t>
      </w:r>
    </w:p>
    <w:p>
      <w:pPr>
        <w:spacing w:after="0" w:line="144"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For the year ended December 31, 2006, room revenues were approximately $268.2 million, which represents a $97.9 million (or 57.5%) increase over the $170.3 million generated in the 248 days of operations for the year ended December 31, 2005. The increase is primarily driven by Wynn Las Vegas being open for the full year as opposed to 248 days of operations in 2005, as well as increased occupancy and rates as noted in the table of key operating measures below.</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2006</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12"/>
                <w:szCs w:val="12"/>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Occupancy</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94.4%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non-casino revenues for the year ended December 31, 2006 included food and beverage revenues of approximately $295.2 million, retail revenues of approximately $79.3 million, entertainment revenues of approximately $66.3 million, and other revenues from outlets, including the spa and salon, of approximately $49 million. Other non-casino revenues for the 248 days of operations for the year ended December 31, 2005 included food and beverage revenues of approximately $173.7 million, retail revenues of approximately $51.2 million, entertainment revenues of approximately $41.8 million, and other revenues from outlets, including the spa and salon, of approximately $ 32.5 million. Food and beverage revenues in 2006 benefited significantly from increased revenues from the nightclub located in Wynn Las Vegas as compared to the 2005 food and beverage revenues.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During the year ended December 31, 2006, departmental expenses included casino expenses of $250.4 million, rooms expenses of $71.2 million, food and beverage expenses of $185.4 million, and entertainment, retail and other expenses of $129.9 million. Also included are general and administrative expenses 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approximately $180.7 million and approximately $20.7 million charged as a provision for doubtful accounts receivable. During the year ended December 31, 2005, departmental expenses included casino expenses of $155.1 million, room expenses of $44.2 million, food and beverage expenses of $118.7 million, and entertainment, retail and other expenses of $79.6 million. Also included are general and administrative expenses of approximately $109.2 million and approximately $16.3 million charged as a provision for doubtful accounts receivable. The increase in expenses is due primarily to a full period of Wynn Las Vegas operations in 2006 compared to 248 days of operations in 2005. Furthermore, the increase of Wynn Las Vegas expenses was commensurate with the increase in revenues.</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on January 1, 2006, we adopted Statement of Accounting Standard (“SFAS”) No. 123R, Share Based Payments, using the modified prospective method. For the year ended December 31, 2006, we recorded $8.1 million of stock-based compensation expense which is included in the departmental expense of the employee recipient of the stock based award. Prior to January 1, 2006, we did not recognize expense for employee stock options that were granted at the market price. See Note 11 to our annual Consolidated Financial Statements included in this prospectus for more information.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revenues. These fees will be paid upon meeting certain leverage ratios and satisfying certain other criteria set forth in our credit facilities. Management fees were $17.1 million for the year ended December 31, 2006 compared to $10.8 million for the prior year. This increase is primarily due to a full year of operations in 2006 compared to 248 days in 2005.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Pre-opening costs for the year ended December 31, 2006 of $2 million decreased by $65.4 million compared to the $67.5 million incurred during the year ended December 31, 2005. Wynn Las Vegas no longer incurred pre-opening costs once the property opened on April 28, 2005; consequently, only the relatively small amount of pre-opening costs relating to Encore were incurred during the year ended December 31, 2006. There was a substantial increase in staffing immediately preceding the opening of Wynn Las Vegas, which is reflected in the pre-opening costs in 2005. As the development and construction of Encore progresses, we expect associated pre-opening costs to increase, but not to the same level as we experienced with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Depreciation and amortization expense for the year ended December 31, 2006 of $147.6 million increased by $53.3 million compared to the $94.3 million incurred in the year ended December 31, 2005, primarily as a result of the longer operating period for the year ended December 31, 2006 compared to December 31, 2005.</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construction of Wynn Las Vegas, costs incurred in the construction of the buildings, improvements to land and the purchases of assets for use in operations were capitalized. Once Wynn Las Vegas opened on April 28, 2005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February 2006, we agreed with the producers of “Avenue Q” to end Avenue Q’s exclusive Las Vegas run at Wynn Las Vegas’ Broadway Theater at the end of May 2006. To terminate the contract, we paid a termination fee of $5 million. This fee was recorded in the first quarter of 2006. We have remodeled the Broadway Theater and adjacent areas to accommodate performances of “Monty Python’s Spamalot,” which opened in the first quarter of 2007.</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2006 of $14.4 million increased by $0.2 million compared to the $14.2 million incurred for the year ended December 31, 2005.</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response to our evaluation of the completed Wynn Las Vegas project and the reactions of our guests, we began to make enhancements and refinements to Wynn Las Vegas in the third quarter of 2005 which continued throughout 2006. The $14.4 million of costs relating to assets retired as a result of these enhancement and remodel efforts for the year ended December 31, 2006 have been expensed as property charges. During the year ended December 31, 2006, we remodeled the six North Fairway Villas, several areas of the retail promenade, a portion of the baccarat area to feature a casino bar and improved public baccarat space along with private baccarat salons and converted the Keno lounge to a retail outlet for womens’ accessories.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Interest income was $22.8 million for the year ended December 31, 2006, an increase of $4.3 million compared to $18.5 million for the year ended December 31, 2005. In the third quarter of 2005, we loaned Wynn Resorts $80 million with interest at 7.5% per year, payable semi-annually. The loan was outstanding for the entire year of 2006 and three months in 2005. Accordingly, we earned approximately $3.7 million more interest income during 2006 on this receivable as compared to 2005. In addition, the decrease in our average cash balances during the year was offset by higher interest rates earned in 2006 compared to 2005.</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Interest expense, net of capitalized interest of $7.7 million, was $117.8 million for the year ended December 31, 2006 compared to $86.7 million, net of capitalized interest of $36.8 million, for the year ended December 31, 2005. While interest expense, including capitalized interest, was relatively flat, capitalized interest decreased significantly once Wynn Las Vegas opened on April 28, 2005. For the first four months of the year ended December 31, 2005, virtually all interest incurred was capitalized. Interest capitalization will increase in future periods as Encore construction progresses.</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began 2006 with two $200 million notional amount interest rate swaps. On August 15, 2006, concurrent with the refinancing of our credit facilities (see “Liquidity and Capital Resources—Financing Activities”), we terminated one of our two previously existing interest rate swaps. The fair values of our interest rate swaps are recorded as either assets or liabilities. Changes in the fair value of these interest rate swaps are recorded as an increase (decrease) in swap fair value. We recorded an increase in swap fair value of approximately $871,000 for the year ended December 31, 2006 and an increase in swap fair value of approximately $9.9 million for the year ended December 31, 2005 resulting from the increases in the fair value of our interest rate swaps from December 31,</w:t>
      </w:r>
    </w:p>
    <w:p>
      <w:pPr>
        <w:spacing w:after="0" w:line="2"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2005 to December 31, 2006 (December 31, 2005 to August 15, 2006 in the case of the terminated swap) and from December 31, 2004 to December 31, 2005, respectively. For further information on our interest rate swaps, see “Quantitative and Qualitative Disclosures about Market Risk.”</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Loss from extinguishment of debt totaled $12.5 million for the year ended December 31, 2006. On August 15, 2006 we refinanced our credit facilities as discussed in further detail below (see “Liquidity and Capital Resources—Financing Activities”). In accordance with EITF Issue 96-19, we recorded a loss from extinguishment of debt for the year ended December 31, 2006 of approximately $10.8 million to reflect the write-off of the previous term loan’s unamortized deferred financing costs and the payment of certain third-party bank fees incurred during the refinancing. On November 1, 2006, we redeemed the remaining approximate $10.1 million of our Second Mortgage Notes and incurred a $1.7 million redemption premium which is also included as loss from extinguishment of debt.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cash flows are primarily affected by the operating income generated by Wynn Las Vegas, interest paid, and non-cash charges included in operating income. Net cash provided by operations for the year ended December 31, 2007 was $315.7 million compared to $205.6 million provided by operations for the year ended December 31, 2006. This increase is due to the increase in operating income as a result of improved operational results especially in the casino department.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At December 31, 2007, we had approximately $146.5 million of cash and cash equivalents available for use without restriction, including for operations, new development activities, enhancements to Wynn Las Vegas, or to support the construction of Encore. We require a certain amount of cash on hand for operations. Excess funds are swept from accounts into overnight investments, to repay borrowings under our credit facilities or fund development of Encore. In addition, we have $883.3 million available under our credit facilities as described under “Financing Activities” below.</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December 31, 2007, we had approximately $31.1 million of restricted cash and investments in the Encore completion guarantee account. Restricted investments are kept in money market funds or relatively short-term, government-backed, marketable debt securities as required by agreements governing our debt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Flows—Investing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our credit facilities, we were permitted to make up to $172.2 million of capital expenditures in 2007 (including $47.2 million carried forward from 2006), of which we have expended approximately $60.1 million. For 2008, the limit under our credit facilities is $272.1 million, including $112.1 million carried forward from 2007. The spending limit will be increased to the extent funds are contributed to Wynn Las Vegas by Wynn Resorts.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April 28, 2006, we commenced construction on Encore. Design and construction is progressing as expected at Encore. We expect to open Encore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2008. Current construction activities in the various project sections include the following:</w:t>
      </w:r>
    </w:p>
    <w:p>
      <w:pPr>
        <w:spacing w:after="0" w:line="84"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concrete floor slabs and structural steel are complete for the hotel tower.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Exterior glass installation is 95%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furniture and equipment installation is complete up to the 6th floor.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low-rise casino concrete pours and the structural steel is complete.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Drywall is 80% complete in the convention area and 20% complete at the casino level, spa level, and back of house.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Taxi and valet tunnels are 60% complete and exterior enclosure of the entire low rise is 80% complete.</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project budget for Encore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306" w:lineRule="auto"/>
        <w:rPr>
          <w:sz w:val="20"/>
          <w:szCs w:val="20"/>
          <w:color w:val="auto"/>
        </w:rPr>
      </w:pPr>
      <w:r>
        <w:rPr>
          <w:rFonts w:ascii="Arial" w:cs="Arial" w:eastAsia="Arial" w:hAnsi="Arial"/>
          <w:sz w:val="16"/>
          <w:szCs w:val="16"/>
          <w:color w:val="auto"/>
        </w:rPr>
        <w:t>of “Monty Python’s Spamalot” at Wynn Las Vegas. The project budget is being funded from our existing credit facilities and remaining proceeds from the offering of the old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2007, we had incurred approximately $998.7 million of project costs related to the development and construction of Encore and related capital improvements.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90" w:lineRule="exact"/>
        <w:rPr>
          <w:sz w:val="20"/>
          <w:szCs w:val="20"/>
          <w:color w:val="auto"/>
        </w:rPr>
      </w:pPr>
    </w:p>
    <w:p>
      <w:pPr>
        <w:ind w:left="900" w:right="3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the remaining proceeds of the offering of the old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Second, by using the proceeds of borrowings under our credit facilities;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 by using the funds from the completion guarantee deposit account.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 Rêve Production Rights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On May 31, 2006, we entered into an agreement to acquire substantially all intellectual property rights related to “Le Rêve,” which were previously only licensed to us. We paid $15.9 million to acquire substantially all of the rights in and to “Le Rêve,” and to repay approximately $1.4 million of production costs, which were reimbursable to the executive producer of “Le Rêve.” The rights acquired enable us to produce, present, enhance, or alter the performance of “Le Rêve” after May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90"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August 15, 2006, we entered into an Amended and Restated Credit Agreement (the “Amended and Restated Credit Agreement”) which, among other things, (i) increased our borrowing capacity from $1 billion to $1.125 billion by increasing the revolving credit facility from $600 million to $900 million (the “Revolver”) and reducing the delayed draw term loan facility from $400 million to $225 million (the “Term Loan”) (together, the “Credit Facilities”); (ii) reduced the borrowing margins on London Interbank Offered Rate (“LIBOR”)-based Revolver and Term Loans to 1.625% and 1.875%, respectively; (iii) extended the maturity dates for the Revolver and the Term Loan to 2011 and 2013, respectively; and (iv) reduced the consolidated interest coverage ratio requirement for quarterly periods on or prior to December 31, 2007 to 2:1. The Amended and Restated Credit Agreement also: (i) reduced the range of the Revolver’s annual LIBOR borrowing margin after the opening of Encore from a range of 1.25% to 2.50% to a range of 1.0% to 1.75%, depending on our leverage ratio; and</w:t>
      </w:r>
    </w:p>
    <w:p>
      <w:pPr>
        <w:ind w:right="120" w:firstLine="8"/>
        <w:spacing w:after="0" w:line="255" w:lineRule="auto"/>
        <w:tabs>
          <w:tab w:leader="none" w:pos="2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simplified the procedures for and conditions to obtaining advances and reduced the reporting obligations under the Amended and Restated Credit Agreement upon the satisfaction of certain conditions, including fully utilizing all remaining proceeds from previously funded amounts under the notes for payment of Encore project costs.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31, 2007, there were no amounts outstanding under the Revolver. We do have $16.7 million of outstanding letters of credit that reduce our availability under the Revolver. Consequently, $883.3 million remains available under the Revolver for future borrowings for the construction of Encore or for other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uses as necessary. For borrowings under the Revolver, we have elected, and expect to continue to elect, Eurodollar loans, which bear interest at the 1-month LIBOR rate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$225 million Term Loan matures in 2 installments: $112.5 million will be payable on September 30, 2012 and the remaining $112.5 million will be payable on August 15, 2013.</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Credit Facilities are obligations of Wynn Las Vegas, LLC and are guaranteed by and secured by substantially all of the assets (except our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notes and senior in right of payment to all of their existing and future subordinated indebtedness.</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April 2007, we amended our Credit Facilities to: (a) have the Final Completion as defined, be deemed satisfied for Wynn Las Vegas with the resulting release of (i) all amounts in excess of $30 million from the Completion Guaranty Deposit; ($24.6 million), and (ii) the balance of funds in the Project Liquidity Reserve Account ($32.8 million), (b) increase the permitted expenditures for Encore from $300 million to $500 million prior to the execution of a guaranteed maximum price contract, and (c) permit the issuance of up to $500 million of unsecured debt as and when permitted under the indenture governing the notes.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2007, we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 Also in October 2007, pursuant to the Credit Facilities, Wynn Las Vegas entered into a pre-agreed upon form of Amended and Restated Master Disbursement Agreement with Deutsche Bank Trust Company Americas as Bank Agent and Disbursement Agent.</w:t>
      </w:r>
    </w:p>
    <w:p>
      <w:pPr>
        <w:spacing w:after="0" w:line="170" w:lineRule="exact"/>
        <w:rPr>
          <w:sz w:val="20"/>
          <w:szCs w:val="20"/>
          <w:color w:val="auto"/>
        </w:rPr>
      </w:pPr>
    </w:p>
    <w:p>
      <w:pPr>
        <w:ind w:right="20" w:firstLine="456"/>
        <w:spacing w:after="0" w:line="233" w:lineRule="auto"/>
        <w:rPr>
          <w:sz w:val="20"/>
          <w:szCs w:val="20"/>
          <w:color w:val="auto"/>
        </w:rPr>
      </w:pPr>
      <w:r>
        <w:rPr>
          <w:rFonts w:ascii="Arial" w:cs="Arial" w:eastAsia="Arial" w:hAnsi="Arial"/>
          <w:sz w:val="18"/>
          <w:szCs w:val="18"/>
          <w:color w:val="auto"/>
        </w:rPr>
        <w:t xml:space="preserve">On November 6, 2007, we completed a private offering of $400 million aggregate principal 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offering of the old notes). The old notes were issued under the same indenture as the original 2004 notes and the registered 2004 notes that we had previously issued. The old notes are pari passu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The old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old notes have not been registered under the Securities Act of 1933 or under any state securities laws. Therefore, we may not offer or sell the old notes within the United States to, or for the account or benefit of, any United States person unless the offer or sale would qualify for a registration exemption from the Securities Act and applicable state securities laws. We have agreed to make an offer to exchange the old notes for registered, publicly traded notes (the new notes) that have substantially identical terms as the old notes. We have filed the registration statement of which this prospectus forms a part to register such new notes and facilitate the exchange offer.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Airplane Note</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was to terminate and be payable in full on March 31, 2010. The term loans were guaranteed by Wynn Las Vegas, LLC and secured by a first priority security interest in our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our aircraft. Principal and interest are due quarterly with a balloon payment of $28 million due at maturity. Interest is calculated at 90-day LIBOR plus 125 basis points. In connection with this transaction, we incurred a loss from extinguishment of debt of $157,000 related to the write-off of unamortized debt issue costs associated with the original loan during the year ended December 31, 2007.</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straight forward interest rate swaps. We do not have any retained or contingent interest in assets transferred to an unconsolidated entity. At December 31, 2007, we had outstanding letters of credit totaling $16.7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2007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10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1 to 3</w:t>
            </w:r>
          </w:p>
        </w:tc>
        <w:tc>
          <w:tcPr>
            <w:tcW w:w="340" w:type="dxa"/>
            <w:vAlign w:val="bottom"/>
          </w:tcPr>
          <w:p>
            <w:pPr>
              <w:spacing w:after="0"/>
              <w:rPr>
                <w:sz w:val="11"/>
                <w:szCs w:val="11"/>
                <w:color w:val="auto"/>
              </w:rPr>
            </w:pPr>
          </w:p>
        </w:tc>
        <w:tc>
          <w:tcPr>
            <w:tcW w:w="500" w:type="dxa"/>
            <w:vAlign w:val="bottom"/>
          </w:tcPr>
          <w:p>
            <w:pPr>
              <w:jc w:val="right"/>
              <w:ind w:right="26"/>
              <w:spacing w:after="0" w:line="129" w:lineRule="exact"/>
              <w:rPr>
                <w:sz w:val="20"/>
                <w:szCs w:val="20"/>
                <w:color w:val="auto"/>
              </w:rPr>
            </w:pPr>
            <w:r>
              <w:rPr>
                <w:rFonts w:ascii="Arial" w:cs="Arial" w:eastAsia="Arial" w:hAnsi="Arial"/>
                <w:sz w:val="14"/>
                <w:szCs w:val="14"/>
                <w:b w:val="1"/>
                <w:bCs w:val="1"/>
                <w:color w:val="auto"/>
              </w:rPr>
              <w:t>4 to 5</w:t>
            </w:r>
          </w:p>
        </w:tc>
        <w:tc>
          <w:tcPr>
            <w:tcW w:w="340" w:type="dxa"/>
            <w:vAlign w:val="bottom"/>
          </w:tcPr>
          <w:p>
            <w:pPr>
              <w:spacing w:after="0"/>
              <w:rPr>
                <w:sz w:val="11"/>
                <w:szCs w:val="11"/>
                <w:color w:val="auto"/>
              </w:rPr>
            </w:pPr>
          </w:p>
        </w:tc>
        <w:tc>
          <w:tcPr>
            <w:tcW w:w="620" w:type="dxa"/>
            <w:vAlign w:val="bottom"/>
          </w:tcPr>
          <w:p>
            <w:pPr>
              <w:jc w:val="right"/>
              <w:ind w:right="80"/>
              <w:spacing w:after="0" w:line="129" w:lineRule="exact"/>
              <w:rPr>
                <w:sz w:val="20"/>
                <w:szCs w:val="20"/>
                <w:color w:val="auto"/>
              </w:rPr>
            </w:pPr>
            <w:r>
              <w:rPr>
                <w:rFonts w:ascii="Arial" w:cs="Arial" w:eastAsia="Arial" w:hAnsi="Arial"/>
                <w:sz w:val="14"/>
                <w:szCs w:val="14"/>
                <w:b w:val="1"/>
                <w:bCs w:val="1"/>
                <w:color w:val="auto"/>
              </w:rPr>
              <w:t>After</w:t>
            </w: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5"/>
              </w:rPr>
              <w:t>1 Year</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8"/>
              </w:rPr>
              <w:t>Years</w:t>
            </w:r>
          </w:p>
        </w:tc>
        <w:tc>
          <w:tcPr>
            <w:tcW w:w="340" w:type="dxa"/>
            <w:vAlign w:val="bottom"/>
          </w:tcPr>
          <w:p>
            <w:pPr>
              <w:spacing w:after="0"/>
              <w:rPr>
                <w:sz w:val="14"/>
                <w:szCs w:val="14"/>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5 Years</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210"/>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$ 115.3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$1,966.0</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779.1</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2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2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Other(2)</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2"/>
        </w:trPr>
        <w:tc>
          <w:tcPr>
            <w:tcW w:w="7220" w:type="dxa"/>
            <w:vAlign w:val="bottom"/>
            <w:gridSpan w:val="2"/>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740.0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515.7</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377.5</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2,079.0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3,712.2</w:t>
            </w:r>
          </w:p>
        </w:tc>
      </w:tr>
      <w:tr>
        <w:trPr>
          <w:trHeight w:val="20"/>
        </w:trPr>
        <w:tc>
          <w:tcPr>
            <w:tcW w:w="1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62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2007.</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restricted under the indenture governing the notes from making certain “restricted payments” as defined in the indenture. These restricted payments include the payment of dividends or distributions to any direct or indirect holders of equity interests of Wynn Las Vegas, LLC. The restricted payments may not be made until Encore has been completed and certain other financial and non-financial criteria have been satisfied. In addition, the Credit Facilities contain similar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completion of Encore is delayed, then our debt service obligations accruing prior to the actual opening will increase correspondingly. Wynn Las Vegas will fund its operations and capital requirements from operating cash flow and remaining availability under our Credit Facilities. We cannot be sure, however, that Wynn Las Vegas will generate sufficient cash flow from operations or that future borrowings available to us under the Credit Facilities will be sufficient to enable us to service and repay Wynn Las Vegas, LLC’s indebtedness and to fund its other liquidity needs. We cannot be sure that we will be able to refinance any of the indebtedness on acceptable terms or at all.</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Once Wynn Las Vegas opened, expenses associated with the opening of the resort were no longer charged as pre-opening expenses. However, start-up costs relating to Encore will continue to be charged to pre-opening expenses.</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of the project, including design and construction and applicable portions of interest, are capitalized. Accordingly, the recorded amounts of property and equipment increase significantly during construction periods. Depreciation expense related to capitalized construction costs is recognized when the related assets are put in service. Upon opening of Wynn Las Vegas, we began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2007 and 2006, approximately 53% and 55%, respectively,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 (amounts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161,913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133,985</w:t>
            </w:r>
          </w:p>
        </w:tc>
        <w:tc>
          <w:tcPr>
            <w:tcW w:w="1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50,142</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6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20.7%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w:t>
            </w: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a normal increase in casino accounts receivable over 180 days. While collection efforts remain active, it is our current policy to fully reserve all accounts over one year old.</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 We currently have one interest rate swap with changes in fair value being recorded in our Consolidated Statements of Operations.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60" w:firstLine="456"/>
        <w:spacing w:after="0" w:line="310" w:lineRule="auto"/>
        <w:rPr>
          <w:sz w:val="20"/>
          <w:szCs w:val="20"/>
          <w:color w:val="auto"/>
        </w:rPr>
      </w:pPr>
      <w:r>
        <w:rPr>
          <w:rFonts w:ascii="Arial" w:cs="Arial" w:eastAsia="Arial" w:hAnsi="Arial"/>
          <w:sz w:val="15"/>
          <w:szCs w:val="15"/>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us. In applying the modified prospective method, financial statements of prior periods presented do not reflect any adjusted amounts (i.e. prior periods do not include compensation cost calculated under the fair value method).</w:t>
      </w:r>
    </w:p>
    <w:p>
      <w:pPr>
        <w:spacing w:after="0" w:line="10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Our adoption of SFAS No. 157 on January 1, 2008 will not have a material impact on the Company’s financial position, results of operations or cash flows.</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be sure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2007 on our expected long-term indebtedness. However, we cannot predict the LIBOR rate that will be in effect in the future. Accordingly, the one-month LIBOR rate at December 31, 2007 of 4.6% is used for all variable rate calculations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5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4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480" w:type="dxa"/>
            <w:vAlign w:val="bottom"/>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2"/>
                <w:szCs w:val="12"/>
                <w:color w:val="auto"/>
              </w:rPr>
            </w:pPr>
          </w:p>
        </w:tc>
        <w:tc>
          <w:tcPr>
            <w:tcW w:w="11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2"/>
                <w:szCs w:val="12"/>
                <w:color w:val="auto"/>
              </w:rPr>
            </w:pP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vMerge w:val="continue"/>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w:t>
            </w:r>
          </w:p>
        </w:tc>
        <w:tc>
          <w:tcPr>
            <w:tcW w:w="9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1,700.0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Variable rate</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$ 1.1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$ 1.4</w:t>
            </w:r>
          </w:p>
        </w:tc>
        <w:tc>
          <w:tcPr>
            <w:tcW w:w="3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320" w:type="dxa"/>
            <w:vAlign w:val="bottom"/>
          </w:tcPr>
          <w:p>
            <w:pPr>
              <w:spacing w:after="0"/>
              <w:rPr>
                <w:sz w:val="18"/>
                <w:szCs w:val="18"/>
                <w:color w:val="auto"/>
              </w:rPr>
            </w:pPr>
          </w:p>
        </w:tc>
        <w:tc>
          <w:tcPr>
            <w:tcW w:w="1120" w:type="dxa"/>
            <w:vAlign w:val="bottom"/>
            <w:gridSpan w:val="3"/>
          </w:tcPr>
          <w:p>
            <w:pPr>
              <w:jc w:val="right"/>
              <w:ind w:right="472"/>
              <w:spacing w:after="0"/>
              <w:rPr>
                <w:sz w:val="20"/>
                <w:szCs w:val="20"/>
                <w:color w:val="auto"/>
              </w:rPr>
            </w:pPr>
            <w:r>
              <w:rPr>
                <w:rFonts w:ascii="Arial" w:cs="Arial" w:eastAsia="Arial" w:hAnsi="Arial"/>
                <w:sz w:val="18"/>
                <w:szCs w:val="18"/>
                <w:color w:val="auto"/>
              </w:rPr>
              <w:t>$ 1.4</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83"/>
              </w:rPr>
              <w:t>$113.9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146.8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12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2007, we have one interest rate swap arrangement to hedge the underlying interest rate risk on a total of $200 million of borrowings under the current Wynn Las Vegas, LLC Term Loan, which bears interest at LIBOR plus 1.875%. Under this interest rate swap arrangement, we receive payments at a variable rate of LIBOR and pay a fixed rate of 3.793% on $200 million notional amount expiring December 31, 2008. Although this interest rate swap is highly effective economically in fixing the interest rate on this borrowing under the new Term Loan at approximately 5.7%, changes in fair value of this interest rate swap for each reporting period are,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Swap Fair Values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December 31, 2007 and 2006, the Wynn Las Vegas, LLC interest rate swaps had an approximate asset fair value of $0.4 million and $4.8 million, respectively. 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our interest rate swap, by contractual maturity date, as of December 31, 2007 and using estimated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LIBOR rates based upon implied forward rates in the yield curve: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center"/>
              <w:ind w:left="52"/>
              <w:spacing w:after="0"/>
              <w:rPr>
                <w:sz w:val="20"/>
                <w:szCs w:val="20"/>
                <w:color w:val="auto"/>
              </w:rPr>
            </w:pPr>
            <w:r>
              <w:rPr>
                <w:rFonts w:ascii="Arial" w:cs="Arial" w:eastAsia="Arial" w:hAnsi="Arial"/>
                <w:sz w:val="14"/>
                <w:szCs w:val="14"/>
                <w:b w:val="1"/>
                <w:bCs w:val="1"/>
                <w:color w:val="auto"/>
                <w:w w:val="84"/>
              </w:rPr>
              <w:t>Expected Averages as of December 31,</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3"/>
          </w:tcPr>
          <w:p>
            <w:pPr>
              <w:jc w:val="center"/>
              <w:ind w:left="52"/>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$ 200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1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pay rate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3.79%</w:t>
            </w: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2007, approximately 97% of our long-term debt was based on fixed rates, including $200 million of the Term Loan subject to the interest rate swap. Based on our borrowings as of December 31, 2007, an assumed 1% change in variable rates would cause our annual interest cost to change by $0.7 million.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Wynn Las Vegas, LLC owns and operates Wynn Las Vegas, a destination casino resort on the Strip in Las Vegas, Nevada, and is constructing an expansion of Wynn Las Vegas named Encore at Wynn Las Vegas. Wynn Las Vegas, LLC was formed on April 17, 2001 as a Nevada limited liability company. The sole member of Wynn Las Vegas is Wynn Holdings, and the sole member of Wynn Holdings is Wynn Resorts.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Capital is a wholly owned subsidiary of Wynn Las Vegas, LLC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any operating activity. Its sole function is to serve as the co-issuer of the notes.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construction of Encore commenced on April 28, 2006. Prior to April 28, 2005, we were solely a development stage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Wynn Las Vegas opened on April 28, 2005. Wynn Las Vegas’ accommodations, amenities and exceptional service have allowed us to attract and retain high quality customers. Wynn Las Vegas offers 2,716 rooms and suites, including 36 fairway villas and 6 private-entry villas for our premium guests. The Tower Suites at Wynn Las Vegas is the only casino resort in the world that has been awarded both the Mobil five star and AAA five diamond distinctions.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Additionally, our resort and country club received five red pavilions, the highest honor for Michelin rated accommodations. The approximately 111,000 square foot casino features approximately 140 table games, a baccarat salon, private VIP gaming rooms, a poker room, approximately 1,970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two showrooms. The “Le Rêve” Theater features “Le Rêve,” a water-based production. The Broadway Theater hosts “Monty Python’s Spamalot,” winner of the 2005 Tony Award for best musical. Performances of Spamalot commenced in the first quarter of 2007. We believe that the unique experience of Wynn Las Vegas drives the significant visitation experienced since opening. During the year ended December 31, 2007, our average hotel occupancy was 96.0% and our average daily room rate was $300, which compares favorably to the overall 90.4% average occupancy and $132 average daily room rate of Las Vegas.</w:t>
      </w:r>
    </w:p>
    <w:p>
      <w:pPr>
        <w:spacing w:after="0" w:line="1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approximately 18 acres across Sands Avenue, a portion of which is improved with an employee parking garage, and approximately 5 acres adjacent to our golf course on which an office building is located.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In the ordinary course of our business and in order to increase revenues, we have made and continue to make certain enhancements and refinements to Wynn Las Vegas. Since opening on April 28, 2005, we have remodeled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and </w:t>
      </w:r>
      <w:r>
        <w:rPr>
          <w:rFonts w:ascii="Arial" w:cs="Arial" w:eastAsia="Arial" w:hAnsi="Arial"/>
          <w:sz w:val="16"/>
          <w:szCs w:val="16"/>
          <w:i w:val="1"/>
          <w:iCs w:val="1"/>
          <w:color w:val="auto"/>
        </w:rPr>
        <w:t>Blush,</w:t>
      </w:r>
      <w:r>
        <w:rPr>
          <w:rFonts w:ascii="Arial" w:cs="Arial" w:eastAsia="Arial" w:hAnsi="Arial"/>
          <w:sz w:val="16"/>
          <w:szCs w:val="16"/>
          <w:color w:val="auto"/>
        </w:rPr>
        <w:t xml:space="preserve"> our nightclubs</w:t>
      </w:r>
      <w:r>
        <w:rPr>
          <w:rFonts w:ascii="Arial" w:cs="Arial" w:eastAsia="Arial" w:hAnsi="Arial"/>
          <w:sz w:val="16"/>
          <w:szCs w:val="16"/>
          <w:i w:val="1"/>
          <w:iCs w:val="1"/>
          <w:color w:val="auto"/>
        </w:rPr>
        <w:t>,</w:t>
      </w:r>
      <w:r>
        <w:rPr>
          <w:rFonts w:ascii="Arial" w:cs="Arial" w:eastAsia="Arial" w:hAnsi="Arial"/>
          <w:sz w:val="16"/>
          <w:szCs w:val="16"/>
          <w:color w:val="auto"/>
        </w:rPr>
        <w:t xml:space="preserve"> several areas of the retail promenade, a portion of the baccarat area to feature a casino bar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improved public baccarat space along with private baccarat salons and converted the Keno lounge to a retail outlet for womens’ accessories. In March 2007, we remodeled the Le Rêve Theater, decreasing the seat count from 2,087 to 1,606 to further enhance the guest experience. We have incurred and will continue to incur capital expenditures related to these types of enhancements and refinements.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constructing Encore on approximately 20 acres on the Strip, immediately adjacent to Wynn Las Vegas. Plans for Encore include a 2,034 all-suite hotel tower fully integrated with Wynn Las Vegas, as well as an approximately 72,000 square foot casino, additional convention and meeting space, restaurants, a nightclub, swimming pools, a spa and salon and retail outlets. We commenced construction of Encore in the second quarter of 2006 and expect to open Encore in December 2008.</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Encore’s project budget is approximately $2.2 billion, consisting of approximately $2.1 billion for Encore and approximately $100 million for an employee parking garage on our Koval property, an associated pedestrian bridge and costs incurred in connection with the remodeling of the Broadway Theater and production of “Monty Python’s Spamalot” at Wynn Las Vegas. The project budget is being funded from our existing credit facilities, operating cash flow from Wynn Las Vegas and the debt raised in the offering of the old notes. To the extent additional funds are required, we will provide these amounts with additional debt and equity contributions by Wynn Resorts or additional indebtedness to be incurred by Wynn Las Vegas. As of December 31, 2007, we had incurred approximately $998.7 million of project costs related to the development and construction of Encore and related capital improvements.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February 27, 2007, we entered into the Contract with Tutor for the design and construction of Encore. The Contract sets forth all of the terms and conditions pursuant to which Tutor will design and construct Encore. In June 2007, we executed the First Amendment to the Contract which set the GMP for work covered by the Contract at $1.3 billion. In connection with the execution and delivery of the Contract, Tutor and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Capitalize on the “Wynn” Brand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Steve Wynn is the preeminent designer, developer and operator of destination casino resorts and, as such,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brand name status. We believe Mr. Wynn’s involvement with Wynn Las Vegas provides a distinct advantage over other gaming enterprises. We integrate luxurious surroundings, distinctive entertainment and superior amenities, including fine dining and premium retail offerings, to appeal to a variety of customers, especially high-end customers. We believe that Wynn Las Vegas sets a new standard of luxury and elegance for destination casino resorts. We also believe that Mr. Wynn’s reputation and the new standard of luxury and elegance brought to the industry by Wynn Las Vegas and our affiliate, Wynn Macau, translate to a high level of anticipation for Encore. We intend to extend our “Wynn” brand to other opportunities as they arise.</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Attract and deliver high-quality service and amenities to high-end gaming customers. </w:t>
      </w:r>
      <w:r>
        <w:rPr>
          <w:rFonts w:ascii="Arial" w:cs="Arial" w:eastAsia="Arial" w:hAnsi="Arial"/>
          <w:sz w:val="16"/>
          <w:szCs w:val="16"/>
          <w:color w:val="auto"/>
        </w:rPr>
        <w:t>Wynn Las Vegas was designed and built to attract premium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Wynn Las Vegas offers luxurious rooms and suites, high-limit tables, VIP gaming salons, exquisite fine dining, premium retail shopping, distinctive entertainment and an 18-hole golf course. The Tower Suites at Wynn Las Vegas is the only casino resort in the world that has been awarded both the AAA Five Diamond and Mobil Five Star distinctions and four of Wynn Las Vegas’ restaurants have been recognized by AAA (including our AAA Five Diamond restaurant, Alex). In addition, Wynn Las Vegas was recognized in November 2007 by Michelin, the esteemed European restaurant rating system. Three of our restaurants were awarded Michelin stars. Two Michelin stars were awarded to Alex and one Michelin star was awarded to each of Wing Lei and Daniel Boulud Brasserie. Overall our resort and country club received five red pavilions, the highest Michelin accommodations rating. Our hotel and gaming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offerings are designed to meet the expectations of high-budget, premium customers, including our Asian customers. We expect our Asian customer segment to become even more significant with Wynn Macau now open, and intend to capitalize on cross-marketing opportunities between Wynn Las Vegas and Wynn Macau.</w:t>
      </w:r>
    </w:p>
    <w:p>
      <w:pPr>
        <w:spacing w:after="0" w:line="134"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traditional incentives, including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1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premium customers. Mr. Wynn’s reputation has attracted experienced, high-level international and domestic casino marketing executives to work for us. We have marketing executives located in local offices in Tokyo, Hong Kong, Macau, Singapore, Taiwan, Vancouver and southern California, as well as independent marketing representatives in major U.S. and foreign cities.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various media channels, including television, radio, newspapers, magazines, the internet, direct mail and billboards.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Las Vegas Real Estate Assets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is located on approximately 55 acres on the famed Las Vegas Strip. Our property is located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3.2 million square feet of convention space operated by the Las Vegas Convention and Visitors Authority and the Palazzo and Venetian Casino Resort and its approximately 1.8 million square foot Sands Expo Center; diagonally across from the Mirage and the Treasure Island Hotel and Casino; directly across from the Fashion Show Mall and Trump Towers; and across from Echelon and The Plaza, which are currently under development. Encore is being developed on 20 acres of land adjacent to Wynn Las Vegas. We also have an approximately 142-acre parcel of land behind Wynn Las Vegas, which is currently used as a golf course. In addition, we have approximately 5 acres adjacent to the golf course on which an office building is located and approximately 18 acres of land across Sands Avenue, a portion of which is improved with an employee parking garage.</w:t>
      </w:r>
    </w:p>
    <w:p>
      <w:pPr>
        <w:spacing w:after="0" w:line="11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are developing a long-range master plan for the 142-acre golf course. It is not expected that any construction on the golf course land would begin before 2009.</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and his team bring significant experience in designing, developing and operating casino resorts. Mr. Wynn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members of the current Wynn Resorts’ senior management team were responsible for the design, development and operation of The Mirage, Treasure Island at The Mirage, and Bellagio. The senior executive team of Wynn Resorts has an average of approximately 25 years of experience in the hotel and gaming industries. We also have an approximately 120-person design, development and construction subsidiary, the senior management of which has significant experience in all major construction disciplines.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Las Vegas is the largest gaming market in the United States and is also one of the fastest growing leisure, lodging and entertainment markets in the United States. During the year ended December 31, 2007, the Las Vegas gaming and hotel markets continued their upward trends with, among other things, a 0.7% increase in visitation to 39.2 million visitors, a 2.3% increase in Las Vegas Strip gaming revenue and a 10.3% increase in average daily room rates, all as compared to the year ended December 31,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Many properties on the Las Vegas Strip have opened over the past ten years, including the Bellagio, Mandalay Bay Resort &amp; Casino, Paris Las Vegas, Planet Hollywood Resort &amp; Casino (formerly known as the Aladdin), The Venetian and The Palazzo. In addition, a number of existing properties on the Las Vegas Strip embarked on expansions during this period, including Bellagio, Luxor Hotel and Casino, Mandalay Bay Resort &amp; Casino and Caesars Palace. As a result, the casino/hotel industry in Las Vegas is highly competitive. Wynn Las Vegas is located on the Las Vegas Strip and competes with these and other high-quality resorts and hotel casinos, those in downtown Las Vegas, as well as a large number of hotels in and near Las Vegas.</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The Palazzo and others, have themes and attractions which draw a significant number of visitors and directly compete with our operations. We seek to differentiate Wynn Las Vegas from other major Las Vegas resorts by concentrating on our fundamental elements of design, atmosphere, personal service and luxury.</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Wynn Las Vegas also competes, to some extent, with other hotel/casino facilities in Nevada and Atlantic City, riverboat gaming facilities in other states, casino facilities on Native American lands and elsewhere in the world, state lotteries, and other forms of gaming. The continued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or elsewhere in Asia could draw Asian gaming customers, including high-rollers, away from Las Vegas.</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addition to the existing casinos with which Wynn Las Vegas currently competes, several new multi-billion dollar resorts are expected to open on or near the Las Vegas Strip before 2011. The major projects, which have either been announced or are currently under construction include but are not limited to:</w:t>
      </w:r>
    </w:p>
    <w:p>
      <w:pPr>
        <w:spacing w:after="0" w:line="4"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Echelon Place</w:t>
      </w:r>
      <w:r>
        <w:rPr>
          <w:rFonts w:ascii="Arial" w:cs="Arial" w:eastAsia="Arial" w:hAnsi="Arial"/>
          <w:sz w:val="18"/>
          <w:szCs w:val="18"/>
          <w:color w:val="auto"/>
        </w:rPr>
        <w:t>—A development by Boyd Gaming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City Center</w:t>
      </w:r>
      <w:r>
        <w:rPr>
          <w:rFonts w:ascii="Arial" w:cs="Arial" w:eastAsia="Arial" w:hAnsi="Arial"/>
          <w:sz w:val="18"/>
          <w:szCs w:val="18"/>
          <w:color w:val="auto"/>
        </w:rPr>
        <w:t>—A development by the MGM Mirage Dubai World 50/50 joint venture located south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Fontainebleau Las Vegas—</w:t>
      </w:r>
      <w:r>
        <w:rPr>
          <w:rFonts w:ascii="Arial" w:cs="Arial" w:eastAsia="Arial" w:hAnsi="Arial"/>
          <w:sz w:val="18"/>
          <w:szCs w:val="18"/>
          <w:color w:val="auto"/>
        </w:rPr>
        <w:t>A development by Fontainebleau Resorts located north of Wynn Las Vegas on the Strip.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The Plaza, Las Vegas</w:t>
      </w:r>
      <w:r>
        <w:rPr>
          <w:rFonts w:ascii="Arial" w:cs="Arial" w:eastAsia="Arial" w:hAnsi="Arial"/>
          <w:sz w:val="18"/>
          <w:szCs w:val="18"/>
          <w:color w:val="auto"/>
        </w:rPr>
        <w:t>—A development by the Elad Group located across the street from Wynn Las Vegas on the Strip.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1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51"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assure you that Wynn Las Vegas, LLC will be able to maintain all approvals and licenses from the Nevada Gaming Authorities.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Company Registration Requirements. </w:t>
      </w:r>
      <w:r>
        <w:rPr>
          <w:rFonts w:ascii="Arial" w:cs="Arial" w:eastAsia="Arial" w:hAnsi="Arial"/>
          <w:sz w:val="18"/>
          <w:szCs w:val="18"/>
          <w:color w:val="auto"/>
        </w:rPr>
        <w:t>Wynn Resorts was found suitable by the Nevada Gaming Commission to own the equity interests of Wynn Holdings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be registered by the Nevada Gaming Commission as a publicly traded corporation, referred to as a registered company, for the purposes of the Nevada Gaming Control Act. Wynn Holdings was found suitable by the Nevada Gaming Commission to own the equity interests of Wynn Las Vegas, LLC and to be registered by the Nevada Gaming Commission as an intermediary company. In addition to being licensed, Wynn Las Vegas, LLC, as an issuer of the notes, also qualified as a registered company. Wynn Capital, a co-issuer of the notes, was not required to be registered or licensed, but may be required to be found suitable as a lender or financing source.</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prospectus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Securities Holders. </w:t>
      </w:r>
      <w:r>
        <w:rPr>
          <w:rFonts w:ascii="Arial" w:cs="Arial" w:eastAsia="Arial" w:hAnsi="Arial"/>
          <w:sz w:val="16"/>
          <w:szCs w:val="16"/>
          <w:color w:val="auto"/>
        </w:rPr>
        <w:t>Regardless of the number of shares held, any beneficial owner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owner of voting securities determined if the Nevada Gaming Commission has reason to believe that the ownership would otherwise be inconsistent with the declared policies of the State of Nevada. If the beneficial owner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5.0% of the voting securities of a registered company to report the acquisition to the Nevada Gaming Commission. The Nevada Gaming Control Act requires beneficial owners of more than 10.0%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10.0%, but not more than 15.0%,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19.0% of a registered company’s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3"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prior approval of the Nevada Gaming Commission with respect to a change in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32"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446"/>
        <w:spacing w:after="0" w:line="370"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8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Wynn Las Vegas had a total of approximately 9,300 employees.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2006, we entered into a collective bargaining agreement with the Culinary and Bartenders Union local covering approximately 4,500 of our employees. In May 2007, the dealers at Wynn Las Vegas elected the Transportation Workers Union to represent them. We are currently negotiating a contract. Certain other unions may seek to organize the workers at Wynn Las Vegas. Unionization, pressure to unionize or other forms of collective bargaining could increase our labor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“ENCORE” and “WYNN DIAMOND.” Some of the applications are based upon ongoing use and others are based upon a bona fide intent to use the marks in the future.</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 common element of these marks is the use of the surname, “WYNN.” As a general rule, a surname (or a mark primarily constituting a surname) is not registerable unless the surname has acquired “secondary meaning.” To date, Wynn Holdings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“ENCORE” and “WYNN DIAMOND.” Some of the applications are based upon ongoing use and others are based upon a bona fide intent to use the marks in the future.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recognize that our intellectual property assets, especially the logo version of “WYNN,” are among our most valuable assets. As a result, and in connection with expansion of our resort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August 6, 2004, Wynn Holdings entered into agreements with Mr. Wynn that confirm and clarify its rights to use the “Wynn” name and Mr. Wynn’s persona in connection with our casino resorts. Under a Surname Rights Agreement, Mr. Wynn has granted Wynn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Wynn Holdings the exclusive, royalty-free, worldwide right to use his full name, persona and related rights of publicity for casino resorts and related businesses, together with the ability to sublicense the persona and publicity rights to our affiliates, until October 24, 2017. Wynn Holdings has entered into sublicense agreements with us relating to our use of Mr. Wynn’s name and persona, as well as other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Land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own approximately 240 acres of land on or near the Las Vegas Strip. This consists of approximately 55 acres at the northeast corner of the intersection of Las Vegas Boulevard and Sands Avenue, an additional parcel of approximately 20 acres fronting Las Vegas Boulevard next to the Wynn Las Vegas site on which we are constructing Encore,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Water Rights</w:t>
      </w:r>
    </w:p>
    <w:p>
      <w:pPr>
        <w:spacing w:after="0" w:line="9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the directors, executive officers and certain key management personnel of Wynn Resorts and certain of its subsidiaries as of March 5, 2008. All directors hold their positions until their terms expire and until their respective successors are elected and qualified. Executive officers are appointed by the Board of Directors of Wynn Resorts and serve at their discretion, subject to applicable employment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8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4920" w:type="dxa"/>
            <w:vAlign w:val="bottom"/>
          </w:tcPr>
          <w:p>
            <w:pPr>
              <w:spacing w:after="0"/>
              <w:rPr>
                <w:sz w:val="14"/>
                <w:szCs w:val="14"/>
                <w:color w:val="auto"/>
              </w:rPr>
            </w:pPr>
          </w:p>
        </w:tc>
      </w:tr>
      <w:tr>
        <w:trPr>
          <w:trHeight w:val="201"/>
        </w:trPr>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Stephen A. Wynn</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66</w:t>
            </w:r>
          </w:p>
        </w:tc>
        <w:tc>
          <w:tcPr>
            <w:tcW w:w="200" w:type="dxa"/>
            <w:vAlign w:val="bottom"/>
          </w:tcPr>
          <w:p>
            <w:pPr>
              <w:spacing w:after="0"/>
              <w:rPr>
                <w:sz w:val="17"/>
                <w:szCs w:val="17"/>
                <w:color w:val="auto"/>
              </w:rPr>
            </w:pPr>
          </w:p>
        </w:tc>
        <w:tc>
          <w:tcPr>
            <w:tcW w:w="542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International Marketing, Ltd. and 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Ray R. Irani</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Executive Vice President—Chief Financial Officer</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Ian M. Coughlan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Macau</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Treasurer; Senior Vice President—Business Development</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President, Wynn Las Vegas, LLC</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Scott Peterson</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94"/>
              </w:rPr>
              <w:t>Vice President and Chief Financial Officer, Wynn Resorts (Macau), S.A.</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 Chief Financial Officer, Wynn Las Vegas, LLC</w:t>
            </w:r>
          </w:p>
        </w:tc>
      </w:tr>
    </w:tbl>
    <w:p>
      <w:pPr>
        <w:spacing w:after="0" w:line="15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Set forth below is certain information regarding each of the directors and the non-director executive officers and certain key management personnel of Wynn Resorts.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 Directors (Terms expire at the 2009 Annual Meeting of Wynn Resorts Stockholders)</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was elected to the Board in 2007. Ms. Chen serves as the President of Wynn International Marketing Ltd., a wholly owned indirect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of Wynn Resorts, a position she has held since January 2005. Ms. Chen is responsible for managing Wynn Resorts’ global marketing efforts. In addition, Ms. Chen is Chief Operating Officer of Wynn Resorts (Macau), S.A., a position she has held since June 2002. From May 1997 through May 2002, Ms. Chen was Executive Vice President—International Marketing at MGM MIRAGE, a gaming company.</w:t>
      </w:r>
    </w:p>
    <w:p>
      <w:pPr>
        <w:spacing w:after="0" w:line="103" w:lineRule="exact"/>
        <w:rPr>
          <w:sz w:val="20"/>
          <w:szCs w:val="20"/>
          <w:color w:val="auto"/>
        </w:rPr>
      </w:pPr>
    </w:p>
    <w:p>
      <w:pPr>
        <w:ind w:right="260" w:firstLine="456"/>
        <w:spacing w:after="0" w:line="301" w:lineRule="auto"/>
        <w:rPr>
          <w:sz w:val="20"/>
          <w:szCs w:val="20"/>
          <w:color w:val="auto"/>
        </w:rPr>
      </w:pPr>
      <w:r>
        <w:rPr>
          <w:rFonts w:ascii="Arial" w:cs="Arial" w:eastAsia="Arial" w:hAnsi="Arial"/>
          <w:sz w:val="16"/>
          <w:szCs w:val="16"/>
          <w:b w:val="1"/>
          <w:bCs w:val="1"/>
          <w:color w:val="auto"/>
        </w:rPr>
        <w:t xml:space="preserve">Ronald J. Kramer. </w:t>
      </w:r>
      <w:r>
        <w:rPr>
          <w:rFonts w:ascii="Arial" w:cs="Arial" w:eastAsia="Arial" w:hAnsi="Arial"/>
          <w:sz w:val="16"/>
          <w:szCs w:val="16"/>
          <w:color w:val="auto"/>
        </w:rPr>
        <w:t>Mr. Kramer has served as President of Wynn Resorts and as one of its directors since October 2002. Mr. Kramer also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Wynn Holdings, a wholly owned indirect subsidiary of Wynn Resorts,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and Sapphire Industrials Corporation.</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The Dyson-Kissner-Moran Corporation,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entity.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9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Mrs. Wynn has served as a director for Wynn Resorts since October 2002, and is an active collaborator in the operation of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In addition to her corporate responsibilities, Mrs. Wynn has also served as Co-Chairperson of the Greater Las Vegas After-School All-Stars since 1996 and is the Founding Chairperson of Communities-in-Schools in Nevada. In addition, in October, 2007, she was named National Chairperson for Communities-in-Schools. She is currently on the State Council to Establish Academic Standards in Nevada. Mrs. Wynn served as a director for Mirage Resorts, Incorporated from 1976 until 2000. Mrs. Wynn is married to Stephen A. Wynn.</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 Directors (Terms expire at the 2010 Annual Meeting of Wynn Resorts Stockholders)</w:t>
      </w:r>
    </w:p>
    <w:p>
      <w:pPr>
        <w:spacing w:after="0" w:line="84" w:lineRule="exact"/>
        <w:rPr>
          <w:sz w:val="20"/>
          <w:szCs w:val="20"/>
          <w:color w:val="auto"/>
        </w:rPr>
      </w:pPr>
    </w:p>
    <w:p>
      <w:pPr>
        <w:ind w:right="320" w:firstLine="456"/>
        <w:spacing w:after="0" w:line="289"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and Chief Executive Officer of Wynn Resorts since June 2002. From April 2000 to</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2002, Mr. Wynn was the managing member of Valvino Lamore LLC (“Valvino”), Wynn Resorts’ predecessor and its wholly owned subsidiary.</w:t>
      </w:r>
    </w:p>
    <w:p>
      <w:pPr>
        <w:spacing w:after="0" w:line="1" w:lineRule="exact"/>
        <w:rPr>
          <w:sz w:val="20"/>
          <w:szCs w:val="20"/>
          <w:color w:val="auto"/>
        </w:rPr>
      </w:pPr>
    </w:p>
    <w:p>
      <w:pPr>
        <w:jc w:val="both"/>
        <w:ind w:right="140"/>
        <w:spacing w:after="0" w:line="361" w:lineRule="auto"/>
        <w:rPr>
          <w:sz w:val="20"/>
          <w:szCs w:val="20"/>
          <w:color w:val="auto"/>
        </w:rPr>
      </w:pPr>
      <w:r>
        <w:rPr>
          <w:rFonts w:ascii="Arial" w:cs="Arial" w:eastAsia="Arial" w:hAnsi="Arial"/>
          <w:sz w:val="15"/>
          <w:szCs w:val="15"/>
          <w:color w:val="auto"/>
        </w:rPr>
        <w:t>Mr. Wynn also serves as an officer and/or director of several of Wynn Resorts’ subsidiaries. From 1973 until 2000, Mr. Wynn served as Chairman of the Board, President and Chief Executive Officer of Mirage Resorts, Incorporated, and its predecessor. Mr. Wynn is married to Elaine P. Wynn, a director of Wynn Resorts.</w:t>
      </w:r>
    </w:p>
    <w:p>
      <w:pPr>
        <w:spacing w:after="0" w:line="6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Ray R. Irani. </w:t>
      </w:r>
      <w:r>
        <w:rPr>
          <w:rFonts w:ascii="Arial" w:cs="Arial" w:eastAsia="Arial" w:hAnsi="Arial"/>
          <w:sz w:val="16"/>
          <w:szCs w:val="16"/>
          <w:color w:val="auto"/>
        </w:rPr>
        <w:t>Dr. Irani has served as a director since October 2007. Dr. Irani is Chairman and Chief Executive Officer of Occidental Petroleum</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He joined Occidental in 1983 as Chairman and Chief Executive Officer of Occidental Chemical Corporation, an Occidental subsidiary, and as Executive Vice President of Occidental. In 1984, he was elected to the Board of Directors of Occidental and was named President and Chief Operating Officer. He assumed the responsibilities of Chairman and Chief Executive Officer in 1990, and the additional position of President in 2005. Dr. Irani was Chairman of the Board of Directors of Canadian Occidental Petroleum Ltd., an Occidental affiliate, from 1987 to 1999. Dr. Irani is a director of the American Petroleum Institute and the TCW Group, Inc. Dr. Irani was first identified to the Nominating and Corporate Governance Committee of Wynn Resorts as a potential director by the chief executive officer of Wynn Resorts.</w:t>
      </w:r>
    </w:p>
    <w:p>
      <w:pPr>
        <w:spacing w:after="0" w:line="113"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Alvin V. Shoemaker. </w:t>
      </w:r>
      <w:r>
        <w:rPr>
          <w:rFonts w:ascii="Arial" w:cs="Arial" w:eastAsia="Arial" w:hAnsi="Arial"/>
          <w:sz w:val="18"/>
          <w:szCs w:val="18"/>
          <w:color w:val="auto"/>
        </w:rPr>
        <w:t>Mr. Shoemaker has served as a director since December 2002. Mr. Shoemaker is currently retired and was the Chairman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of First Boston Inc. and First Boston Corp. from April 1983 until his retirement in January 1989, at the time of its sale to Credit Suisse Bank. Mr. Shoemaker is a member of the board of directors of Frontier Bank and Huntsman Chemical Co.</w:t>
      </w:r>
    </w:p>
    <w:p>
      <w:pPr>
        <w:spacing w:after="0" w:line="132"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has served as a director since August 2003. Mr. Wayson has been a principal of Wayson’s Properties, Incorporated, a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development and holding company, since 1970. He also serves as an officer and/or director of other real estate and business ventures. From 2000 through May 2003, Mr. Wayson served as a member of the board of directors of MGM MIRAGE, a gaming company.</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Class III Directors (Terms expire at the 2008 Annual Meeting of Wynn Resorts Stockholders)</w:t>
      </w:r>
    </w:p>
    <w:p>
      <w:pPr>
        <w:spacing w:after="0" w:line="8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Kazuo Okada. </w:t>
      </w:r>
      <w:r>
        <w:rPr>
          <w:rFonts w:ascii="Arial" w:cs="Arial" w:eastAsia="Arial" w:hAnsi="Arial"/>
          <w:sz w:val="18"/>
          <w:szCs w:val="18"/>
          <w:color w:val="auto"/>
        </w:rPr>
        <w:t>Mr. Okada has served as Vice Chairman of the Board since October 2002. In 1969, Mr. Okada founded Universal Co. Ltd., which became</w:t>
      </w:r>
      <w:r>
        <w:rPr>
          <w:rFonts w:ascii="Arial" w:cs="Arial" w:eastAsia="Arial" w:hAnsi="Arial"/>
          <w:sz w:val="18"/>
          <w:szCs w:val="18"/>
          <w:b w:val="1"/>
          <w:bCs w:val="1"/>
          <w:color w:val="auto"/>
        </w:rPr>
        <w:t xml:space="preserve"> </w:t>
      </w:r>
      <w:r>
        <w:rPr>
          <w:rFonts w:ascii="Arial" w:cs="Arial" w:eastAsia="Arial" w:hAnsi="Arial"/>
          <w:sz w:val="18"/>
          <w:szCs w:val="18"/>
          <w:color w:val="auto"/>
        </w:rPr>
        <w:t>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stockholder for its two subsidiaries, Aruze Gaming America, Inc., and Aruze USA, Inc. Aruze Gaming America holds manufacture, distributor, and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operator licenses from the Nevada Gaming Commission, while Aruze USA has been found suitable by the Nevada Gaming Commission as a major stockholder of Wynn Resorts. Since 1998, Mr. Okada has served as Director and Chairman of the Board of Aruze Corp., since 1999, he has also served as Chairman of the Board and Treasurer of Aruze USA, and, since July 2007, has served as Director and Chairman of the Board of Aruze Gaming America, Inc.</w:t>
      </w:r>
    </w:p>
    <w:p>
      <w:pPr>
        <w:spacing w:after="0" w:line="10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Since July 2005, he has been principal of Dutko Worldwide, a multidisciplinary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affairs, strategy and management firm. From January 1999 until he joined Dutko Worldwide, Mr. Miller was a partner of the Nevada law firm of Jones Vargas. He was also a partner in Miller &amp; Behar Strategies, a partnership designed to assist American businesses in Bulgaria, from January 2003 to August 2007, and has been a partner in Nevada Rose LLC, parent to a group of companies engaged in the business of importing and selling rose nectar and related products,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113"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property investment and development since July 1996. Mr. Zeman is also chairman of Ocean Park, a major theme park in Hong Kong. In 2001, he was appointed a Justice of the Peace in Hong Kong and, in 2004, he was awarded the Gold Bauhinia Star by the Chief Executive of Hong Kong.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Ian Michael Coughlan is the President of Wynn Macau. Mr. Coughlan joined Wynn Macau in January 2007 from the Peninsula</w:t>
      </w:r>
      <w:r>
        <w:rPr>
          <w:rFonts w:ascii="Arial" w:cs="Arial" w:eastAsia="Arial" w:hAnsi="Arial"/>
          <w:sz w:val="18"/>
          <w:szCs w:val="18"/>
          <w:b w:val="1"/>
          <w:bCs w:val="1"/>
          <w:color w:val="auto"/>
        </w:rPr>
        <w:t xml:space="preserve"> </w:t>
      </w:r>
      <w:r>
        <w:rPr>
          <w:rFonts w:ascii="Arial" w:cs="Arial" w:eastAsia="Arial" w:hAnsi="Arial"/>
          <w:sz w:val="18"/>
          <w:szCs w:val="18"/>
          <w:color w:val="auto"/>
        </w:rPr>
        <w:t>Group where he served as General Manager of the Peninsula Hong Kong. Mr. Coughlan first joined the Peninsula Group in 1997 as Resident Manager, eventually serving as Hotel Manager, directing hotel and commercial leasing operations as well as his hotel responsibilities. Mr. Coughlan remained with Peninsula Group until he joined Wynn Macau.</w:t>
      </w:r>
    </w:p>
    <w:p>
      <w:pPr>
        <w:spacing w:after="0" w:line="136"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Wynn Resorts’ Treasurer, a position he has held since March 2006. From June 2005 to December 31, 2006,</w:t>
      </w:r>
      <w:r>
        <w:rPr>
          <w:rFonts w:ascii="Arial" w:cs="Arial" w:eastAsia="Arial" w:hAnsi="Arial"/>
          <w:sz w:val="16"/>
          <w:szCs w:val="16"/>
          <w:b w:val="1"/>
          <w:bCs w:val="1"/>
          <w:color w:val="auto"/>
        </w:rPr>
        <w:t xml:space="preserve"> </w:t>
      </w:r>
      <w:r>
        <w:rPr>
          <w:rFonts w:ascii="Arial" w:cs="Arial" w:eastAsia="Arial" w:hAnsi="Arial"/>
          <w:sz w:val="16"/>
          <w:szCs w:val="16"/>
          <w:color w:val="auto"/>
        </w:rPr>
        <w:t>Mr. Maddox served as the Senior Vice President of Business Development for Wynn Las Vegas, LLC. From March 2003 to June 2005, Mr. Maddox was the Chief Financial Officer of Wynn Resorts (Macau), S.A. From May 2002 through March 2003, Mr. Maddox was Wynn Resorts’ Treasurer and Vice President— Investor Relations. From February 2000 to May 2002, Mr. Maddox was Vice President—Finance with Caesars Entertainment, Inc., a gaming company.</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Andrew Pascal. </w:t>
      </w:r>
      <w:r>
        <w:rPr>
          <w:rFonts w:ascii="Arial" w:cs="Arial" w:eastAsia="Arial" w:hAnsi="Arial"/>
          <w:sz w:val="16"/>
          <w:szCs w:val="16"/>
          <w:color w:val="auto"/>
        </w:rPr>
        <w:t>Mr. Pascal is the President of Wynn Las Vegas, LLC. From July 2005 through October 2005, Mr. Pascal was the Executive Vice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Operating Officer of Wynn Las Vegas, LLC. Mr. Pascal served as the Senior Vice President—Product Marketing and Development for Wynn Resorts from August 2003 to July 2005. Mr. Pascal was Chief Executive Officer of WagerWorks, Inc. a developer and supplier of remote gaming applications from March 2001 to September 2003. From October 1998 to March 2001, Mr. Pascal was Chief Executive Officer of Silicon Gaming, a designer and developer of interactive slot machines. Mr. Pascal is the nephew of Mr. and Mrs. Wynn.</w:t>
      </w:r>
    </w:p>
    <w:p>
      <w:pPr>
        <w:spacing w:after="0" w:line="108"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 xml:space="preserve">Scott Peterson. </w:t>
      </w:r>
      <w:r>
        <w:rPr>
          <w:rFonts w:ascii="Arial" w:cs="Arial" w:eastAsia="Arial" w:hAnsi="Arial"/>
          <w:sz w:val="16"/>
          <w:szCs w:val="16"/>
          <w:color w:val="auto"/>
        </w:rPr>
        <w:t>Mr. Peterson is the Vice President and Chief Financial Officer of Wynn Resorts (Macau), S.A., a position he has held since June 2005.</w:t>
      </w:r>
      <w:r>
        <w:rPr>
          <w:rFonts w:ascii="Arial" w:cs="Arial" w:eastAsia="Arial" w:hAnsi="Arial"/>
          <w:sz w:val="16"/>
          <w:szCs w:val="16"/>
          <w:b w:val="1"/>
          <w:bCs w:val="1"/>
          <w:color w:val="auto"/>
        </w:rPr>
        <w:t xml:space="preserve"> </w:t>
      </w:r>
      <w:r>
        <w:rPr>
          <w:rFonts w:ascii="Arial" w:cs="Arial" w:eastAsia="Arial" w:hAnsi="Arial"/>
          <w:sz w:val="16"/>
          <w:szCs w:val="16"/>
          <w:color w:val="auto"/>
        </w:rPr>
        <w:t>From September 2002 to June 2005, Mr. Peterson was the Vice President—Finance of Wynn Las Vegas, LLC. From April 2001 to September 2002, Mr. Peterson was Assistant Vice President—Finance of Wynn Holdings, a wholly owned indirect subsidiary of Wynn Resorts.</w:t>
      </w:r>
    </w:p>
    <w:p>
      <w:pPr>
        <w:spacing w:after="0" w:line="97" w:lineRule="exact"/>
        <w:rPr>
          <w:sz w:val="20"/>
          <w:szCs w:val="20"/>
          <w:color w:val="auto"/>
        </w:rPr>
      </w:pPr>
    </w:p>
    <w:p>
      <w:pPr>
        <w:jc w:val="both"/>
        <w:ind w:right="480" w:firstLine="456"/>
        <w:spacing w:after="0" w:line="262"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Wynn Resorts, a position he has held since June 2002. Mr. Schorr also serves as an</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several of Wynn Resorts’ other subsidiaries. From June 2000 through April 2001, Mr. Schorr served as Chief Operating Officer of Valvino, Wynn Resorts’ predecessor,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and from June 2002, through October 2005 he served as the Chief Executive Officer and President of Wynn Las Vegas, LLC, a subsidiary of Wynn Resorts. From January 1997 through May 2000, Mr. Schorr served as President of The Mirage Casino-Hotel, a gaming company and then a wholly owned subsidiary of Mirage Resorts, Incorporated.</w:t>
      </w:r>
    </w:p>
    <w:p>
      <w:pPr>
        <w:spacing w:after="0" w:line="134" w:lineRule="exact"/>
        <w:rPr>
          <w:sz w:val="20"/>
          <w:szCs w:val="20"/>
          <w:color w:val="auto"/>
        </w:rPr>
      </w:pPr>
    </w:p>
    <w:p>
      <w:pPr>
        <w:ind w:right="40" w:firstLine="456"/>
        <w:spacing w:after="0" w:line="320" w:lineRule="auto"/>
        <w:rPr>
          <w:sz w:val="20"/>
          <w:szCs w:val="20"/>
          <w:color w:val="auto"/>
        </w:rPr>
      </w:pPr>
      <w:r>
        <w:rPr>
          <w:rFonts w:ascii="Arial" w:cs="Arial" w:eastAsia="Arial" w:hAnsi="Arial"/>
          <w:sz w:val="15"/>
          <w:szCs w:val="15"/>
          <w:b w:val="1"/>
          <w:bCs w:val="1"/>
          <w:color w:val="auto"/>
        </w:rPr>
        <w:t xml:space="preserve">Kim Sinatra. </w:t>
      </w:r>
      <w:r>
        <w:rPr>
          <w:rFonts w:ascii="Arial" w:cs="Arial" w:eastAsia="Arial" w:hAnsi="Arial"/>
          <w:sz w:val="15"/>
          <w:szCs w:val="15"/>
          <w:color w:val="auto"/>
        </w:rPr>
        <w:t>Ms. Sinatra is the Senior Vice President—General Counsel and Secretary of Wynn Resorts, a position she has held since March 2006.</w:t>
      </w:r>
      <w:r>
        <w:rPr>
          <w:rFonts w:ascii="Arial" w:cs="Arial" w:eastAsia="Arial" w:hAnsi="Arial"/>
          <w:sz w:val="15"/>
          <w:szCs w:val="15"/>
          <w:b w:val="1"/>
          <w:bCs w:val="1"/>
          <w:color w:val="auto"/>
        </w:rPr>
        <w:t xml:space="preserve"> </w:t>
      </w:r>
      <w:r>
        <w:rPr>
          <w:rFonts w:ascii="Arial" w:cs="Arial" w:eastAsia="Arial" w:hAnsi="Arial"/>
          <w:sz w:val="15"/>
          <w:szCs w:val="15"/>
          <w:color w:val="auto"/>
        </w:rPr>
        <w:t>Ms. Sinatra is also the Senior Vice President and General Counsel of Worldwide Wynn, LLC, Wynn Resorts’ wholly owned development subsidiary, a position she has held since January 2004. She also serves as an officer of several of Wynn Resorts’ subsidiaries. From January 2003 to January 2004, Ms. Sinatra acted as an independent consultant. From January 2002 to January 2003, Ms. Sinatra was Executive Vice President and Chief Legal Officer of Caesars Entertainment, Inc. and from January 2001 to January 2002, Ms. Sinatra was Senior Vice President, Deputy General Counsel of Caesars Entertainment, Inc., a gaming company.</w:t>
      </w:r>
    </w:p>
    <w:p>
      <w:pPr>
        <w:spacing w:after="0" w:line="9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Executive Vice President and Chief Financial Officer of Wynn Las Vegas, LLC, a wholly owned indirect subsidiary of Wynn</w:t>
      </w:r>
      <w:r>
        <w:rPr>
          <w:rFonts w:ascii="Arial" w:cs="Arial" w:eastAsia="Arial" w:hAnsi="Arial"/>
          <w:sz w:val="18"/>
          <w:szCs w:val="18"/>
          <w:b w:val="1"/>
          <w:bCs w:val="1"/>
          <w:color w:val="auto"/>
        </w:rPr>
        <w:t xml:space="preserve"> </w:t>
      </w:r>
      <w:r>
        <w:rPr>
          <w:rFonts w:ascii="Arial" w:cs="Arial" w:eastAsia="Arial" w:hAnsi="Arial"/>
          <w:sz w:val="18"/>
          <w:szCs w:val="18"/>
          <w:color w:val="auto"/>
        </w:rPr>
        <w:t>Resorts, a position he has held since October 2003. From October 1999 to October 2003, Mr. Sisk was Senior Vice President, Treasurer and Chief Financial Officer of Caesars Palace, a subsidiary of Caesars Entertainment, Inc., a gaming company.</w:t>
      </w:r>
    </w:p>
    <w:p>
      <w:pPr>
        <w:spacing w:after="0" w:line="13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President-Chief Financial Officer of Wynn Resorts, a position he has held since September 2002.</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Wynn Resorts’ Treasurer from March 2003 to March 2006, and serves as an officer of several of Wynn Resorts’ subsidiaries. Mr. Strzemp was Executive Vice President and Chief Financial Officer of Bellagio, LLC, a gaming company and then a wholly owned subsidiary of Mirage Resorts, Incorporated, from April 1998 to October 2000.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FURTHER INFORMATION CONCERNING THE BOARD OF DIRECTORS OF WYNN RESORTS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Board of Directors has a majority of directors who are independent under the listing standards of The NASDAQ Stock Market LLC (“NASDAQ”). In addition, Wynn Resorts’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Board of Directors has determined that the following directors are independent: Messrs. Irani, Miller, Moran, Shoemaker, Wayson and Zeman. During his service on the Board, Stanley R. Zax (who retired from the Board at the 2007 Annual Meeting of Wynn Resorts’ stockholders) was also an independent director. Based upon information requested from each director concerning his or her background, employment and affiliations, the Board of Directors has affirmatively determined that none of the independent directors has a material relationship with Wynn Resorts. In assessing independence, the Board of Directors considered all relevant facts and circumstances, including any direct or indirect relationship between Wynn Resorts and the director. None of the independent directors has any economic relationship with Wynn Resorts other than receipt of his director’s compensation. Additionally, all related party transactions are considered under Wynn Resorts’ policy (described in additional detail below). None of the independent directors is engaged in any related party transaction with Wynn Resorts. Mr. Wynn, Mr. Okada, Mrs. Wynn, Ms. Chen and Mr. Kramer have been determined not to be independent.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Nominating and Corporate</w:t>
            </w:r>
          </w:p>
        </w:tc>
        <w:tc>
          <w:tcPr>
            <w:tcW w:w="0" w:type="dxa"/>
            <w:vAlign w:val="bottom"/>
          </w:tcPr>
          <w:p>
            <w:pPr>
              <w:spacing w:after="0"/>
              <w:rPr>
                <w:sz w:val="1"/>
                <w:szCs w:val="1"/>
                <w:color w:val="auto"/>
              </w:rPr>
            </w:pPr>
          </w:p>
        </w:tc>
      </w:tr>
      <w:tr>
        <w:trPr>
          <w:trHeight w:val="175"/>
        </w:trPr>
        <w:tc>
          <w:tcPr>
            <w:tcW w:w="1080" w:type="dxa"/>
            <w:vAlign w:val="bottom"/>
          </w:tcPr>
          <w:p>
            <w:pPr>
              <w:spacing w:after="0"/>
              <w:rPr>
                <w:sz w:val="20"/>
                <w:szCs w:val="20"/>
                <w:color w:val="auto"/>
              </w:rPr>
            </w:pPr>
            <w:r>
              <w:rPr>
                <w:rFonts w:ascii="Arial" w:cs="Arial" w:eastAsia="Arial" w:hAnsi="Arial"/>
                <w:sz w:val="14"/>
                <w:szCs w:val="14"/>
                <w:b w:val="1"/>
                <w:bCs w:val="1"/>
                <w:color w:val="auto"/>
                <w:w w:val="94"/>
              </w:rPr>
              <w:t>Audit Committee</w:t>
            </w:r>
          </w:p>
        </w:tc>
        <w:tc>
          <w:tcPr>
            <w:tcW w:w="1880" w:type="dxa"/>
            <w:vAlign w:val="bottom"/>
          </w:tcPr>
          <w:p>
            <w:pPr>
              <w:spacing w:after="0"/>
              <w:rPr>
                <w:sz w:val="15"/>
                <w:szCs w:val="15"/>
                <w:color w:val="auto"/>
              </w:rPr>
            </w:pPr>
          </w:p>
        </w:tc>
        <w:tc>
          <w:tcPr>
            <w:tcW w:w="4700" w:type="dxa"/>
            <w:vAlign w:val="bottom"/>
            <w:gridSpan w:val="2"/>
          </w:tcPr>
          <w:p>
            <w:pPr>
              <w:ind w:left="1060"/>
              <w:spacing w:after="0"/>
              <w:rPr>
                <w:sz w:val="20"/>
                <w:szCs w:val="20"/>
                <w:color w:val="auto"/>
              </w:rPr>
            </w:pPr>
            <w:r>
              <w:rPr>
                <w:rFonts w:ascii="Arial" w:cs="Arial" w:eastAsia="Arial" w:hAnsi="Arial"/>
                <w:sz w:val="14"/>
                <w:szCs w:val="14"/>
                <w:b w:val="1"/>
                <w:bCs w:val="1"/>
                <w:color w:val="auto"/>
              </w:rPr>
              <w:t>Compensation Committee</w:t>
            </w:r>
          </w:p>
        </w:tc>
        <w:tc>
          <w:tcPr>
            <w:tcW w:w="120" w:type="dxa"/>
            <w:vAlign w:val="bottom"/>
          </w:tcPr>
          <w:p>
            <w:pPr>
              <w:spacing w:after="0"/>
              <w:rPr>
                <w:sz w:val="15"/>
                <w:szCs w:val="15"/>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Governance Committee</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Alvin V. Shoemaker, Chair</w:t>
            </w:r>
          </w:p>
        </w:tc>
        <w:tc>
          <w:tcPr>
            <w:tcW w:w="106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John A. Moran, Chair</w:t>
            </w:r>
          </w:p>
        </w:tc>
        <w:tc>
          <w:tcPr>
            <w:tcW w:w="120" w:type="dxa"/>
            <w:vAlign w:val="bottom"/>
            <w:vMerge w:val="continue"/>
          </w:tcPr>
          <w:p>
            <w:pPr>
              <w:spacing w:after="0"/>
              <w:rPr>
                <w:sz w:val="17"/>
                <w:szCs w:val="17"/>
                <w:color w:val="auto"/>
              </w:rPr>
            </w:pP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Robert J. Miller, Chair</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Alvin V. Shoemaker</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Ray R. Irani</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4700" w:type="dxa"/>
            <w:vAlign w:val="bottom"/>
            <w:gridSpan w:val="2"/>
          </w:tcPr>
          <w:p>
            <w:pPr>
              <w:ind w:left="1060"/>
              <w:spacing w:after="0"/>
              <w:rPr>
                <w:sz w:val="20"/>
                <w:szCs w:val="20"/>
                <w:color w:val="auto"/>
              </w:rPr>
            </w:pPr>
            <w:r>
              <w:rPr>
                <w:rFonts w:ascii="Arial" w:cs="Arial" w:eastAsia="Arial" w:hAnsi="Arial"/>
                <w:sz w:val="18"/>
                <w:szCs w:val="18"/>
                <w:color w:val="auto"/>
              </w:rPr>
              <w:t>D. Boone Wayson</w:t>
            </w:r>
          </w:p>
        </w:tc>
        <w:tc>
          <w:tcPr>
            <w:tcW w:w="1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 Boone Wayson</w:t>
            </w:r>
          </w:p>
        </w:tc>
        <w:tc>
          <w:tcPr>
            <w:tcW w:w="0" w:type="dxa"/>
            <w:vAlign w:val="bottom"/>
          </w:tcPr>
          <w:p>
            <w:pPr>
              <w:spacing w:after="0"/>
              <w:rPr>
                <w:sz w:val="1"/>
                <w:szCs w:val="1"/>
                <w:color w:val="auto"/>
              </w:rPr>
            </w:pPr>
          </w:p>
        </w:tc>
      </w:tr>
      <w:tr>
        <w:trPr>
          <w:trHeight w:val="222"/>
        </w:trPr>
        <w:tc>
          <w:tcPr>
            <w:tcW w:w="29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0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Allan Zeman</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2007, Messrs. Moran, Shoemaker and Wayson, were appointed on May 8, 2007. Messrs. Moran and Wayson, along with Robert J. Miller, were appointed in May 2006. No member of the Compensation Committee is, or was formerly, one of Wynn Resorts’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Earned 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1"/>
              </w:rPr>
              <w:t>Paid 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80" w:type="dxa"/>
            <w:vAlign w:val="bottom"/>
          </w:tcPr>
          <w:p>
            <w:pPr>
              <w:jc w:val="center"/>
              <w:ind w:right="18"/>
              <w:spacing w:after="0"/>
              <w:rPr>
                <w:sz w:val="20"/>
                <w:szCs w:val="20"/>
                <w:color w:val="auto"/>
              </w:rPr>
            </w:pPr>
            <w:r>
              <w:rPr>
                <w:rFonts w:ascii="Arial" w:cs="Arial" w:eastAsia="Arial" w:hAnsi="Arial"/>
                <w:sz w:val="14"/>
                <w:szCs w:val="14"/>
                <w:b w:val="1"/>
                <w:bCs w:val="1"/>
                <w:color w:val="auto"/>
                <w:w w:val="90"/>
              </w:rPr>
              <w:t>Cash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($)(1)(4)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 (1)(4)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Other (6)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Ray R. Irani(2)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524,000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Robert J. Miller(3)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161,667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315,971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Stanley R. Zax(5)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398,119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644,662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140" w:hanging="452"/>
        <w:spacing w:after="0" w:line="284"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 Irani was appointed to the Board, effective October 29, 2007.</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Miller, as a member of the Board of Directors, receives a $50,000 annual retainer for his service as the Chairman of Wynn Resorts’ Gaming Compliance Committee. The Gaming Compliance Committee is a committee comprised of Mr. Miller, Mr. Schorr, Mr. Strzemp, and its purpose is to assist Wynn Resorts in maintaining the highest level of regulatory compliance.</w:t>
      </w:r>
    </w:p>
    <w:p>
      <w:pPr>
        <w:spacing w:after="0" w:line="1" w:lineRule="exact"/>
        <w:rPr>
          <w:rFonts w:ascii="Arial" w:cs="Arial" w:eastAsia="Arial" w:hAnsi="Arial"/>
          <w:sz w:val="18"/>
          <w:szCs w:val="18"/>
          <w:color w:val="auto"/>
        </w:rPr>
      </w:pPr>
    </w:p>
    <w:p>
      <w:pPr>
        <w:ind w:left="460" w:right="14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aggregate number of outstanding awards for each director, excluding Mr. Okada and Mrs. Wynn, at December 31, 2007 is as follows: (i) for directors other than Dr. Irani, restricted stock awards 5,000 each; Dr. Irani received a grant of 2,500 shares of restricted stock upon his election to the Board; (ii) for directors other than Dr. Irani, stock option awards 30,000 each of which 7,500 are unvested and 22,500 are vested as of December 31, 2007. Dr. Irani received a stock option grant of 10,000 shares that vested immediately upon his election to the Board. The restricted stock awards were granted on May 3, 2006 and May 7, 2007. The restricted stock awards will vest on May 3, 2011 and May 7, 2012. The total fair value on the grant date of such awards as determined under Statement of Financial Accounting Standard No. 123R, “Share-Based Payment” was $182,625 for the grant made in May 2006 and $254,625 for the grant made in May 2007.</w:t>
      </w:r>
    </w:p>
    <w:p>
      <w:pPr>
        <w:spacing w:after="0" w:line="4"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Zax’s term as a member of the Board of Directors expired at the 2007 Annual Meeting of Wynn Resorts Stockholders and Mr. Zax did not stand for reelection to the Board of Directors at such time.</w:t>
      </w:r>
    </w:p>
    <w:p>
      <w:pPr>
        <w:ind w:left="460" w:hanging="452"/>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Other Compensation consists of cash distributions accrued on unvested restricted stock, which is paid if and when the restricted stock vests.</w:t>
      </w:r>
    </w:p>
    <w:p>
      <w:pPr>
        <w:spacing w:after="0" w:line="1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Directors who are not employees of Wynn Resorts receive a monthly fee of $4,000 for services as a director. Directors who serve on the Audit Committee, the Compensation Committee or the Nominating/Governance Committee receive an additional monthly fee of $1,000 per committee ($2,000 for committee chairmen). Each non-employee director also receives a $1,500 meeting fee for each board or committee meeting he or she attends. All directors are provided complementary room, food and beverage privileges at Wynn Resorts’ properties in connection with their attendance at Board or Committee meetings or other Wynn Resorts’ events and are reimbursed for any other out of pocket expenses related to attendance at meetings.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received an immediately exercisable option grant for 10,000 shares of Wynn Resorts’ common stock upon their initial appointment to the Board of Directors. In addition, on May 3, 2006 and May 7, 2007, each member of the Board of Directors then in office, other than Messrs. Wynn, Okada and Kramer, Ms. Chen and Mrs. Wynn, were granted 2,500 shares of restricted stock. This grant vests upon the fifth anniversary of the grant date unless the director leaves the Board of Directors prior to vesting, in which case the grant vests pro rata, 20% per year, based upon the number of years served since the grant. Wynn Resorts does not provide non-equity incentive plan awards or deferred compensation or retirement plans for non-employee directors.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29, 2007, Wynn Resorts appointed Dr. Ray Irani and Ms. Linda Chen as members of Wynn Resorts’ Board of Directors. In connection with his appointment to the Board, Dr. Irani received an immediately exercisable option grant for 10,000 shares of Wynn Resorts common stock and a grant of 2,500 shares of restricted stock, which grant vests on November 7, 2012, unless Dr. Irani leaves the Board of Directors prior to vesting, in which case the grant vests pro rata, 20% per year, based upon the number of years served since the date of grant. Dr. Irani is the sixth independent member of the Board of Directors. In addition, on November 8, 2007, Dr. Irani was appointed as a member of Wynn Resorts’ Nominating and Corporate Governance Committee.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Compensation Committee has the responsibility for setting and implementing compensation for named executive officers. The Committee strives to provide total compensation that is fair and competitive. Wynn Resorts’ executive compensation program is designed to reward the achievement of specific annual, long term and strategic goals, with the ultimate objective of creating stockholder value. Wynn Resorts’ goals include the development and operation of the premier casino resort in each jurisdiction in which it operates and the development and expansion of the “Wynn” brand while delivering successful operating and financial performance. The Committee regularly evaluates both performance and compensation to enable Wynn Resorts to attract and retain superior employees in key positions. To achieve these objectives, Wynn Resorts’ compensation includes both cash and equity based incentives.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Committee sets all elements of compensation for the Chief Executive Officer based upon a review of comparative data and consideration of his contribution to the development and operating performance of Wynn Resorts. The Committee considers the recommendations of the Chief Executive Officer in establishing compensation for all other named executive officers. The Chief Executive Officer and Chief Operating Officer perform annual reviews of all of Wynn Resorts’ senior management and make recommendations to the Committee. The Committee reserves the discretion to modify recommendations and makes the final decisions regarding compensation for all of Wynn Resorts’ most senior management.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making compensation decisions, the Compensation Committee compares each element of compensation against a peer group of publicly traded companies. This list of peer companies includes those with which the Committee believes Wynn Resorts competes for talent and stockholder investment. In 2007, Wynn Resorts expanded its peer group from pure gaming companies (MGM Mirage, Las Vegas Sands, Harrah’s Entertainment and Stations Casinos) to include those in the hospitality (Hilton, Marriott and Starwood) and entertainment (Disney) businesses as well as growth companies (Starbucks, Yahoo, EBay). This expanded peer group allowed Wynn Resorts to more comprehensively include in evaluation of executive performance the non-gaming products which it offers. These non-gaming amenities of lodging, food and beverage, retail and entertainment generate over one half of the revenue and cash flow in Wynn Resorts’ US operations and have received unprecedented recognition. Wynn Las Vegas is the only casino resort hotel to have been awarded Mobil’s five stars, an honor which it has received for two consecutive years. Additionally, in 2007, Wynn Las Vegas received five red pavilions, the highest honor for Michelin rated accommodations. These third-party confirmations of brand performance, combined with financial performance that significantly exceeded pre-established targets for adjusted EBITDA, support the compensation levels paid by Wynn Resorts. In addition to peer group review, the Compensation Committee evaluates relative internal pay levels, relative levels of responsibility and correlates overall compensation levels to reward the drivers of financial and brand performance.</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to peer group review, the Compensation Committee evaluates relative internal pay levels, relative levels of responsibility and correlates overall compensation levels to reward the drivers of financial and brand performance.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Also in 2007, the Compensation Committee engaged Strategic Apex Group, an independent, nationally recognized executive compensation consulting firm, to assist it in evaluating Wynn Resorts’ executive compensation plans, and Wynn Resorts’ position relative to its peer group. In connection with its engagement, Strategic Apex provided the Compensation Committee with comparative data and, at the direction of the Compensation Committee, worked with senior management in evaluating previous compensation decisions by the Compensation Committee and in designing a long term equity incentive program that is currently being evaluated.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Wynn Resorts’ total compensation for named executive officers includes (a) base salary, (b) annual cash incentive compensation, and (c) long term equity incentives. Annually, the Compensation Committee reviews each element, along with value created from past incentives, to assess whether Wynn Resorts’ compensation program achieves its objectives of attracting and retaining superior management while rewarding achievement of property development and operating performance. Wynn Resorts’ policy for allocating between currently paid compensation and long term compensation does not include specific formula or weighting, but is designed to offer what the Compensation Committee views as adequate base compensation to attract and retain personnel while providing incentives to maximize long term value for Wynn Resorts and its stockholders.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As part of its strategy to attract and retain high quality executive employees, Wynn Resorts’ policy is to pay executives base salaries accurately reflecting market rates for similar positions which it deems necessary to attract and retain desired management expertise. These goals require that Wynn Resorts pay base salary levels for its named executive officers that may exceed the peer group mean. Companies in the gaming and hospitality business typically pay at higher levels than their non-gaming counterparts due to certain regulatory and other extraordinary demands. Wynn Resorts’ rapid expansion in the last five years has required that named executive officers provide extraordinary levels of development, opening and operating expertise. These efforts have rewarded stockholders with industry leading product and financial results. Periodic merit increases are made after annual review. During its annual review of overall compensation, the Compensation Committee evaluates Wynn Resorts’ payment of its senior management against its competitors in each element of compensation and on an overall basis. In February, 2007, Mr. Wynn’s base salary was increased from $2,750,000 per annum to $3,250,000 per annum after review by the Committee. Mr. Wynn’s increase was made in recognition of his contributions to design and operation of Wynn Resorts’ assets as well as his overall leadership. Additionally, the Committee considered that Mr. Wynn, at his request, has not been awarded equity in Wynn Resorts for his employment services. Consequently, Mr. Wynn’s overall compensation is significantly less than that paid to Chairmen and Chief Executive Officers of Wynn Resorts’ competitors.</w:t>
      </w:r>
    </w:p>
    <w:p>
      <w:pPr>
        <w:spacing w:after="0" w:line="121"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Annual Incentives. </w:t>
      </w:r>
      <w:r>
        <w:rPr>
          <w:rFonts w:ascii="Arial" w:cs="Arial" w:eastAsia="Arial" w:hAnsi="Arial"/>
          <w:sz w:val="15"/>
          <w:szCs w:val="15"/>
          <w:color w:val="auto"/>
        </w:rPr>
        <w:t>In 2004, the Compensation Committee and the Board of Directors recommended and the stockholders approved the Wynn Resorts,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Limited Annual Performance-Based Incentive Plan for Executive Officers (the “Incentive Plan”) discussed below under “Tax and Accounting Implications.”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Wynn Resorts’ named executive officers is eligible to participate in the Incentive Plan. Each year, within 90 days after the commencement of that year, the Compensation Committee identifies the executive officers who will participate in the Incentive Plan for that year, establishes the performance criteria for the Incentive Plan, as well as the maximum percentage of base salary that can be paid to each participant. For each of 2006, 2007 and 2008, the Committee selected property adjusted EBITDA (adjusted EBITDA for Wynn Las Vegas and Wynn Macau), which is a non-GAAP measure calculated at the segment level and reported in the footnotes to Wynn Resorts’ audited financial statements, as the appropriate criteria and, in the course of such determination, concluded that the achievement of the performance criterion was substantially uncertain. These criteria are a reflection of the operating performance of Wynn Resorts’ assets and directly influences return to stockholders. In addition, management and stockholders use cash flow to value Wynn Resorts as a whole and its assets.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provided under the Incentive Plan as amended and approved by stockholders in 2007, named executive officer participants (other than Mr. Wynn) had a maximum payable under the Plan of 200% of Base Salary, and Mr. Wynn’s maximum is 250% of his Base Salary. The Compensation Committee elected to establish only one target, with the Committee having the discretion for downward adjustment of the maximum payable under the plan dependent on individual performance. In 2007, the Adjusted EBITDA target for Wynn Macau and Wynn Las Vegas operations combined was $522 million. Actual performance of $781 million significantly exceeded the target and all participants were awarded the maximum payable. Bonuses under the Incentive Plan are made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after determination of whether the criteria have been met. While the Compensation Committee has the discretion to reduce amounts paid below the amount determined under this formula based on company and individual performance and other considerations it may determine appropriate, it did not exercise that discretion with respect to 2007 due to strong performance by Wynn Resorts.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Wynn Resorts’ 2002 Stock Plan is designed to provide stock-based incentives to its officers and employees.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specifically approves all awards of stock options and restricted stock granted by Wynn Resorts. The Compensation Committee does not provide for annual equity grants to executives but instead uses grants under the 2002 Stock Plan to attract qualified individuals to work for Wynn Resorts, and to make periodic grants to existing officers as determined appropriate in the Compensation Committee’s judgment, to retain superior officers and to reward extraordinary performance. The number of options or shares of restricted stock to be granted to each executive officer is based on the individual executive’s job accomplishments, tenure and future potential as well as the Compensation Committee’s assessment of competitive compensation levels. Grants to named executive officers are typically made periodically with long term vesting dates. The underlying philosophy is to retain senior management for the long term, building a talent base for Wynn Resorts’ future growth and achievement of desired goals.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Mr. Schorr and Mr. Strzemp received grants of restricted stock upon the initial public offering of Wynn Resorts’ common stock. Mr. Kramer received such a grant upon his commencement of employment with Wynn Resorts. Mr. Wynn, the founder, Chairman and Chief Executive Officer of Wynn Resorts, does not participate in Wynn Resorts’ equity incentive plans at his election. This election differs from most of the companies included in the peer group. Since equity grants to named executive officers (other than Ms. Chen) in several years. The Compensation Committee is currently working with its consultants to consider a long term equity incentive plan program to provide a more systematic approach to equity grants and to bring Wynn Resorts’ executives to above the mean in its peer group.</w:t>
      </w:r>
    </w:p>
    <w:p>
      <w:pPr>
        <w:spacing w:after="0" w:line="14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each of December 2006 and 2007, Wynn Resorts paid a $6 per share cash distribution to holders of Wynn Resorts’ common stock. Wynn Resorts accrued a payable to certain of the named executive officers in the amount of the cash distribution on unvested restricted stock owned by such officers. These amounts are also noted in the footnotes to the Summary Compensation 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executive officers in excess of $1,000,000 in any taxable year. Other than (a) base salary of $2,152,577, $284,500 and $729,500 respectively paid to Messrs. Wynn, Kramer and Schorr, (b) cash distributions on restricted stock of $360,000 and $300,000 paid to Messrs. Kramer and Schorr; and (c) $113,007 and $27,687 of other compensation paid to Mr. Wynn and Ms. Chen, respectively, the Compensation Committee does not believe that there will be any non-deductible compensation in 2007 based upon allowances under Section 162(m) or otherwise. Wynn Resorts’ policy with respect to qualifying compensation paid to its executive officers for tax deductibility purposes is that executive compensation plans will generally be designed and implemented to maximize tax deductibility. However, non-deductible compensation may still be paid to executive officers in extraordinary circumstances, when necessary for competitive reasons or to attract or retain a key executive, or where achieving maximum tax deductibility would be considered disadvantageous to the best interests of Wynn Resorts.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During the 2007 fiscal year, all named executive officers were bound by employment agreements, except that Mr. Schorr’s Employment Agreement expired on October 31, 2007. On March 4, 2008, Wynn Resorts and Mr. Schorr entered into a new five (5) year employment contract, which expires in October 2012. Certain employment agreements were negotiated and executed prior to the formation of the Compensation Committee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October 2002 and in 2006, those of Mr. Schorr and Ms. Chen’s were amended to increase base salaries, in each case to reflect extraordinary effort and achievement in the operations of Wynn Las Vegas and Wynn Macau. These amendments (along with any other employment agreements in which base salary exceeds $500,000 per year) were approved by the Compensation Committee. The employment agreements set minimum levels of base salary and detail other benefits of employment. As for term, Mr. Wynn’s employment agreement with Wynn Resorts expires in 2017, Mr. Strzemp’s in August 2008, Mr. Schorr’s in 2012 and Ms. Chen’s in 2011. Mr. Kramer’s agreement expires at the end of March 2008.</w:t>
      </w:r>
    </w:p>
    <w:p>
      <w:pPr>
        <w:spacing w:after="0" w:line="11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employment agreements for certain key employees, including the named executive officers, include change of control provisions. These provisions are intended to protect senior management in the event that certain events occur after a defined Change in Control of Wynn Resorts. If, after a Change in Control, a named executive officer experiences any of the following adverse employment actions: (a) a reduction in base salary, (b) discontinuance of Wynn Resorts’ bonus plan as in effect immediately before the Change in Control without substitution of a comparable plan (c) material reduction in aggregate benefits and perquisites,</w:t>
      </w:r>
    </w:p>
    <w:p>
      <w:pPr>
        <w:spacing w:after="0" w:line="3" w:lineRule="exact"/>
        <w:rPr>
          <w:sz w:val="20"/>
          <w:szCs w:val="20"/>
          <w:color w:val="auto"/>
        </w:rPr>
      </w:pPr>
    </w:p>
    <w:p>
      <w:pPr>
        <w:ind w:firstLine="8"/>
        <w:spacing w:after="0" w:line="287" w:lineRule="auto"/>
        <w:tabs>
          <w:tab w:leader="none" w:pos="24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Wynn Resorts requires that such officer change the location of his or her job or office by a distance of more than 25 miles, (e) a reduction in responsibilities or change in reporting, or (f) failure of a successor to expressly assume the obligations of such officer’s employment agreement, the officer may terminate his or her employment and receive a payment equal to base salary, bonus, accrued vacation pay and gross up payments for the greater of one year or the remainder of the contract term. Mr. Wynn’s payment is a maximum of four years. The severance payment is not a specified multiple of annual compensation, but dependent upon the remaining length of each particular officer’s contract term. The formula is the same for all named executive officers (other than Mr. Wynn’s whose payment is limited to four years). The Compensation Committee has determined that such agreements are fair compensation to Wynn Resorts’ senior management, especially in light of the double trigger required (i.e. in addition to a Change in Control, the officer must experience an identified adverse employment action prior to terminating his or her employment and receiving the severance payment).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base salary, annual incentive compensation and long term equity incentives, Wynn Resorts also provides its named executive officers with a number of executive benefits. The primary executive benefits include certain life insurance premiums, matching contributions as defined in Wynn Resorts’ 401(k) program and complementary privileges with respect to Wynn Resorts’ properties which are described in the footnotes to the “2007 Summary Compensation Table.” In addition, Messrs. Wynn, Schorr and Kramer have access to Wynn Resorts’ aircraft pursuant to time sharing agreements described in the “2007 Summary Compensation Table.” For security purposes, the Board of Directors requires Mr. Wynn to travel on Wynn Resorts’ aircraft for both personal and business travel, and Wynn Resorts provides a car and driver (and security when necessary) for his personal use. Ms. Chen receives a car and driver, certain housing and living expenses in Macau, as well as assistance with tax preparation. Mr. Kramer receives use of a car when he is in Las Vegas.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Wynn is employed by Wynn Resorts pursuant to an employment agreement dated October 4, 2002, amended August 6, 2004 and February 1, 2007, which has a term expiring in 2017. Mr. Wynn, a holder of approximately 21% of Wynn Resorts’ common stock, has not received any equity awards as part of this compensation as Chief Executive Officer of Wynn Resorts. Mr. Wynn receives a base salary, $3,250,000 per year as of February 1, 2007, and participates in the Annual Performance Based Incentive Plan, with a maximum bonus potential for 2007 and 2008 of 250% of his base salary. Based upon achievement of the applicable performance criteria in each year, Mr. Wynn was paid the maximum bonus under the Incentive Plan. Mr. Wynn is provided with a Wynn Resorts’ paid life insurance and disability policies, as well as participation in Wynn Resorts’ 401(k) plan. He also receives certain executive benefits described above.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of Wynn Resorts for the fiscal year ended December 31, 2007 and December 31, 2006.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Non-Equity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8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78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7"/>
              </w:rPr>
              <w:t>($)(1)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6"/>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CEO</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3,173,077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$ 7,500,000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573,428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11,246,505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2,825,000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$ 6,875,000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262,915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9,962,915</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John Strzemp</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Exec VP/CFO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$453,354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$ 1,200,000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38,052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2,291,406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$580,274</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  600,000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1,789,712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$ 81,328</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6,552,328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2,022,000</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$321,737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$ 2,600,000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734,262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8,477,999</w:t>
            </w:r>
          </w:p>
        </w:tc>
        <w:tc>
          <w:tcPr>
            <w:tcW w:w="0" w:type="dxa"/>
            <w:vAlign w:val="bottom"/>
          </w:tcPr>
          <w:p>
            <w:pPr>
              <w:spacing w:after="0"/>
              <w:rPr>
                <w:sz w:val="1"/>
                <w:szCs w:val="1"/>
                <w:color w:val="auto"/>
              </w:rPr>
            </w:pPr>
          </w:p>
        </w:tc>
      </w:tr>
      <w:tr>
        <w:trPr>
          <w:trHeight w:val="316"/>
        </w:trPr>
        <w:tc>
          <w:tcPr>
            <w:tcW w:w="3700" w:type="dxa"/>
            <w:vAlign w:val="bottom"/>
            <w:gridSpan w:val="3"/>
          </w:tcPr>
          <w:p>
            <w:pPr>
              <w:spacing w:after="0"/>
              <w:rPr>
                <w:sz w:val="20"/>
                <w:szCs w:val="20"/>
                <w:color w:val="auto"/>
              </w:rPr>
            </w:pPr>
            <w:r>
              <w:rPr>
                <w:rFonts w:ascii="Arial" w:cs="Arial" w:eastAsia="Arial" w:hAnsi="Arial"/>
                <w:sz w:val="18"/>
                <w:szCs w:val="18"/>
                <w:color w:val="auto"/>
              </w:rPr>
              <w:t>Marc D. Schorr</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2"/>
          </w:tcPr>
          <w:p>
            <w:pPr>
              <w:ind w:left="200"/>
              <w:spacing w:after="0"/>
              <w:rPr>
                <w:sz w:val="20"/>
                <w:szCs w:val="20"/>
                <w:color w:val="auto"/>
              </w:rPr>
            </w:pPr>
            <w:r>
              <w:rPr>
                <w:rFonts w:ascii="Arial" w:cs="Arial" w:eastAsia="Arial" w:hAnsi="Arial"/>
                <w:sz w:val="18"/>
                <w:szCs w:val="18"/>
                <w:color w:val="auto"/>
              </w:rPr>
              <w:t>COO</w:t>
            </w: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$ 78,460</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$ 3,500,000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646,933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7,660,393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1,072,115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1,685,000</w:t>
            </w: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$332,301</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722,021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7,311,437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President of Wynn Int’l Marketing</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1,066,833</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$516,797</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$ 2,000,000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5,234,709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444,514</w:t>
            </w:r>
          </w:p>
        </w:tc>
        <w:tc>
          <w:tcPr>
            <w:tcW w:w="1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$614,086</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$ 1,296,164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3,956,581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compensation cost as determined under Statement of Financial Accounting Standards No. 123R, “Share-Based Payment” for the year ended December 31, 2007, before reflecting estimated forfeitures. See Wynn Resorts’ Annual Report on Form 10-K for the year ended December 31, 2007 Note 15 to its Consolidated Financial Statements for assumptions used in computing fair value.</w:t>
      </w:r>
    </w:p>
    <w:p>
      <w:pPr>
        <w:spacing w:after="0" w:line="180" w:lineRule="exact"/>
        <w:rPr>
          <w:rFonts w:ascii="Arial" w:cs="Arial" w:eastAsia="Arial" w:hAnsi="Arial"/>
          <w:sz w:val="18"/>
          <w:szCs w:val="18"/>
          <w:color w:val="auto"/>
        </w:rPr>
      </w:pPr>
    </w:p>
    <w:p>
      <w:pPr>
        <w:ind w:left="340" w:right="200" w:hanging="332"/>
        <w:spacing w:after="0" w:line="34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Other Compensation includes cash distributions accrued on unvested restricted stock reported in the year such amounts accrue instead of the year paid, based on an SEC Staff interpretation issued after the 2007 proxy statement was filed. These amounts are paid only if and when the restricted stock vests. The following amounts for 2007 are included in “All Other Compensation” for Mr. Wynn:</w:t>
      </w:r>
    </w:p>
    <w:p>
      <w:pPr>
        <w:spacing w:after="0" w:line="1" w:lineRule="exact"/>
        <w:rPr>
          <w:rFonts w:ascii="Arial" w:cs="Arial" w:eastAsia="Arial" w:hAnsi="Arial"/>
          <w:sz w:val="18"/>
          <w:szCs w:val="18"/>
          <w:color w:val="auto"/>
        </w:rPr>
      </w:pPr>
    </w:p>
    <w:p>
      <w:pPr>
        <w:ind w:left="800" w:hanging="454"/>
        <w:spacing w:after="0"/>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personal use of Wynn Resorts’ aircraft of $424,548;</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life insurance premiums of $29,123;</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$109,416;</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Wynn Resorts employs for Mr. Wynn of $3,591;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401k employer matching contributions of $6,750.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Strzemp:</w:t>
      </w:r>
    </w:p>
    <w:p>
      <w:pPr>
        <w:spacing w:after="0" w:line="90" w:lineRule="exact"/>
        <w:rPr>
          <w:sz w:val="20"/>
          <w:szCs w:val="20"/>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$9,588;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$28,464 related to an employee incentive trip.</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Kramer:</w:t>
      </w:r>
    </w:p>
    <w:p>
      <w:pPr>
        <w:spacing w:after="0" w:line="90" w:lineRule="exact"/>
        <w:rPr>
          <w:sz w:val="20"/>
          <w:szCs w:val="20"/>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$540,000 of cash distributions related to unvested restricted stock;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$9,000.</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Mr. Schorr:</w:t>
      </w:r>
    </w:p>
    <w:p>
      <w:pPr>
        <w:spacing w:after="0" w:line="90" w:lineRule="exact"/>
        <w:rPr>
          <w:sz w:val="20"/>
          <w:szCs w:val="20"/>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$450,000 of cash distributions related to unvested restricted stock;</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personal use of Wynn Resorts’ aircraft of $176,914;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for executive life insurance premiums and 401k employer matching contributions of $20,019.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amounts for 2007 are included in “All Other Compensation” for Ms. Chen:</w:t>
      </w:r>
    </w:p>
    <w:p>
      <w:pPr>
        <w:spacing w:after="0" w:line="90" w:lineRule="exact"/>
        <w:rPr>
          <w:sz w:val="20"/>
          <w:szCs w:val="20"/>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$43,189 attributable to housing and other in Macau; and</w:t>
      </w:r>
    </w:p>
    <w:p>
      <w:pPr>
        <w:spacing w:after="0" w:line="15"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$7,890.</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$600,000 of cash distributions related to unvested restricted stock.</w:t>
      </w:r>
    </w:p>
    <w:p>
      <w:pPr>
        <w:spacing w:after="0" w:line="16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2007 total direct (variable) flight expenses by the total hours the aircraft was operated during the year. The executives’ hourly usage was multiplied by this annual hourly rate.</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2007, each of the named executive officers received base salary in accordance with the terms of his or her employment agreement, as well as an annual bonus under the terms of the Incentive Plan.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February 2008, as shown in “2007 Grants of Plan-Based Awards Table,” the named executive officers also received bonuses under the Incentive Plan related to 2007 performance. Since the operating criterion was satisfied (Adjusted EBITDA for Wynn Las Vegas and Wynn Macau), all participants were entitled to, and did receive the maximum bonuses payable under the Incentive Plan.</w:t>
      </w: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2007 GRANTS OF PLAN-BASED AWARDS TABLE</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5"/>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79"/>
              </w:rPr>
              <w:t>Possible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4"/>
              </w:rPr>
              <w:t>Payouts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Under</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1"/>
              </w:rPr>
              <w:t>Non-Equity</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5"/>
              </w:rPr>
              <w:t>Plan Awards</w:t>
            </w:r>
          </w:p>
        </w:tc>
      </w:tr>
      <w:tr>
        <w:trPr>
          <w:trHeight w:val="149"/>
        </w:trPr>
        <w:tc>
          <w:tcPr>
            <w:tcW w:w="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2"/>
              </w:rPr>
              <w:t>Maximum</w:t>
            </w:r>
          </w:p>
        </w:tc>
      </w:tr>
      <w:tr>
        <w:trPr>
          <w:trHeight w:val="210"/>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5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5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r>
      <w:tr>
        <w:trPr>
          <w:trHeight w:val="363"/>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620" w:type="dxa"/>
            <w:vAlign w:val="bottom"/>
          </w:tcPr>
          <w:p>
            <w:pPr>
              <w:jc w:val="right"/>
              <w:ind w:right="36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Plan Based Awards Table</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Wynn Resorts’ Incentive Plan rewards management for creation of superior return to stockholders, measured by operating performance of its properties. The amounts shown on the table above reflect achievement of the 2007 performance criteria of Adjusted EBITDA at Wynn Resorts’ Wynn Las Vegas and Wynn Macau properties and the payment of maximum bonuses under the Incentive Plan to all named executive officers.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 w:type="dxa"/>
            <w:vAlign w:val="bottom"/>
          </w:tcPr>
          <w:p>
            <w:pPr>
              <w:spacing w:after="0"/>
              <w:rPr>
                <w:sz w:val="12"/>
                <w:szCs w:val="12"/>
                <w:color w:val="auto"/>
              </w:rPr>
            </w:pPr>
          </w:p>
        </w:tc>
        <w:tc>
          <w:tcPr>
            <w:tcW w:w="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Options</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9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That Have Not</w:t>
            </w: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Price</w:t>
            </w: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Exercisable</w:t>
            </w: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Unexercisable</w:t>
            </w:r>
          </w:p>
        </w:tc>
        <w:tc>
          <w:tcPr>
            <w:tcW w:w="100" w:type="dxa"/>
            <w:vAlign w:val="bottom"/>
          </w:tcPr>
          <w:p>
            <w:pPr>
              <w:spacing w:after="0"/>
              <w:rPr>
                <w:sz w:val="14"/>
                <w:szCs w:val="14"/>
                <w:color w:val="auto"/>
              </w:rPr>
            </w:pPr>
          </w:p>
        </w:tc>
        <w:tc>
          <w:tcPr>
            <w:tcW w:w="5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John Strzemp(1)</w:t>
            </w: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3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15.40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56.67</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14.91</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04/01/13</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Marc D. Schorr(3)</w:t>
            </w: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34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15.40</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03/25/13</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50,000</w:t>
            </w:r>
          </w:p>
        </w:tc>
        <w:tc>
          <w:tcPr>
            <w:tcW w:w="1060" w:type="dxa"/>
            <w:vAlign w:val="bottom"/>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Chen(4)</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08/01/15</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Strzemp’s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stock options—50,000 shares will vest on August 1, 2008.</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Kramer’s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restricted stock will vest 30,000 shares on each of December 15, 2008 and 2009.</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Schorr’s outstanding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restricted stock will vest 25,000 shares on each of December 15, 2008 and 2009.</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Chen’s outstanding awards will vest as follows:</w:t>
      </w:r>
    </w:p>
    <w:p>
      <w:pPr>
        <w:spacing w:after="0" w:line="15" w:lineRule="exact"/>
        <w:rPr>
          <w:rFonts w:ascii="Arial" w:cs="Arial" w:eastAsia="Arial" w:hAnsi="Arial"/>
          <w:sz w:val="18"/>
          <w:szCs w:val="18"/>
          <w:color w:val="auto"/>
        </w:rPr>
      </w:pPr>
    </w:p>
    <w:p>
      <w:pPr>
        <w:ind w:left="900" w:right="280" w:hanging="446"/>
        <w:spacing w:after="0" w:line="261"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stock options—33,333 shares will vest on each of August 1, 2008 and 2009 and 33,334 shares vest on August 1, 2010; and b. restricted stock will vest in its entirety on July 31, 2012.</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closing price of Wynn Resorts’ stock at year-end was $112.13 per share.</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All vesting is conditioned upon such named executive officer being an employee of Wynn Resorts on the vesting date.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6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Option Awards</w:t>
            </w:r>
          </w:p>
        </w:tc>
        <w:tc>
          <w:tcPr>
            <w:tcW w:w="2040" w:type="dxa"/>
            <w:vAlign w:val="bottom"/>
            <w:gridSpan w:val="5"/>
          </w:tcPr>
          <w:p>
            <w:pPr>
              <w:ind w:lef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6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Value</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Vesting</w:t>
            </w:r>
          </w:p>
        </w:tc>
        <w:tc>
          <w:tcPr>
            <w:tcW w:w="2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6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40" w:type="dxa"/>
            <w:vAlign w:val="bottom"/>
            <w:gridSpan w:val="2"/>
          </w:tcPr>
          <w:p>
            <w:pPr>
              <w:jc w:val="center"/>
              <w:ind w:left="3437"/>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10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581,800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840" w:type="dxa"/>
            <w:vAlign w:val="bottom"/>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3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060" w:type="dxa"/>
            <w:vAlign w:val="bottom"/>
            <w:gridSpan w:val="2"/>
            <w:shd w:val="clear" w:color="auto" w:fill="CCEEFF"/>
          </w:tcPr>
          <w:p>
            <w:pPr>
              <w:jc w:val="center"/>
              <w:ind w:left="139"/>
              <w:spacing w:after="0"/>
              <w:rPr>
                <w:sz w:val="20"/>
                <w:szCs w:val="20"/>
                <w:color w:val="auto"/>
              </w:rPr>
            </w:pPr>
            <w:r>
              <w:rPr>
                <w:rFonts w:ascii="Arial" w:cs="Arial" w:eastAsia="Arial" w:hAnsi="Arial"/>
                <w:sz w:val="18"/>
                <w:szCs w:val="18"/>
                <w:color w:val="auto"/>
                <w:w w:val="88"/>
              </w:rPr>
              <w:t>$ 3,536,100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Marc D. Schorr</w:t>
            </w:r>
          </w:p>
        </w:tc>
        <w:tc>
          <w:tcPr>
            <w:tcW w:w="3500" w:type="dxa"/>
            <w:vAlign w:val="bottom"/>
          </w:tcPr>
          <w:p>
            <w:pPr>
              <w:spacing w:after="0"/>
              <w:rPr>
                <w:sz w:val="18"/>
                <w:szCs w:val="18"/>
                <w:color w:val="auto"/>
              </w:rPr>
            </w:pP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60" w:type="dxa"/>
            <w:vAlign w:val="bottom"/>
            <w:gridSpan w:val="2"/>
          </w:tcPr>
          <w:p>
            <w:pPr>
              <w:jc w:val="center"/>
              <w:ind w:left="139"/>
              <w:spacing w:after="0"/>
              <w:rPr>
                <w:sz w:val="20"/>
                <w:szCs w:val="20"/>
                <w:color w:val="auto"/>
              </w:rPr>
            </w:pPr>
            <w:r>
              <w:rPr>
                <w:rFonts w:ascii="Arial" w:cs="Arial" w:eastAsia="Arial" w:hAnsi="Arial"/>
                <w:sz w:val="18"/>
                <w:szCs w:val="18"/>
                <w:color w:val="auto"/>
                <w:w w:val="88"/>
              </w:rPr>
              <w:t>$ 2,946,750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2,195,188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500" w:type="dxa"/>
            <w:vAlign w:val="bottom"/>
          </w:tcPr>
          <w:p>
            <w:pPr>
              <w:jc w:val="right"/>
              <w:ind w:right="1057"/>
              <w:spacing w:after="0"/>
              <w:rPr>
                <w:sz w:val="20"/>
                <w:szCs w:val="20"/>
                <w:color w:val="auto"/>
              </w:rPr>
            </w:pPr>
            <w:r>
              <w:rPr>
                <w:rFonts w:ascii="Arial" w:cs="Arial" w:eastAsia="Arial" w:hAnsi="Arial"/>
                <w:sz w:val="18"/>
                <w:szCs w:val="18"/>
                <w:color w:val="auto"/>
              </w:rPr>
              <w:t>77</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6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Wynn Resorts’ employment agreements with its named executive officers provide that such agreements are terminable by Wynn Resorts without cause upon notice to the employee, so long as a “separation payment” is paid within 10 days of such notice. The “separation payment” includes (a) base salary through the end of the term of the agreement, but not less than 12 months (and in Mr. Wynn’s case, not more than 4 years); (b) bonus for all bonus periods based upon last bonus paid through the end of the term (and in Mr. Wynn’s case, not more than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the stock option agreements and restricted stock agreements for all named executive officers other than Mr. Wynn provide that all unvested options and shares will vest.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Wynn Resorts’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Wynn Resorts’ outstanding securities; or (b) the existing directors of Wynn Resorts (including those elected in the normal course and not including those elected as a result of an actual or threatened election contest) cease to constitute a majority of the Board of Directors of Wynn Resorts.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reduction of responsibilities or required reporting to a person of lower rank or responsibilities; or (v) failure to expressly assume in writing the employment agreement. Upon termination by the employee pursuant to this provision, the employee is entitled to the same amounts described under “Payments Made Upon Termination Without Cause at Employer’s Election During the Term” above. Pursuant to the terms of the applicable stock option agreements and restricted stock grant agreements, all outstanding options and unvested shares of restricted stock held by each of Mr. Kramer, Schorr, Strzemp and Ms. Chen immediately vest upon termination by Wynn Resorts without cause or upon termination by the employee for good reason after a change in control.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During the Term</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Only Mr. Kramer is entitled to voluntarily terminate his employment agreement during the term. Upon such termination, Mr. Kramer is entitled to payment of all base salary, bonus, unreimbursed expenses and vacation earned but not paid at the time of termination.</w:t>
      </w:r>
    </w:p>
    <w:p>
      <w:pPr>
        <w:spacing w:after="0" w:line="13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tables below reflect the amount of compensation that would become payable to each of the named executive officers under existing agreements and arrangements if the named executive’s employment had terminated on December 31, 2007 given the named executive’s compensation as of such date and, if applicable, based on Wynn Resorts’ closing stock price on that date. These benefits are in addition to benefits available prior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to the occurrence of any termination of employment, including under then-exercisable stock options, and benefits generally to salaried employees, such as distributions under Wynn Resorts’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Wynn Resorts.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Wynn Resorts’ stock price and the executive’s age.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A. Wynn</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the case of Mr. Wynn, the payments to be made upon “Termination Without Cause at Employer’s Election During the Term” and “Termination by Employee for Good Reason After Change in Control for Good Reason” are limited to four years (rather than the remainder of the term).</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100" w:type="dxa"/>
            <w:vAlign w:val="bottom"/>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5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1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Disability</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0"/>
              </w:rPr>
              <w:t>Term(1)(3)</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0"/>
              </w:rPr>
              <w:t>Control(1)(3)</w:t>
            </w:r>
          </w:p>
        </w:tc>
        <w:tc>
          <w:tcPr>
            <w:tcW w:w="20" w:type="dxa"/>
            <w:vAlign w:val="bottom"/>
          </w:tcPr>
          <w:p>
            <w:pPr>
              <w:spacing w:after="0"/>
              <w:rPr>
                <w:sz w:val="14"/>
                <w:szCs w:val="14"/>
                <w:color w:val="auto"/>
              </w:rPr>
            </w:pPr>
          </w:p>
        </w:tc>
      </w:tr>
      <w:tr>
        <w:trPr>
          <w:trHeight w:val="201"/>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 and</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13,000,000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13,000,000</w:t>
            </w:r>
          </w:p>
        </w:tc>
        <w:tc>
          <w:tcPr>
            <w:tcW w:w="20" w:type="dxa"/>
            <w:vAlign w:val="bottom"/>
          </w:tcPr>
          <w:p>
            <w:pPr>
              <w:spacing w:after="0"/>
              <w:rPr>
                <w:sz w:val="17"/>
                <w:szCs w:val="17"/>
                <w:color w:val="auto"/>
              </w:rPr>
            </w:pPr>
          </w:p>
        </w:tc>
      </w:tr>
      <w:tr>
        <w:trPr>
          <w:trHeight w:val="216"/>
        </w:trPr>
        <w:tc>
          <w:tcPr>
            <w:tcW w:w="45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unpaid through the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5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date of termination.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7,500,000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37,500,000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37,500,000</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17,453,535</w:t>
            </w:r>
          </w:p>
        </w:tc>
        <w:tc>
          <w:tcPr>
            <w:tcW w:w="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323,214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471,647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Bonus amounts include bonuses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Strzemp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0"/>
              </w:rPr>
              <w:t>Term (3)</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600,000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20,789</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unvested 50,000 stock option grant would vest immediately upon death or complete disability. Using the closing price on December 31, 2007, the value of such options upon exercise would have been $2,773,000.</w:t>
      </w:r>
    </w:p>
    <w:p>
      <w:pPr>
        <w:ind w:left="460" w:right="14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J. Kramer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Termination</w:t>
            </w:r>
          </w:p>
        </w:tc>
        <w:tc>
          <w:tcPr>
            <w:tcW w:w="600" w:type="dxa"/>
            <w:vAlign w:val="bottom"/>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by Employee</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80" w:type="dxa"/>
            <w:vAlign w:val="bottom"/>
          </w:tcPr>
          <w:p>
            <w:pPr>
              <w:spacing w:after="0"/>
              <w:rPr>
                <w:sz w:val="12"/>
                <w:szCs w:val="12"/>
                <w:color w:val="auto"/>
              </w:rPr>
            </w:pPr>
          </w:p>
        </w:tc>
        <w:tc>
          <w:tcPr>
            <w:tcW w:w="116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Termination Upon</w:t>
            </w: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without Cause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Voluntary</w:t>
            </w:r>
          </w:p>
        </w:tc>
        <w:tc>
          <w:tcPr>
            <w:tcW w:w="80" w:type="dxa"/>
            <w:vAlign w:val="bottom"/>
          </w:tcPr>
          <w:p>
            <w:pPr>
              <w:spacing w:after="0"/>
              <w:rPr>
                <w:sz w:val="12"/>
                <w:szCs w:val="12"/>
                <w:color w:val="auto"/>
              </w:rPr>
            </w:pPr>
          </w:p>
        </w:tc>
        <w:tc>
          <w:tcPr>
            <w:tcW w:w="11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Death</w:t>
            </w:r>
          </w:p>
        </w:tc>
        <w:tc>
          <w:tcPr>
            <w:tcW w:w="6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at Employer’s</w:t>
            </w:r>
          </w:p>
        </w:tc>
        <w:tc>
          <w:tcPr>
            <w:tcW w:w="6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Reason After</w:t>
            </w:r>
          </w:p>
        </w:tc>
      </w:tr>
      <w:tr>
        <w:trPr>
          <w:trHeight w:val="149"/>
        </w:trPr>
        <w:tc>
          <w:tcPr>
            <w:tcW w:w="5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or Completes</w:t>
            </w:r>
          </w:p>
        </w:tc>
        <w:tc>
          <w:tcPr>
            <w:tcW w:w="60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Election During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Change in</w:t>
            </w:r>
          </w:p>
        </w:tc>
      </w:tr>
      <w:tr>
        <w:trPr>
          <w:trHeight w:val="161"/>
        </w:trPr>
        <w:tc>
          <w:tcPr>
            <w:tcW w:w="5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by the Employee</w:t>
            </w:r>
          </w:p>
        </w:tc>
        <w:tc>
          <w:tcPr>
            <w:tcW w:w="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the Term(4)</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5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Amount earned</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Amount earned</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1,300,000</w:t>
            </w:r>
          </w:p>
        </w:tc>
        <w:tc>
          <w:tcPr>
            <w:tcW w:w="70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4"/>
              </w:rPr>
              <w:t>1,300,000</w:t>
            </w:r>
          </w:p>
        </w:tc>
        <w:tc>
          <w:tcPr>
            <w:tcW w:w="20" w:type="dxa"/>
            <w:vAlign w:val="bottom"/>
          </w:tcPr>
          <w:p>
            <w:pPr>
              <w:spacing w:after="0"/>
              <w:rPr>
                <w:sz w:val="17"/>
                <w:szCs w:val="17"/>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unpaid</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and unpaid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through the date</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6"/>
              </w:rPr>
              <w:t>through the date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termination.</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99"/>
              </w:rPr>
              <w:t>of termination.</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Bonus</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5,200,000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5,200,000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6,727,800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6,727,800</w:t>
            </w:r>
          </w:p>
        </w:tc>
        <w:tc>
          <w:tcPr>
            <w:tcW w:w="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Tax Gross Up</w:t>
            </w:r>
          </w:p>
        </w:tc>
        <w:tc>
          <w:tcPr>
            <w:tcW w:w="100" w:type="dxa"/>
            <w:vAlign w:val="bottom"/>
          </w:tcPr>
          <w:p>
            <w:pPr>
              <w:spacing w:after="0"/>
              <w:rPr>
                <w:sz w:val="18"/>
                <w:szCs w:val="18"/>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N/A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60,000 restricted stock grants would vest. Using the closing price on December 31, 2007, the value of such grants upon vesting would have been $6,727,800.</w:t>
      </w:r>
    </w:p>
    <w:p>
      <w:pPr>
        <w:ind w:left="460" w:right="1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for providing such benefits through the remainder of the term.</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Termination</w:t>
            </w:r>
          </w:p>
        </w:tc>
        <w:tc>
          <w:tcPr>
            <w:tcW w:w="8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Election</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Reason After</w:t>
            </w:r>
          </w:p>
        </w:tc>
      </w:tr>
      <w:tr>
        <w:trPr>
          <w:trHeight w:val="149"/>
        </w:trPr>
        <w:tc>
          <w:tcPr>
            <w:tcW w:w="4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During the</w:t>
            </w: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Term(4)</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Control(3)</w:t>
            </w:r>
          </w:p>
        </w:tc>
        <w:tc>
          <w:tcPr>
            <w:tcW w:w="20" w:type="dxa"/>
            <w:vAlign w:val="bottom"/>
          </w:tcPr>
          <w:p>
            <w:pPr>
              <w:spacing w:after="0"/>
              <w:rPr>
                <w:sz w:val="14"/>
                <w:szCs w:val="14"/>
                <w:color w:val="auto"/>
              </w:rPr>
            </w:pPr>
          </w:p>
        </w:tc>
      </w:tr>
      <w:tr>
        <w:trPr>
          <w:trHeight w:val="201"/>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2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74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Bonus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3,500,000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3,500,000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5,606,500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Tax Gross Up</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Benefits(2)</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Upon the death, complete disability or change of control 50,000 restricted stock grants would vest. Using the closing price on December 31, 2007, the value of such grant upon vesting would have been $5,606,500.</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Mr. Schorr’s employment agreement had expired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Bonus amount includes bonus for 2007 performance year paid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Termination</w:t>
            </w:r>
          </w:p>
        </w:tc>
        <w:tc>
          <w:tcPr>
            <w:tcW w:w="1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without Cause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by Employee</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at Employer’s</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Good</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Termination Upon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Election</w:t>
            </w: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49"/>
        </w:trPr>
        <w:tc>
          <w:tcPr>
            <w:tcW w:w="4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Death or Complete</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During the</w:t>
            </w: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r>
      <w:tr>
        <w:trPr>
          <w:trHeight w:val="161"/>
        </w:trPr>
        <w:tc>
          <w:tcPr>
            <w:tcW w:w="48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Disability</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Term(4)</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89"/>
              </w:rPr>
              <w:t>Control(4)</w:t>
            </w:r>
          </w:p>
        </w:tc>
        <w:tc>
          <w:tcPr>
            <w:tcW w:w="20" w:type="dxa"/>
            <w:vAlign w:val="bottom"/>
          </w:tcPr>
          <w:p>
            <w:pPr>
              <w:spacing w:after="0"/>
              <w:rPr>
                <w:sz w:val="14"/>
                <w:szCs w:val="14"/>
                <w:color w:val="auto"/>
              </w:rPr>
            </w:pPr>
          </w:p>
        </w:tc>
      </w:tr>
      <w:tr>
        <w:trPr>
          <w:trHeight w:val="201"/>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Amount earned and</w:t>
            </w:r>
          </w:p>
        </w:tc>
        <w:tc>
          <w:tcPr>
            <w:tcW w:w="4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3,583,333</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3,583,333</w:t>
            </w:r>
          </w:p>
        </w:tc>
        <w:tc>
          <w:tcPr>
            <w:tcW w:w="20" w:type="dxa"/>
            <w:vAlign w:val="bottom"/>
          </w:tcPr>
          <w:p>
            <w:pPr>
              <w:spacing w:after="0"/>
              <w:rPr>
                <w:sz w:val="17"/>
                <w:szCs w:val="17"/>
                <w:color w:val="auto"/>
              </w:rPr>
            </w:pPr>
          </w:p>
        </w:tc>
      </w:tr>
      <w:tr>
        <w:trPr>
          <w:trHeight w:val="216"/>
        </w:trPr>
        <w:tc>
          <w:tcPr>
            <w:tcW w:w="48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through the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8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date of termination.</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Bonus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8,000,000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8,000,000</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Options/Restricted Stock(1)(2)</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2,647,726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2,647,726</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Tax Gross Up</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5,618,828</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Benefits(3)</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142,085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207,337</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unvested 100,000 stock option grant would vest immediately upon death or complete disability. Using the closing price on December 31, 2007, the value of such options upon exercise would have been $5,546,000.</w:t>
      </w:r>
    </w:p>
    <w:p>
      <w:pPr>
        <w:ind w:left="460" w:right="30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termination without cause the restricted stock will vest on a pro-rated basis based on the number of months since the grant date. Using the closing price on December 31, 2007, the value of such 23,613 shares would have been $2,647,726.</w:t>
      </w:r>
    </w:p>
    <w:p>
      <w:pPr>
        <w:ind w:left="460" w:right="38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for providing such benefits through the remainder of the term.</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Bonus includes bonus for 2007 performance year paid in 2008.</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following table summarizes, as of December 31, 2007, compensation plans under which Wynn Resorts’ equity securities are authorized for issuance, aggregated as to: (i) all compensation plans previously approved by stockholders; and (ii) all compensation plans not previously approved by stockholders.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80" w:type="dxa"/>
            <w:vAlign w:val="bottom"/>
          </w:tcPr>
          <w:p>
            <w:pPr>
              <w:spacing w:after="0"/>
              <w:rPr>
                <w:sz w:val="12"/>
                <w:szCs w:val="12"/>
                <w:color w:val="auto"/>
              </w:rPr>
            </w:pPr>
          </w:p>
        </w:tc>
        <w:tc>
          <w:tcPr>
            <w:tcW w:w="22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80" w:type="dxa"/>
            <w:vAlign w:val="bottom"/>
          </w:tcPr>
          <w:p>
            <w:pPr>
              <w:spacing w:after="0"/>
              <w:rPr>
                <w:sz w:val="12"/>
                <w:szCs w:val="12"/>
                <w:color w:val="auto"/>
              </w:rPr>
            </w:pPr>
          </w:p>
        </w:tc>
        <w:tc>
          <w:tcPr>
            <w:tcW w:w="22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reflected in column</w:t>
            </w:r>
          </w:p>
        </w:tc>
        <w:tc>
          <w:tcPr>
            <w:tcW w:w="0" w:type="dxa"/>
            <w:vAlign w:val="bottom"/>
          </w:tcPr>
          <w:p>
            <w:pPr>
              <w:spacing w:after="0"/>
              <w:rPr>
                <w:sz w:val="1"/>
                <w:szCs w:val="1"/>
                <w:color w:val="auto"/>
              </w:rPr>
            </w:pPr>
          </w:p>
        </w:tc>
      </w:tr>
      <w:tr>
        <w:trPr>
          <w:trHeight w:val="161"/>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6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9"/>
              </w:rPr>
              <w:t>Warrants and Rights(1)</w:t>
            </w:r>
          </w:p>
        </w:tc>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Warrants and Rights</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2,024,425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22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48.04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489,500 shares of unvested restricted stock awards outstanding under an approved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We own all of the issued and outstanding capital stock of Wynn Capital. Each of the other additional registrants are our wholly owned subsidiaries.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wholly owned subsidiary of Wynn Holdings. Wynn Holdings is a wholly owned subsidiary of Wynn Resorts. The following table sets forth, as of February 29, 2008, certain information regarding the shares of Wynn Resorts’ common stock beneficially owned by: (i) each director; (ii) each stockholder who is known by the Wynn Resorts to beneficially own in excess of 5% of the outstanding shares of Wynn Resorts’ common stock based on information reported on Form 13D or 13G filed with the SEC; (iii) each of the executive officers of Wynn Resorts named in the Summary Compensation Table; and (iv) all executive officers of Wynn Resorts, and directors of Wynn Resorts, as a group.</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20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7"/>
              </w:rPr>
              <w:t>Beneficial Ownership Of</w:t>
            </w:r>
          </w:p>
        </w:tc>
        <w:tc>
          <w:tcPr>
            <w:tcW w:w="0" w:type="dxa"/>
            <w:vAlign w:val="bottom"/>
          </w:tcPr>
          <w:p>
            <w:pPr>
              <w:spacing w:after="0"/>
              <w:rPr>
                <w:sz w:val="1"/>
                <w:szCs w:val="1"/>
                <w:color w:val="auto"/>
              </w:rPr>
            </w:pPr>
          </w:p>
        </w:tc>
      </w:tr>
      <w:tr>
        <w:trPr>
          <w:trHeight w:val="161"/>
        </w:trPr>
        <w:tc>
          <w:tcPr>
            <w:tcW w:w="9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124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4"/>
                <w:szCs w:val="14"/>
                <w:b w:val="1"/>
                <w:bCs w:val="1"/>
                <w:color w:val="auto"/>
                <w:w w:val="84"/>
              </w:rPr>
              <w:t>Shares(1)</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380" w:type="dxa"/>
            <w:vAlign w:val="bottom"/>
            <w:gridSpan w:val="3"/>
            <w:vMerge w:val="continue"/>
          </w:tcPr>
          <w:p>
            <w:pPr>
              <w:spacing w:after="0"/>
              <w:rPr>
                <w:sz w:val="12"/>
                <w:szCs w:val="12"/>
                <w:color w:val="auto"/>
              </w:rPr>
            </w:pPr>
          </w:p>
        </w:tc>
        <w:tc>
          <w:tcPr>
            <w:tcW w:w="12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Wynn(3)(4)</w:t>
            </w:r>
          </w:p>
        </w:tc>
        <w:tc>
          <w:tcPr>
            <w:tcW w:w="67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Aruze USA, Inc.(3)(5)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Marsico Capital Management, LLC(6)</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16,543,565</w:t>
            </w: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1200 17th Street, Suite 1600</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7,564,839</w:t>
            </w:r>
          </w:p>
        </w:tc>
        <w:tc>
          <w:tcPr>
            <w:tcW w:w="4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Linda Chen(8)</w:t>
            </w:r>
          </w:p>
        </w:tc>
        <w:tc>
          <w:tcPr>
            <w:tcW w:w="800" w:type="dxa"/>
            <w:vAlign w:val="bottom"/>
          </w:tcPr>
          <w:p>
            <w:pPr>
              <w:jc w:val="right"/>
              <w:spacing w:after="0"/>
              <w:rPr>
                <w:sz w:val="20"/>
                <w:szCs w:val="20"/>
                <w:color w:val="auto"/>
              </w:rPr>
            </w:pPr>
            <w:r>
              <w:rPr>
                <w:rFonts w:ascii="Arial" w:cs="Arial" w:eastAsia="Arial" w:hAnsi="Arial"/>
                <w:sz w:val="18"/>
                <w:szCs w:val="18"/>
                <w:color w:val="auto"/>
              </w:rPr>
              <w:t>185,000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Ronald J. Kramer(10)</w:t>
            </w:r>
          </w:p>
        </w:tc>
        <w:tc>
          <w:tcPr>
            <w:tcW w:w="800" w:type="dxa"/>
            <w:vAlign w:val="bottom"/>
          </w:tcPr>
          <w:p>
            <w:pPr>
              <w:jc w:val="right"/>
              <w:spacing w:after="0"/>
              <w:rPr>
                <w:sz w:val="20"/>
                <w:szCs w:val="20"/>
                <w:color w:val="auto"/>
              </w:rPr>
            </w:pPr>
            <w:r>
              <w:rPr>
                <w:rFonts w:ascii="Arial" w:cs="Arial" w:eastAsia="Arial" w:hAnsi="Arial"/>
                <w:sz w:val="18"/>
                <w:szCs w:val="18"/>
                <w:color w:val="auto"/>
              </w:rPr>
              <w:t>338,370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A. Moran(11)(12)</w:t>
            </w:r>
          </w:p>
        </w:tc>
        <w:tc>
          <w:tcPr>
            <w:tcW w:w="800" w:type="dxa"/>
            <w:vAlign w:val="bottom"/>
          </w:tcPr>
          <w:p>
            <w:pPr>
              <w:jc w:val="right"/>
              <w:spacing w:after="0"/>
              <w:rPr>
                <w:sz w:val="20"/>
                <w:szCs w:val="20"/>
                <w:color w:val="auto"/>
              </w:rPr>
            </w:pPr>
            <w:r>
              <w:rPr>
                <w:rFonts w:ascii="Arial" w:cs="Arial" w:eastAsia="Arial" w:hAnsi="Arial"/>
                <w:sz w:val="18"/>
                <w:szCs w:val="18"/>
                <w:color w:val="auto"/>
              </w:rPr>
              <w:t>148,000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Alvin V. Shoemaker(11)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D. Boone Wayson(11)</w:t>
            </w:r>
          </w:p>
        </w:tc>
        <w:tc>
          <w:tcPr>
            <w:tcW w:w="800" w:type="dxa"/>
            <w:vAlign w:val="bottom"/>
          </w:tcPr>
          <w:p>
            <w:pPr>
              <w:jc w:val="right"/>
              <w:spacing w:after="0"/>
              <w:rPr>
                <w:sz w:val="20"/>
                <w:szCs w:val="20"/>
                <w:color w:val="auto"/>
              </w:rPr>
            </w:pPr>
            <w:r>
              <w:rPr>
                <w:rFonts w:ascii="Arial" w:cs="Arial" w:eastAsia="Arial" w:hAnsi="Arial"/>
                <w:sz w:val="18"/>
                <w:szCs w:val="18"/>
                <w:color w:val="auto"/>
              </w:rPr>
              <w:t>77,500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Wynn(3)(4)(13)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23,970,930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800" w:type="dxa"/>
            <w:vAlign w:val="bottom"/>
          </w:tcPr>
          <w:p>
            <w:pPr>
              <w:jc w:val="right"/>
              <w:spacing w:after="0"/>
              <w:rPr>
                <w:sz w:val="20"/>
                <w:szCs w:val="20"/>
                <w:color w:val="auto"/>
              </w:rPr>
            </w:pPr>
            <w:r>
              <w:rPr>
                <w:rFonts w:ascii="Arial" w:cs="Arial" w:eastAsia="Arial" w:hAnsi="Arial"/>
                <w:sz w:val="18"/>
                <w:szCs w:val="18"/>
                <w:color w:val="auto"/>
              </w:rPr>
              <w:t>27,500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532,923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John Strzemp(15)</w:t>
            </w:r>
          </w:p>
        </w:tc>
        <w:tc>
          <w:tcPr>
            <w:tcW w:w="800" w:type="dxa"/>
            <w:vAlign w:val="bottom"/>
          </w:tcPr>
          <w:p>
            <w:pPr>
              <w:jc w:val="right"/>
              <w:spacing w:after="0"/>
              <w:rPr>
                <w:sz w:val="20"/>
                <w:szCs w:val="20"/>
                <w:color w:val="auto"/>
              </w:rPr>
            </w:pPr>
            <w:r>
              <w:rPr>
                <w:rFonts w:ascii="Arial" w:cs="Arial" w:eastAsia="Arial" w:hAnsi="Arial"/>
                <w:sz w:val="18"/>
                <w:szCs w:val="18"/>
                <w:color w:val="auto"/>
              </w:rPr>
              <w:t>205,500</w:t>
            </w:r>
          </w:p>
        </w:tc>
        <w:tc>
          <w:tcPr>
            <w:tcW w:w="4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Group(19 persons)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50,390,833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80" w:hanging="528"/>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 w:lineRule="exact"/>
        <w:rPr>
          <w:sz w:val="20"/>
          <w:szCs w:val="20"/>
          <w:color w:val="auto"/>
        </w:rPr>
      </w:pPr>
    </w:p>
    <w:p>
      <w:pPr>
        <w:ind w:left="580" w:right="10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Wynn Resorts’ transfer agent, and contained in Schedules 13D and 13G filed with the SEC. Unless otherwise indicated in the footnotes to this table and subject to community property laws, where applicable, Wynn Resorts believes each of the stockholders named in this table has sole voting and investment power with respect to the shares indicated as beneficially owned.</w:t>
      </w:r>
    </w:p>
    <w:p>
      <w:pPr>
        <w:spacing w:after="0" w:line="1" w:lineRule="exact"/>
        <w:rPr>
          <w:rFonts w:ascii="Arial" w:cs="Arial" w:eastAsia="Arial" w:hAnsi="Arial"/>
          <w:sz w:val="18"/>
          <w:szCs w:val="18"/>
          <w:color w:val="auto"/>
        </w:rPr>
      </w:pPr>
    </w:p>
    <w:p>
      <w:pPr>
        <w:ind w:left="580" w:right="280" w:hanging="572"/>
        <w:spacing w:after="0" w:line="250"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580" w:right="20" w:hanging="572"/>
        <w:spacing w:after="0" w:line="331" w:lineRule="auto"/>
        <w:tabs>
          <w:tab w:leader="none" w:pos="5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Does not include shares that may be deemed to be beneficially owned by virtue of the Stockholders Agreement, dated as of April 11, 2002 (the “Stockholders Agreement”), by and among Mr. Wynn, Baron Asset Fund, a Massachusetts business trust (“Baron”) and Aruze USA, Inc., and as amended by an Amendment to Stockholders Agreement, dated as of November 8, 2006 (the “Amendment”), by and between Mr. Wynn and Aruze USA,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hanging="572"/>
        <w:spacing w:after="0" w:line="254"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Excludes 578,292 shares, in the aggregate, of Wynn Resorts’ common stock held in four grantor retained annuity trusts created by Stephen A. Wynn and Elaine P. Wynn. In 2007, Mr. Wynn ceased to be the trustee of each of these trusts.</w:t>
      </w:r>
    </w:p>
    <w:p>
      <w:pPr>
        <w:ind w:left="580" w:right="14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Aruze USA, Inc. is a wholly owned subsidiary of Aruze Corp., of which Mr. Kazuo Okada owns a controlling interest and is the Chairman. The subject securities were acquired and are owned by Aruze USA, Inc. but Aruze Corp. and Mr. Okada may also be considered beneficial owners of the shares because Aruze USA, Aruze Corp. and Mr. Okada may be deemed to have shared voting and dispositive power over the shares.</w:t>
      </w:r>
    </w:p>
    <w:p>
      <w:pPr>
        <w:spacing w:after="0" w:line="2" w:lineRule="exact"/>
        <w:rPr>
          <w:rFonts w:ascii="Arial" w:cs="Arial" w:eastAsia="Arial" w:hAnsi="Arial"/>
          <w:sz w:val="16"/>
          <w:szCs w:val="16"/>
          <w:color w:val="auto"/>
        </w:rPr>
      </w:pPr>
    </w:p>
    <w:p>
      <w:pPr>
        <w:ind w:left="580" w:right="2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The information provided is based upon a Schedule 13G/A, dated February 14, 2008, filed by Marsico.</w:t>
      </w:r>
    </w:p>
    <w:p>
      <w:pPr>
        <w:ind w:left="580" w:right="10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The information provided is based upon a Schedule 13G, dated February 14, 2008, filed by Morgan Stanley.</w:t>
      </w:r>
    </w:p>
    <w:p>
      <w:pPr>
        <w:spacing w:after="0" w:line="1"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Wynn Resorts’ 2002 Stock Plan and subject to a Restricted Stock Agreement which provides such grant will vest on July 31, 2012; (ii) 26,250 shares owned by Linda Chen, as trustee; and (iii) 62,500 shares pledged by Ms. Chen to secure a loan made to her.</w:t>
      </w:r>
    </w:p>
    <w:p>
      <w:pPr>
        <w:spacing w:after="0" w:line="1" w:lineRule="exact"/>
        <w:rPr>
          <w:rFonts w:ascii="Arial" w:cs="Arial" w:eastAsia="Arial" w:hAnsi="Arial"/>
          <w:sz w:val="18"/>
          <w:szCs w:val="18"/>
          <w:color w:val="auto"/>
        </w:rPr>
      </w:pPr>
    </w:p>
    <w:p>
      <w:pPr>
        <w:jc w:val="both"/>
        <w:ind w:left="580" w:right="20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2,500 unvested shares of restricted stock of Wynn Resorts’ common stock granted pursuant to Wynn Resorts’ 2002 Stock Plan.</w:t>
      </w:r>
    </w:p>
    <w:p>
      <w:pPr>
        <w:spacing w:after="0" w:line="1" w:lineRule="exact"/>
        <w:rPr>
          <w:rFonts w:ascii="Arial" w:cs="Arial" w:eastAsia="Arial" w:hAnsi="Arial"/>
          <w:sz w:val="18"/>
          <w:szCs w:val="18"/>
          <w:color w:val="auto"/>
        </w:rPr>
      </w:pPr>
    </w:p>
    <w:p>
      <w:pPr>
        <w:ind w:left="580" w:right="120" w:hanging="572"/>
        <w:spacing w:after="0" w:line="300" w:lineRule="auto"/>
        <w:tabs>
          <w:tab w:leader="none" w:pos="5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(i) 60,000 shares of restricted stock granted pursuant to Wynn Resorts’ 2002 Stock Plan and subject to a Restricted Stock Agreement which provides that such grant will vest 30,000 shares each on December 15, 2008, and 2009 or upon the earlier death or disability of Mr. Kramer; (ii) 50,000 shares subject to an immediately exercisable option to purchase Wynn Resorts’ common stock granted pursuant to Wynn Resorts’ 2002 Stock Incentive Plan; and (iii) 7,615 shares of Wynn Resorts’ common stock held by Mr. Kramer’s children, for which Mr. Kramer’s spouse is the custodian and</w:t>
      </w:r>
    </w:p>
    <w:p>
      <w:pPr>
        <w:spacing w:after="0" w:line="1" w:lineRule="exact"/>
        <w:rPr>
          <w:rFonts w:ascii="Arial" w:cs="Arial" w:eastAsia="Arial" w:hAnsi="Arial"/>
          <w:sz w:val="15"/>
          <w:szCs w:val="15"/>
          <w:color w:val="auto"/>
        </w:rPr>
      </w:pPr>
    </w:p>
    <w:p>
      <w:pPr>
        <w:ind w:left="580"/>
        <w:spacing w:after="0"/>
        <w:rPr>
          <w:rFonts w:ascii="Arial" w:cs="Arial" w:eastAsia="Arial" w:hAnsi="Arial"/>
          <w:sz w:val="15"/>
          <w:szCs w:val="15"/>
          <w:color w:val="auto"/>
        </w:rPr>
      </w:pPr>
      <w:r>
        <w:rPr>
          <w:rFonts w:ascii="Arial" w:cs="Arial" w:eastAsia="Arial" w:hAnsi="Arial"/>
          <w:sz w:val="18"/>
          <w:szCs w:val="18"/>
          <w:color w:val="auto"/>
        </w:rPr>
        <w:t>Mr. Kramer disclaims beneficial ownership.</w:t>
      </w:r>
    </w:p>
    <w:p>
      <w:pPr>
        <w:spacing w:after="0" w:line="9" w:lineRule="exact"/>
        <w:rPr>
          <w:rFonts w:ascii="Arial" w:cs="Arial" w:eastAsia="Arial" w:hAnsi="Arial"/>
          <w:sz w:val="15"/>
          <w:szCs w:val="15"/>
          <w:color w:val="auto"/>
        </w:rPr>
      </w:pPr>
    </w:p>
    <w:p>
      <w:pPr>
        <w:ind w:left="580" w:right="220" w:hanging="572"/>
        <w:spacing w:after="0" w:line="250" w:lineRule="auto"/>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(i) 22,500 shares subject to an option to purchase; and (ii) 5,000 unvested shares of restricted stock of Wynn Resorts’ common stock granted pursuant to Wynn Resorts’ 2002 Stock Plan.</w:t>
      </w:r>
    </w:p>
    <w:p>
      <w:pPr>
        <w:ind w:left="580" w:right="14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500 shares of Wynn Resorts’ common stock held by the Carol Moran Trust for the benefit of Mr. Moran’s wife, for which Mr. Moran disclaims beneficial ownership.</w:t>
      </w:r>
    </w:p>
    <w:p>
      <w:pPr>
        <w:spacing w:after="0" w:line="1"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23,970,930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580" w:hanging="572"/>
        <w:spacing w:after="0" w:line="281" w:lineRule="auto"/>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(i) 332,923 shares of Wynn Resorts’ common stock held in trust for the benefit of Mr. Schorr and his wife (including 50,000 shares of restricted stock granted pursuant to Wynn Resorts’ 2002 Stock Plan and subject to a Restricted Stock Agreement which provides such grant will vest 25,000 shares on each of December 15, 2008 and 2009); (ii) 50,000 shares subject to an immediately exercisable option to purchase Wynn Resorts’ common stock granted pursuant to Wynn Resorts’ 2002 Stock Incentive Plan; and (iii) 150,000 shares pledged by Mr. Schorr to secure a loan made to him.</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500 shares of Wynn Resorts’ common stock held by Mr. Strzemp’s mother, for which Mr. Strzemp disclaims beneficial ownership.</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Historically, the Audit Committee of the Board of Directors has pre-approved or ratified all transactions between Wynn Resorts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Wynn Resorts’ common stock, and their respective immediate family members. The policy classified as pre-approved (a) employment of executive officers and director compensation if the compensation is required to be reported under Item 402 of the Securities and Exchange Commission’s compensation disclosure requirements; (b) 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Wynn Resorts’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Committee receives notice of the occurrence of all pre-approved transactions. All other transactions with related persons are subject to approval or ratification by the Committee.</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Wynn Resorts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Stockholders Agreement. </w:t>
      </w:r>
      <w:r>
        <w:rPr>
          <w:rFonts w:ascii="Arial" w:cs="Arial" w:eastAsia="Arial" w:hAnsi="Arial"/>
          <w:sz w:val="16"/>
          <w:szCs w:val="16"/>
          <w:color w:val="auto"/>
        </w:rPr>
        <w:t>Mr. Wynn, Aruze USA and Baron Asset Fund are parties to a stockholders agreement that establishes various rights among</w:t>
      </w:r>
      <w:r>
        <w:rPr>
          <w:rFonts w:ascii="Arial" w:cs="Arial" w:eastAsia="Arial" w:hAnsi="Arial"/>
          <w:sz w:val="16"/>
          <w:szCs w:val="16"/>
          <w:b w:val="1"/>
          <w:bCs w:val="1"/>
          <w:color w:val="auto"/>
        </w:rPr>
        <w:t xml:space="preserve"> </w:t>
      </w:r>
      <w:r>
        <w:rPr>
          <w:rFonts w:ascii="Arial" w:cs="Arial" w:eastAsia="Arial" w:hAnsi="Arial"/>
          <w:sz w:val="16"/>
          <w:szCs w:val="16"/>
          <w:color w:val="auto"/>
        </w:rPr>
        <w:t>Mr. Wynn, Aruze USA and Baron Asset Fund with respect to the ownership and management of Wynn Resorts. These rights include, but are not limited to, preemptive rights, rights of first refusal, tag-along rights and certain other restrictions on the transfer of the shares of Wynn Resorts’ common stock owned by the parties to the stockholders agreement. Aruze USA is a wholly owned subsidiary of Aruze Corp., a corporation in which one of Wynn Resorts’ directors, Mr. Okada, owns a controlling interest and where he serves as Chairman. Mr. Okada currently serves as Chairman of Aruze USA.</w:t>
      </w:r>
    </w:p>
    <w:p>
      <w:pPr>
        <w:spacing w:after="0" w:line="114"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9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(as defined in the agreement),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stockholder and the other stockholders, or, if a price cannot be agreed upon by such stockholders, at a price equal to their fair market value. In addition, under the stockholders agreement, if there is a direct or 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its options to Wynn Resorts.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remainder of which will be designated by Aruze USA. In addition, in November 2006, this agreement was amended to require the written consent of both Mr. Wynn and Aruze prior to either party selling any shares they own.</w:t>
      </w:r>
    </w:p>
    <w:p>
      <w:pPr>
        <w:spacing w:after="0" w:line="143" w:lineRule="exact"/>
        <w:rPr>
          <w:sz w:val="20"/>
          <w:szCs w:val="20"/>
          <w:color w:val="auto"/>
        </w:rPr>
      </w:pPr>
    </w:p>
    <w:p>
      <w:pPr>
        <w:ind w:right="240" w:firstLine="456"/>
        <w:spacing w:after="0" w:line="275" w:lineRule="auto"/>
        <w:rPr>
          <w:sz w:val="20"/>
          <w:szCs w:val="20"/>
          <w:color w:val="auto"/>
        </w:rPr>
      </w:pPr>
      <w:r>
        <w:rPr>
          <w:rFonts w:ascii="Arial" w:cs="Arial" w:eastAsia="Arial" w:hAnsi="Arial"/>
          <w:sz w:val="16"/>
          <w:szCs w:val="16"/>
          <w:color w:val="auto"/>
        </w:rPr>
        <w:t>On November 13, 2006, the Board of Directors approved an amendment to Wynn Resorts’ Bylaws that exempts future acquisitions of Wynn Resorts’ shares by either Mr. Wynn or Aruze USA, Inc. from Nevada’s control share acquisition statutes. The Nevada acquisition of controlling interest statutes require stockholder approval in order to exercise voting rights in connection with any acquisition of a controlling interest in certain Nevada corporations unless the</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articles of incorporation or bylaws of the corporation in effect on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following the acquisition of a controlling interest by certain acquiring persons provide that these statutes do not apply to the corporation or the acquisition specifically by types of existing or future stockholders. The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the voting power of Wynn Resorts in the election of directors, without requiring a resolution of the stockholders of Wynn Resorts granting voting rights in the control shares acquired.</w:t>
      </w:r>
    </w:p>
    <w:p>
      <w:pPr>
        <w:spacing w:after="0" w:line="18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Art Gallery. </w:t>
      </w:r>
      <w:r>
        <w:rPr>
          <w:rFonts w:ascii="Arial" w:cs="Arial" w:eastAsia="Arial" w:hAnsi="Arial"/>
          <w:sz w:val="16"/>
          <w:szCs w:val="16"/>
          <w:color w:val="auto"/>
        </w:rPr>
        <w:t>At the opening of Wynn Las Vegas, the resort included an art gallery that displayed rare paintings from The Wynn Collection,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of fine art owned by Mr. and Mrs. Wynn. Prior to June 30, 2005, Wynn Resorts leased The Wynn Collection from Mr. and Mrs. Wynn for an annual fee of one dollar ($1), and Wynn Resorts was entitled to retain all revenues from the public display of The Wynn Collection and the related merchandising revenues. Wynn Resorts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Wynn Resorts.</w:t>
      </w:r>
    </w:p>
    <w:p>
      <w:pPr>
        <w:ind w:right="40"/>
        <w:spacing w:after="0" w:line="302" w:lineRule="auto"/>
        <w:rPr>
          <w:sz w:val="20"/>
          <w:szCs w:val="20"/>
          <w:color w:val="auto"/>
        </w:rPr>
      </w:pPr>
      <w:r>
        <w:rPr>
          <w:rFonts w:ascii="Arial" w:cs="Arial" w:eastAsia="Arial" w:hAnsi="Arial"/>
          <w:sz w:val="16"/>
          <w:szCs w:val="16"/>
          <w:color w:val="auto"/>
        </w:rPr>
        <w:t>However, the material economic terms of the leasing relationship applicable to Mr. and Mrs. Wynn remained unchanged. In February 2006, Wynn Resorts closed the art gallery and converted the gallery location into additional retail stores. The artwork in the gallery has been relocated to different venues within Wynn Las Vegas. Wynn Resorts continues to be responsible for all expenses in exhibiting and safeguarding The Wynn Collection.</w:t>
      </w:r>
    </w:p>
    <w:p>
      <w:pPr>
        <w:spacing w:after="0" w:line="10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b w:val="1"/>
          <w:bCs w:val="1"/>
          <w:color w:val="auto"/>
        </w:rPr>
        <w:t xml:space="preserve">Surname and Rights of Publicity Agreements. </w:t>
      </w:r>
      <w:r>
        <w:rPr>
          <w:rFonts w:ascii="Arial" w:cs="Arial" w:eastAsia="Arial" w:hAnsi="Arial"/>
          <w:sz w:val="18"/>
          <w:szCs w:val="18"/>
          <w:color w:val="auto"/>
        </w:rPr>
        <w:t>On August 6, 2004, Wynn Holdings entered into agreements with Mr. Wynn that confirm and clarify</w:t>
      </w:r>
      <w:r>
        <w:rPr>
          <w:rFonts w:ascii="Arial" w:cs="Arial" w:eastAsia="Arial" w:hAnsi="Arial"/>
          <w:sz w:val="18"/>
          <w:szCs w:val="18"/>
          <w:b w:val="1"/>
          <w:bCs w:val="1"/>
          <w:color w:val="auto"/>
        </w:rPr>
        <w:t xml:space="preserve"> </w:t>
      </w:r>
      <w:r>
        <w:rPr>
          <w:rFonts w:ascii="Arial" w:cs="Arial" w:eastAsia="Arial" w:hAnsi="Arial"/>
          <w:sz w:val="18"/>
          <w:szCs w:val="18"/>
          <w:color w:val="auto"/>
        </w:rPr>
        <w:t>Wynn Holdings’ rights to use the “Wynn” name and Mr. Wynn’s persona in connection with its casino resorts. Under the parties’ Surname Rights Agreement, Mr. Wynn granted Wynn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41"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On December 29, 2004, we entered into an agreement with Mr. Wynn for the lease of a villa suite in the Wynn Las Vegas resort to Mr. and</w:t>
      </w:r>
      <w:r>
        <w:rPr>
          <w:rFonts w:ascii="Arial" w:cs="Arial" w:eastAsia="Arial" w:hAnsi="Arial"/>
          <w:sz w:val="16"/>
          <w:szCs w:val="16"/>
          <w:b w:val="1"/>
          <w:bCs w:val="1"/>
          <w:color w:val="auto"/>
        </w:rPr>
        <w:t xml:space="preserve"> </w:t>
      </w:r>
      <w:r>
        <w:rPr>
          <w:rFonts w:ascii="Arial" w:cs="Arial" w:eastAsia="Arial" w:hAnsi="Arial"/>
          <w:sz w:val="16"/>
          <w:szCs w:val="16"/>
          <w:color w:val="auto"/>
        </w:rPr>
        <w:t>Mrs. Wynn as their personal residence. Lease payments under this agreement commenced on July 1, 2005, the date Mr. and Mrs. Wynn moved into the villa. The term of the agreement continues from year to year unless terminated on at least 90 days’ written notice prior to the end of</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any lease year, or upon the death of Mr. Wynn. Based on third party appraisals, the Audit Committee determined the rent for each year in the three-year period commencing July 1, 2005 and ending June 30, 2008 to be $580,000. Services for, and maintenance of, the suite are included in the rental, with certain exceptions.</w:t>
      </w:r>
    </w:p>
    <w:p>
      <w:pPr>
        <w:spacing w:after="0" w:line="5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Kramer and Schorr have time-sharing agreements with Las Vegas Jet, LLC, a wholly owned indirect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 covering their personal use of Wynn Resorts-owned aircraft that require each executive to pay Wynn Resorts his and his family’s share of the direct costs that Wynn Resorts incurs in operating the aircraft, up to an amount determined by using the Internal Revenue Service Standard Industry Fare Level (SIFL) tables. During 2007, the following amounts were included in the executives’ taxable compensation pursuant to these timesharing arrangements: Stephen A. Wynn $145,739; Mr. Kramer $0; and Mr. Schorr $76,739. In the event that direct costs in operating the aircraft exceed the amounts determined by using the SIFL method, such additional costs are paid for by Wynn Resorts. Pursuant to the provisions of the American Jobs Creation Act of 2004, such additional costs incurred after October 22, 2004 are not eligible to be claimed as a deduction for United States federal income tax purposes. $3,740,382 and $1,372,065 were disallowed in 2007 and 2006, respectively.</w:t>
      </w:r>
    </w:p>
    <w:p>
      <w:pPr>
        <w:spacing w:after="0" w:line="112" w:lineRule="exact"/>
        <w:rPr>
          <w:sz w:val="20"/>
          <w:szCs w:val="20"/>
          <w:color w:val="auto"/>
        </w:rPr>
      </w:pPr>
    </w:p>
    <w:p>
      <w:pPr>
        <w:ind w:right="30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Wynn Resorts periodically incurs costs on Mr. Wynn’s, Mr. Schorr’s and Mr. Kramer’s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personal legal fees, construction work and other personal purchases. Mr. Wynn and other officers have deposits with Wynn Resorts to prepay any such items. These deposits are replenished on an ongoing basis as needed. At December 31, 2007, Mr. Wynn, Mr. Schorr and Mr. Kramer had a credit balance with Wynn Resorts of $305,559, $42,660 and $8,674, respectively.</w:t>
      </w:r>
    </w:p>
    <w:p>
      <w:pPr>
        <w:spacing w:after="0" w:line="103" w:lineRule="exact"/>
        <w:rPr>
          <w:sz w:val="20"/>
          <w:szCs w:val="20"/>
          <w:color w:val="auto"/>
        </w:rPr>
      </w:pPr>
    </w:p>
    <w:p>
      <w:pPr>
        <w:ind w:right="12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2007, Wynn Macau, an affiliate of Wynn Resorts, purchased 15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Wynn Resorts’ directors, Mr. Okada, currently serves as Chairman and Treasurer, for use at Wynn Macau. The Aruze machines were purchased in an arm’s length transaction at market prices for a total purchase price of approximately $266,000.</w:t>
      </w:r>
    </w:p>
    <w:p>
      <w:pPr>
        <w:spacing w:after="0" w:line="97"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have entered into agreements with TransOrbit, a travel agency affiliated with Aruze Corp.,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Aruze Corp.</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Wynn Resorts entered into a tax indemnification agreement relating to their respective income tax liabilities from the contribution of their Valvino membership interests to Wynn Resorts. The tax indemnification agreement generally provides that the Valvino members will be indemnified by Wynn Resorts and its subsidiaries for additional tax 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above, Wynn Resorts (or its subsidiaries) employs (a) Andrew Pascal, the nephew of Mr. and Mrs. Wynn, as President of Wynn Las Vegas; (b) Eddie Tseng, the spouse of Ms. Chen, as Senior Vice President of Customer Development of Worldwide Wynn, LLC; (c) Peter Early, the son-in-law of Mr. and Mrs. Wynn, as Vice President—Human Resources of Wynn Las Vegas; and (d) Michael Pascal, the father of Andrew Pascal and brother of Mrs. Wynn, as a Senior Executive Host of Wynn Las Vegas, and Mr. Michael Pascal’s wife, Mary Ann Pascal, as a Host at Wynn Las Vegas. The Audit Committee of Wynn Resorts approved each such employment arrangement in advance and determined that compensation was at (or below) levels paid to non-family members. Wynn Resorts anticipates that these individuals will continue to serve in their respective positions during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Old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terms and conditions detailed in this prospectus, we will accept for exchange old notes that are properly tendered prior to the expiration date and</w:t>
      </w:r>
    </w:p>
    <w:p>
      <w:pPr>
        <w:spacing w:after="0" w:line="50"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not withdrawn as permitted below. When we refer to the term expiration date, we mean 5:00 p.m., New York City time, , 2008, the 21st business day following the date of this prospectus. We may, however, extend the period of time that the exchange offer is open. In such event, the term expiration date means the latest time and date to which the exchange offer is extended.</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the date of this prospectus, $400,000,000 aggregate principal amount of old notes are outstanding. We are sending this prospectus, together with the letter of transmittal, to all holders of old notes that we are aware of on the date of this prospectus.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expressly reserve the right, at any time, to extend the period of time that the exchange offer is open, and delay acceptance for exchange of any old notes, by giving oral or written notice of an extension to the holders of the old notes as described below. During any extension, all old notes previously tendered will remain subject to the exchange offer and may be accepted for exchange by us. Any old notes not accepted for exchange for any reason will be returned without expense to the tendering holder as promptly as practicable after the expiration or termination of the exchange offer.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Old notes tendered in the exchange offer must be in denominations of principal amount of $1,000 and any integral multiple thereof.</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expressly reserve the right to amend or terminate the exchange offer, and not to exchange any old notes, upon the occurrence of any of the conditions of the exchange offer specified under “—Conditions to the Exchange Offer.” We will give oral or written notice of any extension, amendment, non-acceptance or termination to the holders of the old notes as promptly as practicable. In the case of any extension, we will issue a notice by means of a press release or other public announcement no later than 9:00 a.m., New York City time, on the next business day after the previously scheduled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Your tender to us of old notes as set forth below and our acceptance of old notes will constitute a binding agreement between us and you on the terms and subject to the conditions detailed in this prospectus and in the accompanying letter of transmittal. Except as set forth below, to tender old notes for exchange in the exchange offer, you must transmit a properly completed and duly executed letter of transmittal, including all other documents required by the letter of transmittal or, in the case of a book-entry transfer, an agent’s message in place of the letter of transmittal, to U.S. Bank National Association, as exchange agent, at the address set forth below under “—Exchange Agent” prior to the expiration date. In addition:</w:t>
      </w:r>
    </w:p>
    <w:p>
      <w:pPr>
        <w:spacing w:after="0" w:line="3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certificates for old notes must be received by the exchange agent prior to the expiration date, along with the letter of transmittal, or</w:t>
      </w:r>
    </w:p>
    <w:p>
      <w:pPr>
        <w:spacing w:after="0" w:line="90" w:lineRule="exact"/>
        <w:rPr>
          <w:rFonts w:ascii="Arial" w:cs="Arial" w:eastAsia="Arial" w:hAnsi="Arial"/>
          <w:sz w:val="18"/>
          <w:szCs w:val="18"/>
          <w:color w:val="auto"/>
        </w:rPr>
      </w:pPr>
    </w:p>
    <w:p>
      <w:pPr>
        <w:ind w:left="900" w:right="100" w:hanging="446"/>
        <w:spacing w:after="0" w:line="335"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timely confirmation of a book-entry transfer, which we refer to in this prospectus as a book-entry confirmation, of old notes, if this procedure is available, into the exchange agent’s account at DTC pursuant to the procedure for book-entry transfer described beginning on page 90 must be received by the exchange agent prior to the expiration date, with the letter of transmittal or an agent’s message in place of the letter of transmittal, or</w:t>
      </w:r>
    </w:p>
    <w:p>
      <w:pPr>
        <w:spacing w:after="0" w:line="7" w:lineRule="exact"/>
        <w:rPr>
          <w:rFonts w:ascii="Arial" w:cs="Arial" w:eastAsia="Arial" w:hAnsi="Arial"/>
          <w:sz w:val="15"/>
          <w:szCs w:val="15"/>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term “agent’s message” means a message, transmitted by DTC to and received by the exchange agent and forming a part of a book-entry confirmation, which states that DTC has received an express acknowledgment from the tendering participant stating that such participant has received and agrees to be bound by the letter of transmittal and that we may enforce such letter of transmittal against such participant.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method of delivery of old notes, letters of transmittal and all other required documents is at your election and risk. If such delivery is by mail, it is recommended that you use registered mail, properly insured, with return receipt requested. In all cases, you should allow sufficient time to assure timely delivery. No letter of transmittal or old notes should be sent to us.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Signatures on a letter of transmittal or a notice of withdrawal, as the case may be, must be guaranteed unless the old notes surrendered for exchange are tendered:</w:t>
      </w:r>
    </w:p>
    <w:p>
      <w:pPr>
        <w:spacing w:after="0" w:line="51" w:lineRule="exact"/>
        <w:rPr>
          <w:sz w:val="20"/>
          <w:szCs w:val="20"/>
          <w:color w:val="auto"/>
        </w:rPr>
      </w:pPr>
    </w:p>
    <w:p>
      <w:pPr>
        <w:ind w:left="900" w:right="2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a holder of the old notes who has not completed the box entitled “Special Issuance Instructions” or “Special Delivery Instructions” on the letter of transmittal,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account of an Eligible Institution (as defined below).</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the event that signatures on a letter of transmittal or a notice of withdrawal are required to be guaranteed, such guarantees must be by a firm which is a member of the Securities Transfer Agent Medallion Program, the Stock Exchanges Medallion Program or the New York Stock Exchange Medallion Program (we refer to each such entity as an “Eligible Institution” in this prospectus). If old notes are registered in the name of a person other than the signer of the letter of transmittal, the old notes surrendered for exchange must be endorsed by, or be accompanied by a written instrument or instruments of transfer or exchange, in satisfactory form as we or the exchange agent determine, duly executed by the registered holders with the signature thereon guaranteed by an Eligible Institution.</w:t>
      </w:r>
    </w:p>
    <w:p>
      <w:pPr>
        <w:spacing w:after="0" w:line="10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or the exchange agent will make a final and binding determination on all questions as to the validity, form, eligibility, including time of receipt, and acceptance of old notes tendered for exchange. We reserve the absolute right to reject any and all tenders of any particular old note not properly tendered or to not accept any particular old note which acceptance might, in our or our counsel’s judgment, be unlawful. We also reserve the absolute right to waive any defects or irregularities or conditions of the exchange offer as to any particular old note either before or after the expiration date, including the right to waive the ineligibility of any holder who seeks to tender old notes in the exchange offer. Our or the exchange agent’s interpretation of the terms and conditions of the exchange offer as to any particular old note either before or after the expiration date, including the letter of transmittal and the instructions thereto, will be final and binding on all parties. Unless waived, any defects or irregularities in connection with tenders of old notes for exchange must be cured within a reasonable period of time, as we determine. We are not, nor is the exchange agent or any other person, under any duty to notify you of any defect or irregularity with respect to your tender of old notes for exchange, and no one will be liable for failing to provide such notification.</w:t>
      </w:r>
    </w:p>
    <w:p>
      <w:pPr>
        <w:spacing w:after="0" w:line="12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If the letter of transmittal is signed by a person or persons other than the registered holder or holders of old notes, such old notes must be endorsed or accompanied by powers of attorney signed exactly as the name(s) of the registered holder(s) that appear on the old notes.</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the letter of transmittal or any old notes or powers of attorneys are signed by trustees, executors, administrators, guardians, attorneys-in-fact, officers of corporations or others acting in a fiduciary or representative capacity, such persons should so indicate when signing. Unless waived by us or the exchange agent, proper evidence satisfactory to us of their authority to so act must be submitted with the letter of transmittal.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old notes, you represent to us that, among other things:</w:t>
      </w:r>
    </w:p>
    <w:p>
      <w:pPr>
        <w:spacing w:after="0" w:line="9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 is not our “affiliate,” as defined in Rule 405 under the Securities Act;</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new notes acquired pursuant to the exchange offer are being obtained in the ordinary course of business of the person receiving such new notes, whether or not such person is the holder;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the holder nor such other person has any arrangement or understanding with any person, to participate in the distribution of the new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the case of a holder that is not a broker-dealer, that holder, by tendering, will also represent to us that the holder is not engaged in and does not intend to engage in a distribution of the new notes.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If you are our “affiliate,” as defined under Rule 405 under the Securities Act, and engage in or intend to engage in or have an arrangement or understanding with any person to participate in a distribution of such new notes to be acquired pursuant to the exchange offer, you or any such other person:</w:t>
      </w:r>
    </w:p>
    <w:p>
      <w:pPr>
        <w:spacing w:after="0" w:line="4"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may not rely on the applicable interpretations of the staff of the SEC;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transaction.</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Each broker-dealer that receives new notes for its own account in exchange for old notes, where the old notes were acquired by the broker-dealer as a result of market-making activities or other trading activities, must acknowledge that it will deliver a prospectus in connection with any offer, resale or other transfer of the new notes issued in the exchange offer, including information with respect to any selling holder required by the Securities Act in connection with any resale of the new notes.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its old notes directly from us:</w:t>
      </w:r>
    </w:p>
    <w:p>
      <w:pPr>
        <w:spacing w:after="0" w:line="90" w:lineRule="exact"/>
        <w:rPr>
          <w:sz w:val="20"/>
          <w:szCs w:val="20"/>
          <w:color w:val="auto"/>
        </w:rPr>
      </w:pPr>
    </w:p>
    <w:p>
      <w:pPr>
        <w:ind w:left="900" w:right="26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Incorporated, SEC no-action letter (June 5, 1991) and Shearman &amp; Sterling, SEC no-action letter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such new notes. The letter of transmittal states that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market-making or other trading activities. Under the registration rights agreement, we have agreed that for a period of up to the later of (i) 180 days following the</w:t>
      </w:r>
    </w:p>
    <w:p>
      <w:pPr>
        <w:spacing w:after="0" w:line="1" w:lineRule="exact"/>
        <w:rPr>
          <w:sz w:val="20"/>
          <w:szCs w:val="20"/>
          <w:color w:val="auto"/>
        </w:rPr>
      </w:pPr>
    </w:p>
    <w:p>
      <w:pPr>
        <w:jc w:val="both"/>
        <w:ind w:right="580"/>
        <w:spacing w:after="0" w:line="287" w:lineRule="auto"/>
        <w:rPr>
          <w:sz w:val="20"/>
          <w:szCs w:val="20"/>
          <w:color w:val="auto"/>
        </w:rPr>
      </w:pPr>
      <w:r>
        <w:rPr>
          <w:rFonts w:ascii="Arial" w:cs="Arial" w:eastAsia="Arial" w:hAnsi="Arial"/>
          <w:sz w:val="15"/>
          <w:szCs w:val="15"/>
          <w:color w:val="auto"/>
        </w:rPr>
        <w:t>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 and (ii) 180 days following the 10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exchange offer expires, we will make this prospectus available to any broker-dealer for use in connection with any such resale. See “Plan of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Old Notes for Exchange; Delivery of New Notes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we will accept, promptly after the expiration date, all old notes properly tendered and will issue the new notes promptly after acceptance of the old note. See “—Conditions to the Exchange Offer.” For purposes of the exchange offer, we will be deemed to have accepted properly tendered old notes for exchange if and when we give oral (confirmed in writing) or written notice to the exchange agent.</w:t>
      </w:r>
    </w:p>
    <w:p>
      <w:pPr>
        <w:spacing w:after="0" w:line="107"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The holder of each old note accepted for exchange will receive a new note in the amount equal to the surrendered old notes. Accordingly, holders of new notes on the record date for the first interest payment date following the consummation of the exchange offer will receive interest accruing from the most recent date that interest has been paid on the old notes. Holders of new notes will not receive any payment in respect of accrued interest on old notes otherwise payable on any interest payment date, the record date for which occurs on or after the consummation of the exchange offer.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cases, issuance of new notes for old notes that are accepted for exchange will only be made after timely receipt by the exchange agent of:</w:t>
      </w:r>
    </w:p>
    <w:p>
      <w:pPr>
        <w:spacing w:after="0" w:line="113"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certificates for such old notes or a timely book-entry confirmation of such old notes into the exchange agent’s account at DTC,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properly completed and duly executed letter of transmittal or an agent’s message in lieu thereof,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other required documents.</w:t>
      </w:r>
    </w:p>
    <w:p>
      <w:pPr>
        <w:spacing w:after="0" w:line="171"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any tendered old notes are not accepted for any reason set forth in the terms and conditions of the exchange offer or if old notes are submitted for a greater principal amount than the holder desires to exchange, the unaccepted or non-exchanged old notes will be returned without expense to the tendering holder or, in the case of old notes tendered by book-entry transfer into the exchange agent’s account at DTC pursuant to the book-entry procedures described below, the non-exchanged old notes will be credited to an account maintained with DTC, as promptly as practicable after the expiration or termination of the exchange offer.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purposes of the exchange offer, the exchange agent will request that an account be established with respect to the old notes at DTC within two business days after the date of this prospectus, unless the exchange agent already has established an account with DTC suitable for the exchange offer. Any financial institution that is a participant in DTC may make book-entry delivery of old notes by causing DTC to transfer such old notes into the exchange agent’s account at DTC in accordance with DTC’s procedures for transfer. Although delivery of old notes may be effected through book-entry transfer at DTC, the letter of transmittal or facsimile thereof or an agent’s message in lieu thereof, with any required signature guarantees and any other required documents, must, in any case, be transmitted to and received by the exchange agent at the address set forth under “—Exchange Agent” prior to the expiration date or the guaranteed delivery procedures described below must be complied with.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desire to tender your old notes and your old notes are not immediately available, or time will not permit your old notes or other required documents to reach the exchange agent before the expiration date, a tender may be effected if:</w:t>
      </w:r>
    </w:p>
    <w:p>
      <w:pPr>
        <w:spacing w:after="0" w:line="51" w:lineRule="exact"/>
        <w:rPr>
          <w:sz w:val="20"/>
          <w:szCs w:val="20"/>
          <w:color w:val="auto"/>
        </w:rPr>
      </w:pPr>
    </w:p>
    <w:p>
      <w:pPr>
        <w:ind w:left="900" w:hanging="446"/>
        <w:spacing w:after="0" w:line="290"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prior to the expiration date, the exchange agent received from such Eligible Institution a notice of guaranteed delivery, substantially in the form we provide, by telegram, telex, facsimile transmission, mail or hand delivery, setting forth your name and address,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any other documents required by the letter of transmittal will be deposited by such Eligible Institution with the exchange agent, and</w:t>
      </w:r>
    </w:p>
    <w:p>
      <w:pPr>
        <w:spacing w:after="0" w:line="37" w:lineRule="exact"/>
        <w:rPr>
          <w:rFonts w:ascii="Arial" w:cs="Arial" w:eastAsia="Arial" w:hAnsi="Arial"/>
          <w:sz w:val="16"/>
          <w:szCs w:val="16"/>
          <w:color w:val="auto"/>
        </w:rPr>
      </w:pPr>
    </w:p>
    <w:p>
      <w:pPr>
        <w:ind w:left="900" w:right="20" w:hanging="446"/>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certificates for all physically tendered old notes, in proper form for transfer, or a book-entry confirmation, as the case may be, together with a properly completed and duly executed appropriate letter of transmittal or facsimile thereof or agent’s message in lieu thereof, with any required signature guarantees and all other documents required by the letter of transmittal, are received by the exchange agent within three NYSE trading days after the date of execution of the notice of guaranteed delivery.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You may withdraw your tender of old notes at any time prior to the expiration date. To be effective, a written notice of withdrawal must be received by the exchange agent at one of the addresses set forth under “—Exchange Agent.” This notice must specify:</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 of the person having tendered the old notes to be withdrawn,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old notes to be withdrawn, including the principal amount of such old notes,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where certificates for old notes have been transmitted, the name in which such old notes are registered, if different from that of the withdrawing holder.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certificates for old notes have been delivered or otherwise identified to the exchange agent, then, prior to the release of the certificates, the withdrawing holder must also submit the serial numbers of the particular certificates to be withdrawn and a signed notice of withdrawal with signatures guaranteed by an Eligible Institution, unless such holder is an Eligible Institution. If old notes have been tendered pursuant to the procedure for book-entry transfer described above, any notice of withdrawal must specify the name and number of the account at DTC to be credited with the withdrawn old notes and otherwise comply with the procedures of DTC.</w:t>
      </w:r>
    </w:p>
    <w:p>
      <w:pPr>
        <w:spacing w:after="0" w:line="14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or the exchange agent will make a final and binding determination on all questions as to the validity, form and eligibility, including time of receipt, of such notices. Any old notes so withdrawn will be deemed not to have been validly tendered for exchange for purposes of the exchange offer. Any old notes tendered for exchange but not exchanged for any reason will be returned to the holder without cost to the holder, or, in the case of old notes tendered by book-entry transfer into the exchange agent’s account at DTC pursuant to the book-entry transfer procedures described above, the old notes will be credited to an account maintained with DTC for the old notes as soon as practicable after withdrawal, rejection of tender or termination of the exchange offer. Properly withdrawn old notes may be re-tendered by following one of the procedures described under “—Procedures for Tendering Old Notes” above at any time prior to the expiration date.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any other provision of the exchange offer, we are not required to accept for exchange, or to issue new notes in exchange for, any old notes and may terminate or amend the exchange offer, if any of the following events occur prior to acceptance of such old notes:</w:t>
      </w:r>
    </w:p>
    <w:p>
      <w:pPr>
        <w:spacing w:after="0" w:line="4"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exchange offer violates any applicable law or applicable interpretation of the staff of the SEC;</w:t>
      </w:r>
    </w:p>
    <w:p>
      <w:pPr>
        <w:spacing w:after="0" w:line="9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action or proceeding shall have been instituted or threatened in any court or by any governmental agency that might materially impair our ability to proceed with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shall not have received all governmental approvals that we deem necessary to consummate the exchange offer; or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has been proposed, adopted, or enacted any law, statute, rule or regulation that, in our reasonable judgment, would materially impair our ability to consummate the exchange offer.</w:t>
      </w:r>
    </w:p>
    <w:p>
      <w:pPr>
        <w:spacing w:after="0" w:line="132"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conditions stated above are for our sole benefit and may be asserted by us regardless of the circumstances giving rise to any condition or may be waived by us in whole or in part at any time in our reasonable discretion. Our failure at any time to exercise any of the foregoing rights will not be deemed a waiver of any such right and each such right will be deemed an ongoing right which may be asserted at any time.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will not accept for exchange any old notes tendered, and we will not issue new notes in exchange for any such old notes, if at such time any stop order by the SEC is threatened or in effect with respect to the registration statement of which this prospectus constitutes a part, or the qualification of the indenture under the Trust Indenture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U.S. Bank National Association has been appointed as the exchange agent for the exchange offer. All executed letters of transmittal should be directed to the exchange agent at the address set forth below. Questions and requests for assistance, requests for additional copies of this prospectus or of the letter of transmittal and requests for notices of guaranteed delivery should be directed to the exchange agent addressed as follows: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Bank National Association, Exchange Agent</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Hand, Overnight Delivery or by Mail:</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Attention: Specialized Finance Dept.</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651-495-8158</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800-934-6802</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DELIVERY OF THE LETTER OF TRANSMITTAL TO AN ADDRESS OTHER THAN AS SET FORTH ABOVE OR TRANSMISSION OF SUCH LETTER OF TRANSMITTAL VIA FACSIMILE OTHER THAN AS SET FORTH ABOVE DOES NOT CONSTITUTE A VALID DELIVERY OF THE LETTER OF TRANSMITTAL.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principal solicitation is being made by mail by U.S. Bank National Association, as exchange agent. We will pay the exchange agent customary fees for its services, reimburse the exchange agent for its reasonable out-of-pocket expenses incurred in connection with the provision of these services and pay other registration expenses, including fees and expenses of the trustee under the indenture relating to the new notes, filing fees, blue sky fees and printing and distribution expenses. We will not make any payment to brokers, dealers or others soliciting acceptances of the exchange offer.</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Additional solicitation may be made by telephone, facsimile or in person by our and our affiliates’ officers and regular employees and by persons so engaged by the exchange agent.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record the new notes at the same carrying value as the old notes, as reflected in our accounting records on the date of the exchange. Accordingly, we will not recognize any gain or loss for accounting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You will not be obligated to pay any transfer taxes in connection with the tender of old notes in the exchange offer unless you instruct us to register new notes in the name of, or request that old notes not tendered or not accepted in the exchange offer be returned to, a person other than the registered tendering holder. In those cases, you will be responsible for the payment of any potentially applicable transfer tax.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Exchanging or Failing to Exchange Old Notes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you do not exchange your old notes for new notes in the exchange offer, your old notes will continue to be subject to the provisions of the indenture relating to the notes regarding transfer and exchange of the old notes and the restrictions on transfer of the old notes described in the legend on your certificates. These transfer restrictions are required because the old notes were issued under an exemption from, or in transactions not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registration requirements of the Securities Act and applicable state securities laws. In general, the old notes may not be offered or sold unless registered under the Securities Act, except under an exemption from, or in a transaction not subject to, the Securities Act and applicable state securities laws. We do not plan to register the old notes under the Securities Act.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existing interpretations of the Securities Act by the SEC’s staff contained in several no-action letters to third parties, and subject to the immediately following sentence, we believe that the new notes would generally be freely transferable by holders after the exchange offer without further registration under the Securities Act, subject to certain representations required to be made by each holder of new notes, as set forth below. However, any purchaser of new notes who is one of our “affiliates” as defined in Rule 405 under the Securities Act or who intends to participate in the exchange offer for the purpose of distributing the new notes:</w:t>
      </w:r>
    </w:p>
    <w:p>
      <w:pPr>
        <w:spacing w:after="0" w:line="6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not be able to rely on the interpretation of the SEC’s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will not be able to tender its old notes in the exchange offer; and</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must comply with the registration and prospectus delivery requirements of the Securities Act in connection with any sale or transfer of the new notes unless such sale or transfer is made pursuant to an exemption from such requirements. See “Plan of Distribution.”</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We do not intend to seek our own interpretation regarding the exchange offer, and there can be no assurance that the SEC’s staff would make a similar determination with respect to the new notes as it has in other interpretations to other parties, although we have no reason to believe otherwise.</w:t>
      </w:r>
    </w:p>
    <w:p>
      <w:pPr>
        <w:spacing w:after="0" w:line="85" w:lineRule="exact"/>
        <w:rPr>
          <w:sz w:val="20"/>
          <w:szCs w:val="20"/>
          <w:color w:val="auto"/>
        </w:rPr>
      </w:pPr>
    </w:p>
    <w:p>
      <w:pPr>
        <w:ind w:right="40" w:firstLine="456"/>
        <w:spacing w:after="0" w:line="271" w:lineRule="auto"/>
        <w:rPr>
          <w:sz w:val="20"/>
          <w:szCs w:val="20"/>
          <w:color w:val="auto"/>
        </w:rPr>
      </w:pPr>
      <w:r>
        <w:rPr>
          <w:rFonts w:ascii="Arial" w:cs="Arial" w:eastAsia="Arial" w:hAnsi="Arial"/>
          <w:sz w:val="16"/>
          <w:szCs w:val="16"/>
          <w:color w:val="auto"/>
        </w:rPr>
        <w:t>Each broker-dealer that receives new notes for its own account in exchange for old notes, where the old notes were acquired by it as a result of market-making activities or other trading activities, must acknowledge that it will deliver a prospectus that meets the requirements of the Securities Act in connection with any resale of the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which were received by the broker-dealer as a result of market-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making or other trading activities. Under the registration rights agreement, we have agreed that for a period of up to the later of (i) 180 days following the 30</w:t>
      </w:r>
      <w:r>
        <w:rPr>
          <w:rFonts w:ascii="Arial" w:cs="Arial" w:eastAsia="Arial" w:hAnsi="Arial"/>
          <w:sz w:val="20"/>
          <w:szCs w:val="20"/>
          <w:color w:val="auto"/>
          <w:vertAlign w:val="superscript"/>
        </w:rPr>
        <w:t>th</w:t>
      </w:r>
    </w:p>
    <w:p>
      <w:pPr>
        <w:spacing w:after="0" w:line="14"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business day after the registration statement containing this 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available to any broker-dealer for use in connection with any such resale.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THE NEW NOTES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You can find the definitions of certain terms used in this description under the subheading “Certain Definitions.” In this description: (1) the words “Wynn Las Vegas” refer to Wynn Las Vegas, LLC and not to any of its subsidiaries, (2) the words “Wynn Capital” refer to Wynn Las Vegas Capital Corp. and not to any of its subsidiaries, (3) the word “Issuers” refers collectively to Wynn Las Vegas and Wynn Capital and not to any of their respective subsidiaries, and (4) the words “we,” “us” and “our” refer to Wynn Las Vegas and its subsidiaries.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Issuers will issue the new notes under an indenture, dated as of December 14, 2004, among the Issuers, as joint and several obligors, the Guarantors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U.S. Bank National Association, as trustee (the “trustee”), as amended by a first supplemental indenture, dated as of June 29, 2005, among the Issuers,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Guarantors and the trustee, and a second supplemental indenture, dated as of July 29, 2005, among the Issuers, the Guarantors and the trustee (collectively,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Indenture</w:t>
      </w:r>
      <w:r>
        <w:rPr>
          <w:rFonts w:ascii="Arial" w:cs="Arial" w:eastAsia="Arial" w:hAnsi="Arial"/>
          <w:sz w:val="15"/>
          <w:szCs w:val="15"/>
          <w:color w:val="auto"/>
        </w:rPr>
        <w:t>”). This is the same indenture under which the old notes, the original 2004 notes and the registered 2004 notes were issued. The terms of the new notes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will include those stated in the Indenture and those made part of the Indenture by reference to the Trust Indenture Act of 1939, as amended.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Documents referred to under the caption “—Security” define the terms of the collateral that will secure the notes and the Note Guarantees.</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5"/>
          <w:szCs w:val="15"/>
          <w:color w:val="auto"/>
        </w:rPr>
        <w:t>On December 14, 2004, we issued and sold $1.3 billion aggregate principal amount of original 2004 notes, which we subsequently offered to exchange for exchange notes substantially identical to the original 2004 notes, except that the registered 2004 notes had been registered under the Securities Act. The exchange offer for the original 2004 notes closed on June 29, 2005. The exchange offer described in this prospectus applies only to the $400,000,000 aggregate principal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amount of our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issued on November 6, 2007.</w:t>
      </w:r>
    </w:p>
    <w:p>
      <w:pPr>
        <w:spacing w:after="0" w:line="16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old notes are, and, upon consummation of the exchange offer, the new notes will be, secured by the Collateral described below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original 2004 notes and the registered 2004 notes, and the old notes vote, and upon consummation of the exchange offer the new notes will vote, on any matter submitted to noteholders with the original 2004 notes and the registered 2004 notes. However, because the old notes were issued with more than de minimis original issue discount, the old notes are of a separate series from, and have a different CUSIP number than, the original 2004 notes and are not fungible with the original 2004 notes, and upon consummation of the exchange offer, the new notes will be of a separate series from, and will have a different CUSIP number than, the registered 2004 notes and will not be fungible with the registered 2004 notes.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following description is a summary of the material provisions of the Indenture and the Collateral Documents. It does not restate those agreements in their entirety. We urge you to read the Indenture and the Collateral Documents because they, and not this description, define your rights as holders of the notes. Copies of the Indenture and the Collateral Documents are available as set forth below under “—Additional Information.” Certain defined terms used in this description but not defined below under “—Certain Definitions” have the meanings assigned to them in the Indenture.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registered holder of a note will be treated as the owner of it for all purposes. Only registered holders will have rights under the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New Notes Versus the Old Notes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new notes are substantially identical to the old notes except that the transfer restrictions, registration rights and liquidated damages provisions relating to the old notes do not apply to the new notes.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New Notes and the Note Guarantees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The Issuers</w:t>
      </w:r>
      <w:r>
        <w:rPr>
          <w:rFonts w:ascii="Arial" w:cs="Arial" w:eastAsia="Arial" w:hAnsi="Arial"/>
          <w:sz w:val="16"/>
          <w:szCs w:val="16"/>
          <w:color w:val="auto"/>
        </w:rPr>
        <w:t>. Wynn Las Vegas owns and operates the Wynn Las Vegas hotel and casino resort. Wynn Capital is a Wholly Owned Subsidiary of Wynn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incorporated to serve as a corporate co-issuer of the Second Mortgage Notes, and will serve as a corporate co-issuer of the new notes in order to facilitate the exchange offer. We believe that certain prospective investors in the new notes may be restricted in their ability to purchase debt securities of limited liability companies, such as Wynn Las Vegas, unless the debt securities are jointly issued by a corporation. Wynn Capital does not have any operations or material assets and does not have any revenues. As a result, prospective investors in the new notes should not expect Wynn Capital to participate in servicing principal, interest or other amounts required to be paid on the new notes.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Terms</w:t>
      </w:r>
      <w:r>
        <w:rPr>
          <w:rFonts w:ascii="Arial" w:cs="Arial" w:eastAsia="Arial" w:hAnsi="Arial"/>
          <w:sz w:val="18"/>
          <w:szCs w:val="18"/>
          <w:color w:val="auto"/>
        </w:rPr>
        <w:t>. The new notes:</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be first mortgage notes, issued in an original aggregate principal amount of up to $400,000,000;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mature on December 1, 2014;</w:t>
      </w:r>
    </w:p>
    <w:p>
      <w:pPr>
        <w:spacing w:after="0" w:line="90" w:lineRule="exact"/>
        <w:rPr>
          <w:rFonts w:ascii="Arial" w:cs="Arial" w:eastAsia="Arial" w:hAnsi="Arial"/>
          <w:sz w:val="18"/>
          <w:szCs w:val="18"/>
          <w:color w:val="auto"/>
        </w:rPr>
      </w:pPr>
    </w:p>
    <w:p>
      <w:pPr>
        <w:ind w:left="900" w:right="320" w:hanging="446"/>
        <w:spacing w:after="0" w:line="22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will bear interest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(based on a 360-day year of twelve 30-day months) which will accrue from the issue date of the notes offered hereby, payable in arrears each June 1 and December 1;</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December 1, 2009, at a premium declining ratably to par;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59"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sell assets, enter into sale-leaseback transactions, and restricting dividend and other payments affecting subsidiaries, mergers, consolidations or sales of substantially all assets, sales of subsidiary stock and other specified types of transactions.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Guarantors</w:t>
      </w:r>
      <w:r>
        <w:rPr>
          <w:rFonts w:ascii="Arial" w:cs="Arial" w:eastAsia="Arial" w:hAnsi="Arial"/>
          <w:sz w:val="18"/>
          <w:szCs w:val="18"/>
          <w:color w:val="auto"/>
        </w:rPr>
        <w:t>. The new notes will be guaranteed by certain of Wynn Las Vegas’ direct subsidiaries. These subsidiaries are:</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Las Vegas Jet, LLC, which leases a corporate aircraft from World Travel, LLC, and operates the aircraft under federal aviation regulations, Part 91;</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World Travel, LLC, which holds the beneficial interest in a trust that owns the corporate aircraft and leases it to Las Vegas Jet, LLC;</w:t>
      </w:r>
    </w:p>
    <w:p>
      <w:pPr>
        <w:spacing w:after="0" w:line="9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Sunrise, LLC, which owns the Koval Land, which consists of approximately 18 acres of land located across from the Projects on Koval Lane and Sands Avenue which we currently use for employee parking and other ancillary uses;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Show Performers, LLC, which has contracts with show performers who will perform at the Entertainment Facility;</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Wynn Golf, LLC, which owns the Golf Course Land, the Water Rights related to the Golf Course Land and sixty-five residential lots adjacent to the Golf Course Land; and</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Kevyn, LLC, which owns a 50% interest in PW Automotive, LLC, which operates the Ferrari and Maserati automotive dealership inside the Wynn Las Vegas hotel and casino resort.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the date of this prospectus, Wynn Las Vegas’ only subsidiary (other than Wynn Capital) that is not a Guarantor is the Completion Guarantor, which is an Unrestricted Subsidiary of Wynn Las Vegas.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Security and Ranking. </w:t>
      </w:r>
      <w:r>
        <w:rPr>
          <w:rFonts w:ascii="Arial" w:cs="Arial" w:eastAsia="Arial" w:hAnsi="Arial"/>
          <w:sz w:val="18"/>
          <w:szCs w:val="18"/>
          <w:color w:val="auto"/>
        </w:rPr>
        <w:t>The new notes and the Guarantees offered hereby:</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general obligations of the Issuers and the Guarantors, respectively;</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will be secured, in the case of the notes, by a perfected first priority lien on (1) substantially all of the existing and future assets of Wynn Las Vegas including the Projects, the pledged Equity Interests in our Restricted Subsidiaries, all other real property held by Wynn Las Vegas and certain personal property, including items of furniture, fixture and equipment located within the Projects, but excluding gaming and liquor licenses and other assets in which the grant of a security interest is restricted by their terms or by law and any proceeds held in a secured account at Wynn Las Vegas drawn or incurred under the Credit Agreement from time to time, (2) all amounts on deposit from time to time in the Completion Guarantor’s completion guarantee account and (3) the pledged Equity Interests held by Wynn Resorts Holdings in Wynn Las Vegas;</w:t>
      </w:r>
    </w:p>
    <w:p>
      <w:pPr>
        <w:spacing w:after="0" w:line="39" w:lineRule="exact"/>
        <w:rPr>
          <w:rFonts w:ascii="Arial" w:cs="Arial" w:eastAsia="Arial" w:hAnsi="Arial"/>
          <w:sz w:val="16"/>
          <w:szCs w:val="16"/>
          <w:color w:val="auto"/>
        </w:rPr>
      </w:pPr>
    </w:p>
    <w:p>
      <w:pPr>
        <w:ind w:left="900" w:right="140" w:hanging="446"/>
        <w:spacing w:after="0" w:line="255"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secured, in the case of the Guarantees, by a perfected first priority lien on substantially all of the Guarantors’ existing and future assets, all items of furniture, fixture and equipment owned by the Guarantors, and at least initially, the Golf Course Land, Water Rights for the Golf Course Land, sixty-five residential lots adjacent to the Golf Course Land owned by Wynn Golf, Wynn Las Vegas’ water entertainment features and certain specified Phase I Key Project Documents, but excluding the Aircraft Assets and gaming and liquor licenses and other assets in which the grant of a security interest is prohibited by their terms or by law;</w:t>
      </w:r>
    </w:p>
    <w:p>
      <w:pPr>
        <w:spacing w:after="0" w:line="61"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will be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Wynn Las Vegas’ borrowings under the Credit Agreement, which borrowings will be secured by a perfected first priority lien on the same assets as are subject to the lien securing the notes and the Guarantees (subject to certain exceptions); and</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will be effectively senior in right of payment to the obligations of the Issuers and the Guarantors with respect to any subordinated Indebtedness and the related guarantees thereon.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trustee has entered into the Intercreditor Agreement to govern the relations between the noteholders, the lenders under the Credit Agreement, the collateral agent and the holders of future permitted senior and junior indebtedness with respect to the Collateral. The Intercreditor Agreement imposes restrictions on the enforcement of remedies with respect to the Collateral securing the notes and the Guarantees under specified circumstances. See “Intercreditor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Indenture provides that if (i) the lenders under the Credit Agreement release their first priority security interest in all of the Collateral, (ii) the Phase II Completion Date has occurred, and (iii) 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the noteholders’ first priority security interest in all of the Collateral will also be released. See “—Security—Release of Collateral.”</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Indenture provides that the noteholders’ first priority security interest in the Golf Course Land and certain other parcels of real estate may be released under certain circumstances. See “—Security—Release of Golf Course Land,” “—Release of Portions of the Golf Course Land,” and “—Release of Homesite Acreage.” The Indenture also provides that substantially all of the Collateral may be released with the consent of the Holders of 95% of the notes then outstanding.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Issuers will issue up to $400,000,000 in aggregate principal amount of new notes in this exchange offer. The Issuers may issue additional notes under the Indenture from time to time after this exchange offer. Any issuance of additional notes is subject to all of the covenants in the Indenture, including the covenant described below under the caption “—Certain Covenants—Incurrence of Indebtedness and Issuance of Disqualified Stock.” The old notes, the original 2004 notes, the registered 2004 notes and the new notes and any additional notes subsequently issued under the Indenture will (subject to the qualifications expressed in the third paragraph of this “Description of the New Notes”) be treated as a single class for all purposes under the Indenture, including, without limitation, waivers, amendments, redemptions and offers to purchase. The Issuers will issue new notes in denominations of $1,000 and integral multiples of $1,000. The new notes will mature on December 1, 2014.</w:t>
      </w:r>
    </w:p>
    <w:p>
      <w:pPr>
        <w:spacing w:after="0" w:line="145" w:lineRule="exact"/>
        <w:rPr>
          <w:sz w:val="20"/>
          <w:szCs w:val="20"/>
          <w:color w:val="auto"/>
        </w:rPr>
      </w:pPr>
    </w:p>
    <w:p>
      <w:pPr>
        <w:ind w:right="80" w:firstLine="456"/>
        <w:spacing w:after="0" w:line="231" w:lineRule="auto"/>
        <w:rPr>
          <w:sz w:val="20"/>
          <w:szCs w:val="20"/>
          <w:color w:val="auto"/>
        </w:rPr>
      </w:pPr>
      <w:r>
        <w:rPr>
          <w:rFonts w:ascii="Arial" w:cs="Arial" w:eastAsia="Arial" w:hAnsi="Arial"/>
          <w:sz w:val="18"/>
          <w:szCs w:val="18"/>
          <w:color w:val="auto"/>
        </w:rPr>
        <w:t xml:space="preserve">Interest on the new notes will accrue at the rate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per annum and is payable semi-annually in arrears on June 1 and December 1, with the first interest payment date being June 1, 2008. Interest on overdue principal and interest and Liquidated Damages, if any, will accrue at a rate that is 1% higher than the then applicable interest rate on the new notes. The Issuers will make each interest payment to the holders of record on the immediately preceding May 15 and November 15.</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Interest on the new notes accrues from the date of original issuance or, if interest has already been paid, from the date it was most recently paid. Interest will be computed on the basis of a 360-day year comprised of twelve 30-day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 holder of notes has given wire transfer instructions to the Issuers, the Issuers will pay all principal, interest and premium and Liquidated Damages, if any, on that holder’s notes in accordance with those instructions. All other payments on the notes will be made at the office or agency of the paying agent and registrar within the City and State of New York unless the Issuers elect to make interest payments by check mailed to the noteholders at their addresses set forth in the register of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trustee currently acts as the paying agent and registrar. The Issuers may change the paying agent or registrar without prior notice to the holders of the notes, and either or both of the Issuers or any of their respective Subsidiaries may act as paying agent or registrar.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Issuers will not be required to transfer or exchange any note selected for redemption. Also, the Issuers will not be required to transfer or exchange any note for a period of 15 days before a selection of notes to be redeemed.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Guarantees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Guarantees are joint and several obligations of the Guarantors. The obligations of each Guarantor under its Note Guarantee are limited as necessary to prevent such Guarantee from constituting a fraudulent conveyance under applicable law. See “Risk Factors—Risks Related to the Notes.” Federal and state statutes allow courts, under specific circumstances, to void the guarantees, and require noteholders to return payments received from us or the Guarantors.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Guarantees are secured by substantially all of the assets of the Guarantors (other than the Aircraft Assets) as more fully described below under the caption “—Security—Security for the Note Guarantees.”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Guarantor may not sell or otherwise dispose of all or substantially all of its assets to, or consolidate with or merge with or into (whether or not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Guarantor is the surviving Person) another Person, other than either of the Issuers or another Guarantor, unless:</w:t>
      </w:r>
    </w:p>
    <w:p>
      <w:pPr>
        <w:spacing w:after="0" w:line="84" w:lineRule="exact"/>
        <w:rPr>
          <w:sz w:val="20"/>
          <w:szCs w:val="20"/>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giving effect to that transaction, no Default or Event of Default exists;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320" w:firstLine="421"/>
        <w:spacing w:after="0" w:line="306" w:lineRule="auto"/>
        <w:tabs>
          <w:tab w:leader="none" w:pos="1579"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Person acquiring the property in any such sale or disposition or the Person formed by or surviving any such consolidation or merger assumes all the obligations of that Guarantor under the Indenture, its Note Guarantee and the registration rights agreement pursuant to a supplemental indenture and other appropriate documents satisfactory to the trustee; or</w:t>
      </w:r>
    </w:p>
    <w:p>
      <w:pPr>
        <w:spacing w:after="0" w:line="25" w:lineRule="exact"/>
        <w:rPr>
          <w:rFonts w:ascii="Arial" w:cs="Arial" w:eastAsia="Arial" w:hAnsi="Arial"/>
          <w:sz w:val="16"/>
          <w:szCs w:val="16"/>
          <w:color w:val="auto"/>
        </w:rPr>
      </w:pPr>
    </w:p>
    <w:p>
      <w:pPr>
        <w:ind w:left="1580" w:hanging="239"/>
        <w:spacing w:after="0"/>
        <w:tabs>
          <w:tab w:leader="none" w:pos="15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Net Proceeds of such sale or other disposition are applied in accordance with the applicable provisions of the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foregoing, each Guarantor is permitted to reorganize as a corporation pursuant to a Permitted C-Corp. Conversion.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Guarantees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compliance with the provisions described above under the caption “—Note Guarantees—General,” the Note Guarantee of a Guarantor and the security interests granted by that Guarantor to secure its Note Guarantee will be released:</w:t>
      </w:r>
    </w:p>
    <w:p>
      <w:pPr>
        <w:spacing w:after="0" w:line="51" w:lineRule="exact"/>
        <w:rPr>
          <w:sz w:val="20"/>
          <w:szCs w:val="20"/>
          <w:color w:val="auto"/>
        </w:rPr>
      </w:pPr>
    </w:p>
    <w:p>
      <w:pPr>
        <w:ind w:left="460" w:firstLine="443"/>
        <w:spacing w:after="0" w:line="254"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lenders under the Credit Agreement release the guarantees by such Guarantor under the Credit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guarantees of the Credit Agreement is the result of an extension, refinancing, renewal, replacement, amendment and restatement, restatement, defeasance or refunding (collectively,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w:t>
      </w:r>
    </w:p>
    <w:p>
      <w:pPr>
        <w:spacing w:after="0" w:line="38"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consolidation) to a Person that is not (either before or after giving effect to such transaction) an Issuer or a Restricted Subsidiary of Wynn Las Vegas, if the sale or other disposition is made in compliance with the “Asset Sales” provisions of the Indenture, and if, after giving effect to such sale or other disposition, such Guarantor is an Immaterial Subsidiary;</w:t>
      </w:r>
    </w:p>
    <w:p>
      <w:pPr>
        <w:spacing w:after="0" w:line="63"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of the Capital Stock of that Guarantor to a Person that is not (either before or after giving effect to such transaction) an Issuer or a Restricted Subsidiary of Wynn Las Vegas, if the sale or other disposition does not violate the “Asset Sale” provisions of the Indenture;</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Wynn Las Vegas designates any Restricted Subsidiary that is a Guarantor to be an Unrestricted Subsidiary in accordance with the applicable provisions of the Indenture; or</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legal defeasance or satisfaction and discharge of the Indenture as provided below under the captions “—Legal Defeasance and Covenant Defeasance” and “—Satisfaction and Discharge.”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“—Repurchase at the Option of Holders—Asset Sale” and “—Certain Covenants—Designation of Restricted and Unrestricted Subsidiaries.”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release of any Note Guarantee by the applicable Guarantor as described in the preceding paragraph, the obligations of the Guarantors under the Note Guarantees will be released if all of the Collateral is released under the circumstances described below under the caption “—Security—Release of Collateral.”</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to the release of the Guarantee by Wynn Golf pursuant to the provisions described above, the security interests of the noteholders in the Golf Course Land and certain portions of the Golf Course Land owned by Wynn Golf may be released under the circumstances described below under the captions “— Security—Release of Golf Course Land,” “—Release of Portions of the Golf Course Land,” and “—Release of Homesite Acreage.”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New Notes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Subject to liens permitted by the Collateral Documents and to the extent permitted by Gaming Laws and other applicable laws, the new notes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secured by, among other things:</w:t>
      </w:r>
    </w:p>
    <w:p>
      <w:pPr>
        <w:spacing w:after="0" w:line="51" w:lineRule="exact"/>
        <w:rPr>
          <w:sz w:val="20"/>
          <w:szCs w:val="20"/>
          <w:color w:val="auto"/>
        </w:rPr>
      </w:pPr>
    </w:p>
    <w:p>
      <w:pPr>
        <w:ind w:left="460" w:firstLine="443"/>
        <w:spacing w:after="0" w:line="254"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perfected first priority security interest in substantially all of the Issuers’ existing and future assets, including the Phase I Land, all improvements constructed as part of the Phase I Project, the Phase II Land, all improvements constructed as part of the Phase II Project, all other real property held by Wynn Las Vegas, certain personal property, including items of furniture, fixture and equipment located within the Projects, and the Phase I Key Project Documents to which the Issuers are party, other than gaming and liquor licenses and other assets in which the grant of a security interest is prohibited by their terms or by law and any proceeds held in a secured account at Wynn Las Vegas drawn or incurred under the Credit Agreement from time to time;</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perfected first priority security interest in the funds on deposit in the Completion Guarantee Account from time to time to support the current</w:t>
      </w:r>
    </w:p>
    <w:p>
      <w:pPr>
        <w:spacing w:after="0" w:line="38" w:lineRule="exact"/>
        <w:rPr>
          <w:sz w:val="20"/>
          <w:szCs w:val="20"/>
          <w:color w:val="auto"/>
        </w:rPr>
      </w:pPr>
    </w:p>
    <w:p>
      <w:pPr>
        <w:ind w:left="460" w:right="240"/>
        <w:spacing w:after="0" w:line="261" w:lineRule="auto"/>
        <w:rPr>
          <w:sz w:val="20"/>
          <w:szCs w:val="20"/>
          <w:color w:val="auto"/>
        </w:rPr>
      </w:pPr>
      <w:r>
        <w:rPr>
          <w:rFonts w:ascii="Arial" w:cs="Arial" w:eastAsia="Arial" w:hAnsi="Arial"/>
          <w:sz w:val="18"/>
          <w:szCs w:val="18"/>
          <w:color w:val="auto"/>
        </w:rPr>
        <w:t>$31.1 million on deposit as a guarantee by the Completion Guarantor of the completion in full of the construction and opening of the Projects, subject to disbursement pursuant to the Disbursement Agreement;</w:t>
      </w:r>
    </w:p>
    <w:p>
      <w:pPr>
        <w:spacing w:after="0" w:line="57" w:lineRule="exact"/>
        <w:rPr>
          <w:sz w:val="20"/>
          <w:szCs w:val="20"/>
          <w:color w:val="auto"/>
        </w:rPr>
      </w:pPr>
    </w:p>
    <w:p>
      <w:pPr>
        <w:ind w:left="1160" w:hanging="25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Wynn Resorts Holdings in Wynn Las Vegas; and</w:t>
      </w:r>
    </w:p>
    <w:p>
      <w:pPr>
        <w:spacing w:after="0" w:line="90"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perfected first priority pledge of the Equity Interests held by the Issuers in any of their respective existing or future Restricted Subsidiaries, including the Equity Interests held by Wynn Las Vegas in Wynn Capital, Completion Guarantor, Las Vegas Jet, LLC, World Travel, LLC, Wynn Sunrise, LLC, Wynn Show Performers, LLC, Wynn Golf and Kevyn, LLC.</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new notes will not be secured by any such gaming or liquor licenses.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Completion Guarantee Account</w:t>
      </w:r>
      <w:r>
        <w:rPr>
          <w:rFonts w:ascii="Arial" w:cs="Arial" w:eastAsia="Arial" w:hAnsi="Arial"/>
          <w:sz w:val="16"/>
          <w:szCs w:val="16"/>
          <w:color w:val="auto"/>
        </w:rPr>
        <w:t>. Wynn Completion Guarantor, LLC, one of Wynn Las Vegas’ Unrestricted Subsidiaries (the “</w:t>
      </w:r>
      <w:r>
        <w:rPr>
          <w:rFonts w:ascii="Arial" w:cs="Arial" w:eastAsia="Arial" w:hAnsi="Arial"/>
          <w:sz w:val="16"/>
          <w:szCs w:val="16"/>
          <w:i w:val="1"/>
          <w:iCs w:val="1"/>
          <w:color w:val="auto"/>
        </w:rPr>
        <w:t>Completion Guarantor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provides a $30.0 million Completion Guarantee in favor of the trustee (for the benefit of the holders of the notes) and the administrative agent (for the benefit of the lenders under the Credit Agreement). The Completion Guarantor will, subject to a $30.0 million cap, guarantee final completion of the Phase II Project. The Completion Guarantor has deposited $31.1 million into a collateral account (the “</w:t>
      </w:r>
      <w:r>
        <w:rPr>
          <w:rFonts w:ascii="Arial" w:cs="Arial" w:eastAsia="Arial" w:hAnsi="Arial"/>
          <w:sz w:val="16"/>
          <w:szCs w:val="16"/>
          <w:i w:val="1"/>
          <w:iCs w:val="1"/>
          <w:color w:val="auto"/>
        </w:rPr>
        <w:t>Completion Guarantee Account</w:t>
      </w:r>
      <w:r>
        <w:rPr>
          <w:rFonts w:ascii="Arial" w:cs="Arial" w:eastAsia="Arial" w:hAnsi="Arial"/>
          <w:sz w:val="16"/>
          <w:szCs w:val="16"/>
          <w:color w:val="auto"/>
        </w:rPr>
        <w:t>”) to support its obligations under the Completion Guarantee. Funds in the Completion Guarantee Account must be held in cash, certain cash equivalents and/or Permitted Securities until such funds are applied to pay costs of the Phase II Project (or otherwise released in accordance with the Disbursement Agreement). The collateral agent has a first priority security interest in the funds in the Completion Guarantee Account for the benefit of the lenders under the Credit Agreement and the holders of the notes. At least $30.0 million is required to be on deposit in the Completion Guarantee Account for utilization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 respect to the Phase II Project. Amounts in the Completion Guarantee Account may be applied to the costs of the Phase II Project in accordance with the Disbursement Agreement. Upon the Completion Guarantee Release Date, any amounts then remaining in the Completion Guarantee Account will be released to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Security for the Note Guarantees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Subject to liens permitted by the Collateral Documents, and to the extent permitted by Gaming Laws and other applicable laws, the Note Guarantees are secured by, among other things:</w:t>
      </w:r>
    </w:p>
    <w:p>
      <w:pPr>
        <w:spacing w:after="0" w:line="51" w:lineRule="exact"/>
        <w:rPr>
          <w:sz w:val="20"/>
          <w:szCs w:val="20"/>
          <w:color w:val="auto"/>
        </w:rPr>
      </w:pPr>
    </w:p>
    <w:p>
      <w:pPr>
        <w:ind w:left="460" w:right="40" w:firstLine="443"/>
        <w:spacing w:after="0" w:line="259"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perfected first priority security interest in the Golf Course Land, the Water Rights related to the Golf Course Land, sixty-five residential lots adjacent to the Golf Course Land owned by Wynn Golf and Wynn Las Vegas’ water entertainment features, subject, in the case of the Golf Course Land, to release as described below under the caption “—Release of Golf Course Land”; and</w:t>
      </w:r>
    </w:p>
    <w:p>
      <w:pPr>
        <w:spacing w:after="0" w:line="59" w:lineRule="exact"/>
        <w:rPr>
          <w:rFonts w:ascii="Arial" w:cs="Arial" w:eastAsia="Arial" w:hAnsi="Arial"/>
          <w:sz w:val="18"/>
          <w:szCs w:val="18"/>
          <w:color w:val="auto"/>
        </w:rPr>
      </w:pPr>
    </w:p>
    <w:p>
      <w:pPr>
        <w:ind w:left="460" w:right="180" w:firstLine="443"/>
        <w:spacing w:after="0" w:line="259" w:lineRule="auto"/>
        <w:tabs>
          <w:tab w:leader="none" w:pos="1147"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 perfected first priority security interest in substantially all of the other existing and future assets (other than gaming and liquor licenses) of the Guarantors, including, the rights of any Guarantor under the Phase I Key Project Documents to which it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Note Guarantee of World Travel, LLC is not secured by the Aircraft Assets.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noted above, under Nevada Gaming Laws, a gaming licensee is not permitted to grant a security interest in any gaming or other license issued by the Nevada Gaming Authorities. As a result, the Note Guarantees by the Guarantors will not be secured by any such gaming or other licenses.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Collateral</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Holders’ security interests in all of the Collateral, including the Golf Course Land, may be released and the Golf Course Lease and the Access Easement Agreement may be terminated so long as:</w:t>
      </w:r>
    </w:p>
    <w:p>
      <w:pPr>
        <w:spacing w:after="0" w:line="51" w:lineRule="exact"/>
        <w:rPr>
          <w:sz w:val="20"/>
          <w:szCs w:val="20"/>
          <w:color w:val="auto"/>
        </w:rPr>
      </w:pPr>
    </w:p>
    <w:p>
      <w:pPr>
        <w:ind w:left="460" w:right="20" w:firstLine="443"/>
        <w:spacing w:after="0" w:line="255" w:lineRule="auto"/>
        <w:tabs>
          <w:tab w:leader="none" w:pos="11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lenders under the Credit Agreement release their first priority security interest in all of the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140" w:firstLine="443"/>
        <w:spacing w:after="0" w:line="306" w:lineRule="auto"/>
        <w:tabs>
          <w:tab w:leader="none" w:pos="1147"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lenders under all other outstanding secured Indebtedness (other than Indebtedness incurred pursuant to clause (7) of the definition of “Permitted Debt” set forth in the second paragraph of the covenant described below under the caption “—Certain Covenants—Incurrence of Indebtedness and Issuance of Disqualified Stock”) that is secured by any Collateral release their security interest in such Collateral; and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Holders’ security interest in all or substantially all of the Collateral may be released at any time with the consent of the Holders of 95% of the aggregate principal amount of notes then outstanding.</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the Issuers or the Guarantors grant Liens (other than Liens permitted under clause (25) of the definition of “Permitted Liens”) to secure any other Indebtedness (other than Indebtedness incurred pursuant to clause (7) of the definition of “Permitted Debt” set forth in the second paragraph described below under the caption “—Certain Covenants—Incurrence of Indebtedness and Issuance of Disqualified Stock”) after the Holders’ security interests in all of the Collateral has been released as set forth in the first paragraph above, the Issuers or the Guarantors, as the case may be, will be required to grant security interests on the same assets to secure the Issuers’ obligations under the notes and the Guarantors’ obligations under their respective Note Guarantees on an equal and ratable basis with such other Indebtedness, so long as such other Indebtedness is so secured.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Golf Course Land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security interests in all of the Golf Course Land (and the related Water Rights) may be released and the Golf Course Lease and the Access Easement Agreement may be terminated, so long as:</w:t>
      </w:r>
    </w:p>
    <w:p>
      <w:pPr>
        <w:spacing w:after="0" w:line="51" w:lineRule="exact"/>
        <w:rPr>
          <w:sz w:val="20"/>
          <w:szCs w:val="20"/>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release;</w:t>
      </w:r>
    </w:p>
    <w:p>
      <w:pPr>
        <w:spacing w:after="0" w:line="90"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first priority security interest in the Golf Course Land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it will not be deemed to be a release of the first priority security interest requiring the automatic release by the noteholders if the release of the first priority lien securing the Credit Agreement is the result of a refinancing of the Credit Agreement and as a result of which the first priority liens in favor of the administrative agent (for the benefit of the lenders under the Credit Agreement) are terminated and/or replaced with liens in favor of the lenders or holders of such refinancing Indebtedness (or any agent on their behalf));</w:t>
      </w:r>
    </w:p>
    <w:p>
      <w:pPr>
        <w:spacing w:after="0" w:line="61" w:lineRule="exact"/>
        <w:rPr>
          <w:rFonts w:ascii="Arial" w:cs="Arial" w:eastAsia="Arial" w:hAnsi="Arial"/>
          <w:sz w:val="18"/>
          <w:szCs w:val="18"/>
          <w:color w:val="auto"/>
        </w:rPr>
      </w:pPr>
    </w:p>
    <w:p>
      <w:pPr>
        <w:ind w:left="1160" w:hanging="257"/>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Phase II Completion Date has occurred;</w:t>
      </w:r>
    </w:p>
    <w:p>
      <w:pPr>
        <w:spacing w:after="0" w:line="90" w:lineRule="exact"/>
        <w:rPr>
          <w:rFonts w:ascii="Arial" w:cs="Arial" w:eastAsia="Arial" w:hAnsi="Arial"/>
          <w:sz w:val="18"/>
          <w:szCs w:val="18"/>
          <w:color w:val="auto"/>
        </w:rPr>
      </w:pPr>
    </w:p>
    <w:p>
      <w:pPr>
        <w:ind w:left="460" w:right="380" w:firstLine="443"/>
        <w:spacing w:after="0" w:line="357" w:lineRule="auto"/>
        <w:tabs>
          <w:tab w:leader="none" w:pos="1147" w:val="left"/>
        </w:tabs>
        <w:numPr>
          <w:ilvl w:val="0"/>
          <w:numId w:val="76"/>
        </w:numPr>
        <w:rPr>
          <w:rFonts w:ascii="Arial" w:cs="Arial" w:eastAsia="Arial" w:hAnsi="Arial"/>
          <w:sz w:val="15"/>
          <w:szCs w:val="15"/>
          <w:color w:val="auto"/>
        </w:rPr>
      </w:pPr>
      <w:r>
        <w:rPr>
          <w:rFonts w:ascii="Arial" w:cs="Arial" w:eastAsia="Arial" w:hAnsi="Arial"/>
          <w:sz w:val="15"/>
          <w:szCs w:val="15"/>
          <w:color w:val="auto"/>
        </w:rPr>
        <w:t>immediately prior to the release of the security interest, and after giving pro forma effect to such release, Wynn Las Vegas’ and its Restricted Subsidiaries’ total debt does not exceed 6.5 times Consolidated EBITDA for the four full fiscal quarters immediately preceding such release; and</w:t>
      </w:r>
    </w:p>
    <w:p>
      <w:pPr>
        <w:ind w:left="1160" w:hanging="257"/>
        <w:spacing w:after="0"/>
        <w:tabs>
          <w:tab w:leader="none" w:pos="11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Wynn Las Vegas delivers an officers’ certificate to the trustee confirming that the conditions in clauses (1), (2), (3) and (4) above have been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16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the foregoing, if Wynn Las Vegas incurs debt to finance the project costs related to the building of a project on the Golf Course Land (the “</w:t>
      </w:r>
      <w:r>
        <w:rPr>
          <w:rFonts w:ascii="Arial" w:cs="Arial" w:eastAsia="Arial" w:hAnsi="Arial"/>
          <w:sz w:val="18"/>
          <w:szCs w:val="18"/>
          <w:i w:val="1"/>
          <w:iCs w:val="1"/>
          <w:color w:val="auto"/>
        </w:rPr>
        <w:t>Phase III Project</w:t>
      </w:r>
      <w:r>
        <w:rPr>
          <w:rFonts w:ascii="Arial" w:cs="Arial" w:eastAsia="Arial" w:hAnsi="Arial"/>
          <w:sz w:val="18"/>
          <w:szCs w:val="18"/>
          <w:color w:val="auto"/>
        </w:rPr>
        <w:t>”) pursuant to clause (8) of the second paragraph of the covenant described below under the caption “—Certain Covenants—Incurrence of Indebtedness and Issuance of Disqualified Stock,” then the security interest in the Golf Course Land may not be released without first obtaining the consent of 90% of the holders of the notes.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any such release of those security interests, the disposition or transfer of such assets will no longer be subject to any of the restrictive covenants in the Indenture.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Portions of the Golf Course Land</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security interests granted by Wynn Golf in approximately 20 acres of the Golf Course Land constituting the Home Site Land will be released and the Golf Course Lease and the Access Easement Agreement may be amended to contemplate the release of the Home Site Land if the lenders under the Credit Agreement concurrently release their first priority security interest in the Home Site Land, so long as no Default or Event of Default exists or is continuing immediately prior to or after giving effect to such release. It will not be deemed to be a release of the first priority security interest in the Home Site Land requiring the automatic release by the noteholders if the release of the first priority lien securing the Credit Agreement is the result of a refinancing of the Credit Agreement and as a result of which the first priority liens in favor of the administrative agent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 xml:space="preserve">benefit of the lenders under the Credit Agreement) are terminated and/or replaced with liens in favor of the lenders or holders of such refinancing Indebtedness (or any agent on their behalf). In the event that, following the automatic release of the noteholders’ security interest in the Home Site Land, Wynn Las Vegas or any of the Restricted Subsidiaries grants a security interest in any or all of the Home Site Land to secure such refinancing Indebtedness or any guarantee thereof, such Person will concurrently grant a first priority security interest on such portions of the Home Site Land in favor of the trustee for the benefit of the noteholders to secure the notes (or, if such Person is a Guarantor, its Note Guarantee of the notes). That security interest in favor of the trustee for the benefit of the noteholders will be a first priority security interest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security interest in favor of the lenders under the Credit Agreement, subject only to other Permitted Liens and the terms of the Intercreditor Agreement.</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Credit Agreement provides that the lenders will release their security interests in the Home Site Land upon satisfaction of certain conditions, including Wynn Las Vegas achieving a specified minimum level of Consolidated EBITDA for four full consecutive fiscal quarters and satisfying certain conditions relating to the water required for the Wynn Las Vegas casino water features and the golf course. The release provision also requires that until the earlier of the disposition of the Golf Course Land or the payment in full of the obligations under the Credit Agreement, development on the Home Site Land shall be limited to residential housing and other non-gaming related developments, and that construction of permitted improvements could not reasonably be expected to materially interfere with the use or operations of the Golf Course and could not otherwise reasonably be expected to materially impair the overall value of the Projects.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first priority liens by the noteholders.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Release of Homesite Acreage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security interests in approximately two acres of the Golf Course Land will be released in order to permit the construction of a personal residence for Stephen A. Wynn and the Golf Course Lease and the Access Easement Agreement may be amended to contemplate the release of the Wynn Home Site Land, so long as:</w:t>
      </w:r>
    </w:p>
    <w:p>
      <w:pPr>
        <w:spacing w:after="0" w:line="59" w:lineRule="exact"/>
        <w:rPr>
          <w:sz w:val="20"/>
          <w:szCs w:val="20"/>
          <w:color w:val="auto"/>
        </w:rPr>
      </w:pPr>
    </w:p>
    <w:p>
      <w:pPr>
        <w:ind w:left="1160" w:hanging="257"/>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cash purchase price paid by Stephen A. Wynn in immediately available funds for the Wynn Home Site Land prior to the release of the security interests shall not be less than the then Fair Market Value of the Wynn Home Site Land;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purchase price is paid directly to Wynn Golf;</w:t>
      </w:r>
    </w:p>
    <w:p>
      <w:pPr>
        <w:spacing w:after="0" w:line="90" w:lineRule="exact"/>
        <w:rPr>
          <w:rFonts w:ascii="Arial" w:cs="Arial" w:eastAsia="Arial" w:hAnsi="Arial"/>
          <w:sz w:val="18"/>
          <w:szCs w:val="18"/>
          <w:color w:val="auto"/>
        </w:rPr>
      </w:pPr>
    </w:p>
    <w:p>
      <w:pPr>
        <w:ind w:left="460" w:right="480" w:firstLine="443"/>
        <w:spacing w:after="0" w:line="332" w:lineRule="auto"/>
        <w:tabs>
          <w:tab w:leader="none" w:pos="1147"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construction of Stephen A. Wynn’s personal residence will not materially interfere with the design, construction, operation or use of the remainder of the Golf Course Land and otherwise could not reasonably be expected to materially impair the overall value of the Projects;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lenders under the Credit Agreement concurrently release their security interests in the Wynn Home Site Land to be released by the trustee;</w:t>
      </w:r>
    </w:p>
    <w:p>
      <w:pPr>
        <w:spacing w:after="0" w:line="113" w:lineRule="exact"/>
        <w:rPr>
          <w:rFonts w:ascii="Arial" w:cs="Arial" w:eastAsia="Arial" w:hAnsi="Arial"/>
          <w:sz w:val="16"/>
          <w:szCs w:val="16"/>
          <w:color w:val="auto"/>
        </w:rPr>
      </w:pPr>
    </w:p>
    <w:p>
      <w:pPr>
        <w:jc w:val="both"/>
        <w:ind w:left="460" w:firstLine="443"/>
        <w:spacing w:after="0" w:line="302" w:lineRule="auto"/>
        <w:tabs>
          <w:tab w:leader="none" w:pos="1147" w:val="left"/>
        </w:tabs>
        <w:numPr>
          <w:ilvl w:val="1"/>
          <w:numId w:val="77"/>
        </w:numPr>
        <w:rPr>
          <w:rFonts w:ascii="Arial" w:cs="Arial" w:eastAsia="Arial" w:hAnsi="Arial"/>
          <w:sz w:val="15"/>
          <w:szCs w:val="15"/>
          <w:color w:val="auto"/>
        </w:rPr>
      </w:pPr>
      <w:r>
        <w:rPr>
          <w:rFonts w:ascii="Arial" w:cs="Arial" w:eastAsia="Arial" w:hAnsi="Arial"/>
          <w:sz w:val="15"/>
          <w:szCs w:val="15"/>
          <w:color w:val="auto"/>
        </w:rPr>
        <w:t>no Points of Diversion with respect to any water permits held by us or any of our Restricted Subsidiaries or otherwise utilized or expected to be utilized with respect to the Projects, wells associated therewith or rights-of-way necessary for the transportation to the Golf Course Land or the Wynn Las Vegas hotel and casino resort water entertainment features of water drawn or to be drawn pursuant to water permits, are located on the released Golf Course Land, or Wynn Golf shall have otherwise transferred or reserved for the benefit of the Golf Course Land (previously or in connection with such disposition) at no cost to Wynn Las Vegas and its Restricted Subsidiaries such easements as are necessary for Wynn Las Vegas and its Restricted Subsidiaries to</w:t>
      </w:r>
    </w:p>
    <w:p>
      <w:pPr>
        <w:spacing w:after="0" w:line="1" w:lineRule="exact"/>
        <w:rPr>
          <w:rFonts w:ascii="Arial" w:cs="Arial" w:eastAsia="Arial" w:hAnsi="Arial"/>
          <w:sz w:val="15"/>
          <w:szCs w:val="15"/>
          <w:color w:val="auto"/>
        </w:rPr>
      </w:pPr>
    </w:p>
    <w:p>
      <w:pPr>
        <w:ind w:left="460" w:right="520" w:firstLine="4"/>
        <w:spacing w:after="0" w:line="261" w:lineRule="auto"/>
        <w:tabs>
          <w:tab w:leader="none" w:pos="7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access such Points of Diversion, (B) own and operate such wells and (C) transport such water to the water features of the Project and/or the Golf Course;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86" w:lineRule="auto"/>
        <w:tabs>
          <w:tab w:leader="none" w:pos="1147" w:val="left"/>
        </w:tabs>
        <w:numPr>
          <w:ilvl w:val="1"/>
          <w:numId w:val="79"/>
        </w:numPr>
        <w:rPr>
          <w:rFonts w:ascii="Arial" w:cs="Arial" w:eastAsia="Arial" w:hAnsi="Arial"/>
          <w:sz w:val="16"/>
          <w:szCs w:val="16"/>
          <w:color w:val="auto"/>
        </w:rPr>
      </w:pPr>
      <w:r>
        <w:rPr>
          <w:rFonts w:ascii="Arial" w:cs="Arial" w:eastAsia="Arial" w:hAnsi="Arial"/>
          <w:sz w:val="16"/>
          <w:szCs w:val="16"/>
          <w:color w:val="auto"/>
        </w:rPr>
        <w:t>Wynn Las Vegas and Wynn Golf, as the case may be, shall have taken all actions required pursuant to the covenant described below under the caption “—Certain Covenants—Additional Collateral; Acquisition of Assets or Property” with respect to any assets or property acquired pursuant to clause</w:t>
      </w: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above; and</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80"/>
        </w:numPr>
        <w:rPr>
          <w:rFonts w:ascii="Arial" w:cs="Arial" w:eastAsia="Arial" w:hAnsi="Arial"/>
          <w:sz w:val="16"/>
          <w:szCs w:val="16"/>
          <w:color w:val="auto"/>
        </w:rPr>
      </w:pPr>
      <w:r>
        <w:rPr>
          <w:rFonts w:ascii="Arial" w:cs="Arial" w:eastAsia="Arial" w:hAnsi="Arial"/>
          <w:sz w:val="16"/>
          <w:szCs w:val="16"/>
          <w:color w:val="auto"/>
        </w:rPr>
        <w:t>Wynn Las Vegas and/or Wynn Golf delivers an officers’ certificate to the trustee confirming that the conditions in clauses (1), (2), (3), (4), (5),</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and (7) above have been satisfied.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redeemable at the Issuers’ option prior to December 1, 2009</w:t>
      </w:r>
      <w:r>
        <w:rPr>
          <w:rFonts w:ascii="Arial" w:cs="Arial" w:eastAsia="Arial" w:hAnsi="Arial"/>
          <w:sz w:val="18"/>
          <w:szCs w:val="18"/>
          <w:i w:val="1"/>
          <w:iCs w:val="1"/>
          <w:color w:val="auto"/>
        </w:rPr>
        <w:t>.</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or after December 1, 2009, the Issuers may redeem all or a part of the notes upon not less than 30 nor more than 60 days’ notice, at the redemption prices (expressed as percentages of principal amount) set forth below plus accrued and unpaid interest and Liquidated Damages, if any, on the notes redeemed, to the applicable redemption date, if redeemed during the twelve-month period beginning on December 1 of the years indicated below, subject to the rights of holders of notes on the relevant record date to receive interest on the relevant interest payment date: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848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r>
      <w:tr>
        <w:trPr>
          <w:trHeight w:val="210"/>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103.313%</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2010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102.208%</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101.104%</w:t>
            </w: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2012 and thereafter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6"/>
              </w:rPr>
              <w:t>100.000%</w:t>
            </w:r>
          </w:p>
        </w:tc>
      </w:tr>
    </w:tbl>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Unless the Issuers default in the payment of the redemption price, interest will cease to accrue on the notes or portions thereof called for redemption on the applicable redemption date.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connection with a discharge or defeasance of the Issuers’ obligations under the Indenture, the Issuers may deliver a notice of redemption more than 60 days in advance of the date of redemption. See “—Satisfaction and Discharge.”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Redemption</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will not be licensed, qualified or found suitable, the Issuers will have the right, at their option, to:</w:t>
      </w:r>
    </w:p>
    <w:p>
      <w:pPr>
        <w:spacing w:after="0" w:line="62" w:lineRule="exact"/>
        <w:rPr>
          <w:sz w:val="20"/>
          <w:szCs w:val="20"/>
          <w:color w:val="auto"/>
        </w:rPr>
      </w:pPr>
    </w:p>
    <w:p>
      <w:pPr>
        <w:ind w:left="460" w:firstLine="443"/>
        <w:spacing w:after="0" w:line="268" w:lineRule="auto"/>
        <w:tabs>
          <w:tab w:leader="none" w:pos="1147"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920" w:right="140" w:firstLine="421"/>
        <w:spacing w:after="0" w:line="268" w:lineRule="auto"/>
        <w:tabs>
          <w:tab w:leader="none" w:pos="158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price required by applicable law or by order of any Gaming Authority;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11"/>
        <w:spacing w:after="0"/>
        <w:tabs>
          <w:tab w:leader="none" w:pos="210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the price that the holder or beneficial owner paid for the notes</w:t>
      </w:r>
    </w:p>
    <w:p>
      <w:pPr>
        <w:spacing w:after="0" w:line="90" w:lineRule="exact"/>
        <w:rPr>
          <w:sz w:val="20"/>
          <w:szCs w:val="20"/>
          <w:color w:val="auto"/>
        </w:rPr>
      </w:pPr>
    </w:p>
    <w:p>
      <w:pPr>
        <w:jc w:val="both"/>
        <w:ind w:left="1500" w:right="620"/>
        <w:spacing w:after="0" w:line="259" w:lineRule="auto"/>
        <w:rPr>
          <w:sz w:val="20"/>
          <w:szCs w:val="20"/>
          <w:color w:val="auto"/>
        </w:rPr>
      </w:pPr>
      <w:r>
        <w:rPr>
          <w:rFonts w:ascii="Arial" w:cs="Arial" w:eastAsia="Arial" w:hAnsi="Arial"/>
          <w:sz w:val="18"/>
          <w:szCs w:val="18"/>
          <w:color w:val="auto"/>
        </w:rPr>
        <w:t>in either case, together with accrued and unpaid interest and Liquidated Damages, if any,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51" w:lineRule="exact"/>
        <w:rPr>
          <w:sz w:val="20"/>
          <w:szCs w:val="20"/>
          <w:color w:val="auto"/>
        </w:rPr>
      </w:pPr>
    </w:p>
    <w:p>
      <w:pPr>
        <w:ind w:left="1160" w:hanging="257"/>
        <w:spacing w:after="0"/>
        <w:tabs>
          <w:tab w:leader="none" w:pos="11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 described in this section.</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are not required to make mandatory redemption or sinking fund payments with respect to the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 of Control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w:t>
      </w:r>
      <w:r>
        <w:rPr>
          <w:rFonts w:ascii="Arial" w:cs="Arial" w:eastAsia="Arial" w:hAnsi="Arial"/>
          <w:sz w:val="16"/>
          <w:szCs w:val="16"/>
          <w:i w:val="1"/>
          <w:iCs w:val="1"/>
          <w:color w:val="auto"/>
        </w:rPr>
        <w:t>Change of Control Payment</w:t>
      </w:r>
      <w:r>
        <w:rPr>
          <w:rFonts w:ascii="Arial" w:cs="Arial" w:eastAsia="Arial" w:hAnsi="Arial"/>
          <w:sz w:val="16"/>
          <w:szCs w:val="16"/>
          <w:color w:val="auto"/>
        </w:rPr>
        <w:t>”) in cash equal to 101% of the aggregate principal amount of notes repurchased plus accrued and unpaid interest and Liquidated Damages, if any, on the notes repurchased to the date of purchase. Within 10 days following any Change of Control, the Issuers will mail a notice to each holder describing the transaction or transactions that constitute the Change of Control and offering to repurchase notes on the date (the “</w:t>
      </w:r>
      <w:r>
        <w:rPr>
          <w:rFonts w:ascii="Arial" w:cs="Arial" w:eastAsia="Arial" w:hAnsi="Arial"/>
          <w:sz w:val="16"/>
          <w:szCs w:val="16"/>
          <w:i w:val="1"/>
          <w:iCs w:val="1"/>
          <w:color w:val="auto"/>
        </w:rPr>
        <w:t>Change</w:t>
      </w:r>
      <w:r>
        <w:rPr>
          <w:rFonts w:ascii="Arial" w:cs="Arial" w:eastAsia="Arial" w:hAnsi="Arial"/>
          <w:sz w:val="16"/>
          <w:szCs w:val="16"/>
          <w:color w:val="auto"/>
        </w:rPr>
        <w:t xml:space="preserve"> </w:t>
      </w:r>
      <w:r>
        <w:rPr>
          <w:rFonts w:ascii="Arial" w:cs="Arial" w:eastAsia="Arial" w:hAnsi="Arial"/>
          <w:sz w:val="16"/>
          <w:szCs w:val="16"/>
          <w:i w:val="1"/>
          <w:iCs w:val="1"/>
          <w:color w:val="auto"/>
        </w:rPr>
        <w:t>of Control Payment Date</w:t>
      </w:r>
      <w:r>
        <w:rPr>
          <w:rFonts w:ascii="Arial" w:cs="Arial" w:eastAsia="Arial" w:hAnsi="Arial"/>
          <w:sz w:val="16"/>
          <w:szCs w:val="16"/>
          <w:color w:val="auto"/>
        </w:rPr>
        <w:t>”) specified in the notice, which date will be no earlier than 30 days and no later than 60 days from the date such notice is mailed,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procedures required by the Indenture and described in such notice.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90" w:lineRule="exact"/>
        <w:rPr>
          <w:sz w:val="20"/>
          <w:szCs w:val="20"/>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400" w:firstLine="443"/>
        <w:spacing w:after="0" w:line="268" w:lineRule="auto"/>
        <w:tabs>
          <w:tab w:leader="none" w:pos="11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the Issuers.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paying agent will promptly mail to each holder of notes properly tendered the Change of Control Payment for such notes, and the trustee will promptly authenticate and mail (or cause to be transferred by book-entry) to each holder a note equal in principal amount to any unpurchased portion of the notes surrendered, if any. The Issuers will publicly announce the results of the Change of Control Offer on or as soon as practicable after the Change of Control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described above with respect to a Change of Control, the Indenture does not contain provisions that permit the holders of the notes to require that the Issuers repurchase or redeem the notes in the event of a takeover, recapitalization or similar transaction.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Issuers will not be required to make a Change of Control Offer upon a Change of Control if (1) a third party makes the Change of Control Offer in the manner, at the times and otherwise in compliance with the requirements set forth in the Indenture applicable to a Change of Control Offer made by the Issuers and purchases all notes properly tendered and not withdrawn under the Change of Control Offer, or (2) a notice of redemption has been given pursuant to the Indenture as described above under the caption “—Optional Redemption,” unless and until there is a default in payment of the applicable redemption price.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and its Restricted Subsidiaries, taken as a whole, to another Person or group may be uncertain.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Asset Sales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consummate an Asset Sale unless:</w:t>
      </w:r>
    </w:p>
    <w:p>
      <w:pPr>
        <w:spacing w:after="0" w:line="90" w:lineRule="exact"/>
        <w:rPr>
          <w:sz w:val="20"/>
          <w:szCs w:val="20"/>
          <w:color w:val="auto"/>
        </w:rPr>
      </w:pPr>
    </w:p>
    <w:p>
      <w:pPr>
        <w:jc w:val="both"/>
        <w:ind w:left="460" w:right="200" w:firstLine="443"/>
        <w:spacing w:after="0" w:line="259"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Wynn Las Vegas (or the Restricted Subsidiary, as the case may be)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aggregate consideration to be received by Wynn Las Vegas or such Restricted Subsidiary is in excess of $10.0 million, the Fair Market Value is evidenced by a certificate of the chief financial officer of Wynn Las Vegas delivered to the trustee; and</w:t>
      </w:r>
    </w:p>
    <w:p>
      <w:pPr>
        <w:spacing w:after="0" w:line="4" w:lineRule="exact"/>
        <w:rPr>
          <w:rFonts w:ascii="Arial" w:cs="Arial" w:eastAsia="Arial" w:hAnsi="Arial"/>
          <w:sz w:val="16"/>
          <w:szCs w:val="16"/>
          <w:color w:val="auto"/>
        </w:rPr>
      </w:pPr>
    </w:p>
    <w:p>
      <w:pPr>
        <w:ind w:left="460" w:right="420" w:firstLine="443"/>
        <w:spacing w:after="0" w:line="268" w:lineRule="auto"/>
        <w:tabs>
          <w:tab w:leader="none" w:pos="11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75% of the consideration received in the Asset Sale by Wynn Las Vegas or such Restricted Subsidiary is in the form of cash or Cash Equivalents. For purposes of this provision, each of the following will be deemed to be cash:</w:t>
      </w:r>
    </w:p>
    <w:p>
      <w:pPr>
        <w:spacing w:after="0" w:line="50" w:lineRule="exact"/>
        <w:rPr>
          <w:rFonts w:ascii="Arial" w:cs="Arial" w:eastAsia="Arial" w:hAnsi="Arial"/>
          <w:sz w:val="18"/>
          <w:szCs w:val="18"/>
          <w:color w:val="auto"/>
        </w:rPr>
      </w:pPr>
    </w:p>
    <w:p>
      <w:pPr>
        <w:ind w:left="920" w:right="180" w:firstLine="421"/>
        <w:spacing w:after="0" w:line="256" w:lineRule="auto"/>
        <w:tabs>
          <w:tab w:leader="none" w:pos="157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liabilities, as shown on Wynn Las Vegas’ most recent consolidated balance sheet, of Wynn Las Vegas or any Restricted Subsidiary (other than contingent liabilities and liabilities that are by their terms subordinated to the notes or any Note Guarantee) that are assumed by the transferee of any such assets pursuant to a customary novation agreement that releases Wynn Las Vegas or such Restricted Subsidiary from further liability; and</w:t>
      </w:r>
    </w:p>
    <w:p>
      <w:pPr>
        <w:spacing w:after="0" w:line="62" w:lineRule="exact"/>
        <w:rPr>
          <w:rFonts w:ascii="Arial" w:cs="Arial" w:eastAsia="Arial" w:hAnsi="Arial"/>
          <w:sz w:val="18"/>
          <w:szCs w:val="18"/>
          <w:color w:val="auto"/>
        </w:rPr>
      </w:pPr>
    </w:p>
    <w:p>
      <w:pPr>
        <w:ind w:left="920" w:right="100" w:firstLine="421"/>
        <w:spacing w:after="0" w:line="370" w:lineRule="auto"/>
        <w:tabs>
          <w:tab w:leader="none" w:pos="1588" w:val="left"/>
        </w:tabs>
        <w:numPr>
          <w:ilvl w:val="1"/>
          <w:numId w:val="86"/>
        </w:numPr>
        <w:rPr>
          <w:rFonts w:ascii="Arial" w:cs="Arial" w:eastAsia="Arial" w:hAnsi="Arial"/>
          <w:sz w:val="15"/>
          <w:szCs w:val="15"/>
          <w:color w:val="auto"/>
        </w:rPr>
      </w:pPr>
      <w:r>
        <w:rPr>
          <w:rFonts w:ascii="Arial" w:cs="Arial" w:eastAsia="Arial" w:hAnsi="Arial"/>
          <w:sz w:val="15"/>
          <w:szCs w:val="15"/>
          <w:color w:val="auto"/>
        </w:rPr>
        <w:t>any securities, notes or other obligations received by Wynn Las Vegas or any such Restricted Subsidiary from such transferee that are converted within 30 business days by Wynn Las Vegas or such Restricted Subsidiary into cash, to the extent of the cash received in that conversion.</w:t>
      </w:r>
    </w:p>
    <w:p>
      <w:pPr>
        <w:spacing w:after="0" w:line="6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Within 360 days after the receipt of any Net Proceeds from an Asset Sale, Wynn Las Vegas (or the applicable Restricted Subsidiary, as the case may be) may apply such Net Proceeds to make a capital expenditure, improve real property or acquire long-term assets that are used or useful in a line of business permitted by the covenant described below under the caption “—Certain Covenants—Line of Business.” Wynn Las Vegas (or such Restricted Subsidiary, as the case may be) shall take all necessary action to ensure that the security interest of the trustee, on behalf of the Holders, continues as a perfected first priority security interest (equal and ratable with the security interest securing the Credit Agreement and subject to other Permitted Liens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and the terms of the Intercreditor Agreement) on any property or assets acquired or constructed with the Net Proceeds of any Asset Sale on the terms set forth in the Indenture, the Intercreditor Agreement and the other Collateral Documents. Pending the final application of any Net Proceeds, Wynn Las Vegas (or such Restricted Subsidiary, as the case may be) may (1) apply the Net Proceeds to temporarily reduce amounts outstanding under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secured revolving credit Indebtedness of Wynn Las Vegas or any of its Restricted Subsidiaries, or (2) invest the Net Proceeds in Cash Equivalents which, at any time other than during a Collateral Release Period, will be subject to a perfected first priority security interest (equal and ratable with the security interest securing the Credit Agreement and subject to other Permitted Liens and the terms of the Intercreditor Agreement) in favor of the trustee, on behalf of the holders of notes, as security for the notes.</w:t>
      </w:r>
    </w:p>
    <w:p>
      <w:pPr>
        <w:spacing w:after="0" w:line="147" w:lineRule="exact"/>
        <w:rPr>
          <w:sz w:val="20"/>
          <w:szCs w:val="20"/>
          <w:color w:val="auto"/>
        </w:rPr>
      </w:pPr>
    </w:p>
    <w:p>
      <w:pPr>
        <w:ind w:firstLine="456"/>
        <w:spacing w:after="0" w:line="304" w:lineRule="auto"/>
        <w:rPr>
          <w:sz w:val="20"/>
          <w:szCs w:val="20"/>
          <w:color w:val="auto"/>
        </w:rPr>
      </w:pPr>
      <w:r>
        <w:rPr>
          <w:rFonts w:ascii="Arial" w:cs="Arial" w:eastAsia="Arial" w:hAnsi="Arial"/>
          <w:sz w:val="15"/>
          <w:szCs w:val="15"/>
          <w:color w:val="auto"/>
        </w:rPr>
        <w:t>Any Net Proceeds from Asset Sales that are not applied or invested as provided in the preceding paragraph will constitute “</w:t>
      </w:r>
      <w:r>
        <w:rPr>
          <w:rFonts w:ascii="Arial" w:cs="Arial" w:eastAsia="Arial" w:hAnsi="Arial"/>
          <w:sz w:val="15"/>
          <w:szCs w:val="15"/>
          <w:i w:val="1"/>
          <w:iCs w:val="1"/>
          <w:color w:val="auto"/>
        </w:rPr>
        <w:t>Excess Net Proceeds</w:t>
      </w:r>
      <w:r>
        <w:rPr>
          <w:rFonts w:ascii="Arial" w:cs="Arial" w:eastAsia="Arial" w:hAnsi="Arial"/>
          <w:sz w:val="15"/>
          <w:szCs w:val="15"/>
          <w:color w:val="auto"/>
        </w:rPr>
        <w:t>.” Within 10 days following the earlier of (i) the date on which the aggregate amount of Excess Net Proceeds exceeds $20.0 million or (ii) the date when the proceeds of any sale of assets are required, pursuant to the Credit Agreement, to be applied to reduce Indebtedness of Wynn Las Vegas (such Excess Net Proceeds and the proceeds described in the preceding clause (ii) shall collectively constitute “</w:t>
      </w:r>
      <w:r>
        <w:rPr>
          <w:rFonts w:ascii="Arial" w:cs="Arial" w:eastAsia="Arial" w:hAnsi="Arial"/>
          <w:sz w:val="15"/>
          <w:szCs w:val="15"/>
          <w:i w:val="1"/>
          <w:iCs w:val="1"/>
          <w:color w:val="auto"/>
        </w:rPr>
        <w:t>Excess Proceeds</w:t>
      </w:r>
      <w:r>
        <w:rPr>
          <w:rFonts w:ascii="Arial" w:cs="Arial" w:eastAsia="Arial" w:hAnsi="Arial"/>
          <w:sz w:val="15"/>
          <w:szCs w:val="15"/>
          <w:color w:val="auto"/>
        </w:rPr>
        <w:t>”), Wynn Las Vegas will allocate a portion of such Excess Proceeds, determined by multiplying the amount of such Excess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5"/>
          <w:szCs w:val="15"/>
          <w:i w:val="1"/>
          <w:iCs w:val="1"/>
          <w:color w:val="auto"/>
        </w:rPr>
        <w:t>Asset Sale Offer Amount</w:t>
      </w:r>
      <w:r>
        <w:rPr>
          <w:rFonts w:ascii="Arial" w:cs="Arial" w:eastAsia="Arial" w:hAnsi="Arial"/>
          <w:sz w:val="15"/>
          <w:szCs w:val="15"/>
          <w:color w:val="auto"/>
        </w:rPr>
        <w:t>”), to make an offer (an “</w:t>
      </w:r>
      <w:r>
        <w:rPr>
          <w:rFonts w:ascii="Arial" w:cs="Arial" w:eastAsia="Arial" w:hAnsi="Arial"/>
          <w:sz w:val="15"/>
          <w:szCs w:val="15"/>
          <w:i w:val="1"/>
          <w:iCs w:val="1"/>
          <w:color w:val="auto"/>
        </w:rPr>
        <w:t>Asset Sale Offer</w:t>
      </w:r>
      <w:r>
        <w:rPr>
          <w:rFonts w:ascii="Arial" w:cs="Arial" w:eastAsia="Arial" w:hAnsi="Arial"/>
          <w:sz w:val="15"/>
          <w:szCs w:val="15"/>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5"/>
          <w:szCs w:val="15"/>
          <w:i w:val="1"/>
          <w:iCs w:val="1"/>
          <w:color w:val="auto"/>
        </w:rPr>
        <w:t>plus</w:t>
      </w:r>
      <w:r>
        <w:rPr>
          <w:rFonts w:ascii="Arial" w:cs="Arial" w:eastAsia="Arial" w:hAnsi="Arial"/>
          <w:sz w:val="15"/>
          <w:szCs w:val="15"/>
          <w:color w:val="auto"/>
        </w:rPr>
        <w:t xml:space="preserve"> accrued and unpaid interest and Liquidated Damages, if any, on the notes and such other Pari Passu Debt to the date of repurchase, which offer price will be payable in cash. The amount of any such Excess Proceeds less the Asset Sale Offer Amount (the “</w:t>
      </w:r>
      <w:r>
        <w:rPr>
          <w:rFonts w:ascii="Arial" w:cs="Arial" w:eastAsia="Arial" w:hAnsi="Arial"/>
          <w:sz w:val="15"/>
          <w:szCs w:val="15"/>
          <w:i w:val="1"/>
          <w:iCs w:val="1"/>
          <w:color w:val="auto"/>
        </w:rPr>
        <w:t>Asset Sale Repayment Amount</w:t>
      </w:r>
      <w:r>
        <w:rPr>
          <w:rFonts w:ascii="Arial" w:cs="Arial" w:eastAsia="Arial" w:hAnsi="Arial"/>
          <w:sz w:val="15"/>
          <w:szCs w:val="15"/>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that to the extent that the Asset Sale Repayment Amount exceeds the amount of term Indebtedness then outstanding under the Credit Agreement at the time of repayment, such excess amount (after repayment in full of the term Indebtedness under the Credit Agreement) shall be added to the Asset Sale Offer Amount and offered to the holders of notes and, to the extent required, the holders of such Pari Passu Debt pursuant to the Asset Sale Offer as provided in the preceding sentence. If any Excess Proceeds remain after consummation of an Asset Sale Offer and repayment of any term Indebtedness outstanding under the Credit Agreement, Wynn Las Vegas (or such Restricted Subsidiary, as the case may be) may use those Excess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Asset Sale Offer exceeds the Asset Sale Offer Amount that may be applied to the Asset Sale Offer, the trustee will select the notes and such other Pari Passu Debt to be purchased as described below under the caption “—Selection and Notice” and in accordance with the Indenture. Upon completion of each Asset Sale Offer, the amount of Excess Proceeds will be reset at zero.</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Events of Loss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After any Event of Loss with respect to Collateral (other than Events of Loss with respect to Collateral comprising the Phase II Project at any time during the construction of the Phase II Project, which will be governed by the Disbursement Agreement), Wynn Las Vegas or the applicable Restricted Subsidiary, as the case may be, may apply the Net Loss Proceeds from the Event of Loss to the rebuilding, repair, replacement or construction of improvements to the damaged Collateral, with no obligation to make any purchase of any notes; so long as, in the case of any such Collateral with a Fair Market Value (or replacement cost, if higher) in excess of $30.0 million:</w:t>
      </w:r>
    </w:p>
    <w:p>
      <w:pPr>
        <w:spacing w:after="0" w:line="62" w:lineRule="exact"/>
        <w:rPr>
          <w:sz w:val="20"/>
          <w:szCs w:val="20"/>
          <w:color w:val="auto"/>
        </w:rPr>
      </w:pPr>
    </w:p>
    <w:p>
      <w:pPr>
        <w:ind w:left="460" w:right="420" w:firstLine="443"/>
        <w:spacing w:after="0" w:line="332" w:lineRule="auto"/>
        <w:tabs>
          <w:tab w:leader="none" w:pos="11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Wynn Las Vegas delivers to the trustee within 90 days of the Event of Loss a written opinion from a reputable contractor that the damaged Collateral can be rebuilt, repaired, replaced or constructed and operating within 365 days following the delivery of such written opinion to the trustee;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43"/>
        <w:spacing w:after="0" w:line="294" w:lineRule="auto"/>
        <w:tabs>
          <w:tab w:leader="none" w:pos="1147" w:val="left"/>
        </w:tabs>
        <w:numPr>
          <w:ilvl w:val="0"/>
          <w:numId w:val="88"/>
        </w:numPr>
        <w:rPr>
          <w:rFonts w:ascii="Arial" w:cs="Arial" w:eastAsia="Arial" w:hAnsi="Arial"/>
          <w:sz w:val="16"/>
          <w:szCs w:val="16"/>
          <w:color w:val="auto"/>
        </w:rPr>
      </w:pPr>
      <w:r>
        <w:rPr>
          <w:rFonts w:ascii="Arial" w:cs="Arial" w:eastAsia="Arial" w:hAnsi="Arial"/>
          <w:sz w:val="16"/>
          <w:szCs w:val="16"/>
          <w:color w:val="auto"/>
        </w:rPr>
        <w:t>Wynn Las Vegas delivers to the trustee within 120 days of the Event of Loss an officers’ certificate certifying that Wynn Las Vegas or the applicable Restricted Subsidiary has available from Net Loss Proceeds, cash on hand or available borrowings under Indebtedness permitted to be incurred under the covenant described below under the caption “—Certain Covenants—Incurrence of Indebtedness and Issuance of Disqualified Stock”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34"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delivery of such written opinion to the trustee.</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However, if the damaged Collateral is not necessary for and is not used in the operation of the Phase I Project or the Phase II Project, as the case may be, Wynn Las Vegas (or the applicable Restricted Subsidiary, as the case may be)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ability of Wynn Las Vegas or any of its Restricted Subsidiaries to repair or restore any of the Collateral following an Event of Loss that occurs on or prior to the Phase II Completion Date will be governed by the Disbursement Agreement.</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Any Net Loss Proceeds that are (1) not permitted to be used to repair or restore the Collateral pursuant to the Disbursement Agreement, (2) not reinvested as provided in the first sentence of this covenant or (3) otherwise required, pursuant to the Credit Agreement, to be applied to reduce Indebtedness of Wynn Las Vegas, in each case, will be deemed “</w:t>
      </w:r>
      <w:r>
        <w:rPr>
          <w:rFonts w:ascii="Arial" w:cs="Arial" w:eastAsia="Arial" w:hAnsi="Arial"/>
          <w:sz w:val="16"/>
          <w:szCs w:val="16"/>
          <w:i w:val="1"/>
          <w:iCs w:val="1"/>
          <w:color w:val="auto"/>
        </w:rPr>
        <w:t>Excess Loss Proceeds</w:t>
      </w:r>
      <w:r>
        <w:rPr>
          <w:rFonts w:ascii="Arial" w:cs="Arial" w:eastAsia="Arial" w:hAnsi="Arial"/>
          <w:sz w:val="16"/>
          <w:szCs w:val="16"/>
          <w:color w:val="auto"/>
        </w:rPr>
        <w:t>.” Within 10 days following the earlier of (i) the date on which the aggregate amount of Excess Loss Proceeds exceeds $10.0 million or (ii) the date when, pursuant to the Credit Agreement, Excess Loss Proceeds are required to be applied to reduce Indebtedness of Wynn Las Vegas, Wynn Las Vegas will allocate a portion of such Excess Loss Proceeds, determined by multiplying the amount of such Excess Loss Proceeds by a fraction, the numerator of which is the total aggregate principal amount of notes then outstanding and all Pari Passu Debt then outstanding, and the denominator of which is the total aggregate principal amount of notes then outstanding, all Pari Passu Debt then outstanding and all Indebtedness then outstanding under the Credit Agreement (such amount being the “</w:t>
      </w:r>
      <w:r>
        <w:rPr>
          <w:rFonts w:ascii="Arial" w:cs="Arial" w:eastAsia="Arial" w:hAnsi="Arial"/>
          <w:sz w:val="16"/>
          <w:szCs w:val="16"/>
          <w:i w:val="1"/>
          <w:iCs w:val="1"/>
          <w:color w:val="auto"/>
        </w:rPr>
        <w:t>Event of Loss Offer Amount</w:t>
      </w:r>
      <w:r>
        <w:rPr>
          <w:rFonts w:ascii="Arial" w:cs="Arial" w:eastAsia="Arial" w:hAnsi="Arial"/>
          <w:sz w:val="16"/>
          <w:szCs w:val="16"/>
          <w:color w:val="auto"/>
        </w:rPr>
        <w:t>”), to make an offer (an “</w:t>
      </w:r>
      <w:r>
        <w:rPr>
          <w:rFonts w:ascii="Arial" w:cs="Arial" w:eastAsia="Arial" w:hAnsi="Arial"/>
          <w:sz w:val="16"/>
          <w:szCs w:val="16"/>
          <w:i w:val="1"/>
          <w:iCs w:val="1"/>
          <w:color w:val="auto"/>
        </w:rPr>
        <w:t>Event of Loss Offer</w:t>
      </w:r>
      <w:r>
        <w:rPr>
          <w:rFonts w:ascii="Arial" w:cs="Arial" w:eastAsia="Arial" w:hAnsi="Arial"/>
          <w:sz w:val="16"/>
          <w:szCs w:val="16"/>
          <w:color w:val="auto"/>
        </w:rPr>
        <w:t xml:space="preserve">”) to all holders of notes and, to the extent required, the holders of such Pari Passu Debt to repurchase such notes and such Pari Passu Debt at an offer price equal to 100% of the principal amount of the notes and such Pari Passu Debt to be purchased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and Liquidated Damages, if any, on the notes and such other Pari Passu Debt to the date of repurchase, which offer price will be payable in cash. The amount of any such Excess Loss Proceeds less the Event of Loss Offer Amount (the “</w:t>
      </w:r>
      <w:r>
        <w:rPr>
          <w:rFonts w:ascii="Arial" w:cs="Arial" w:eastAsia="Arial" w:hAnsi="Arial"/>
          <w:sz w:val="16"/>
          <w:szCs w:val="16"/>
          <w:i w:val="1"/>
          <w:iCs w:val="1"/>
          <w:color w:val="auto"/>
        </w:rPr>
        <w:t>Event of Loss Repayment Amount</w:t>
      </w:r>
      <w:r>
        <w:rPr>
          <w:rFonts w:ascii="Arial" w:cs="Arial" w:eastAsia="Arial" w:hAnsi="Arial"/>
          <w:sz w:val="16"/>
          <w:szCs w:val="16"/>
          <w:color w:val="auto"/>
        </w:rPr>
        <w:t xml:space="preserve">”) will concurrently be applied to repay any term Indebtedness outstanding under the Credit Agreement in accordance with the requirements of the Credit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that the Event of Loss Repayment Amount exceeds the amount of term Indebtedness then outstanding under the Credit Agreement at the time of repayment but does not exceed $100.0 million (unless the lenders under the Credit Agreement have waived any requirement of Wynn Las Vegas to prepay revolving credit Indebtedness outstanding under the Credit Agreement and to effect a corresponding permanent reduction of the commitments thereunder), such excess amount (after repayment in full of the term Indebtedness under the Credit Agreement) shall be added to the Event of Loss Offer Amount and offered to the holders of notes and, to the extent required, the holders of such Pari Passu Debt pursuant to the Event of Loss Offer as provided in the preceding sentence. If any Excess Loss Proceeds remain after consummation of an Event of Loss Offer and repayment of any term Indebtedness outstanding under the Credit Agreement, Wynn Las Vegas (or such Restricted Subsidiary, as the case may be) may use those Excess Loss Proceeds for any general corporate purpose not prohibited by the Indenture, the Credit Agreement and the Collateral Documents, including, without limitation, to reduce revolving credit Indebtedness (and, if required, commitments) under the Credit Agreement. If the aggregate principal amount of notes and such other Pari Passu Debt tendered into such Event of Loss Offer exceeds the Event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Loss Offer Amount that may be applied to the Event of Loss Offer, the trustee will select the notes and such other Pari Passu Debt to be purchased as described below under the caption “—Selection and Notice” and in accordance with the Indenture. Upon completion of each Event of Loss Offer, the amount of Excess Loss Proceeds will be reset at zero.</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Pending their application, all Net Loss Proceeds will either be (1) applied to temporarily reduce amounts outstanding under any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secured revolving credit Indebtedness under the Credit Agreement, or (2) invested in Cash Equivalents held in an account in which the trustee has a perfected first priority security interest for the benefit of the Holders (equal and ratable with the perfected security interest securing the Credit Agreement and subject to other Permitted Liens and the terms of the Intercreditor Agreement). These funds and securities will be released to Wynn Las Vegas (or the applicable Restricted Subsidiary, as the case may be) to pay for or reimburse Wynn Las Vegas (or the applicable Restricted Subsidiary, as the case may be) for either (1) the actual cost of a permitted use of Net Loss Proceeds as provided above, or (2) the Event of Loss Offer, pursuant to the terms of the Collateral Documents. Wynn Las Vegas (or the applicable Restricted Subsidiary, as the case may be) will grant to the trustee, on behalf of the Holders, a security interest (equal and ratable with the perfected security interest securing the Credit Agreement and subject to other Permitted Liens and the terms of the Intercreditor Agreement), on any property or assets rebuilt, repaired, replaced or constructed with such Net Loss Proceeds on the terms set forth in the Indenture and the Collateral Documents.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$30.0 million, Wynn Las Vegas (or the applicable Restricted Subsidiary, as the case may be) will be required to receive consideration:</w:t>
      </w:r>
    </w:p>
    <w:p>
      <w:pPr>
        <w:spacing w:after="0" w:line="59" w:lineRule="exact"/>
        <w:rPr>
          <w:sz w:val="20"/>
          <w:szCs w:val="20"/>
          <w:color w:val="auto"/>
        </w:rPr>
      </w:pPr>
    </w:p>
    <w:p>
      <w:pPr>
        <w:ind w:left="460" w:right="620" w:firstLine="443"/>
        <w:spacing w:after="0" w:line="268" w:lineRule="auto"/>
        <w:tabs>
          <w:tab w:leader="none" w:pos="11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Wynn Capital’s Board of Directors set forth in an officers’ certificate delivered to the trustee) of the property or assets subject to the Event of Loss;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least 80% of which is in the form of cash or Cash Equivalents.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Repurchase of Notes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may prohibit certain events, including a Change of Control or an Asset Sale, or provide that such events constitute events of default under such agreements. Similarly, those agreements may prohibit or restrict Wynn Las Vegas and its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Notes—We may not be able to fulfill our repurchase obligations with respect to the notes upon a change of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 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compliance.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less than all of the notes are to be redeemed at any time, the trustee will select notes for redemption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lot or by any other method the trustee deems fair and appropriate, unless otherwise required by law or applicable stock exchange requirements. 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except that redemption or purchase notices may be mailed more than 60 days prior to a redemption or purchase date if the notice is issued in connection with a defeasance of the notes or a satisfaction and discharge of the Indenture. Notices of redemption may not be conditional.</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that note that is to be redeemed. A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460" w:right="160" w:firstLine="443"/>
        <w:spacing w:after="0" w:line="284" w:lineRule="auto"/>
        <w:tabs>
          <w:tab w:leader="none" w:pos="1147" w:val="left"/>
        </w:tabs>
        <w:numPr>
          <w:ilvl w:val="1"/>
          <w:numId w:val="90"/>
        </w:numPr>
        <w:rPr>
          <w:rFonts w:ascii="Arial" w:cs="Arial" w:eastAsia="Arial" w:hAnsi="Arial"/>
          <w:sz w:val="16"/>
          <w:szCs w:val="16"/>
          <w:color w:val="auto"/>
        </w:rPr>
      </w:pPr>
      <w:r>
        <w:rPr>
          <w:rFonts w:ascii="Arial" w:cs="Arial" w:eastAsia="Arial" w:hAnsi="Arial"/>
          <w:sz w:val="16"/>
          <w:szCs w:val="16"/>
          <w:color w:val="auto"/>
        </w:rPr>
        <w:t>declare or pay any dividend or make any other payment or distribution on account of any Equity Interests of Wynn Las Vegas or any of its Restricted Subsidiaries or to the direct or indirect holders of any Equity Interests of Wynn Las Vegas or any of its Restricted Subsidiaries in their capacity as such, other than (a) dividends or distributions by Wynn Las Vegas payable in Equity Interests (other than Disqualified Stock) of Wynn Las Vegas, and</w:t>
      </w:r>
    </w:p>
    <w:p>
      <w:pPr>
        <w:spacing w:after="0" w:line="1" w:lineRule="exact"/>
        <w:rPr>
          <w:rFonts w:ascii="Arial" w:cs="Arial" w:eastAsia="Arial" w:hAnsi="Arial"/>
          <w:sz w:val="16"/>
          <w:szCs w:val="16"/>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dividends or distributions payable to Wynn Las Vegas or any of its Restricted Subsidiaries;</w:t>
      </w:r>
    </w:p>
    <w:p>
      <w:pPr>
        <w:spacing w:after="0" w:line="83"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91"/>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any Equity Interests of Wynn Las Vegas, any direct or indirect parent of Wynn Las Vegas (including, without limitation, Wynn Resorts) or any other direct or indirect Subsidiary of Wynn Resorts;</w:t>
      </w:r>
    </w:p>
    <w:p>
      <w:pPr>
        <w:spacing w:after="0" w:line="50" w:lineRule="exact"/>
        <w:rPr>
          <w:rFonts w:ascii="Arial" w:cs="Arial" w:eastAsia="Arial" w:hAnsi="Arial"/>
          <w:sz w:val="18"/>
          <w:szCs w:val="18"/>
          <w:color w:val="auto"/>
        </w:rPr>
      </w:pPr>
    </w:p>
    <w:p>
      <w:pPr>
        <w:ind w:left="460" w:firstLine="443"/>
        <w:spacing w:after="0" w:line="298" w:lineRule="auto"/>
        <w:tabs>
          <w:tab w:leader="none" w:pos="1147" w:val="left"/>
        </w:tabs>
        <w:numPr>
          <w:ilvl w:val="1"/>
          <w:numId w:val="91"/>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of Wynn Las Vegas or any Guarantor that is secured by a Lien junior to the Lien securing the notes or the Guarantees or that is expressly subordinated in right of payment to the notes or the Note Guarantees under the Indenture (excluding any intercompany Indebtedness between or among Wynn Las Vegas and any of its Restricted Subsidiaries), except a payment of interest or principal at the Stated Maturity thereof; or</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any Restricted Investment,</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such payments and other actions set forth in these clauses (1) through (4) above being collectively referred to as “</w:t>
      </w:r>
      <w:r>
        <w:rPr>
          <w:rFonts w:ascii="Arial" w:cs="Arial" w:eastAsia="Arial" w:hAnsi="Arial"/>
          <w:sz w:val="18"/>
          <w:szCs w:val="18"/>
          <w:i w:val="1"/>
          <w:iCs w:val="1"/>
          <w:color w:val="auto"/>
        </w:rPr>
        <w:t>Restricted Payments</w:t>
      </w:r>
      <w:r>
        <w:rPr>
          <w:rFonts w:ascii="Arial" w:cs="Arial" w:eastAsia="Arial" w:hAnsi="Arial"/>
          <w:sz w:val="18"/>
          <w:szCs w:val="18"/>
          <w:color w:val="auto"/>
        </w:rPr>
        <w:t>”), unless, at the time of and after giving effect to such Restricted Payment:</w:t>
      </w:r>
    </w:p>
    <w:p>
      <w:pPr>
        <w:spacing w:after="0" w:line="51" w:lineRule="exact"/>
        <w:rPr>
          <w:sz w:val="20"/>
          <w:szCs w:val="20"/>
          <w:color w:val="auto"/>
        </w:rPr>
      </w:pPr>
    </w:p>
    <w:p>
      <w:pPr>
        <w:ind w:left="1160" w:hanging="257"/>
        <w:spacing w:after="0"/>
        <w:tabs>
          <w:tab w:leader="none" w:pos="11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Wynn Las Vegas would, at the time of such Restricted Payment and after giving pro forma effect thereto, have been permitted to incur at least</w:t>
      </w:r>
    </w:p>
    <w:p>
      <w:pPr>
        <w:spacing w:after="0" w:line="3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$1.00 of additional Indebtedness pursuant to the Fixed Charge Coverage Ratio test set forth in the first paragraph of the covenant described below under the caption “—Incurrence of Indebtedness and Issuance of Disqualified Stock;” and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firstLine="443"/>
        <w:spacing w:after="0" w:line="256" w:lineRule="auto"/>
        <w:tabs>
          <w:tab w:leader="none" w:pos="1147"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such Restricted Payment, together with the aggregate amount of all other Restricted Payments made by Wynn Las Vegas and its Restricted Subsidiaries after the date of the Indenture (excluding Restricted Payments permitted by clauses (2), (3), (5), (7), (8), (9), (10) and (11) below (with respect to clause (5) to the extent such Restricted Payments were already deducted from Consolidated Net Income) of the next succeeding paragraph), is less than the sum, without duplication, of:</w:t>
      </w:r>
    </w:p>
    <w:p>
      <w:pPr>
        <w:spacing w:after="0" w:line="62" w:lineRule="exact"/>
        <w:rPr>
          <w:rFonts w:ascii="Arial" w:cs="Arial" w:eastAsia="Arial" w:hAnsi="Arial"/>
          <w:sz w:val="18"/>
          <w:szCs w:val="18"/>
          <w:color w:val="auto"/>
        </w:rPr>
      </w:pPr>
    </w:p>
    <w:p>
      <w:pPr>
        <w:ind w:left="920" w:right="140" w:firstLine="421"/>
        <w:spacing w:after="0" w:line="256" w:lineRule="auto"/>
        <w:tabs>
          <w:tab w:leader="none" w:pos="15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Phase I Opening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920" w:right="80" w:firstLine="421"/>
        <w:spacing w:after="0" w:line="294" w:lineRule="auto"/>
        <w:tabs>
          <w:tab w:leader="none" w:pos="1588"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100% of the aggregate net cash proceeds received by Wynn Las Vegas subsequent to the date of the Indenture as a contribution to its common equity capital, excluding (i) any such net cash proceeds received by Wynn Las Vegas to the extent consisting of capital contributions made to Wynn Las Vegas for the purpose of satisfying the “in-balance” requirements of the Disbursement Agreement and (ii) any such net cash proceeds received by Wynn Las Vegas to the extent used to incur Indebtedness pursuant to clause (14) of the covenant described below under the caption “— Incurrence of Indebtedness and Issuance of Disqualified Stock”;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920" w:right="140" w:firstLine="421"/>
        <w:spacing w:after="0" w:line="291" w:lineRule="auto"/>
        <w:tabs>
          <w:tab w:leader="none" w:pos="1579"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 to the extent that any Restricted Investment that was made after the date of the Indenture is sold for cash or otherwise liquidated or repaid for cash for an amount in excess of the aggregate amount invested in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aggregate amount invested in such Restricted Investment, the cash return of capital with respect to such Restricted Investment (less the cost of disposition, if any); </w:t>
      </w:r>
      <w:r>
        <w:rPr>
          <w:rFonts w:ascii="Arial" w:cs="Arial" w:eastAsia="Arial" w:hAnsi="Arial"/>
          <w:sz w:val="16"/>
          <w:szCs w:val="16"/>
          <w:i w:val="1"/>
          <w:iCs w:val="1"/>
          <w:color w:val="auto"/>
        </w:rPr>
        <w:t>plus</w:t>
      </w:r>
    </w:p>
    <w:p>
      <w:pPr>
        <w:spacing w:after="0" w:line="39" w:lineRule="exact"/>
        <w:rPr>
          <w:rFonts w:ascii="Arial" w:cs="Arial" w:eastAsia="Arial" w:hAnsi="Arial"/>
          <w:sz w:val="16"/>
          <w:szCs w:val="16"/>
          <w:color w:val="auto"/>
        </w:rPr>
      </w:pPr>
    </w:p>
    <w:p>
      <w:pPr>
        <w:ind w:left="920" w:right="320" w:firstLine="421"/>
        <w:spacing w:after="0" w:line="306" w:lineRule="auto"/>
        <w:tabs>
          <w:tab w:leader="none" w:pos="1588"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100% of any cash dividends or cash distributions received by Wynn Las Vegas or any of its Restricted Subsidiaries after the date of the Indenture from any Restricted Investment (including any Investment in an Unrestricted Subsidiary of Wynn Las Vegas), to the extent that such dividends or distributions were not otherwise included in the Consolidated Net Income of Wynn Las Vegas for such period; </w:t>
      </w:r>
      <w:r>
        <w:rPr>
          <w:rFonts w:ascii="Arial" w:cs="Arial" w:eastAsia="Arial" w:hAnsi="Arial"/>
          <w:sz w:val="16"/>
          <w:szCs w:val="16"/>
          <w:i w:val="1"/>
          <w:iCs w:val="1"/>
          <w:color w:val="auto"/>
        </w:rPr>
        <w:t>plus</w:t>
      </w:r>
    </w:p>
    <w:p>
      <w:pPr>
        <w:spacing w:after="0" w:line="25" w:lineRule="exact"/>
        <w:rPr>
          <w:rFonts w:ascii="Arial" w:cs="Arial" w:eastAsia="Arial" w:hAnsi="Arial"/>
          <w:sz w:val="16"/>
          <w:szCs w:val="16"/>
          <w:color w:val="auto"/>
        </w:rPr>
      </w:pPr>
    </w:p>
    <w:p>
      <w:pPr>
        <w:ind w:left="920" w:right="40" w:firstLine="421"/>
        <w:spacing w:after="0" w:line="256" w:lineRule="auto"/>
        <w:tabs>
          <w:tab w:leader="none" w:pos="1579" w:val="left"/>
        </w:tabs>
        <w:numPr>
          <w:ilvl w:val="1"/>
          <w:numId w:val="93"/>
        </w:numPr>
        <w:rPr>
          <w:rFonts w:ascii="Arial" w:cs="Arial" w:eastAsia="Arial" w:hAnsi="Arial"/>
          <w:sz w:val="18"/>
          <w:szCs w:val="18"/>
          <w:color w:val="auto"/>
        </w:rPr>
      </w:pPr>
      <w:r>
        <w:rPr>
          <w:rFonts w:ascii="Arial" w:cs="Arial" w:eastAsia="Arial" w:hAnsi="Arial"/>
          <w:sz w:val="18"/>
          <w:szCs w:val="18"/>
          <w:color w:val="auto"/>
        </w:rPr>
        <w:t xml:space="preserve">to the extent that any Unrestricted Subsidiary of Wynn Las Vegas that is so designated after the date of the Indenture (other than the Completion Guarantor) is redesignated as a Restricted Subsidiary after the date of the Indenture, the lesser of (i) the Fair Market Value of Wynn Las Vegas’ Investment in such Subsidiary as of the date of such redesignation or (ii) such Fair Market Value as of the date on which such Subsidiary was originally designated as an Unrestricted Subsidiary; </w:t>
      </w:r>
      <w:r>
        <w:rPr>
          <w:rFonts w:ascii="Arial" w:cs="Arial" w:eastAsia="Arial" w:hAnsi="Arial"/>
          <w:sz w:val="18"/>
          <w:szCs w:val="18"/>
          <w:i w:val="1"/>
          <w:iCs w:val="1"/>
          <w:color w:val="auto"/>
        </w:rPr>
        <w:t>plus</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$50.0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With respect to (a) any payments made pursuant to clauses (1), (2), (3), (6), (7), (8), (9) and (10) below, so long as no Default or Event of Default has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occurred and is continuing or would be caused by the payments, and (b) any payments made pursuant to clauses (4), (5) and (11) below, regardless of whether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Default or Event of Default has occurred and is continuing or would be caused by the payment, the preceding provisions will not prohibit:</w:t>
      </w:r>
    </w:p>
    <w:p>
      <w:pPr>
        <w:spacing w:after="0" w:line="84" w:lineRule="exact"/>
        <w:rPr>
          <w:sz w:val="20"/>
          <w:szCs w:val="20"/>
          <w:color w:val="auto"/>
        </w:rPr>
      </w:pPr>
    </w:p>
    <w:p>
      <w:pPr>
        <w:ind w:left="460" w:right="80" w:firstLine="443"/>
        <w:spacing w:after="0" w:line="306" w:lineRule="auto"/>
        <w:tabs>
          <w:tab w:leader="none" w:pos="114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payment of any dividend or distribution (other than any distribution made under clause (5) below) or the consummation of any irrevocable redemption within 60 days after the date of declaration of the dividend or distribution or giving of the redemption notice, as the case may be, if, at the date of declaration or notice, the dividend, distribution or redemption payment would have complied with the provisions of the Indenture;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making of any Restricted Payment in exchange for, or out of the net cash proceeds from the substantially concurrent contribution of common equity capital to Wynn Las Vegas,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any such net cash proceeds that are utilized for any such Restricted Payment will be excluded from clause (3)(b) of the preceding paragraph;</w:t>
      </w:r>
    </w:p>
    <w:p>
      <w:pPr>
        <w:spacing w:after="0" w:line="59" w:lineRule="exact"/>
        <w:rPr>
          <w:rFonts w:ascii="Arial" w:cs="Arial" w:eastAsia="Arial" w:hAnsi="Arial"/>
          <w:sz w:val="18"/>
          <w:szCs w:val="18"/>
          <w:color w:val="auto"/>
        </w:rPr>
      </w:pPr>
    </w:p>
    <w:p>
      <w:pPr>
        <w:ind w:left="460" w:right="20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repurchase, redemption, defeasance or other acquisition or retirement for value of Indebtedness of Wynn Las Vegas or any Guarantor that is contractually subordinated to the notes or to any Note Guarantee with the net cash proceeds from a substantially concurrent incurrence of Permitted Refinancing Indebtedness;</w:t>
      </w:r>
    </w:p>
    <w:p>
      <w:pPr>
        <w:spacing w:after="0" w:line="59"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distribution or loan to Wynn Resorts, directly or through any intermediate Wholly Owned Subsidiaries of Wynn Resorts, of amounts necessary to repurchase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or any of the Restricted Subsidiaries with respect to any period during which such entity is a Pass Through Entity or a Consolidated Member, such distributions in an aggregate amount not to exceed such owners’ Tax Amounts for such period;</w:t>
      </w:r>
    </w:p>
    <w:p>
      <w:pPr>
        <w:spacing w:after="0" w:line="59" w:lineRule="exact"/>
        <w:rPr>
          <w:rFonts w:ascii="Arial" w:cs="Arial" w:eastAsia="Arial" w:hAnsi="Arial"/>
          <w:sz w:val="18"/>
          <w:szCs w:val="18"/>
          <w:color w:val="auto"/>
        </w:rPr>
      </w:pPr>
    </w:p>
    <w:p>
      <w:pPr>
        <w:ind w:left="460" w:firstLine="443"/>
        <w:spacing w:after="0" w:line="253" w:lineRule="auto"/>
        <w:tabs>
          <w:tab w:leader="none" w:pos="11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Interests of Wynn Resorts, in each case held by any member of management of Wynn Resorts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consideration for all such repurchased, redeemed, acquired or retired Equity Interests, together with the aggregate amount of all such distributions made to Wynn Resorts, shall not exceed $4.0 million in any calendar year;</w:t>
      </w:r>
    </w:p>
    <w:p>
      <w:pPr>
        <w:spacing w:after="0" w:line="66" w:lineRule="exact"/>
        <w:rPr>
          <w:rFonts w:ascii="Arial" w:cs="Arial" w:eastAsia="Arial" w:hAnsi="Arial"/>
          <w:sz w:val="18"/>
          <w:szCs w:val="18"/>
          <w:color w:val="auto"/>
        </w:rPr>
      </w:pPr>
    </w:p>
    <w:p>
      <w:pPr>
        <w:ind w:left="460" w:right="220" w:firstLine="443"/>
        <w:spacing w:after="0" w:line="332" w:lineRule="auto"/>
        <w:tabs>
          <w:tab w:leader="none" w:pos="114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payment of Allocable Overhead to Wynn Resorts or any of its Subsidiaries in respect of each Qualifying Project of Wynn Las Vegas and its Restricted Subsidiaries to the extent then due and payable by Wynn Las Vegas or the applicable Restricted Subsidiary, as the case may be;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payment of amounts permitted to be paid pursuant to 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(9) in an aggregate amount of not more than $10.0 million;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540" w:firstLine="443"/>
        <w:spacing w:after="0" w:line="332" w:lineRule="auto"/>
        <w:tabs>
          <w:tab w:leader="none" w:pos="12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dividends or distributions to Wynn Resorts, directly or through any intermediate Wholly Owned Subsidiary of Wynn Resorts, of amounts necessary to pay amounts then due and payable under the Tax Indemnification Agreement, as in effect on the date of the Indenture.</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by Wynn Las Vegas or such Restricted Subsidiary, as the case may be, pursuant to the Restricted Payment.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Incurrence of Indebtedness and Issuance of Disqualified Stock</w:t>
      </w:r>
    </w:p>
    <w:p>
      <w:pPr>
        <w:spacing w:after="0" w:line="9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(1) create, incur, issue, assume, guarantee or otherwise become directly or indirectly liable, contingently or otherwise, with respect to (collectively, “</w:t>
      </w:r>
      <w:r>
        <w:rPr>
          <w:rFonts w:ascii="Arial" w:cs="Arial" w:eastAsia="Arial" w:hAnsi="Arial"/>
          <w:sz w:val="16"/>
          <w:szCs w:val="16"/>
          <w:i w:val="1"/>
          <w:iCs w:val="1"/>
          <w:color w:val="auto"/>
        </w:rPr>
        <w:t>incur</w:t>
      </w:r>
      <w:r>
        <w:rPr>
          <w:rFonts w:ascii="Arial" w:cs="Arial" w:eastAsia="Arial" w:hAnsi="Arial"/>
          <w:sz w:val="16"/>
          <w:szCs w:val="16"/>
          <w:color w:val="auto"/>
        </w:rPr>
        <w:t>”) any Indebtedness (including Acquired Debt), or</w:t>
      </w:r>
    </w:p>
    <w:p>
      <w:pPr>
        <w:ind w:right="100" w:firstLine="8"/>
        <w:spacing w:after="0" w:line="315" w:lineRule="auto"/>
        <w:tabs>
          <w:tab w:leader="none" w:pos="249" w:val="left"/>
        </w:tabs>
        <w:numPr>
          <w:ilvl w:val="0"/>
          <w:numId w:val="96"/>
        </w:numPr>
        <w:rPr>
          <w:rFonts w:ascii="Arial" w:cs="Arial" w:eastAsia="Arial" w:hAnsi="Arial"/>
          <w:sz w:val="15"/>
          <w:szCs w:val="15"/>
          <w:color w:val="auto"/>
        </w:rPr>
      </w:pPr>
      <w:r>
        <w:rPr>
          <w:rFonts w:ascii="Arial" w:cs="Arial" w:eastAsia="Arial" w:hAnsi="Arial"/>
          <w:sz w:val="15"/>
          <w:szCs w:val="15"/>
          <w:color w:val="auto"/>
        </w:rPr>
        <w:t>issue any Disqualified Stock. Notwithstanding the foregoing, Wynn Las Vegas and its Restricted Subsidiaries may incur Indebtedness (including Acquired Debt), or issue Disqualified Stock, if the Fixed Charge Coverage Ratio of Wynn Las Vegas for Wynn Las Vegas’ most recently ended four full fiscal quarters for which internal financial statements are available immediately preceding the date on which such additional Indebtedness is incurred or such Disqualified Stock is issued, as the case may be, would have been at least 2.0 to 1.0, determined on a pro forma basis, including a pro forma application of the net proceeds therefrom, as if the additional Indebtedness had been incurred or the Disqualified Stock had been issued, as the case may be, at the beginning of such four-quarter period.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first paragraph of this covenant will not prohibit the incurrence of any of the following items of Indebtedness (collectively, “</w:t>
      </w:r>
      <w:r>
        <w:rPr>
          <w:rFonts w:ascii="Arial" w:cs="Arial" w:eastAsia="Arial" w:hAnsi="Arial"/>
          <w:sz w:val="16"/>
          <w:szCs w:val="16"/>
          <w:i w:val="1"/>
          <w:iCs w:val="1"/>
          <w:color w:val="auto"/>
        </w:rPr>
        <w:t>Permitted Debt</w:t>
      </w:r>
      <w:r>
        <w:rPr>
          <w:rFonts w:ascii="Arial" w:cs="Arial" w:eastAsia="Arial" w:hAnsi="Arial"/>
          <w:sz w:val="16"/>
          <w:szCs w:val="16"/>
          <w:color w:val="auto"/>
        </w:rPr>
        <w:t>”):</w:t>
      </w:r>
    </w:p>
    <w:p>
      <w:pPr>
        <w:spacing w:after="0" w:line="113" w:lineRule="exact"/>
        <w:rPr>
          <w:sz w:val="20"/>
          <w:szCs w:val="20"/>
          <w:color w:val="auto"/>
        </w:rPr>
      </w:pPr>
    </w:p>
    <w:p>
      <w:pPr>
        <w:ind w:left="460" w:right="60" w:firstLine="443"/>
        <w:spacing w:after="0" w:line="303" w:lineRule="auto"/>
        <w:tabs>
          <w:tab w:leader="none" w:pos="1147"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the incurrence by Wynn Las Vegas or any of its Restricted Subsidiaries of Indebtedness under the Credit Agreement in an aggregate principal amount at any one time outstanding (with letters of credit being deemed to have a principal amount equal to the sum of the face amount thereof and related unpaid reimbursement obligations), to the extent then classified as having been incurred in reliance on this clause (1) not to exceed (i) $1.0 billion </w:t>
      </w:r>
      <w:r>
        <w:rPr>
          <w:rFonts w:ascii="Arial" w:cs="Arial" w:eastAsia="Arial" w:hAnsi="Arial"/>
          <w:sz w:val="15"/>
          <w:szCs w:val="15"/>
          <w:i w:val="1"/>
          <w:iCs w:val="1"/>
          <w:color w:val="auto"/>
        </w:rPr>
        <w:t>less</w:t>
      </w:r>
    </w:p>
    <w:p>
      <w:pPr>
        <w:spacing w:after="0" w:line="1" w:lineRule="exact"/>
        <w:rPr>
          <w:rFonts w:ascii="Arial" w:cs="Arial" w:eastAsia="Arial" w:hAnsi="Arial"/>
          <w:sz w:val="15"/>
          <w:szCs w:val="15"/>
          <w:color w:val="auto"/>
        </w:rPr>
      </w:pPr>
    </w:p>
    <w:p>
      <w:pPr>
        <w:ind w:left="460" w:firstLine="4"/>
        <w:spacing w:after="0" w:line="254" w:lineRule="auto"/>
        <w:tabs>
          <w:tab w:leader="none" w:pos="71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aggregate amount of all Net Proceeds of Assets Sales applied by Wynn Las Vegas or any of its Restricted Subsidiaries since the date of the Indenture to repay any term Indebtedness under the Credit Agreement or repay any revolving credit Indebtedness under the Credit Agreement and effect a corresponding permanent reduction of commitments thereunder pursuant to the covenant described above under the caption “—Repurchase at the Option of Holders—Asset Sales” or otherwise;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incurrence by the Issuers and the Restricted Subsidiaries of Wynn Las Vegas of the Existing Indebtedness;</w:t>
      </w:r>
    </w:p>
    <w:p>
      <w:pPr>
        <w:spacing w:after="0" w:line="90" w:lineRule="exact"/>
        <w:rPr>
          <w:rFonts w:ascii="Arial" w:cs="Arial" w:eastAsia="Arial" w:hAnsi="Arial"/>
          <w:sz w:val="18"/>
          <w:szCs w:val="18"/>
          <w:color w:val="auto"/>
        </w:rPr>
      </w:pPr>
    </w:p>
    <w:p>
      <w:pPr>
        <w:ind w:left="460" w:right="160" w:firstLine="443"/>
        <w:spacing w:after="0" w:line="306" w:lineRule="auto"/>
        <w:tabs>
          <w:tab w:leader="none" w:pos="11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 (2), (7), (8), (9) or (12) of this paragraph or under this clause (3);</w:t>
      </w:r>
    </w:p>
    <w:p>
      <w:pPr>
        <w:spacing w:after="0" w:line="25"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intercompany Indebtedness between or among Wynn Las Vegas and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50" w:lineRule="exact"/>
        <w:rPr>
          <w:rFonts w:ascii="Arial" w:cs="Arial" w:eastAsia="Arial" w:hAnsi="Arial"/>
          <w:sz w:val="18"/>
          <w:szCs w:val="18"/>
          <w:color w:val="auto"/>
        </w:rPr>
      </w:pPr>
    </w:p>
    <w:p>
      <w:pPr>
        <w:ind w:left="920" w:firstLine="421"/>
        <w:spacing w:after="0" w:line="255" w:lineRule="auto"/>
        <w:tabs>
          <w:tab w:leader="none" w:pos="1579" w:val="left"/>
        </w:tabs>
        <w:numPr>
          <w:ilvl w:val="2"/>
          <w:numId w:val="98"/>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such Indebtedness and the payee is not Wynn Las Vegas or a Guarantor, such Indebtedness must be expressly subordinated in right of payment to the prior payment in full in cash of all Obligations then due with respect to the notes, in the case of Wynn Las Vegas, or its Note Guarantee under the Indenture, in the case of a Guarantor, except that no Indebtedness of Wynn Las Vegas or any Guarantor will be deemed to be subordinated in right of payment to any other Indebtedness of Wynn Las Vegas or any such Guarantor solely by virtue of being unsecured; and</w:t>
      </w:r>
    </w:p>
    <w:p>
      <w:pPr>
        <w:spacing w:after="0" w:line="61" w:lineRule="exact"/>
        <w:rPr>
          <w:rFonts w:ascii="Arial" w:cs="Arial" w:eastAsia="Arial" w:hAnsi="Arial"/>
          <w:sz w:val="18"/>
          <w:szCs w:val="18"/>
          <w:color w:val="auto"/>
        </w:rPr>
      </w:pPr>
    </w:p>
    <w:p>
      <w:pPr>
        <w:ind w:left="920" w:right="20" w:firstLine="421"/>
        <w:spacing w:after="0" w:line="298" w:lineRule="auto"/>
        <w:tabs>
          <w:tab w:leader="none" w:pos="1588" w:val="left"/>
        </w:tabs>
        <w:numPr>
          <w:ilvl w:val="2"/>
          <w:numId w:val="98"/>
        </w:numPr>
        <w:rPr>
          <w:rFonts w:ascii="Arial" w:cs="Arial" w:eastAsia="Arial" w:hAnsi="Arial"/>
          <w:sz w:val="16"/>
          <w:szCs w:val="16"/>
          <w:color w:val="auto"/>
        </w:rPr>
      </w:pPr>
      <w:r>
        <w:rPr>
          <w:rFonts w:ascii="Arial" w:cs="Arial" w:eastAsia="Arial" w:hAnsi="Arial"/>
          <w:sz w:val="16"/>
          <w:szCs w:val="16"/>
          <w:color w:val="auto"/>
        </w:rPr>
        <w:t>(i) any subsequent issuance or transfer of Equity Interests that results in any such Indebtedness being held by a Person other than Wynn Las Vegas or a Restricted Subsidiary of Wynn Las Vegas, and (ii) any sale or other transfer of any such Indebtedness to a Person that is not either Wynn Las Vegas or a Restricted Subsidiary of Wynn Las Vegas will be deemed, in each case, to constitute an incurrence of such Indebtedness by Wynn Las Vegas or such Restricted Subsidiary, as the case may be, that was not permitted by this clause (4);</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Hedging Obligations in the ordinary course of business;</w:t>
      </w:r>
    </w:p>
    <w:p>
      <w:pPr>
        <w:spacing w:after="0" w:line="113" w:lineRule="exact"/>
        <w:rPr>
          <w:rFonts w:ascii="Arial" w:cs="Arial" w:eastAsia="Arial" w:hAnsi="Arial"/>
          <w:sz w:val="16"/>
          <w:szCs w:val="16"/>
          <w:color w:val="auto"/>
        </w:rPr>
      </w:pPr>
    </w:p>
    <w:p>
      <w:pPr>
        <w:jc w:val="both"/>
        <w:ind w:left="460" w:right="20" w:firstLine="443"/>
        <w:spacing w:after="0" w:line="306" w:lineRule="auto"/>
        <w:tabs>
          <w:tab w:leader="none" w:pos="114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solely in respect of performance, surety, appeal or similar bonds or commercial or standby letters of credit, so long as such indebtedness is incurred in the ordinary course of business and the aggregate amount of all such bonds and standby letters of credit is not greater than $40.0 million at any time outstanding;</w:t>
      </w:r>
    </w:p>
    <w:p>
      <w:pPr>
        <w:spacing w:after="0" w:line="25" w:lineRule="exact"/>
        <w:rPr>
          <w:rFonts w:ascii="Arial" w:cs="Arial" w:eastAsia="Arial" w:hAnsi="Arial"/>
          <w:sz w:val="16"/>
          <w:szCs w:val="16"/>
          <w:color w:val="auto"/>
        </w:rPr>
      </w:pPr>
    </w:p>
    <w:p>
      <w:pPr>
        <w:ind w:left="460" w:right="160" w:firstLine="443"/>
        <w:spacing w:after="0" w:line="291" w:lineRule="auto"/>
        <w:tabs>
          <w:tab w:leader="none" w:pos="1147"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represented by Capital Lease Obligations, mortgage financings or purchase money obligations, in each case, incurred for the purpose of financing all or any part of the purchase price or cost of design, construction, installation or improvement of property, plant or equipment (including acquisitions of Capital Stock of a Person that becomes a Restricted Subsidiary to the extent of the Fair Market Value of the property, plant or equipment of such Person) used in the Projects by Wynn Las Vegas or any of its Restricted Subsidiaries, in an aggregate principal amount, including all Permitted Refinancing Indebtedness incurred to renew, refund, refinance, replace, defease or discharge any Indebtedness incurred pursuant to this clause (7), not to exceed $100.0 million at any time outstanding;</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incurrence by Wynn Las Vegas or any of its Restricted Subsidiaries of Indebtedness in a principal amount, including all Permitted</w:t>
      </w:r>
    </w:p>
    <w:p>
      <w:pPr>
        <w:spacing w:after="0" w:line="38" w:lineRule="exact"/>
        <w:rPr>
          <w:rFonts w:ascii="Arial" w:cs="Arial" w:eastAsia="Arial" w:hAnsi="Arial"/>
          <w:sz w:val="16"/>
          <w:szCs w:val="16"/>
          <w:color w:val="auto"/>
        </w:rPr>
      </w:pPr>
    </w:p>
    <w:p>
      <w:pPr>
        <w:jc w:val="both"/>
        <w:ind w:left="460" w:right="220"/>
        <w:spacing w:after="0" w:line="255" w:lineRule="auto"/>
        <w:rPr>
          <w:rFonts w:ascii="Arial" w:cs="Arial" w:eastAsia="Arial" w:hAnsi="Arial"/>
          <w:sz w:val="16"/>
          <w:szCs w:val="16"/>
          <w:color w:val="auto"/>
        </w:rPr>
      </w:pPr>
      <w:r>
        <w:rPr>
          <w:rFonts w:ascii="Arial" w:cs="Arial" w:eastAsia="Arial" w:hAnsi="Arial"/>
          <w:sz w:val="18"/>
          <w:szCs w:val="18"/>
          <w:color w:val="auto"/>
        </w:rPr>
        <w:t>Refinancing Indebtedness incurred to renew, refund, refinance, replace, defease or discharge any Indebtedness incurred pursuant to this clause (8), not to exceed, at any time, 75% of the aggregate cost of the Phase III Project to pay the costs and expenses of designing, developing and constructing the Phase III Project, so long as:</w:t>
      </w:r>
    </w:p>
    <w:p>
      <w:pPr>
        <w:spacing w:after="0" w:line="63" w:lineRule="exact"/>
        <w:rPr>
          <w:rFonts w:ascii="Arial" w:cs="Arial" w:eastAsia="Arial" w:hAnsi="Arial"/>
          <w:sz w:val="16"/>
          <w:szCs w:val="16"/>
          <w:color w:val="auto"/>
        </w:rPr>
      </w:pPr>
    </w:p>
    <w:p>
      <w:pPr>
        <w:ind w:left="1580" w:hanging="239"/>
        <w:spacing w:after="0"/>
        <w:tabs>
          <w:tab w:leader="none" w:pos="15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Phase II Opening Date has occurred;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the holders of the notes continue to have a perfected first priority security interest in the Golf Course Land; and</w:t>
      </w:r>
    </w:p>
    <w:p>
      <w:pPr>
        <w:spacing w:after="0" w:line="90" w:lineRule="exact"/>
        <w:rPr>
          <w:rFonts w:ascii="Arial" w:cs="Arial" w:eastAsia="Arial" w:hAnsi="Arial"/>
          <w:sz w:val="18"/>
          <w:szCs w:val="18"/>
          <w:color w:val="auto"/>
        </w:rPr>
      </w:pPr>
    </w:p>
    <w:p>
      <w:pPr>
        <w:ind w:left="920" w:right="420" w:firstLine="421"/>
        <w:spacing w:after="0" w:line="268" w:lineRule="auto"/>
        <w:tabs>
          <w:tab w:leader="none" w:pos="1579" w:val="left"/>
        </w:tabs>
        <w:numPr>
          <w:ilvl w:val="2"/>
          <w:numId w:val="99"/>
        </w:numPr>
        <w:rPr>
          <w:rFonts w:ascii="Arial" w:cs="Arial" w:eastAsia="Arial" w:hAnsi="Arial"/>
          <w:sz w:val="18"/>
          <w:szCs w:val="18"/>
          <w:color w:val="auto"/>
        </w:rPr>
      </w:pPr>
      <w:r>
        <w:rPr>
          <w:rFonts w:ascii="Arial" w:cs="Arial" w:eastAsia="Arial" w:hAnsi="Arial"/>
          <w:sz w:val="18"/>
          <w:szCs w:val="18"/>
          <w:color w:val="auto"/>
        </w:rPr>
        <w:t>Wynn Las Vegas’ and its Restricted Subsidiaries’ total Indebtedness does not exceed 6.5 times Consolidated EBITDA for the four full fiscal quarters immediately preceding the date of such incurrence;</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Subsidiary permitted pursuant to the provisions of clause (6) of the covenant described above under the caption “—Restricted Payments;”</w:t>
      </w:r>
    </w:p>
    <w:p>
      <w:pPr>
        <w:spacing w:after="0" w:line="59" w:lineRule="exact"/>
        <w:rPr>
          <w:rFonts w:ascii="Arial" w:cs="Arial" w:eastAsia="Arial" w:hAnsi="Arial"/>
          <w:sz w:val="18"/>
          <w:szCs w:val="18"/>
          <w:color w:val="auto"/>
        </w:rPr>
      </w:pPr>
    </w:p>
    <w:p>
      <w:pPr>
        <w:ind w:left="460" w:right="260" w:firstLine="443"/>
        <w:spacing w:after="0" w:line="256" w:lineRule="auto"/>
        <w:tabs>
          <w:tab w:leader="none" w:pos="12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on or prior to the Phase II Final Completion Date of Indebtedness represented by performance bonds, guaranties, trade letters of credit, bankers’ acceptances or similar instruments issued by a Person, other than Wynn Resorts or any of its Restricted Subsidiaries, for the benefit of a trade creditor of any such Person, in an aggregate amount not to exceed $20.0 million at any time outstanding so long as: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2"/>
          <w:numId w:val="99"/>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90" w:lineRule="exact"/>
        <w:rPr>
          <w:rFonts w:ascii="Arial" w:cs="Arial" w:eastAsia="Arial" w:hAnsi="Arial"/>
          <w:sz w:val="18"/>
          <w:szCs w:val="18"/>
          <w:color w:val="auto"/>
        </w:rPr>
      </w:pPr>
    </w:p>
    <w:p>
      <w:pPr>
        <w:ind w:left="920" w:right="60" w:firstLine="421"/>
        <w:spacing w:after="0" w:line="298" w:lineRule="auto"/>
        <w:tabs>
          <w:tab w:leader="none" w:pos="1588"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the obligations of Wynn Las Vegas or the applicable Restricted Subsidiary, as the case may be, supported by such performance bonds, guaranties, trade letters of credit, bankers’ acceptances or similar instruments (1) consist solely of payment obligations with respect to costs incurred in accordance with the Phase II Project Budget which would otherwise be permitted to be paid by the applicable entity pursuant to the Disbursement Agreement and (2) if secured, are secured solely by Liens permitted by clause (22) of the definition of “Permitted Liens;”</w:t>
      </w:r>
    </w:p>
    <w:p>
      <w:pPr>
        <w:spacing w:after="0" w:line="31" w:lineRule="exact"/>
        <w:rPr>
          <w:rFonts w:ascii="Arial" w:cs="Arial" w:eastAsia="Arial" w:hAnsi="Arial"/>
          <w:sz w:val="16"/>
          <w:szCs w:val="16"/>
          <w:color w:val="auto"/>
        </w:rPr>
      </w:pPr>
    </w:p>
    <w:p>
      <w:pPr>
        <w:ind w:left="460" w:right="120" w:firstLine="443"/>
        <w:spacing w:after="0" w:line="268" w:lineRule="auto"/>
        <w:tabs>
          <w:tab w:leader="none" w:pos="1228"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additional Indebtedness in an aggregate principal amount at any time outstanding, not to exceed $40.0 million;</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235"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incurrence by the Issuers and the Guarantors of the original 2004 notes issued on the date of the Indenture in an aggregate principal amount of $1.3 billion and the registered 2004 notes related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60" w:firstLine="443"/>
        <w:spacing w:after="0" w:line="332"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incurrence of Indebtedness (and the Guarantee of such Indebtedness by Wynn Las Vegas) in an amount not to exceed 100% of the Fair Market Value of the Aircraft, which is secured only by Liens permitted by clause (26) of the definition of “Permitted Liens;”</w:t>
      </w:r>
    </w:p>
    <w:p>
      <w:pPr>
        <w:spacing w:after="0" w:line="4" w:lineRule="exact"/>
        <w:rPr>
          <w:rFonts w:ascii="Arial" w:cs="Arial" w:eastAsia="Arial" w:hAnsi="Arial"/>
          <w:sz w:val="16"/>
          <w:szCs w:val="16"/>
          <w:color w:val="auto"/>
        </w:rPr>
      </w:pPr>
    </w:p>
    <w:p>
      <w:pPr>
        <w:ind w:left="460" w:firstLine="443"/>
        <w:spacing w:after="0" w:line="267"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through the issuance of additional notes under the Indenture, is unsecured Indebtedness or is Permitted Junior Debt) to be used to develop and construct an Additional Entertainment Facility and/or a Retail Facility on land included in the Projects in an aggregate principal amount (or original accreted value, as applicable) at any time not to exceed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cost of such Additional Entertainment Facility and/or Retail Facility;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subsequent to the date of the Indenture and on or prior to the date of the incurrence of such Indebtedness, net cash proceeds have been received by Wynn Las Vegas as a contribution to its common equity capital in an amount equal to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aggregate cost of such Additional Entertainment Facility and/or Retail Facility, which proceeds have been irrevocably committed at the time of such contribution for use in the development and construction of such Additional Entertainment Facility and/or a Retail Facility; and</w:t>
      </w:r>
    </w:p>
    <w:p>
      <w:pPr>
        <w:spacing w:after="0" w:line="83"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incurrence by Wynn Capital, as co-obligor, of any Indebtedness which Wynn Las Vegas is permitted to incur pursuant to the foregoing provisions.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determining compliance with this “Incurrence of Indebtedness and Issuance of Disqualified Stock”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 as of the date of such classification or reclassification. Indebtedness under the Credit Agreement outstanding on the date on which the notes are first issued and authenticated under the Indenture will initially be deemed to have been incurred on such date in reliance on the exception provided by clause (1) of the definition of “Permitted Debt.” The accrual of interest, the accretion or amortization of original issue discount, the payment of interest on any Indebtedness in the form of additional Indebtedness with the same terms, the reclassification of preferred stock as Indebtedness due to a change in accounting principles, and the payment of dividends on Disqualified Stock in the form of additional shares of the same class of Disqualified Stock will not be deemed to be an incurrence of Indebtedness or an issuance of Disqualified Stock for purposes of this covenant. Notwithstanding any other provision of this covenant, the maximum amount of Indebtedness that Wynn Las Vegas or any of its Restricted Subsidiaries may incur pursuant to this covenant shall not be exceeded solely as a result of fluctuations in exchange rates or currency values. In addition, any Indebtedness which is permitted to be incurred by Wynn Las Vegas or any of its Restricted Subsidiaries under clause (7) set forth above may be incurred under the Credit Agreement or through the issuance of Additional Notes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Fair Market Value of such assets at the date of determination;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amount of the Indebtedness of the other Person.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Liens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incur, assume or suffer to exist any Lien of any kind on any asset owned on the date of the Indenture or thereafter acquired, or on any proceeds, income or profits therefrom or assign or convey any right to receive income therefrom, except Permitted Liens.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and Other Payment Restrictions Affecting Subsidiaries of Wynn Las Vegas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Wynn Las Vegas will not, and will not permit any of its Restricted Subsidiaries to, directly or indirectly, create or permit to exist or become effective any consensual encumbrance or restriction on the ability of any Restricted Subsidiary to:</w:t>
      </w:r>
    </w:p>
    <w:p>
      <w:pPr>
        <w:spacing w:after="0" w:line="51" w:lineRule="exact"/>
        <w:rPr>
          <w:sz w:val="20"/>
          <w:szCs w:val="20"/>
          <w:color w:val="auto"/>
        </w:rPr>
      </w:pPr>
    </w:p>
    <w:p>
      <w:pPr>
        <w:ind w:left="460" w:right="60" w:firstLine="443"/>
        <w:spacing w:after="0" w:line="332" w:lineRule="auto"/>
        <w:tabs>
          <w:tab w:leader="none" w:pos="114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pay dividends or make any other distributions on its Capital Stock to Wynn Las Vegas or any of its Restricted Subsidiaries, or with respect to any other interest or participation in, or measured by, its profits, or pay any indebtedness owed to Wynn Las Vegas or any of its Restricted Subsidiaries;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Wynn Las Vegas or any of its Restricted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90" w:lineRule="exact"/>
        <w:rPr>
          <w:sz w:val="20"/>
          <w:szCs w:val="20"/>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notes, the Indenture, the Note Guarantees or the Collateral 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Credit Agreement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as in effect on the date of the Indenture;</w:t>
      </w:r>
    </w:p>
    <w:p>
      <w:pPr>
        <w:spacing w:after="0" w:line="34" w:lineRule="exact"/>
        <w:rPr>
          <w:rFonts w:ascii="Arial" w:cs="Arial" w:eastAsia="Arial" w:hAnsi="Arial"/>
          <w:sz w:val="16"/>
          <w:szCs w:val="16"/>
          <w:color w:val="auto"/>
        </w:rPr>
      </w:pPr>
    </w:p>
    <w:p>
      <w:pPr>
        <w:ind w:left="460" w:right="80" w:firstLine="443"/>
        <w:spacing w:after="0" w:line="335" w:lineRule="auto"/>
        <w:tabs>
          <w:tab w:leader="none" w:pos="1147"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7" w:lineRule="exact"/>
        <w:rPr>
          <w:rFonts w:ascii="Arial" w:cs="Arial" w:eastAsia="Arial" w:hAnsi="Arial"/>
          <w:sz w:val="15"/>
          <w:szCs w:val="15"/>
          <w:color w:val="auto"/>
        </w:rPr>
      </w:pPr>
    </w:p>
    <w:p>
      <w:pPr>
        <w:ind w:left="460" w:right="280" w:firstLine="443"/>
        <w:spacing w:after="0" w:line="259"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Indebtedness permitted under clause (7) of the second paragraph of the covenant described above under the caption “—Incurrence of Indebtedness and Issuance of Disqualified Stock” that impose restrictions of the type described in clause (3) of the first paragraph of this covenant on the assets so acquired;</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50" w:lineRule="exact"/>
        <w:rPr>
          <w:rFonts w:ascii="Arial" w:cs="Arial" w:eastAsia="Arial" w:hAnsi="Arial"/>
          <w:sz w:val="18"/>
          <w:szCs w:val="18"/>
          <w:color w:val="auto"/>
        </w:rPr>
      </w:pPr>
    </w:p>
    <w:p>
      <w:pPr>
        <w:ind w:left="460" w:right="500" w:firstLine="443"/>
        <w:spacing w:after="0" w:line="306"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Liens permitted to be incurred under the provisions of the covenant described above under the caption “—Liens,” securing Indebtedness otherwise permitted to be incurred under the second paragraph of the covenant described above under the caption “—Incurrence of Indebtedness and Issuance of Disqualified Stock,” that limit the right of the debtor to dispose of the assets subject to such Liens; or</w:t>
      </w:r>
    </w:p>
    <w:p>
      <w:pPr>
        <w:spacing w:after="0" w:line="25"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Neither Issuer will, directly or indirectly, (1) consolidate or merge with or into another Person (whether or not such Issuer is the surviving entity) or (2) sell, assign, transfer, convey or otherwise dispose of all or substantially all of its properties or assets, in one or more related transactions, to another Person, unless:</w:t>
      </w:r>
    </w:p>
    <w:p>
      <w:pPr>
        <w:spacing w:after="0" w:line="4" w:lineRule="exact"/>
        <w:rPr>
          <w:sz w:val="20"/>
          <w:szCs w:val="20"/>
          <w:color w:val="auto"/>
        </w:rPr>
      </w:pPr>
    </w:p>
    <w:p>
      <w:pPr>
        <w:ind w:left="460" w:right="120" w:firstLine="443"/>
        <w:spacing w:after="0" w:line="259"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either (a) such Issuer is the surviving entity or (b) the Person formed by or surviving any such consolidation or merger (if other than such Issuer) or to which such sale, assignment, transfer, conveyance or other disposition shall have been made is a corporation organized or existing under the laws of the United States, any state of the United States or the District of Columbia;</w:t>
      </w:r>
    </w:p>
    <w:p>
      <w:pPr>
        <w:spacing w:after="0" w:line="59"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the Person to which such sale, assignment, transfer, conveyance or other disposition shall have been made assumes all the obligations of such Issuer under the notes, the Indenture, the registration rights agreement and the Collateral Documents pursuant to agreements reasonably satisfactory to the trustee;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9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transaction would not result in the loss or suspension or material impairment of any Gaming License unless a comparable new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Issuer or the Person formed by or surviving any such consolidation or merger (if other than such Issuer), or to which such sale, assignment, transfer, conveyance or other disposition shall have been made;</w:t>
      </w:r>
    </w:p>
    <w:p>
      <w:pPr>
        <w:spacing w:after="0" w:line="50" w:lineRule="exact"/>
        <w:rPr>
          <w:rFonts w:ascii="Arial" w:cs="Arial" w:eastAsia="Arial" w:hAnsi="Arial"/>
          <w:sz w:val="18"/>
          <w:szCs w:val="18"/>
          <w:color w:val="auto"/>
        </w:rPr>
      </w:pPr>
    </w:p>
    <w:p>
      <w:pPr>
        <w:ind w:left="920" w:right="400" w:firstLine="421"/>
        <w:spacing w:after="0" w:line="259" w:lineRule="auto"/>
        <w:tabs>
          <w:tab w:leader="none" w:pos="157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will have Consolidated Net Worth immediately after the transaction equal to or greater than the Consolidated Net Worth of such Issuer immediately preceding the transaction (excluding the effect of the related professional fees, commissions, sales and other taxes, and other transactional costs that would otherwise reduce Consolidated Net Worth); and</w:t>
      </w:r>
    </w:p>
    <w:p>
      <w:pPr>
        <w:spacing w:after="0" w:line="59" w:lineRule="exact"/>
        <w:rPr>
          <w:rFonts w:ascii="Arial" w:cs="Arial" w:eastAsia="Arial" w:hAnsi="Arial"/>
          <w:sz w:val="18"/>
          <w:szCs w:val="18"/>
          <w:color w:val="auto"/>
        </w:rPr>
      </w:pPr>
    </w:p>
    <w:p>
      <w:pPr>
        <w:ind w:left="920" w:right="80" w:firstLine="421"/>
        <w:spacing w:after="0" w:line="256" w:lineRule="auto"/>
        <w:tabs>
          <w:tab w:leader="none" w:pos="158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Disqualified Stock”; and</w:t>
      </w:r>
    </w:p>
    <w:p>
      <w:pPr>
        <w:spacing w:after="0" w:line="62"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such transaction, at the time it is undertaken, would not require any holder or beneficial owner of notes to obtain a Gaming License or be qualified or found suitable under the law of any applicable gaming jurisdiction; provided that such holder or beneficial owner would not have been required to obtain a Gaming License or be qualified or found suitable under the laws of any applicable gaming jurisdiction in the absence of such transaction.</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no Issuer may, directly or indirectly, lease all or substantially all of its properties or assets, taken as a whole, in one or more related transactions, to any other Person.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Notwithstanding the foregoing, Wynn Las Vegas or any of its Restricted Subsidiaries that is not a subchapter “C” corporation is permitted to convert into a corporation pursuant to a Permitted C-Corp. Conversion.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Designation of Restricted and Unrestricted Subsidiaries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Board of Directors of Wynn Capital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time of the designation and will reduce the amount available for Restricted Payments under the covenant described above under the caption “—Restricted Payments” or under one or more clauses of the definition of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Capital may redesignate any Unrestricted Subsidiary of Wynn Las Vegas to be a Restricted Subsidiary of Wynn Las Vegas if the redesignation would not cause a Default or an Event of Default.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Any designation of a Subsidiary of Wynn Las Vegas as an Unrestricted Subsidiary will be evidenced to the trustee by filing with the trustee a certified copy of a resolution of the Board of Directors giving effect to such designation and an officers’ certificate certifying that such designation complied with the preceding conditions and was permitted by the covenant described above under the caption “—Restricted Payments.” If, at any time, any Unrestricted Subsidiary would fail to meet the preceding requirements as an Unrestricted Subsidiary, it will thereafter cease to be an Unrestricted Subsidiary for purposes of the Indenture and any Indebtedness of such Subsidiary will be deemed to be incurred by a Restricted Subsidiary of Wynn Las Vegas as of such date and, if such Indebtedness is not permitted to be incurred as of such date under the covenant described above under the caption “—Incurrence of Indebtedness and Issuance of Disqualified Stock,” Wynn Las Vegas will be in default of such covenant. The Board of Directors of Wynn Capital may at any time redesignate any Unrestricted Subsidiary of Wynn Las Vegas to be a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designation will be deemed to be an incurrence of Indebtedness by a Restricted Subsidiary of Wynn Las Vegas of any outstanding Indebtedness of such Unrestricted Subsidiary, and such designation will only be permitted if (1) such Indebtedness is permitted under the covenant described above under the caption “—Incurrence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Transactions with Affiliates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Wynn Las Vegas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Wynn Las Vegas (each, an “</w:t>
      </w:r>
      <w:r>
        <w:rPr>
          <w:rFonts w:ascii="Arial" w:cs="Arial" w:eastAsia="Arial" w:hAnsi="Arial"/>
          <w:sz w:val="16"/>
          <w:szCs w:val="16"/>
          <w:i w:val="1"/>
          <w:iCs w:val="1"/>
          <w:color w:val="auto"/>
        </w:rPr>
        <w:t>Affiliate Transaction</w:t>
      </w:r>
      <w:r>
        <w:rPr>
          <w:rFonts w:ascii="Arial" w:cs="Arial" w:eastAsia="Arial" w:hAnsi="Arial"/>
          <w:sz w:val="16"/>
          <w:szCs w:val="16"/>
          <w:color w:val="auto"/>
        </w:rPr>
        <w:t>”), unless:</w:t>
      </w:r>
    </w:p>
    <w:p>
      <w:pPr>
        <w:spacing w:after="0" w:line="26" w:lineRule="exact"/>
        <w:rPr>
          <w:sz w:val="20"/>
          <w:szCs w:val="20"/>
          <w:color w:val="auto"/>
        </w:rPr>
      </w:pPr>
    </w:p>
    <w:p>
      <w:pPr>
        <w:ind w:left="460" w:right="42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Wynn Las Vegas than those that would have been obtained in a comparable transaction by Wynn Las Vegas or such Restricted Subsidiary with an unrelated Person;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Wynn Las Vegas or the applicable Restricted Subsidiary delivers to the trustee:</w:t>
      </w:r>
    </w:p>
    <w:p>
      <w:pPr>
        <w:spacing w:after="0" w:line="90" w:lineRule="exact"/>
        <w:rPr>
          <w:rFonts w:ascii="Arial" w:cs="Arial" w:eastAsia="Arial" w:hAnsi="Arial"/>
          <w:sz w:val="18"/>
          <w:szCs w:val="18"/>
          <w:color w:val="auto"/>
        </w:rPr>
      </w:pPr>
    </w:p>
    <w:p>
      <w:pPr>
        <w:ind w:left="920" w:right="100" w:firstLine="421"/>
        <w:spacing w:after="0" w:line="298" w:lineRule="auto"/>
        <w:tabs>
          <w:tab w:leader="none" w:pos="157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$10.0 million, a resolution of the Board of Directors of Wynn Capital set forth in an officers’ certificate certifying that such Affiliate Transaction complies with this covenant and that such Affiliate Transaction has been approved by a majority of the disinterested members of the Board of Directors of Wynn Capital, to the extent that there are any such disinterested members of such Boards of Directors;</w:t>
      </w:r>
    </w:p>
    <w:p>
      <w:pPr>
        <w:spacing w:after="0" w:line="31" w:lineRule="exact"/>
        <w:rPr>
          <w:rFonts w:ascii="Arial" w:cs="Arial" w:eastAsia="Arial" w:hAnsi="Arial"/>
          <w:sz w:val="16"/>
          <w:szCs w:val="16"/>
          <w:color w:val="auto"/>
        </w:rPr>
      </w:pPr>
    </w:p>
    <w:p>
      <w:pPr>
        <w:ind w:left="920" w:right="220" w:firstLine="421"/>
        <w:spacing w:after="0" w:line="306" w:lineRule="auto"/>
        <w:tabs>
          <w:tab w:leader="none" w:pos="1588" w:val="left"/>
        </w:tabs>
        <w:numPr>
          <w:ilvl w:val="1"/>
          <w:numId w:val="105"/>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$25.0 million, an opinion as to the fairness to Wynn Las Vegas or such Restricted Subsidiary of such Affiliate Transaction from a financial point of view issued by an accounting, appraisal or investment banking firm of national standing prior to the consummation of such Affiliate Transaction; and</w:t>
      </w:r>
    </w:p>
    <w:p>
      <w:pPr>
        <w:spacing w:after="0" w:line="25" w:lineRule="exact"/>
        <w:rPr>
          <w:rFonts w:ascii="Arial" w:cs="Arial" w:eastAsia="Arial" w:hAnsi="Arial"/>
          <w:sz w:val="16"/>
          <w:szCs w:val="16"/>
          <w:color w:val="auto"/>
        </w:rPr>
      </w:pPr>
    </w:p>
    <w:p>
      <w:pPr>
        <w:ind w:left="460" w:right="760" w:firstLine="443"/>
        <w:spacing w:after="0" w:line="268" w:lineRule="auto"/>
        <w:tabs>
          <w:tab w:leader="none" w:pos="114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Aircraft (if such aircraft is owned by Wynn Las Vegas or any Restricted Subsidiary) for any purpose not reasonably related to the Projects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Permitted Businesses of Wynn Las Vegas or the applicable Restricted Subsidiary relating to or in connection with the Projects, Wynn Las Vegas or the applicable Restricted Subsidiary, as the case may be, is reimbursed promptly for actual costs and expenses incurred by such Person in connection with such use.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113" w:lineRule="exact"/>
        <w:rPr>
          <w:sz w:val="20"/>
          <w:szCs w:val="20"/>
          <w:color w:val="auto"/>
        </w:rPr>
      </w:pPr>
    </w:p>
    <w:p>
      <w:pPr>
        <w:ind w:left="460" w:right="4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employment agreement entered into by Wynn Las Vegas or any of its Restricted Subsidiaries with any Person (other than the Principal) in the ordinary course of business;</w:t>
      </w:r>
    </w:p>
    <w:p>
      <w:pPr>
        <w:spacing w:after="0" w:line="5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payment of reasonable directors’/managers’ fees to directors or managers of Wynn Las Vegas, Wynn Capital or any Guarantor, and customary indemnification and insurance arrangements in favor of such directors or managers, in each case in the ordinary course of business;</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transactions between or among Wynn Las Vegas and/or its Restricted Subsidiaries;</w:t>
      </w:r>
    </w:p>
    <w:p>
      <w:pPr>
        <w:spacing w:after="0" w:line="90"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Restricted Payments that are made in compliance with the provisions of the Indenture described above under the caption “—Restricted Payments”;</w:t>
      </w:r>
    </w:p>
    <w:p>
      <w:pPr>
        <w:spacing w:after="0" w:line="50" w:lineRule="exact"/>
        <w:rPr>
          <w:rFonts w:ascii="Arial" w:cs="Arial" w:eastAsia="Arial" w:hAnsi="Arial"/>
          <w:sz w:val="18"/>
          <w:szCs w:val="18"/>
          <w:color w:val="auto"/>
        </w:rPr>
      </w:pPr>
    </w:p>
    <w:p>
      <w:pPr>
        <w:ind w:left="460" w:firstLine="443"/>
        <w:spacing w:after="0" w:line="357" w:lineRule="auto"/>
        <w:tabs>
          <w:tab w:leader="none" w:pos="114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leases by Wynn Las Vegas to one or more of its Affiliates of space at the Phase I Project, at market rental rates, for the development and operation of a Ferrari and Maserati automobile dealership pursuant to the Dealership Lease Agreement, to the extent permitted under the Collateral Documents;</w:t>
      </w:r>
    </w:p>
    <w:p>
      <w:pPr>
        <w:ind w:left="460" w:right="4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the payment of Allocable Overhead to Wynn Resorts in respect of each Qualifying Project of Wynn Las Vegas and its Restricted Subsidiaries and (ii) other payments made pursuant to the Affiliate Agreements, in each case, as in effect on the date of the Indenture or as such Affiliate Agreements may be amended, modified or supplemented in any manner that is not in contravention of the covenant described below under the caption “—Amendments to Certain Agreements”;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Permitted Investment made pursuant to clause (10), (12), (13) or (14) of the definition thereof;</w:t>
      </w:r>
    </w:p>
    <w:p>
      <w:pPr>
        <w:spacing w:after="0" w:line="9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issuance by Wynn Las Vegas of any Equity Interests (other than Disqualified Stock) to any Affiliate if such issuance is otherwise not in contravention of the terms of the Indenture; and</w:t>
      </w:r>
    </w:p>
    <w:p>
      <w:pPr>
        <w:spacing w:after="0" w:line="50" w:lineRule="exact"/>
        <w:rPr>
          <w:rFonts w:ascii="Arial" w:cs="Arial" w:eastAsia="Arial" w:hAnsi="Arial"/>
          <w:sz w:val="18"/>
          <w:szCs w:val="18"/>
          <w:color w:val="auto"/>
        </w:rPr>
      </w:pPr>
    </w:p>
    <w:p>
      <w:pPr>
        <w:ind w:left="460" w:right="100" w:firstLine="443"/>
        <w:spacing w:after="0" w:line="256" w:lineRule="auto"/>
        <w:tabs>
          <w:tab w:leader="none" w:pos="114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issuance by Wynn Las Vegas of notes, in connection with the issuance of the initial $1.3 billion of notes under the Indenture and the issuance of the Note Guarantees by the Guarantors, to any Affiliate if such issuance is otherwise not in contravention of the terms of the Indenture and is on terms that are no less favorable to Wynn Las Vegas and the Guarantors than those that could have been obtained in a comparable transaction by Wynn Las Vegas and the Guarantors with an unrelated Person.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Note Guarantees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If Wynn Las Vegas or any of its Restricted Subsidiaries acquires or creates another Domestic Subsidiary after the date of the Indenture, then that newly acquired or created Domestic Subsidiary will become a Guarantor and execute a supplemental indenture within 10 business days of the date on which it was acquired or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Domestic Subsidiary that constitutes an Immaterial Subsidiary need not become a Guarantor until such time as it ceases to be an Immaterial Subsidiary.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will, and will cause its Restricted Subsidiaries to, construct the Phase II Project, including the furnishing, fixturing and equipping of the Phase II Project, with diligence and continuity in a good and workmanlike manner substantially in accordance with the Phase II Plans and Specifications.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Status as Investment Company</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Sale and Leaseback Transactions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Wynn Las Vegas will not, and will not permit any of its Restricted Subsidiaries to, enter into any sale and leaseback transaction (except with respect to the Aircraft Assets so long as, and to the extent that, such Aircraft Assets are not Collateral);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Wynn Las Vegas or any Restricted Subsidiary may enter into a sale and leaseback transaction if:</w:t>
      </w:r>
    </w:p>
    <w:p>
      <w:pPr>
        <w:spacing w:after="0" w:line="59" w:lineRule="exact"/>
        <w:rPr>
          <w:sz w:val="20"/>
          <w:szCs w:val="20"/>
          <w:color w:val="auto"/>
        </w:rPr>
      </w:pPr>
    </w:p>
    <w:p>
      <w:pPr>
        <w:ind w:left="460" w:right="140" w:firstLine="443"/>
        <w:spacing w:after="0" w:line="298"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Wynn Las Vegas or that Restricted Subsidiary, as applicable, could have (a) incurred Indebtedness in an amount equal to the Attributable Debt relating to such sale and leaseback transaction under the Fixed Charge Coverage Ratio test set forth in the first paragraph of the covenant described above under the caption “—Incurrence of Indebtedness and Issuance of Disqualified Stock” and (b) incurred a Lien to secure such Indebtedness in an amount equal to the Attributable Debt pursuant to the covenant described above under the caption “—Liens;”</w:t>
      </w:r>
    </w:p>
    <w:p>
      <w:pPr>
        <w:spacing w:after="0" w:line="31"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Capital or that Restricted Subsidiary, as the case may be, and set forth in an officers’ certificate delivered to the trustee, of the property that is the subject of that sale and leaseback transaction; and</w:t>
      </w:r>
    </w:p>
    <w:p>
      <w:pPr>
        <w:spacing w:after="0" w:line="59" w:lineRule="exact"/>
        <w:rPr>
          <w:rFonts w:ascii="Arial" w:cs="Arial" w:eastAsia="Arial" w:hAnsi="Arial"/>
          <w:sz w:val="18"/>
          <w:szCs w:val="18"/>
          <w:color w:val="auto"/>
        </w:rPr>
      </w:pPr>
    </w:p>
    <w:p>
      <w:pPr>
        <w:ind w:left="460" w:right="160" w:firstLine="443"/>
        <w:spacing w:after="0" w:line="370" w:lineRule="auto"/>
        <w:tabs>
          <w:tab w:leader="none" w:pos="1147"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or such Restricted Subsidiary applies the proceeds of such transaction in compliance with, the covenant described above under the caption “—Repurchase at the Option of Holders—Asset Sales.”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Line of Business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will not, and will not permit any of its Restricted Subsidiaries to, engage in any business or investment activities other than the Permitted Business. Wynn Las Vegas will not, and will not permit any of its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Development of Golf Course Land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Las Vegas will not, and will not permit any of its Restricted Subsidiaries to, at any time prior to the date on which the security interests in all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Golf Course Land are released in accordance with the covenant described above under the caption “—Security—Release of Golf Course Land”:</w:t>
      </w:r>
    </w:p>
    <w:p>
      <w:pPr>
        <w:spacing w:after="0" w:line="107" w:lineRule="exact"/>
        <w:rPr>
          <w:sz w:val="20"/>
          <w:szCs w:val="20"/>
          <w:color w:val="auto"/>
        </w:rPr>
      </w:pPr>
    </w:p>
    <w:p>
      <w:pPr>
        <w:ind w:left="460" w:right="240" w:firstLine="443"/>
        <w:spacing w:after="0" w:line="268"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1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incur any Indebtedness, the proceeds of which are expected to be used, or are used, for the construction, development or improvement of the Golf Course Land;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Wynn Las Vegas or any of its Restricted Subsidiaries may incur such Indebtedness pursuant to clause (8) of the second paragraph of the covenant described above under the caption “—Incurrence of Additional Indebtedness and Issuance of Disqualified Stock.”</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anything herein or above, Wynn Las Vegas, and its Restricted Subsidiaries may:</w:t>
      </w:r>
    </w:p>
    <w:p>
      <w:pPr>
        <w:spacing w:after="0" w:line="90" w:lineRule="exact"/>
        <w:rPr>
          <w:sz w:val="20"/>
          <w:szCs w:val="20"/>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maintain or repair the Golf Course on the Golf Course Land,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make improvements to the Golf Course that enhance its use as a golf course for the benefit of the Projects,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reconfigure certain portions of the Golf Course in connection with the release of the Home Site Land in accordance with the provisions set forth under the captions “—Security—Release of Collateral,” “—Security—Release of Golf Course Land,” “—Security Interests—Release of Homesite Acreage” and “—Security Interests—Release of Portions of the Golf Course Land.”</w:t>
      </w:r>
    </w:p>
    <w:p>
      <w:pPr>
        <w:spacing w:after="0" w:line="59" w:lineRule="exact"/>
        <w:rPr>
          <w:rFonts w:ascii="Arial" w:cs="Arial" w:eastAsia="Arial" w:hAnsi="Arial"/>
          <w:sz w:val="18"/>
          <w:szCs w:val="18"/>
          <w:color w:val="auto"/>
        </w:rPr>
      </w:pPr>
    </w:p>
    <w:p>
      <w:pPr>
        <w:ind w:left="460" w:right="440" w:firstLine="443"/>
        <w:spacing w:after="0" w:line="357" w:lineRule="auto"/>
        <w:tabs>
          <w:tab w:leader="none" w:pos="1147"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ind w:left="460" w:right="500" w:firstLine="443"/>
        <w:spacing w:after="0" w:line="268"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Projects as contemplated by the Phase I Plans and Specifications, the Phase II Plans and Specifications or the Disbursement Agreement,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undertake Government Transfers,</w:t>
      </w:r>
    </w:p>
    <w:p>
      <w:pPr>
        <w:spacing w:after="0" w:line="90" w:lineRule="exact"/>
        <w:rPr>
          <w:rFonts w:ascii="Arial" w:cs="Arial" w:eastAsia="Arial" w:hAnsi="Arial"/>
          <w:sz w:val="18"/>
          <w:szCs w:val="18"/>
          <w:color w:val="auto"/>
        </w:rPr>
      </w:pPr>
    </w:p>
    <w:p>
      <w:pPr>
        <w:jc w:val="both"/>
        <w:ind w:left="460" w:right="60" w:firstLine="443"/>
        <w:spacing w:after="0" w:line="256" w:lineRule="auto"/>
        <w:tabs>
          <w:tab w:leader="none" w:pos="114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develop the Phase III Project on the Golf Course Land in the event that (a) the Golf Course Land has not been released as described under the caption “—Security—Release of Golf Course Land” and (b) Wynn Las Vegas or any of its Restricted Subsidiaries incurs the Permitted Debt of the type described in clause (8) of the second paragraph of the covenant described above under the caption “—Incurrence of Additional Indebtedness and Issuance of Disqualified Stock;”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Payments of Management Fees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will not, and will not permit any of its Restricted Subsidiaries to, directly or indirectly:</w:t>
      </w:r>
    </w:p>
    <w:p>
      <w:pPr>
        <w:spacing w:after="0" w:line="90" w:lineRule="exact"/>
        <w:rPr>
          <w:sz w:val="20"/>
          <w:szCs w:val="20"/>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90" w:lineRule="exact"/>
        <w:rPr>
          <w:rFonts w:ascii="Arial" w:cs="Arial" w:eastAsia="Arial" w:hAnsi="Arial"/>
          <w:sz w:val="18"/>
          <w:szCs w:val="18"/>
          <w:color w:val="auto"/>
        </w:rPr>
      </w:pPr>
    </w:p>
    <w:p>
      <w:pPr>
        <w:ind w:left="920" w:firstLine="421"/>
        <w:spacing w:after="0" w:line="298" w:lineRule="auto"/>
        <w:tabs>
          <w:tab w:leader="none" w:pos="157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31" w:lineRule="exact"/>
        <w:rPr>
          <w:rFonts w:ascii="Arial" w:cs="Arial" w:eastAsia="Arial" w:hAnsi="Arial"/>
          <w:sz w:val="16"/>
          <w:szCs w:val="16"/>
          <w:color w:val="auto"/>
        </w:rPr>
      </w:pPr>
    </w:p>
    <w:p>
      <w:pPr>
        <w:ind w:left="920" w:right="240" w:firstLine="421"/>
        <w:spacing w:after="0" w:line="268" w:lineRule="auto"/>
        <w:tabs>
          <w:tab w:leader="none" w:pos="158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shall occur as a result thereof;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shall be deferred and shall accrue. Such accrued and unpaid Management Fees may be paid in any subsequent 12-month period to the extent such payment would be permitted under this covenant and the Management Fees Subordination Agreement.</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 on Issuances and Sales of Equity Interests in Wholly Owned Restricted Subsidiaries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Wynn Las Vegas will not, and will not permit any of its Restricted Subsidiaries to, transfer, convey, sell, lease or otherwise dispose of any Equity Interests in any Wholly Owned Restricted Subsidiary of Wynn Las Vegas to any Person (other than Wynn Las Vegas or a Wholly Owned Restricted Subsidiary of Wynn Las Vegas that is a Guarantor), unless:</w:t>
      </w:r>
    </w:p>
    <w:p>
      <w:pPr>
        <w:spacing w:after="0" w:line="59" w:lineRule="exact"/>
        <w:rPr>
          <w:sz w:val="20"/>
          <w:szCs w:val="20"/>
          <w:color w:val="auto"/>
        </w:rPr>
      </w:pPr>
    </w:p>
    <w:p>
      <w:pPr>
        <w:ind w:left="1160" w:hanging="257"/>
        <w:spacing w:after="0"/>
        <w:tabs>
          <w:tab w:leader="none" w:pos="11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such transfer, conveyance, sale, lease or other disposition is of all the Equity Interests in such Wholly Owned Restricted Subsidiary; and</w:t>
      </w:r>
    </w:p>
    <w:p>
      <w:pPr>
        <w:spacing w:after="0" w:line="113" w:lineRule="exact"/>
        <w:rPr>
          <w:rFonts w:ascii="Arial" w:cs="Arial" w:eastAsia="Arial" w:hAnsi="Arial"/>
          <w:sz w:val="16"/>
          <w:szCs w:val="16"/>
          <w:color w:val="auto"/>
        </w:rPr>
      </w:pPr>
    </w:p>
    <w:p>
      <w:pPr>
        <w:ind w:left="460" w:right="300" w:firstLine="443"/>
        <w:spacing w:after="0" w:line="268" w:lineRule="auto"/>
        <w:tabs>
          <w:tab w:leader="none" w:pos="11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Net Proceeds from such transfer, conveyance, sale, lease or other disposition are applied in accordance with the covenant described above under the caption “—Repurchase at the Option of Holders—Asset Sales.”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Wynn Las Vegas will not permit any Wholly Owned Restricted Subsidiary of Wynn Las Vegas to issue any of its Equity Interests (other than, if necessary, shares of its Capital Stock constituting directors’ qualifying shares) to any Person other than to Wynn Las Vegas or a Wholly Owned Restricted Subsidiary of Wynn Las Vegas that is a Guarantor.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Certain Agreements</w:t>
      </w:r>
    </w:p>
    <w:p>
      <w:pPr>
        <w:spacing w:after="0" w:line="90"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32" w:lineRule="exact"/>
        <w:rPr>
          <w:sz w:val="20"/>
          <w:szCs w:val="20"/>
          <w:color w:val="auto"/>
        </w:rPr>
      </w:pPr>
    </w:p>
    <w:p>
      <w:pPr>
        <w:ind w:left="460" w:right="16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or any of its Restricted Subsidiaries,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 the dates on which such amounts are to be paid to dates earlier than those set forth in such agreement, as in effect on the date of the Indenture,</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or any of its Restricted Subsidiaries unless accompanied by a corresponding decrease in the amounts payable by Wynn Las Vegas or any of its Restricted Subsidiaries thereunder,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other amendment, modification, waiver or other change to, or any failure to enforce, or termination or abandonment of the provisions of any Affiliate Agreement shall be made in accordance with the requirements of the first paragraph of the covenant described above under the caption “—Transactions with Affiliates.”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in connection with any development, improvement or construction of the Golf Course Land as provided in clause (7) of the second paragraph of the covenant described above under the caption “—Limitation on Development of Golf Course Land,” or any release of all or any portion of the Golf Course Land as provided above under the captions “—Security—Release of Collateral,” “—Security—Release of Golf Course Land,” “—Security— Release of Homesite Acreage” or “—Release of Portions of the Golf Course Land,” Wynn Las Vegas and its Restricted Subsidiaries may terminate or amend the Golf Course Lease, the Access Easement Agreement or any other agreement with respect to the Golf Course Land or any other related assets or property.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Amendments to Operating Agreements and Charter Documents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in connection with a Permitted C-Corp. Conversion, Wynn Las Vegas will not, and will not permit any of its Restricted Subsidiaries to:</w:t>
      </w:r>
    </w:p>
    <w:p>
      <w:pPr>
        <w:spacing w:after="0" w:line="113" w:lineRule="exact"/>
        <w:rPr>
          <w:sz w:val="20"/>
          <w:szCs w:val="20"/>
          <w:color w:val="auto"/>
        </w:rPr>
      </w:pPr>
    </w:p>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dissolve,</w:t>
      </w:r>
    </w:p>
    <w:p>
      <w:pPr>
        <w:spacing w:after="0" w:line="90" w:lineRule="exact"/>
        <w:rPr>
          <w:rFonts w:ascii="Arial" w:cs="Arial" w:eastAsia="Arial" w:hAnsi="Arial"/>
          <w:sz w:val="18"/>
          <w:szCs w:val="18"/>
          <w:color w:val="auto"/>
        </w:rPr>
      </w:pPr>
    </w:p>
    <w:p>
      <w:pPr>
        <w:ind w:left="460" w:right="220" w:firstLine="443"/>
        <w:spacing w:after="0" w:line="298"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operating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 either terminates the status of that Person as a member of the limited liability company or causes the limited liability company to be dissolved or its affairs wound up, or</w:t>
      </w:r>
    </w:p>
    <w:p>
      <w:pPr>
        <w:spacing w:after="0" w:line="31" w:lineRule="exact"/>
        <w:rPr>
          <w:rFonts w:ascii="Arial" w:cs="Arial" w:eastAsia="Arial" w:hAnsi="Arial"/>
          <w:sz w:val="16"/>
          <w:szCs w:val="16"/>
          <w:color w:val="auto"/>
        </w:rPr>
      </w:pPr>
    </w:p>
    <w:p>
      <w:pPr>
        <w:ind w:left="460" w:right="140" w:firstLine="443"/>
        <w:spacing w:after="0" w:line="259" w:lineRule="auto"/>
        <w:tabs>
          <w:tab w:leader="none" w:pos="11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 modify or otherwise change the separateness covenants and company restrictions in its operating agreement relating to conduct, or any comparable provisions contained in its other charter documents, or fail to include similar provisions in the operating agreement or other applicable charter documents of any future Restricted Subsidiary.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Insurance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Wynn Las Vegas will, and will cause its Restricted Subsidiaries to, maintain insurance with reputable and financially sound carriers against such risks and in such amounts as are customarily carried by similarly situated businesses, including, without limitation, property and casualty insurance, so long as such insurance coverage (including deductibles, retentions and self-insurance amounts) at all times complies with the insurance coverage required under the Disbursement Agreement.</w:t>
      </w:r>
    </w:p>
    <w:p>
      <w:pPr>
        <w:spacing w:after="0" w:line="22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i w:val="1"/>
          <w:iCs w:val="1"/>
          <w:color w:val="auto"/>
        </w:rPr>
        <w:t>Additional Collateral; Formation or Acquisition of Restricted Subsidiaries; Designation of Unrestricted Subsidiaries as Restricted Subsidiaries or Permitted C-Corp. Conversion</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Concurrently with (1) the formation or acquisition of any Restricted Subsidiary of Wynn Las Vegas that becomes or is required under the Credit Agreement to become a Guarantor of any of the obligations under the Credit Agreement, (2) the designation of an Unrestricted Subsidiary of Wynn Las Vegas as a Restricted Subsidiary, or (3) the conversion by Wynn Las Vegas or any of its Restricted Subsidiaries into a subchapter “C” corporation in a Permitted C-Corp. Conversion, Wynn Las Vegas shall, to the extent not prohibited by Gaming Authorities or applicable Gaming Laws and subject to the Intercreditor Agreement:</w:t>
      </w:r>
    </w:p>
    <w:p>
      <w:pPr>
        <w:spacing w:after="0" w:line="32" w:lineRule="exact"/>
        <w:rPr>
          <w:sz w:val="20"/>
          <w:szCs w:val="20"/>
          <w:color w:val="auto"/>
        </w:rPr>
      </w:pPr>
    </w:p>
    <w:p>
      <w:pPr>
        <w:ind w:left="460" w:right="120" w:firstLine="443"/>
        <w:spacing w:after="0" w:line="259" w:lineRule="auto"/>
        <w:tabs>
          <w:tab w:leader="none" w:pos="11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 supplemental indenture in the form of an exhibit to the Indenture; or</w:t>
      </w:r>
    </w:p>
    <w:p>
      <w:pPr>
        <w:spacing w:after="0" w:line="59" w:lineRule="exact"/>
        <w:rPr>
          <w:rFonts w:ascii="Arial" w:cs="Arial" w:eastAsia="Arial" w:hAnsi="Arial"/>
          <w:sz w:val="18"/>
          <w:szCs w:val="18"/>
          <w:color w:val="auto"/>
        </w:rPr>
      </w:pPr>
    </w:p>
    <w:p>
      <w:pPr>
        <w:ind w:left="920" w:firstLine="421"/>
        <w:spacing w:after="0" w:line="254" w:lineRule="auto"/>
        <w:tabs>
          <w:tab w:leader="none" w:pos="158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if such subchapter “C” corporation is an Issuer, cause such subchapter “C” corporation to execute and deliver to the trustee (i) a supplemental indenture substantially in the form of an exhibit to the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such Issuer that was so reorganized as a “C” corporation;</w:t>
      </w:r>
    </w:p>
    <w:p>
      <w:pPr>
        <w:spacing w:after="0" w:line="63" w:lineRule="exact"/>
        <w:rPr>
          <w:rFonts w:ascii="Arial" w:cs="Arial" w:eastAsia="Arial" w:hAnsi="Arial"/>
          <w:sz w:val="18"/>
          <w:szCs w:val="18"/>
          <w:color w:val="auto"/>
        </w:rPr>
      </w:pPr>
    </w:p>
    <w:p>
      <w:pPr>
        <w:ind w:left="1160" w:hanging="257"/>
        <w:spacing w:after="0"/>
        <w:tabs>
          <w:tab w:leader="none" w:pos="11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w:t>
      </w:r>
    </w:p>
    <w:p>
      <w:pPr>
        <w:spacing w:after="0" w:line="90" w:lineRule="exact"/>
        <w:rPr>
          <w:rFonts w:ascii="Arial" w:cs="Arial" w:eastAsia="Arial" w:hAnsi="Arial"/>
          <w:sz w:val="18"/>
          <w:szCs w:val="18"/>
          <w:color w:val="auto"/>
        </w:rPr>
      </w:pPr>
    </w:p>
    <w:p>
      <w:pPr>
        <w:ind w:left="920" w:right="200" w:firstLine="421"/>
        <w:spacing w:after="0" w:line="332" w:lineRule="auto"/>
        <w:tabs>
          <w:tab w:leader="none" w:pos="157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an assumption agreement in the form of an exhibit to the Security Agreement (under which such Restricted Subsidiary or subchapter “C” corporation will grant a security interest to the trustee in those of its assets described in the Security Agreement), and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such Uniform Commercial Code financing statements as are necessary to perfect the trustee’s security interest in such assets;</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or (ii) has a Fair Market Value in excess of $5.0 million in the aggregate or $2.5 million individually, cause such Restricted Subsidiary or subchapter “C” corporation to execute and deliver to the trustee:</w:t>
      </w:r>
    </w:p>
    <w:p>
      <w:pPr>
        <w:spacing w:after="0" w:line="59"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59" w:lineRule="exact"/>
        <w:rPr>
          <w:rFonts w:ascii="Arial" w:cs="Arial" w:eastAsia="Arial" w:hAnsi="Arial"/>
          <w:sz w:val="18"/>
          <w:szCs w:val="18"/>
          <w:color w:val="auto"/>
        </w:rPr>
      </w:pPr>
    </w:p>
    <w:p>
      <w:pPr>
        <w:ind w:left="920" w:right="80" w:firstLine="421"/>
        <w:spacing w:after="0" w:line="268" w:lineRule="auto"/>
        <w:tabs>
          <w:tab w:leader="none" w:pos="158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5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pledge, or cause to be pledged, to the trustee (i) all of the outstanding Capital Stock of such entity or subchapter “C” corporation owned by Wynn Las Vegas or any of its Restricted Subsidiaries and (ii) all of the outstanding Capital Stock owned by such Restricted Subsidiary or subchapter “C” corporation, to secure Wynn Las Vegas’ obligations under the Indenture and the notes or such Restricted Subsidiary’s Guarantee obligations under the applicable Security Agreement, as the case may be;</w:t>
      </w:r>
    </w:p>
    <w:p>
      <w:pPr>
        <w:spacing w:after="0" w:line="62"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59" w:lineRule="exact"/>
        <w:rPr>
          <w:rFonts w:ascii="Arial" w:cs="Arial" w:eastAsia="Arial" w:hAnsi="Arial"/>
          <w:sz w:val="18"/>
          <w:szCs w:val="18"/>
          <w:color w:val="auto"/>
        </w:rPr>
      </w:pPr>
    </w:p>
    <w:p>
      <w:pPr>
        <w:ind w:left="460" w:right="360" w:firstLine="443"/>
        <w:spacing w:after="0" w:line="268"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Notwithstanding the foregoing, no Restricted Subsidiary shall be required to take the actions specified in clauses (2) through (6) above during any Collateral Release Period.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Additional Collateral; Acquisition of Assets or Property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At any time other than during any Collateral Release Period, and concurrently with the acquisition by Wynn Las Vegas or any of its Restricted Subsidiaries of any assets or property (other than a Subsidiary of Wynn Las Vegas) that would constitute Collateral, to the extent not prohibited by Gaming Authorities or applicable Gaming Laws and subject to the Intercreditor Agreement, Wynn Las Vegas will, and will cause its Restricted Subsidiaries to, cause the applicable entity to:</w:t>
      </w:r>
    </w:p>
    <w:p>
      <w:pPr>
        <w:spacing w:after="0" w:line="62" w:lineRule="exact"/>
        <w:rPr>
          <w:sz w:val="20"/>
          <w:szCs w:val="20"/>
          <w:color w:val="auto"/>
        </w:rPr>
      </w:pPr>
    </w:p>
    <w:p>
      <w:pPr>
        <w:ind w:left="460" w:right="180" w:firstLine="443"/>
        <w:spacing w:after="0" w:line="306" w:lineRule="auto"/>
        <w:tabs>
          <w:tab w:leader="none" w:pos="114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Aircraft Assets) for all such acquired personal property, execute and deliver to the collateral agent such Uniform Commercial Code financing statements, if any, as are necessary or, in the opinion of the trustee, desirable to perfect and protect the trustee’s security interest in such assets or property;</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the acquisition of real property, that (i) is contiguous to any real property included in the Collateral or (ii) has a Fair Market Value in excess of $5.0 million in the aggregate or $2.5 million individually, execute and deliver to the trustee:</w:t>
      </w:r>
    </w:p>
    <w:p>
      <w:pPr>
        <w:spacing w:after="0" w:line="50" w:lineRule="exact"/>
        <w:rPr>
          <w:rFonts w:ascii="Arial" w:cs="Arial" w:eastAsia="Arial" w:hAnsi="Arial"/>
          <w:sz w:val="18"/>
          <w:szCs w:val="18"/>
          <w:color w:val="auto"/>
        </w:rPr>
      </w:pPr>
    </w:p>
    <w:p>
      <w:pPr>
        <w:ind w:left="920" w:right="320" w:firstLine="421"/>
        <w:spacing w:after="0" w:line="259" w:lineRule="auto"/>
        <w:tabs>
          <w:tab w:leader="none" w:pos="157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or such Restricted Subsidiary will grant a security interest to the trustee in such real property and any related fixtures),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(b) title and extended coverage insurance covering such real property in an amount at least equal to the purchase price of such real property;</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460" w:right="20" w:firstLine="443"/>
        <w:spacing w:after="0" w:line="306" w:lineRule="auto"/>
        <w:tabs>
          <w:tab w:leader="none" w:pos="11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Further Assurances</w:t>
      </w:r>
    </w:p>
    <w:p>
      <w:pPr>
        <w:spacing w:after="0" w:line="9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Except during any Collateral Release Period, Wynn Las Vegas will, and will cause its Restricted Subsidiaries to, execute and deliver such additional instruments, certificates or documents, and take all such actions as may be reasonably required from time to time in order to:</w:t>
      </w:r>
    </w:p>
    <w:p>
      <w:pPr>
        <w:spacing w:after="0" w:line="4" w:lineRule="exact"/>
        <w:rPr>
          <w:sz w:val="20"/>
          <w:szCs w:val="20"/>
          <w:color w:val="auto"/>
        </w:rPr>
      </w:pPr>
    </w:p>
    <w:p>
      <w:pPr>
        <w:ind w:left="1160" w:hanging="257"/>
        <w:spacing w:after="0"/>
        <w:tabs>
          <w:tab w:leader="none" w:pos="11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ensure that any of the rights granted or intended to be granted to the trustee or any holder under the Collateral Documents or under any other instrument executed in connection therewith or granted to Wynn Las Vegas or any of its Restricted Subsidiaries under the Collateral Documents or under any other instrument executed in connection therewith are protected and enforced.</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any Gaming Authority), Wynn Las Vegas will, and will cause its Restricted Subsidiaries to, execute and deliver all applications, certifications, instruments and other documents and papers that may be required from Wynn Resorts, Wynn Las Vegas or any of Wynn Las Vegas’ Restricted Subsidiaries for such governmental consent, approval, recording, qualification or authorization.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Payments for Consent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will not, and will not permit any of its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Restrictions on Activities of Wynn Capital</w:t>
      </w:r>
    </w:p>
    <w:p>
      <w:pPr>
        <w:spacing w:after="0" w:line="9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Wynn Capital will not hold any material assets, hold any Equity Interests, incur any Indebtedness, become liable for any obligations, engage in any business activities or have any Subsidiaries. However, Wynn Capital may incur Indebtedness to the extent that it is a co-obligor with respect to Indebtedness which Wynn Las Vegas is permitted to incur under the Indenture, but only if the Net Proceeds of such Indebtedness are received by Wynn Las Vegas or one or more of Wynn Las Vegas’ Wholly Owned Restricted Subsidiaries other than Wynn Capital. At all times while notes issued under the Indenture remain outstanding, Wynn Capital shall maintain a Board of Directors composed of individuals who serve on the Board of Directors of Wynn Resorts, and such other disinterested or independent members as the Board of Directors deems appropriate from time to time.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59" w:right="2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Reports</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Whether or not required by the rules and regulations of the SEC, so long as any notes are outstanding, the Issuers will furnish to the Holders of notes or cause the trustee to furnish to the Holders of notes, within the time periods specified in the SEC’s rules and regulations:</w:t>
      </w:r>
    </w:p>
    <w:p>
      <w:pPr>
        <w:spacing w:after="0" w:line="51" w:lineRule="exact"/>
        <w:rPr>
          <w:sz w:val="20"/>
          <w:szCs w:val="20"/>
          <w:color w:val="auto"/>
        </w:rPr>
      </w:pPr>
    </w:p>
    <w:p>
      <w:pPr>
        <w:ind w:left="460" w:right="20" w:firstLine="443"/>
        <w:spacing w:after="0" w:line="259" w:lineRule="auto"/>
        <w:tabs>
          <w:tab w:leader="none" w:pos="114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SEC on Forms 10-Q and 10-K, including a “Management’s Discussion and Analysis of Financial Condition and Results of Operations” and, with respect to the annual report only, a report on the annual financial statements by Wynn Las Vegas’ and the Restricted Subsidiaries’ certified independent accountants;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SEC on Form 8-K if the Issuers were required to file such reports.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reports will be prepared in all material respects in accordance with all of the rules and regulations applicable to such reports. Each annual report on Form 10-K will include a report on Wynn Las Vegas’ and its Restricted Subsidiaries’ consolidated financial statements by Wynn Las Vegas’ certified independent accountants. In addition, Wynn Las Vegas will file a copy of each of the reports referred to in clauses (1) and (2) above with the SEC for public availability within the time periods specified in the rules and regulations applicable to such reports (unless the SEC will not accept such a filing) and will post the reports on its website within those time periods.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at any time Wynn Las Vegas is no longer subject to the periodic reporting requirements of the Exchange Act for any reason, Wynn Las Vegas will nevertheless continue filing the reports specified in the preceding paragraph of this covenant with the SEC within the time periods specified above unless the SEC will not accept such a filing. Wynn Las Vegas will not take any action for the purpose of causing the SEC not to accept any such filings. If, notwithstanding the foregoing, the SEC will not accept Wynn Las Vegas’ filings for any reason, Wynn Las Vegas will post the reports referred to in the preceding paragraphs on its website within the time periods that would apply if Wynn Las Vegas were required to file those reports with the SEC.</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addition, the Issuers and the Guarantors agree that, for so long as any notes remain outstanding, if at any time they are not required to file with the SEC the reports required by the preceding paragraphs, they will furnish to the holders of notes and to securities analysts and prospective investors, upon their request, the information required to be delivered pursuant to Rule 144A(d)(4) under the Securities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90" w:lineRule="exact"/>
        <w:rPr>
          <w:sz w:val="20"/>
          <w:szCs w:val="20"/>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or Liquidated Damages, if any, with respect to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default in the payment when due (at maturity, upon redemption, repurchase or otherwise) of the principal of, or premium, if any, on, the notes;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w:t>
      </w:r>
    </w:p>
    <w:p>
      <w:pPr>
        <w:spacing w:after="0" w:line="90" w:lineRule="exact"/>
        <w:rPr>
          <w:rFonts w:ascii="Arial" w:cs="Arial" w:eastAsia="Arial" w:hAnsi="Arial"/>
          <w:sz w:val="18"/>
          <w:szCs w:val="18"/>
          <w:color w:val="auto"/>
        </w:rPr>
      </w:pPr>
    </w:p>
    <w:p>
      <w:pPr>
        <w:ind w:left="920" w:right="60" w:firstLine="421"/>
        <w:spacing w:after="0" w:line="259" w:lineRule="auto"/>
        <w:tabs>
          <w:tab w:leader="none" w:pos="1579"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59" w:lineRule="exact"/>
        <w:rPr>
          <w:rFonts w:ascii="Arial" w:cs="Arial" w:eastAsia="Arial" w:hAnsi="Arial"/>
          <w:sz w:val="18"/>
          <w:szCs w:val="18"/>
          <w:color w:val="auto"/>
        </w:rPr>
      </w:pPr>
    </w:p>
    <w:p>
      <w:pPr>
        <w:ind w:left="920" w:right="560" w:firstLine="421"/>
        <w:spacing w:after="0" w:line="332" w:lineRule="auto"/>
        <w:tabs>
          <w:tab w:leader="none" w:pos="158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to comply with the provisions described under the captions “—Certain Covenants—Restricted Payments,” “—Certain Covenants— Incurrence of Indebtedness and Issuance of Disqualified Stock” or “—Certain Covenants—Merger, Consolidation or Sale of Assets”;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18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for 60 days after receipt of written notice from the trustee or the holders of at least 25% in aggregate principal amount of the notes then outstanding voting as a single class to comply with any of the other agreements in the Indenture not set forth in clause (3) above;</w:t>
      </w:r>
    </w:p>
    <w:p>
      <w:pPr>
        <w:spacing w:after="0" w:line="59"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the Completion Guarantor or any other party to any Collateral Document (other than the trustee or any representative of the lenders under the Credit Agreement or other lenders party thereto) for 60 days after receipt of written notice from the trustee or the holders of at least 25% in aggregate principal amount of the notes then outstanding voting as a single class to comply with any of its agreements, as applicable, in any Collateral Document;</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default under any mortgage, indenture or instrument under which there may be issued or by which there may be secured or evidenced any Indebtedness for money borrowed by Wynn Las Vegas or any of its Restricted Subsidiaries (or the payment of which is guaranteed by Wynn Las Vegas or any of its Restricted Subsidiaries), whether such Indebtedness or guarantee existed on the date of the Indenture, or is created after the date of the Indenture, if that default:</w:t>
      </w:r>
    </w:p>
    <w:p>
      <w:pPr>
        <w:spacing w:after="0" w:line="62" w:lineRule="exact"/>
        <w:rPr>
          <w:rFonts w:ascii="Arial" w:cs="Arial" w:eastAsia="Arial" w:hAnsi="Arial"/>
          <w:sz w:val="18"/>
          <w:szCs w:val="18"/>
          <w:color w:val="auto"/>
        </w:rPr>
      </w:pPr>
    </w:p>
    <w:p>
      <w:pPr>
        <w:ind w:left="920" w:right="280" w:firstLine="421"/>
        <w:spacing w:after="0" w:line="268" w:lineRule="auto"/>
        <w:tabs>
          <w:tab w:leader="none" w:pos="157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50" w:lineRule="exact"/>
        <w:rPr>
          <w:rFonts w:ascii="Arial" w:cs="Arial" w:eastAsia="Arial" w:hAnsi="Arial"/>
          <w:sz w:val="18"/>
          <w:szCs w:val="18"/>
          <w:color w:val="auto"/>
        </w:rPr>
      </w:pPr>
    </w:p>
    <w:p>
      <w:pPr>
        <w:ind w:left="920" w:right="240" w:firstLine="421"/>
        <w:spacing w:after="0" w:line="259" w:lineRule="auto"/>
        <w:tabs>
          <w:tab w:leader="none" w:pos="158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 and, in each case, the principal amount of any such Indebtedness, together with the principal amount of any other such Indebtedness under which there has been a Payment Default or the maturity of which has been so accelerated, aggregates $20.0 million or more;</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failure by Wynn Capital, Wynn Las Vegas or any of its Restricted Subsidiaries to pay final non-appealable judgments (not paid or covered by insurance as to which the relevant insurance company has not denied responsibility) aggregating in excess of $20.0 million, which judgments are not paid, bonded, discharged or stayed for a period of 60 days;</w:t>
      </w:r>
    </w:p>
    <w:p>
      <w:pPr>
        <w:spacing w:after="0" w:line="59"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event of default under any of the Collateral Documents or any of the Collateral Documents shall cease, for any reason (other than pursuant to their terms), to be in full force and effect, or Wynn Capital, Wynn Las Vegas or any of its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61" w:lineRule="exact"/>
        <w:rPr>
          <w:rFonts w:ascii="Arial" w:cs="Arial" w:eastAsia="Arial" w:hAnsi="Arial"/>
          <w:sz w:val="18"/>
          <w:szCs w:val="18"/>
          <w:color w:val="auto"/>
        </w:rPr>
      </w:pPr>
    </w:p>
    <w:p>
      <w:pPr>
        <w:ind w:left="460" w:right="40" w:firstLine="443"/>
        <w:spacing w:after="0" w:line="294" w:lineRule="auto"/>
        <w:tabs>
          <w:tab w:leader="none" w:pos="1147"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material representation or warranty made or deemed made by Wynn Capital, Wynn Las Vegas or any of its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an event of default under the Disbursement Agreement;</w:t>
      </w:r>
    </w:p>
    <w:p>
      <w:pPr>
        <w:spacing w:after="0" w:line="34" w:lineRule="exact"/>
        <w:rPr>
          <w:rFonts w:ascii="Arial" w:cs="Arial" w:eastAsia="Arial" w:hAnsi="Arial"/>
          <w:sz w:val="16"/>
          <w:szCs w:val="16"/>
          <w:color w:val="auto"/>
        </w:rPr>
      </w:pPr>
    </w:p>
    <w:p>
      <w:pPr>
        <w:jc w:val="both"/>
        <w:ind w:left="460" w:right="200" w:firstLine="443"/>
        <w:spacing w:after="0" w:line="256" w:lineRule="auto"/>
        <w:tabs>
          <w:tab w:leader="none" w:pos="12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expressly permitted therein or by the Indenture, the Completion Guarantee or any Note Guarantee issued by a Significant Restricted Subsidiary of Wynn Las Vegas shall be held in any judicial proceeding to be unenforceable or invalid or shall cease for any reason to be in full force and effect or the Completion Guarantor or any Restricted Subsidiary of Wynn Las Vegas, or any Person acting on behalf of any such Person, shall deny or disaffirm its obligations under its Note Guarantee;</w:t>
      </w:r>
    </w:p>
    <w:p>
      <w:pPr>
        <w:spacing w:after="0" w:line="62" w:lineRule="exact"/>
        <w:rPr>
          <w:rFonts w:ascii="Arial" w:cs="Arial" w:eastAsia="Arial" w:hAnsi="Arial"/>
          <w:sz w:val="18"/>
          <w:szCs w:val="18"/>
          <w:color w:val="auto"/>
        </w:rPr>
      </w:pPr>
    </w:p>
    <w:p>
      <w:pPr>
        <w:ind w:left="460" w:firstLine="443"/>
        <w:spacing w:after="0" w:line="259" w:lineRule="auto"/>
        <w:tabs>
          <w:tab w:leader="none" w:pos="12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(a) either Issuer, (b) any Significant Restricted Subsidiary of Wynn Las Vegas or (c) any group of Restricted Subsidiaries of Wynn Las Vegas that, taken together, would constitute a Significant Restricted Subsidiary of Wynn Las Vegas;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68" w:lineRule="auto"/>
        <w:tabs>
          <w:tab w:leader="none" w:pos="123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revocation, termination, suspension or other cessation of effectiveness of any Gaming License which results in the cessation or suspension of gaming operations at any Gaming Facility for a period of more than 90 consecutive days; or</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Wynn Las Vegas ever fails to own, directly or indirectly, 100% of the issued and outstanding Equity Interests of Wynn Capital.</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Subsidiary or any group of Restricted Subsidiaries that, taken together, would constitute a Significant Restricted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13"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Holders of the notes may not enforce the Indenture or the notes except as provided in the Indenture, the Intercreditor Agreement and the other Collateral Documents. Subject to certain limitations, holders of a majority in aggregate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interest or premium, if any, or Liquidated Damages, if any.</w:t>
      </w:r>
    </w:p>
    <w:p>
      <w:pPr>
        <w:spacing w:after="0" w:line="9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the trustee will be under no obligation to exercise any of the rights or powers under the Indenture at the request or direction of any holders of notes unless such holders have offered to the trustee reasonable indemnity or security against any loss, liability or expense. Except to enforce the right to receive payment of principal, interest or premium, if any, or Liquidated Damages, if any, when due, no holder of a note may pursue any remedy with respect to the Indenture or the notes unless:</w:t>
      </w:r>
    </w:p>
    <w:p>
      <w:pPr>
        <w:spacing w:after="0" w:line="32" w:lineRule="exact"/>
        <w:rPr>
          <w:sz w:val="20"/>
          <w:szCs w:val="20"/>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holder has previously given the trustee notice that an Event of Default is continuing;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holders of at least 25% in aggregate principal amount of the then outstanding notes have requested the trustee to pursue the remedy;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trustee has not complied with such request within 60 days after the receipt of the request and the offer of security or indemnity; and</w:t>
      </w:r>
    </w:p>
    <w:p>
      <w:pPr>
        <w:spacing w:after="0" w:line="11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then outstanding notes have not given the trustee a direction inconsistent with such request within such 60-day period.</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holders of a majority in aggregate principal amount of the then outstanding notes by notice to the trustee may, on behalf of the holders of all of the notes, rescind an acceleration or waive any existing Default or Event of Default and its consequences under the Indenture, except a continuing Default or Event of Default in the payment of interest or premium, if any, or Liquidated Damages, if any, on, or the principal of, the notes.</w:t>
      </w:r>
    </w:p>
    <w:p>
      <w:pPr>
        <w:spacing w:after="0" w:line="10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Remedies upon Default Under the Notes</w:t>
      </w:r>
    </w:p>
    <w:p>
      <w:pPr>
        <w:spacing w:after="0" w:line="9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Enforcement of Collateral Documents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Generally, if an Event of Default occurs, subject to the provisions of the Intercreditor Agreement, the trustee, acting on behalf of the holders, can enforce its rights and remedies under the Indenture and the Collateral Documents. These remedies include (1) commencing a judicial proceeding to seek monetary judgments against either Issuer, any Restricted Subsidiary of Wynn Las Vegas or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 and remedies. See “—Gaming Law Limitations on Foreclosure,” “—Bankruptcy Limitations on Foreclosure” and “—Real Property Collateral.”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Rights in the Pledged Collateral</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So long as no Event of Default shall have occurred and be continuing, and subject to certain terms and conditions in the Indenture, the Intercreditor Agreement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 and the exercise by the trustee of its rights under the Collateral Documents and subject to applicable Gaming Laws:</w:t>
      </w:r>
    </w:p>
    <w:p>
      <w:pPr>
        <w:spacing w:after="0" w:line="63" w:lineRule="exact"/>
        <w:rPr>
          <w:sz w:val="20"/>
          <w:szCs w:val="20"/>
          <w:color w:val="auto"/>
        </w:rPr>
      </w:pPr>
    </w:p>
    <w:p>
      <w:pPr>
        <w:ind w:left="460" w:right="120" w:firstLine="443"/>
        <w:spacing w:after="0" w:line="357" w:lineRule="auto"/>
        <w:tabs>
          <w:tab w:leader="none" w:pos="1147" w:val="left"/>
        </w:tabs>
        <w:numPr>
          <w:ilvl w:val="0"/>
          <w:numId w:val="126"/>
        </w:numPr>
        <w:rPr>
          <w:rFonts w:ascii="Arial" w:cs="Arial" w:eastAsia="Arial" w:hAnsi="Arial"/>
          <w:sz w:val="15"/>
          <w:szCs w:val="15"/>
          <w:color w:val="auto"/>
        </w:rPr>
      </w:pPr>
      <w:r>
        <w:rPr>
          <w:rFonts w:ascii="Arial" w:cs="Arial" w:eastAsia="Arial" w:hAnsi="Arial"/>
          <w:sz w:val="15"/>
          <w:szCs w:val="15"/>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ind w:left="460" w:right="120" w:firstLine="443"/>
        <w:spacing w:after="0" w:line="268" w:lineRule="auto"/>
        <w:tabs>
          <w:tab w:leader="none" w:pos="11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50" w:lineRule="exact"/>
        <w:rPr>
          <w:rFonts w:ascii="Arial" w:cs="Arial" w:eastAsia="Arial" w:hAnsi="Arial"/>
          <w:sz w:val="18"/>
          <w:szCs w:val="18"/>
          <w:color w:val="auto"/>
        </w:rPr>
      </w:pPr>
    </w:p>
    <w:p>
      <w:pPr>
        <w:ind w:left="460" w:right="320" w:firstLine="443"/>
        <w:spacing w:after="0" w:line="332" w:lineRule="auto"/>
        <w:tabs>
          <w:tab w:leader="none" w:pos="114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 and the other Collateral Documents.</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Nothing contained in this paragraph shall be deemed to restrict the ability of Wynn Las Vegas to make the Restricted Payments permitted to be made during the occurrence of an Event of Default under the covenant described above under the caption “—Certain Covenants—Restricted Payments.”</w:t>
      </w:r>
    </w:p>
    <w:p>
      <w:pPr>
        <w:spacing w:after="0" w:line="85"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The trustee may appoint one or more collateral agents, who may be delegated any one or more of the duties or rights of the trustee under the Collateral Documents, or who may enter into one or more of the Collateral Documents on behalf of the trustee. The initial collateral agent will be Deutsche Bank Trust Company Americas. The same collateral agent may also act on behalf of the lenders under the Credit Agreement and other creditors of Wynn Las Vegas.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Intercreditor Agreement</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Intercreditor Agreement imposes restrictions on the exercise of rights and remedies by the noteholders with respect to the Collateral. See “Intercreditor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Granting of Security Interests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ability of Wynn Las Vegas or any Guarantor to grant security interests in the Collateral is limited by Nevada Gaming Laws. Under Nevada Gaming Laws, none of Wynn Las Vegas or the Guarantors may grant a security interest in (1) the gaming, liquor and other licenses issued to them by the Nevada Gaming Authorities or (2) unless consented to in advance by the Nevada Gaming Authorities, the ownership interests of any person that holds any such license.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Law Limitations on Foreclosure</w:t>
      </w:r>
    </w:p>
    <w:p>
      <w:pPr>
        <w:spacing w:after="0" w:line="9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Notes—Bankruptcy laws may significantly impair your rights to repossess and dispose of collateral securing the notes, and otherwise collect on any amounts due thereunder,” “—In the event that a bankruptcy court orders the substantive consolidation of us with certain affiliated parties, payments on the notes could be delayed or reduced” and “—Contract rights under agreements serving as collateral for the notes may be rejected in bankruptcy.”</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Bankruptcy Limitations on Foreclosure</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 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Property Collateral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1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is currently no controlling authority on this matter.</w:t>
      </w:r>
    </w:p>
    <w:p>
      <w:pPr>
        <w:spacing w:after="0" w:line="14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No past, present or future director, officer, employee, incorporator, organizer, equity holder or member of either Issuer, any Restricted Subsidiary or any Guarantor, as such, will have any liability for any obligations of either Issuer, any Restricted Subsidiary or any Guarantor under the notes, the Indenture, the 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Note Guarantees, and all obligations of the Issuers and the Guarantors discharged with respect to the Collateral Documents (“</w:t>
      </w:r>
      <w:r>
        <w:rPr>
          <w:rFonts w:ascii="Arial" w:cs="Arial" w:eastAsia="Arial" w:hAnsi="Arial"/>
          <w:sz w:val="18"/>
          <w:szCs w:val="18"/>
          <w:i w:val="1"/>
          <w:iCs w:val="1"/>
          <w:color w:val="auto"/>
        </w:rPr>
        <w:t>Legal Defeasance</w:t>
      </w:r>
      <w:r>
        <w:rPr>
          <w:rFonts w:ascii="Arial" w:cs="Arial" w:eastAsia="Arial" w:hAnsi="Arial"/>
          <w:sz w:val="18"/>
          <w:szCs w:val="18"/>
          <w:color w:val="auto"/>
        </w:rPr>
        <w:t>”) except for:</w:t>
      </w:r>
    </w:p>
    <w:p>
      <w:pPr>
        <w:spacing w:after="0" w:line="59" w:lineRule="exact"/>
        <w:rPr>
          <w:sz w:val="20"/>
          <w:szCs w:val="20"/>
          <w:color w:val="auto"/>
        </w:rPr>
      </w:pPr>
    </w:p>
    <w:p>
      <w:pPr>
        <w:ind w:left="460" w:right="260" w:firstLine="443"/>
        <w:spacing w:after="0" w:line="268"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and Liquidated Damages, if any, on, such notes when such payments are due from the trust referred to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332" w:lineRule="auto"/>
        <w:tabs>
          <w:tab w:leader="none" w:pos="1147"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the Issuers’ and the Guarantors’ obligations in connection therewith;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Legal Defeasance and Covenant Defeasance provisions of the Indenture.</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the Issuers may, at their option and at any time, elect to have the obligations of the Issuers, the Restricted Subsidiaries of Wynn Las Vegas and the Guarantors released with respect to certain covenants (including its obligation to make Change of Control Offers, Asset Sale Offers and Event of Loss Offers) that are described in the Indenture (“</w:t>
      </w:r>
      <w:r>
        <w:rPr>
          <w:rFonts w:ascii="Arial" w:cs="Arial" w:eastAsia="Arial" w:hAnsi="Arial"/>
          <w:sz w:val="15"/>
          <w:szCs w:val="15"/>
          <w:i w:val="1"/>
          <w:iCs w:val="1"/>
          <w:color w:val="auto"/>
        </w:rPr>
        <w:t>Covenant Defeasance</w:t>
      </w:r>
      <w:r>
        <w:rPr>
          <w:rFonts w:ascii="Arial" w:cs="Arial" w:eastAsia="Arial" w:hAnsi="Arial"/>
          <w:sz w:val="15"/>
          <w:szCs w:val="15"/>
          <w:color w:val="auto"/>
        </w:rPr>
        <w:t>”)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the caption “—Events of Default and Remedies” will no longer constitute an Event of Default with respect to the notes.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90" w:lineRule="exact"/>
        <w:rPr>
          <w:sz w:val="20"/>
          <w:szCs w:val="20"/>
          <w:color w:val="auto"/>
        </w:rPr>
      </w:pPr>
    </w:p>
    <w:p>
      <w:pPr>
        <w:ind w:left="460" w:right="40" w:firstLine="443"/>
        <w:spacing w:after="0" w:line="294" w:lineRule="auto"/>
        <w:tabs>
          <w:tab w:leader="none" w:pos="1147"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and Liquidated Damages, if any, on, the outstanding notes on the stated date for payment thereof or on the applicable redemption date, as the case may be, and the Issuers must specify whether the notes are being defeased to such stated date for payment or to a particular redemption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1"/>
          <w:numId w:val="129"/>
        </w:numPr>
        <w:rPr>
          <w:rFonts w:ascii="Arial" w:cs="Arial" w:eastAsia="Arial" w:hAnsi="Arial"/>
          <w:sz w:val="15"/>
          <w:szCs w:val="15"/>
          <w:color w:val="auto"/>
        </w:rPr>
      </w:pPr>
      <w:r>
        <w:rPr>
          <w:rFonts w:ascii="Arial" w:cs="Arial" w:eastAsia="Arial" w:hAnsi="Arial"/>
          <w:sz w:val="15"/>
          <w:szCs w:val="15"/>
          <w:color w:val="auto"/>
        </w:rPr>
        <w:t>in the case of Legal Defeasance, the Issuers must deliver to the trustee an opinion of counsel reasonably acceptable to the trustee confirming that</w:t>
      </w:r>
    </w:p>
    <w:p>
      <w:pPr>
        <w:spacing w:after="0" w:line="49" w:lineRule="exact"/>
        <w:rPr>
          <w:rFonts w:ascii="Arial" w:cs="Arial" w:eastAsia="Arial" w:hAnsi="Arial"/>
          <w:sz w:val="15"/>
          <w:szCs w:val="15"/>
          <w:color w:val="auto"/>
        </w:rPr>
      </w:pPr>
    </w:p>
    <w:p>
      <w:pPr>
        <w:jc w:val="both"/>
        <w:ind w:left="460" w:right="160" w:firstLine="4"/>
        <w:spacing w:after="0" w:line="292" w:lineRule="auto"/>
        <w:tabs>
          <w:tab w:leader="none" w:pos="69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Issuers have received from, or there has been published by, the Internal Revenue Service a ruling or (b) since the date of the Indenture, there has been a change in the applicable United States federal income tax law, in either case to the effect that, and based thereon on such opinion of counsel shall confirm that, the holders of the outstanding notes will not recognize income, gain or loss for United States federal income tax purposes as a result of such Legal Defeasance and will be subject to United States federal income tax on the same amounts, in the same manner and at the same times as would have been the case if such Legal Defeasance had not occurred;</w:t>
      </w:r>
    </w:p>
    <w:p>
      <w:pPr>
        <w:spacing w:after="0" w:line="35" w:lineRule="exact"/>
        <w:rPr>
          <w:rFonts w:ascii="Arial" w:cs="Arial" w:eastAsia="Arial" w:hAnsi="Arial"/>
          <w:sz w:val="16"/>
          <w:szCs w:val="16"/>
          <w:color w:val="auto"/>
        </w:rPr>
      </w:pPr>
    </w:p>
    <w:p>
      <w:pPr>
        <w:jc w:val="both"/>
        <w:ind w:left="460" w:right="20" w:firstLine="443"/>
        <w:spacing w:after="0" w:line="256" w:lineRule="auto"/>
        <w:tabs>
          <w:tab w:leader="none" w:pos="11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case of Covenant Defeasance, the Issuers must deliver to the trustee an opinion of counsel reasonably acceptable to the trustee confirming that the holders of the outstanding notes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460" w:right="40" w:firstLine="443"/>
        <w:spacing w:after="0" w:line="256" w:lineRule="auto"/>
        <w:tabs>
          <w:tab w:leader="none" w:pos="11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either Issuer, any Restricted Subsidiary or any Guarantor is a party or by which either Issuer, any Restricted Subsidiary or any Guarantor is bound;</w:t>
      </w:r>
    </w:p>
    <w:p>
      <w:pPr>
        <w:spacing w:after="0" w:line="62"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Subsidiary of Wynn Las Vegas or any Guarantor is a party or by which any such Person is bound;</w:t>
      </w:r>
    </w:p>
    <w:p>
      <w:pPr>
        <w:spacing w:after="0" w:line="59"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case of Legal Defeasance, the Issuers must deliver to the trustee an opinion of counsel to the effect that, assuming no intervening bankruptcy of the Issuers or any Guarantor between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right="80"/>
        <w:spacing w:after="0" w:line="211" w:lineRule="auto"/>
        <w:rPr>
          <w:sz w:val="20"/>
          <w:szCs w:val="20"/>
          <w:color w:val="auto"/>
        </w:rPr>
      </w:pPr>
      <w:r>
        <w:rPr>
          <w:rFonts w:ascii="Arial" w:cs="Arial" w:eastAsia="Arial" w:hAnsi="Arial"/>
          <w:sz w:val="18"/>
          <w:szCs w:val="18"/>
          <w:color w:val="auto"/>
        </w:rPr>
        <w:t>and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and assuming that no holder of notes is an “insider” of either Issuer under applicable bankruptcy law, after the 91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following the deposit, the trust funds will not be subject to the effect of any applicable bankruptcy, insolvency, reorganization or similar laws affecting creditors’ rights generally;</w:t>
      </w:r>
    </w:p>
    <w:p>
      <w:pPr>
        <w:spacing w:after="0" w:line="103" w:lineRule="exact"/>
        <w:rPr>
          <w:sz w:val="20"/>
          <w:szCs w:val="20"/>
          <w:color w:val="auto"/>
        </w:rPr>
      </w:pPr>
    </w:p>
    <w:p>
      <w:pPr>
        <w:jc w:val="both"/>
        <w:ind w:left="460" w:right="120" w:firstLine="443"/>
        <w:spacing w:after="0" w:line="259"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any creditors of the Issuers or others; and</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 the trustee will determine the circumstances and manner in which the Collateral will be disposed of, including the determination of whether to release all of the Collateral from the security interests created by the Collateral Documents and whether to foreclose on the Collateral following an Event of Default. The Collateral may be released from the Liens and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Subject to the provisions of the Intercreditor Agreement,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84" w:lineRule="exact"/>
        <w:rPr>
          <w:sz w:val="20"/>
          <w:szCs w:val="20"/>
          <w:color w:val="auto"/>
        </w:rPr>
      </w:pPr>
    </w:p>
    <w:p>
      <w:pPr>
        <w:ind w:left="1160" w:hanging="257"/>
        <w:spacing w:after="0"/>
        <w:tabs>
          <w:tab w:leader="none" w:pos="11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Disposition,</w:t>
      </w:r>
    </w:p>
    <w:p>
      <w:pPr>
        <w:spacing w:after="0" w:line="38"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1"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the caption “— Repurchase at the Option of Holders—Events of Loss”;</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Legal Defeasance as described under the caption set forth above under “—Legal Defeasance and Covenant Defeasance” or satisfaction and discharge of the Indenture as described under the caption set forth below under “—Satisfaction and Discharge”;</w:t>
      </w:r>
    </w:p>
    <w:p>
      <w:pPr>
        <w:spacing w:after="0" w:line="59" w:lineRule="exact"/>
        <w:rPr>
          <w:rFonts w:ascii="Arial" w:cs="Arial" w:eastAsia="Arial" w:hAnsi="Arial"/>
          <w:sz w:val="18"/>
          <w:szCs w:val="18"/>
          <w:color w:val="auto"/>
        </w:rPr>
      </w:pPr>
    </w:p>
    <w:p>
      <w:pPr>
        <w:ind w:left="460" w:right="58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the Note Guarantees and the Collateral Documents;</w:t>
      </w:r>
    </w:p>
    <w:p>
      <w:pPr>
        <w:spacing w:after="0" w:line="50" w:lineRule="exact"/>
        <w:rPr>
          <w:rFonts w:ascii="Arial" w:cs="Arial" w:eastAsia="Arial" w:hAnsi="Arial"/>
          <w:sz w:val="18"/>
          <w:szCs w:val="18"/>
          <w:color w:val="auto"/>
        </w:rPr>
      </w:pPr>
    </w:p>
    <w:p>
      <w:pPr>
        <w:ind w:left="460" w:right="520" w:firstLine="443"/>
        <w:spacing w:after="0" w:line="268"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as otherwise provided in the Indenture or the Collateral Documents, Collateral of a Guarantor, whose Note Guarantee is released or terminated pursuant to the terms of the Indenture;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Released Assets;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90" w:lineRule="exact"/>
        <w:rPr>
          <w:rFonts w:ascii="Arial" w:cs="Arial" w:eastAsia="Arial" w:hAnsi="Arial"/>
          <w:sz w:val="18"/>
          <w:szCs w:val="18"/>
          <w:color w:val="auto"/>
        </w:rPr>
      </w:pPr>
    </w:p>
    <w:p>
      <w:pPr>
        <w:ind w:left="460" w:right="280" w:firstLine="443"/>
        <w:spacing w:after="0" w:line="259" w:lineRule="auto"/>
        <w:tabs>
          <w:tab w:leader="none" w:pos="11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connection with any sale, lease or other disposition of any assets in connection with (i) any timeshare, interval ownership or similar development or (ii) any condominium or similar development with respect to the Phase III Project, on any assets or interests in any assets so long as the lenders under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Credit Agreement concurrently release their security interest in such assets, so long as no Default or Event of Default exists or is continuing immediately prior to or after giving effect to such release; and</w:t>
      </w:r>
    </w:p>
    <w:p>
      <w:pPr>
        <w:spacing w:after="0" w:line="51" w:lineRule="exact"/>
        <w:rPr>
          <w:sz w:val="20"/>
          <w:szCs w:val="20"/>
          <w:color w:val="auto"/>
        </w:rPr>
      </w:pPr>
    </w:p>
    <w:p>
      <w:pPr>
        <w:ind w:left="460" w:right="2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Water Rights covered by or relating to any water permits so long as such Water Rights are covered by or related to other water permits owned by Wynn Las Vegas or any of its Restricted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as provided in the next three succeeding paragraphs, the Indenture, the notes, the Note Guarantees or, subject to the terms of the Intercreditor Agreement, the Collateral Documents may be amended or supplemented with the consent of the holders of at least a majority in aggregate principal amount of the notes then outstanding (including, without limitation, consents obtained in connection with a purchase of, or tender offer or exchange offer for, notes), and any existing Default or Event of Default or compliance with any provision of the Indenture, the notes, the Note Guarantees or, subject to the terms of the Intercreditor Agreement, the Collateral Documents may be waived with the consent of the holders of a majority in aggregate principal amount of the then outstanding notes (including, without limitation, consents obtained in connection with a purchase of, or tender offer or exchange offer for, notes).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Under the Intercreditor Agreement, the agent under the Credit Agreement has the right, subject to certain limited exceptions, to direct the collateral agent to enter into amendments of, or waive defaults under, the Collateral Documents that grant Liens on the Collateral without obtaining the consent of the trustee or the holders of the notes. In addition, the Indenture authorizes the trustee to enter into amendments, restatements and modifications of the Collateral Documents from time to time in connection with the grant of any Permitted Liens;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amended, restated or modified Collateral Documents contain terms no less favorable to the trustee or the noteholders than the terms contained in the Collateral Documents being amended, restated or modified (except as expressly provided for in the Indenture);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amendment, restatement or modification does not otherwise adversely affect the rights or remedies of the trustee or the noteholders in any material respect (except as expressly provided for in the Indenture). At any time when at least $100.0 million of Indebtedness remains outstanding under the Credit Agreement, the agent under the Credit Agreement will also have the right to amend the Intercreditor Agreement without the consent of the trustee or the holders of the notes, so long as such amendment only affects the subordination provisions in respect of any junior Indebtedness but does not affect the provisions governing the relationship between the lenders under the Credit Agreement and the holders of the notes. See “Intercreditor Agreement.”</w:t>
      </w:r>
    </w:p>
    <w:p>
      <w:pPr>
        <w:spacing w:after="0" w:line="12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Without the consent of each holder of notes affected or, in the case of clauses (8), (9) and (10) below only, without the consent of the holders of at least 95% in the aggregate principal amount of the notes then outstanding, an amendment, supplement or waiver may not (with respect to any notes held by a non-consenting holder):</w:t>
      </w:r>
    </w:p>
    <w:p>
      <w:pPr>
        <w:spacing w:after="0" w:line="59" w:lineRule="exact"/>
        <w:rPr>
          <w:sz w:val="20"/>
          <w:szCs w:val="20"/>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460" w:right="380" w:firstLine="443"/>
        <w:spacing w:after="0" w:line="268"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including default interest, on any note;</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premium, or Liquidated Damages,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268"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premium or Liquidated Damages, if any, on, the notes;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“—Repurchase at the Option of Holders”);</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release any Guarantor from any of its obligations under its Note Guarantee or the Indenture if the assets or properties of that Guarantor</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constitute all or substantially all of the Collateral or (b) include Material Project Assets, except in accordance with the terms of the Indenture;</w:t>
      </w:r>
    </w:p>
    <w:p>
      <w:pPr>
        <w:spacing w:after="0" w:line="106" w:lineRule="exact"/>
        <w:rPr>
          <w:rFonts w:ascii="Arial" w:cs="Arial" w:eastAsia="Arial" w:hAnsi="Arial"/>
          <w:sz w:val="16"/>
          <w:szCs w:val="16"/>
          <w:color w:val="auto"/>
        </w:rPr>
      </w:pPr>
    </w:p>
    <w:p>
      <w:pPr>
        <w:ind w:left="1240" w:hanging="337"/>
        <w:spacing w:after="0"/>
        <w:tabs>
          <w:tab w:leader="none" w:pos="12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amend the provisions of the Indenture described above under the caption “—Security—Release of Collateral;” or</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171" w:lineRule="exact"/>
        <w:rPr>
          <w:sz w:val="20"/>
          <w:szCs w:val="20"/>
          <w:color w:val="auto"/>
        </w:rPr>
      </w:pPr>
    </w:p>
    <w:p>
      <w:pPr>
        <w:ind w:right="300" w:firstLine="456"/>
        <w:spacing w:after="0" w:line="357" w:lineRule="auto"/>
        <w:rPr>
          <w:sz w:val="20"/>
          <w:szCs w:val="20"/>
          <w:color w:val="auto"/>
        </w:rPr>
      </w:pPr>
      <w:r>
        <w:rPr>
          <w:rFonts w:ascii="Arial" w:cs="Arial" w:eastAsia="Arial" w:hAnsi="Arial"/>
          <w:sz w:val="15"/>
          <w:szCs w:val="15"/>
          <w:color w:val="auto"/>
        </w:rPr>
        <w:t>Notwithstanding the preceding, without the consent of any holder of notes, the Issuers, the Restricted Subsidiaries, the Guarantors and the trustee may amend or supplement the Indenture, the notes or the Note Guarantees or, subject to the terms of the Intercreditor Agreement, the Collateral Documents:</w:t>
      </w: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provide for the assumption of either Issuers’ or a Guarantor’s obligations to holders of notes and Note Guarantees in the case of a merger or consolidation or sale of all or substantially all of Wynn Las Vegas’ or such Guarantor’s assets, as applicable;</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the Indenture of any such holder;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of the Indenture;</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Note Guarantee with respect to the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thereunder, when:</w:t>
      </w:r>
    </w:p>
    <w:p>
      <w:pPr>
        <w:spacing w:after="0" w:line="113" w:lineRule="exact"/>
        <w:rPr>
          <w:sz w:val="20"/>
          <w:szCs w:val="20"/>
          <w:color w:val="auto"/>
        </w:rPr>
      </w:pPr>
    </w:p>
    <w:p>
      <w:pPr>
        <w:ind w:left="1160" w:hanging="257"/>
        <w:spacing w:after="0"/>
        <w:tabs>
          <w:tab w:leader="none" w:pos="11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920" w:right="100" w:firstLine="421"/>
        <w:spacing w:after="0" w:line="332" w:lineRule="auto"/>
        <w:tabs>
          <w:tab w:leader="none" w:pos="157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4" w:lineRule="exact"/>
        <w:rPr>
          <w:rFonts w:ascii="Arial" w:cs="Arial" w:eastAsia="Arial" w:hAnsi="Arial"/>
          <w:sz w:val="16"/>
          <w:szCs w:val="16"/>
          <w:color w:val="auto"/>
        </w:rPr>
      </w:pPr>
    </w:p>
    <w:p>
      <w:pPr>
        <w:ind w:left="920" w:firstLine="421"/>
        <w:spacing w:after="0" w:line="259" w:lineRule="auto"/>
        <w:tabs>
          <w:tab w:leader="none" w:pos="158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will become due and payable by reason of the mailing of a notice of redemption or otherwise or will become due and payable within one year and the Issuers have or any Guarantor has irrevocably deposited or caused to</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20"/>
          </w:cols>
          <w:pgMar w:left="24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be deposited with the trustee as trust funds in trust solely for the benefit of the holders,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Liquidated Damages, if any, and accrued interest to the date of maturity or redemption;</w:t>
      </w:r>
    </w:p>
    <w:p>
      <w:pPr>
        <w:spacing w:after="0" w:line="32" w:lineRule="exact"/>
        <w:rPr>
          <w:sz w:val="20"/>
          <w:szCs w:val="20"/>
          <w:color w:val="auto"/>
        </w:rPr>
      </w:pPr>
    </w:p>
    <w:p>
      <w:pPr>
        <w:ind w:left="460" w:right="140" w:firstLine="443"/>
        <w:spacing w:after="0" w:line="306"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Default or Event of Default has occurred and is continuing on the date of the deposit or will occur as a result of the deposit (other than a Default or Event of Default resulting from the borrowing of funds to be applied to such deposit) and the deposit will not result in a breach or violation of, or constitute a default under, any other instrument to which either Issuer or any Guarantor is a party or by which either Issuer or any Guarantor is bound;</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Issuers or any Guarantor has paid or caused to be paid all sums payable by the Issuers under the Indenture; and</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on the redemption date, as the case may be.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trustee becomes a creditor of either Issuer or any Guarantor, the Indenture limits the right of the trustee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SEC for permission to continue as trustee (if the Indenture has been qualified under the Trust Indenture Act) or resign.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holders of a majority in aggregate principal amount of the then outstanding notes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person in the conduct of his/her own affairs. Subject to such provisions, the trustee will be under no obligation to exercise any of its rights or powers under the Indenture at the request of any holder of notes, unless such holder has offered to the trustee security and indemnity satisfactory to it against any loss, liability or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Anyone who receives this prospectus may obtain a copy of the Indenture without charge by writing to Wynn Las Vegas, LLC, 3131 Las Vegas Boulevard South, Las Vegas, NV 89109, Attention: Legal Department.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new notes will be issued in the form of one or more notes in global form (the “</w:t>
      </w:r>
      <w:r>
        <w:rPr>
          <w:rFonts w:ascii="Arial" w:cs="Arial" w:eastAsia="Arial" w:hAnsi="Arial"/>
          <w:sz w:val="18"/>
          <w:szCs w:val="18"/>
          <w:i w:val="1"/>
          <w:iCs w:val="1"/>
          <w:color w:val="auto"/>
        </w:rPr>
        <w:t>Global Notes</w:t>
      </w:r>
      <w:r>
        <w:rPr>
          <w:rFonts w:ascii="Arial" w:cs="Arial" w:eastAsia="Arial" w:hAnsi="Arial"/>
          <w:sz w:val="18"/>
          <w:szCs w:val="18"/>
          <w:color w:val="auto"/>
        </w:rPr>
        <w:t>”). The new notes will be issued in minimum denominations of $1,000 and integral multiples of $1,000 in excess of $1,000. The Global Notes will be deposited upon issuance with the trustee as custodian for DTC, in New York, New York, and registered in the name of DTC or its nominee (such nominee being referred to as the “</w:t>
      </w:r>
      <w:r>
        <w:rPr>
          <w:rFonts w:ascii="Arial" w:cs="Arial" w:eastAsia="Arial" w:hAnsi="Arial"/>
          <w:sz w:val="18"/>
          <w:szCs w:val="18"/>
          <w:i w:val="1"/>
          <w:iCs w:val="1"/>
          <w:color w:val="auto"/>
        </w:rPr>
        <w:t>Global Note Holder</w:t>
      </w:r>
      <w:r>
        <w:rPr>
          <w:rFonts w:ascii="Arial" w:cs="Arial" w:eastAsia="Arial" w:hAnsi="Arial"/>
          <w:sz w:val="18"/>
          <w:szCs w:val="18"/>
          <w:color w:val="auto"/>
        </w:rPr>
        <w:t>”), in each case for credit to an account of a direct or indirect participant in DTC as described below.</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Except as set forth below, the Global Notes may be transferred, in whole and not in part, only to another nominee of DTC or to a successor of DTC or its nominee. Beneficial interests in the Global Notes may not be exchanged for new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addition, 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Depository Procedures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Issuers take no responsibility for these operations and procedures and urge investors to contact the system or their participants directly to discuss these matters.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Participants</w:t>
      </w:r>
      <w:r>
        <w:rPr>
          <w:rFonts w:ascii="Arial" w:cs="Arial" w:eastAsia="Arial" w:hAnsi="Arial"/>
          <w:sz w:val="16"/>
          <w:szCs w:val="16"/>
          <w:color w:val="auto"/>
        </w:rPr>
        <w:t>”) and to facilitate the clearance and settlement of transactions in those securities between the Participants through electronic book-entry changes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accounts of its Participants. The Participants include securities brokers and dealers, banks, trust companies, clearing corporations and certain other organizations.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Access to DTC’s system is also available to other entities such as banks, brokers, dealers and trust companies that clear through or maintain a custodial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relationship with a Participant, either directly or indirectly (collectively, the “</w:t>
      </w:r>
      <w:r>
        <w:rPr>
          <w:rFonts w:ascii="Arial" w:cs="Arial" w:eastAsia="Arial" w:hAnsi="Arial"/>
          <w:sz w:val="16"/>
          <w:szCs w:val="16"/>
          <w:i w:val="1"/>
          <w:iCs w:val="1"/>
          <w:color w:val="auto"/>
        </w:rPr>
        <w:t>Indirect Participants</w:t>
      </w:r>
      <w:r>
        <w:rPr>
          <w:rFonts w:ascii="Arial" w:cs="Arial" w:eastAsia="Arial" w:hAnsi="Arial"/>
          <w:sz w:val="16"/>
          <w:szCs w:val="16"/>
          <w:color w:val="auto"/>
        </w:rPr>
        <w:t>”). Persons who are not Participants may beneficially own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or on behalf of DTC only through the Participants or the Indirect Participants. The ownership interests in, and transfers of ownership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each security held by or on behalf of DTC are recorded on the records of the Participants and Indirect Participants.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90" w:lineRule="exact"/>
        <w:rPr>
          <w:sz w:val="20"/>
          <w:szCs w:val="20"/>
          <w:color w:val="auto"/>
        </w:rPr>
      </w:pPr>
    </w:p>
    <w:p>
      <w:pPr>
        <w:ind w:left="460" w:right="540" w:firstLine="443"/>
        <w:spacing w:after="0" w:line="268"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the Participants designated by the initial purchasers with portions of the principal amount of the Global Notes; and</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All interests in a Global Note, including those held through Euroclear or Clearstream, may be subject to the procedures and requirements of DTC. Those interests held through Euroclear or Clearstream may also be subject to the procedures and requirements of such systems. The laws of some states require that certain Persons take physical delivery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37" w:lineRule="exact"/>
        <w:rPr>
          <w:sz w:val="20"/>
          <w:szCs w:val="20"/>
          <w:color w:val="auto"/>
        </w:rPr>
      </w:pPr>
    </w:p>
    <w:p>
      <w:pPr>
        <w:ind w:right="260" w:firstLine="456"/>
        <w:spacing w:after="0" w:line="378" w:lineRule="auto"/>
        <w:rPr>
          <w:sz w:val="20"/>
          <w:szCs w:val="20"/>
          <w:color w:val="auto"/>
        </w:rPr>
      </w:pPr>
      <w:r>
        <w:rPr>
          <w:rFonts w:ascii="Arial" w:cs="Arial" w:eastAsia="Arial" w:hAnsi="Arial"/>
          <w:sz w:val="15"/>
          <w:szCs w:val="15"/>
          <w:b w:val="1"/>
          <w:bCs w:val="1"/>
          <w:color w:val="auto"/>
        </w:rPr>
        <w:t>Except as described below, owners of interests in the Global Notes will not have new notes registered in their names, will not receive physical delivery of new notes in certificated form and will not be considered the registered owners or “holders” thereof under the Indenture for any purpose.</w:t>
      </w:r>
    </w:p>
    <w:p>
      <w:pPr>
        <w:spacing w:after="0" w:line="5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Payments in respect of the principal of, and interest and premium, if any, and Liquidated Damages, if any, on, a Global Note registered in the name of DTC or its nominee will be payable to DTC in its capacity as the registered holder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 w:lineRule="exact"/>
        <w:rPr>
          <w:sz w:val="20"/>
          <w:szCs w:val="20"/>
          <w:color w:val="auto"/>
        </w:rPr>
      </w:pPr>
    </w:p>
    <w:p>
      <w:pPr>
        <w:ind w:left="460" w:right="380" w:firstLine="443"/>
        <w:spacing w:after="0" w:line="259"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 in the Global Notes or for maintaining, supervising or reviewing any of DTC’s records or any Participant’s or Indirect Participant’s records relating to the beneficial ownership interests in the Global Notes;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that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the Participants or the Indirect Participants in identifying the beneficial owners of the notes, and the Issuers and the trustee may conclusively rely on and will be protected in relying on instructions from DTC or its nominee for all purposes.</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8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compliance with the transfer restrictions applicable to the notes described herein, cross-market transfers between the Participants, on the one hand, and Euroclear or Clearstream participants, on the other hand, will be effected through DTC in accordance with DTC’s rules on behalf of Euroclear or Clearstream, as the case may be, by their respective depositaries;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legended notes in certificated form, and to distribute such notes to its Participants.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and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Global Notes for Certificated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Global Note is exchangeable for Certificated Notes if:</w:t>
      </w:r>
    </w:p>
    <w:p>
      <w:pPr>
        <w:spacing w:after="0" w:line="90" w:lineRule="exact"/>
        <w:rPr>
          <w:sz w:val="20"/>
          <w:szCs w:val="20"/>
          <w:color w:val="auto"/>
        </w:rPr>
      </w:pPr>
    </w:p>
    <w:p>
      <w:pPr>
        <w:ind w:left="460" w:right="12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DTC (a) notifies the Issuers that it is unwilling or unable to continue as depositary for the Global Notes or (b) has ceased to be a clearing agency registered under the Exchange Act and, in either case, the Issuers fail to appoint a successor depositary;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Issuers, at their option, notify the trustee in writing that they elect to cause the issuance of the Certificated Notes;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has occurred and is continuing a Default or Event of Default with respect to the notes.</w:t>
      </w:r>
    </w:p>
    <w:p>
      <w:pPr>
        <w:spacing w:after="0" w:line="171"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Exchange of Certificated Notes for Global Notes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Certificated Notes may not be exchanged for beneficial interests in any Global Note unless the transferor first delivers to the trustee a written certificate (in the form provided in the Indenture) to the effect that such transfer will comply with the appropriate transfer restrictions applicable to such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Same Day Settlement and Payment</w:t>
      </w:r>
    </w:p>
    <w:p>
      <w:pPr>
        <w:spacing w:after="0" w:line="9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6"/>
          <w:szCs w:val="16"/>
          <w:color w:val="auto"/>
        </w:rPr>
        <w:t>The Issuers will make payments in respect of the notes represented by the Global Notes (including principal, premium, if any, interest and Liquidated Damages, if any) by wire transfer of immediately available funds to the accounts specified by DTC or its nominee. The Issuers will make all payments of principal, interest and premium, if any, and Liquidated Damages, if any, with respect to Certificated Notes by wire transfer of immediately available funds to the accounts specified by the holders of the Certificated Notes or, if no such account is specified, by mailing a check to each such holder’s registered address. The</w:t>
      </w:r>
    </w:p>
    <w:p>
      <w:pPr>
        <w:ind w:right="140"/>
        <w:spacing w:after="0" w:line="238" w:lineRule="auto"/>
        <w:rPr>
          <w:sz w:val="20"/>
          <w:szCs w:val="20"/>
          <w:color w:val="auto"/>
        </w:rPr>
      </w:pPr>
      <w:r>
        <w:rPr>
          <w:rFonts w:ascii="Arial" w:cs="Arial" w:eastAsia="Arial" w:hAnsi="Arial"/>
          <w:sz w:val="17"/>
          <w:szCs w:val="17"/>
          <w:color w:val="auto"/>
        </w:rPr>
        <w:t>notes represented by the Global Notes are expected to be eligible to trade in The PORTAL</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Market and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time zone differences, the securities account of a Euroclear or Clearstream participant purchasing an interest in a Global Note from a Participant will be credited, and any such crediting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will be received with value on the settlement date of DTC but will be available in the relevant Euroclear or Clearstream cash account only as of the business day for Euroclear or Clearstream following DTC’s settlement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 Easement Agreement</w:t>
      </w:r>
      <w:r>
        <w:rPr>
          <w:rFonts w:ascii="Arial" w:cs="Arial" w:eastAsia="Arial" w:hAnsi="Arial"/>
          <w:sz w:val="18"/>
          <w:szCs w:val="18"/>
          <w:color w:val="auto"/>
        </w:rPr>
        <w:t>” means that certain Access Easement Agreement, dated as of the date of the Indenture, by and between Wynn Golf and Wynn Las Vegas, as amended, modified or otherwise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jc w:val="both"/>
        <w:ind w:left="460" w:right="120" w:firstLine="443"/>
        <w:spacing w:after="0" w:line="259"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Restricted Subsidiary of, such specified Person; and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Indebtedness secured by a Lien encumbering any asset acquired by such specified Person at the time such asset is acquired by such specified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Entertainment Facility</w:t>
      </w:r>
      <w:r>
        <w:rPr>
          <w:rFonts w:ascii="Arial" w:cs="Arial" w:eastAsia="Arial" w:hAnsi="Arial"/>
          <w:sz w:val="18"/>
          <w:szCs w:val="18"/>
          <w:color w:val="auto"/>
        </w:rPr>
        <w:t>” means a showroom or entertainment facility adjoining the Wynn Las Vegas hotel and casino resort on the Project Site other than the Entertainment Facility.</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beneficial ownership of 10% or more of the Voting Stock of a Person will be deemed to be control. For purposes of this definition, the terms “controlling,” “controlled by” and “under common control with” have correlative meanings.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Wynn IP Agreement,</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any manner that is not in contravention of the covenants described above under the captions “—Certain Covenants—Transactions with Affiliates” and “—Certain Covenant—Amendments to Certain Agreements.”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w:t>
      </w:r>
      <w:r>
        <w:rPr>
          <w:rFonts w:ascii="Arial" w:cs="Arial" w:eastAsia="Arial" w:hAnsi="Arial"/>
          <w:sz w:val="16"/>
          <w:szCs w:val="16"/>
          <w:color w:val="auto"/>
        </w:rPr>
        <w:t>” means that certain 1999 Boeing 737-79U Business Jet aircraft bearing manufacturer’s serial number 29441 and United States Federal Aviation Administration Number N88WZ, together with engines attached thereto, owned by a trust of which World Travel, LLC is the beneficial interest holder.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 that certain promissory note, dated as of October 30, 2002, issued by World Travel, LLC in favor of Wynn Las Vegas in an aggregate principal amount of $38.0 million.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with respect to each Qualifying Project,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the Affiliate Agreements or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 The amount of Allocable Overhead payable during any 12-month period shall not exceed 2% of Net Revenues of Wynn Las Vegas and its Restricted Subsidiaries for such period of four full consecutive fiscal quarters.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Art Rental and Licensing Agreement</w:t>
      </w:r>
      <w:r>
        <w:rPr>
          <w:rFonts w:ascii="Arial" w:cs="Arial" w:eastAsia="Arial" w:hAnsi="Arial"/>
          <w:sz w:val="16"/>
          <w:szCs w:val="16"/>
          <w:color w:val="auto"/>
        </w:rPr>
        <w:t>” means the Third Amended and Restated Art Rental and Licensing Agreement, dated as of August 6, 2004, by and between Stephen A. Wynn and Wynn Las Vegas, as amended, modified or otherwise supplemented from time to time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issuance of Equity Interests by Wynn Capital or any of the Restricted Subsidiaries or the sale of Equity Interests in Wynn Capital or any of the Restricted Subsidiaries.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Notwithstanding the above, the sale, conveyance or other disposition of all or substantially all of the assets of Wynn Las Vegas and its Restricted Subsidiaries, taken as a whole, will be governed by the provisions of the Indenture described above under the caption “—Repurchase at the Option of Holders— Change of Control” and the provisions described above under the caption “—Certain Covenants—Merger, Consolidation or Sale of Assets” and not by the provisions of the Asset Sale covenant.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none of the following items will be deemed to be an Asset Sale (except for purposes of the definition of “Consolidated Cash Flow”) (such items, “</w:t>
      </w:r>
      <w:r>
        <w:rPr>
          <w:rFonts w:ascii="Arial" w:cs="Arial" w:eastAsia="Arial" w:hAnsi="Arial"/>
          <w:sz w:val="18"/>
          <w:szCs w:val="18"/>
          <w:i w:val="1"/>
          <w:iCs w:val="1"/>
          <w:color w:val="auto"/>
        </w:rPr>
        <w:t>Permitted Dispositions</w:t>
      </w:r>
      <w:r>
        <w:rPr>
          <w:rFonts w:ascii="Arial" w:cs="Arial" w:eastAsia="Arial" w:hAnsi="Arial"/>
          <w:sz w:val="18"/>
          <w:szCs w:val="18"/>
          <w:color w:val="auto"/>
        </w:rPr>
        <w:t>”):</w:t>
      </w:r>
    </w:p>
    <w:p>
      <w:pPr>
        <w:spacing w:after="0" w:line="51" w:lineRule="exact"/>
        <w:rPr>
          <w:sz w:val="20"/>
          <w:szCs w:val="20"/>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$3.0 million;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by (i) any Restricted Subsidiary that is not a Guarantor to (ii) any Restricted Subsidiary that is a Guarantor.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48"/>
        </w:numPr>
        <w:rPr>
          <w:rFonts w:ascii="Arial" w:cs="Arial" w:eastAsia="Arial" w:hAnsi="Arial"/>
          <w:sz w:val="15"/>
          <w:szCs w:val="15"/>
          <w:color w:val="auto"/>
        </w:rPr>
      </w:pPr>
      <w:r>
        <w:rPr>
          <w:rFonts w:ascii="Arial" w:cs="Arial" w:eastAsia="Arial" w:hAnsi="Arial"/>
          <w:sz w:val="15"/>
          <w:szCs w:val="15"/>
          <w:color w:val="auto"/>
        </w:rPr>
        <w:t>an issuance of Equity Interests by Wynn Las Vegas or any of the Restricted Subsidiaries to Wynn Las Vegas or any of its Restricted Subsidiaries;</w:t>
      </w:r>
    </w:p>
    <w:p>
      <w:pPr>
        <w:spacing w:after="0" w:line="124" w:lineRule="exact"/>
        <w:rPr>
          <w:rFonts w:ascii="Arial" w:cs="Arial" w:eastAsia="Arial" w:hAnsi="Arial"/>
          <w:sz w:val="15"/>
          <w:szCs w:val="15"/>
          <w:color w:val="auto"/>
        </w:rPr>
      </w:pPr>
    </w:p>
    <w:p>
      <w:pPr>
        <w:ind w:left="1160" w:hanging="257"/>
        <w:spacing w:after="0"/>
        <w:tabs>
          <w:tab w:leader="none" w:pos="11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or any of the Restricted Subsidiaries;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 Restricted Payments”;</w:t>
      </w:r>
    </w:p>
    <w:p>
      <w:pPr>
        <w:spacing w:after="0" w:line="50" w:lineRule="exact"/>
        <w:rPr>
          <w:rFonts w:ascii="Arial" w:cs="Arial" w:eastAsia="Arial" w:hAnsi="Arial"/>
          <w:sz w:val="18"/>
          <w:szCs w:val="18"/>
          <w:color w:val="auto"/>
        </w:rPr>
      </w:pPr>
    </w:p>
    <w:p>
      <w:pPr>
        <w:ind w:left="460" w:right="720" w:firstLine="443"/>
        <w:spacing w:after="0" w:line="332" w:lineRule="auto"/>
        <w:tabs>
          <w:tab w:leader="none" w:pos="114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or any of the Restricted Subsidiaries in such exchanges does not exceed $20.0 million in the aggregate in any calendar year;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dedication of space within the Projects as necessary for the development of the Projects and as permitted by the Collateral Documents;</w:t>
      </w:r>
    </w:p>
    <w:p>
      <w:pPr>
        <w:spacing w:after="0" w:line="113" w:lineRule="exact"/>
        <w:rPr>
          <w:rFonts w:ascii="Arial" w:cs="Arial" w:eastAsia="Arial" w:hAnsi="Arial"/>
          <w:sz w:val="16"/>
          <w:szCs w:val="16"/>
          <w:color w:val="auto"/>
        </w:rPr>
      </w:pPr>
    </w:p>
    <w:p>
      <w:pPr>
        <w:ind w:left="460" w:right="340" w:firstLine="443"/>
        <w:spacing w:after="0" w:line="332" w:lineRule="auto"/>
        <w:tabs>
          <w:tab w:leader="none" w:pos="123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4" w:lineRule="exact"/>
        <w:rPr>
          <w:rFonts w:ascii="Arial" w:cs="Arial" w:eastAsia="Arial" w:hAnsi="Arial"/>
          <w:sz w:val="16"/>
          <w:szCs w:val="16"/>
          <w:color w:val="auto"/>
        </w:rPr>
      </w:pPr>
    </w:p>
    <w:p>
      <w:pPr>
        <w:ind w:left="460" w:right="80" w:firstLine="443"/>
        <w:spacing w:after="0" w:line="305" w:lineRule="auto"/>
        <w:tabs>
          <w:tab w:leader="none" w:pos="1228"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the transfer or sale or disposition of any Released Assets or Aircraft Assets;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revenues in excess of $10.0 million (in the aggregate) generated by sales, leases or other dispositions of any assets in connection with (i) any timeshare, interval ownership or similar development or</w:t>
      </w:r>
    </w:p>
    <w:p>
      <w:pPr>
        <w:ind w:left="460" w:right="60" w:firstLine="4"/>
        <w:spacing w:after="0" w:line="261" w:lineRule="auto"/>
        <w:tabs>
          <w:tab w:leader="none" w:pos="71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condominium or similar development with respect to the Phase III Project, shall constitute Asset Sales and shall be disposed of in accordance with the covenant described above under the caption “—Repurchase at the Option of Holders—Asset Sales”;</w:t>
      </w:r>
    </w:p>
    <w:p>
      <w:pPr>
        <w:spacing w:after="0" w:line="56" w:lineRule="exact"/>
        <w:rPr>
          <w:rFonts w:ascii="Arial" w:cs="Arial" w:eastAsia="Arial" w:hAnsi="Arial"/>
          <w:sz w:val="18"/>
          <w:szCs w:val="18"/>
          <w:color w:val="auto"/>
        </w:rPr>
      </w:pPr>
    </w:p>
    <w:p>
      <w:pPr>
        <w:ind w:left="1240" w:hanging="337"/>
        <w:spacing w:after="0"/>
        <w:tabs>
          <w:tab w:leader="none" w:pos="12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and the Restricted Subsidiaries pursuant to any Affiliate Agreement;</w:t>
      </w:r>
    </w:p>
    <w:p>
      <w:pPr>
        <w:spacing w:after="0" w:line="90" w:lineRule="exact"/>
        <w:rPr>
          <w:rFonts w:ascii="Arial" w:cs="Arial" w:eastAsia="Arial" w:hAnsi="Arial"/>
          <w:sz w:val="18"/>
          <w:szCs w:val="18"/>
          <w:color w:val="auto"/>
        </w:rPr>
      </w:pPr>
    </w:p>
    <w:p>
      <w:pPr>
        <w:ind w:left="460" w:right="60" w:firstLine="443"/>
        <w:spacing w:after="0" w:line="255" w:lineRule="auto"/>
        <w:tabs>
          <w:tab w:leader="none" w:pos="123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or any of its Restricted Subsidiaries shall be treated as if they were Net Proceeds of an Asset Sale and applied in accordance with the covenant described above under the caption “—Repurchase at the Option of Holders— Asset Sales”;</w:t>
      </w:r>
    </w:p>
    <w:p>
      <w:pPr>
        <w:spacing w:after="0" w:line="61" w:lineRule="exact"/>
        <w:rPr>
          <w:rFonts w:ascii="Arial" w:cs="Arial" w:eastAsia="Arial" w:hAnsi="Arial"/>
          <w:sz w:val="18"/>
          <w:szCs w:val="18"/>
          <w:color w:val="auto"/>
        </w:rPr>
      </w:pPr>
    </w:p>
    <w:p>
      <w:pPr>
        <w:ind w:left="460" w:firstLine="443"/>
        <w:spacing w:after="0" w:line="256" w:lineRule="auto"/>
        <w:tabs>
          <w:tab w:leader="none" w:pos="1235" w:val="left"/>
        </w:tabs>
        <w:numPr>
          <w:ilvl w:val="1"/>
          <w:numId w:val="149"/>
        </w:numPr>
        <w:rPr>
          <w:rFonts w:ascii="Arial" w:cs="Arial" w:eastAsia="Arial" w:hAnsi="Arial"/>
          <w:sz w:val="18"/>
          <w:szCs w:val="18"/>
          <w:color w:val="auto"/>
        </w:rPr>
      </w:pPr>
      <w:r>
        <w:rPr>
          <w:rFonts w:ascii="Arial" w:cs="Arial" w:eastAsia="Arial" w:hAnsi="Arial"/>
          <w:sz w:val="18"/>
          <w:szCs w:val="18"/>
          <w:color w:val="auto"/>
        </w:rPr>
        <w:t>Government Transfers or Permitted Liens of the type described in clause (12) of the definition of “Permitted Liens,” so long as the net proceeds, if any, of any such disposition received by Wynn Las Vegas or any of the Restricted Subsidiaries in respect thereof shall be treated as if they were Net Proceeds of an Asset Sale and applied in accordance with the covenant described above under the caption “—Repurchase at the Option of Holders—Asset Sales”; and</w:t>
      </w:r>
    </w:p>
    <w:p>
      <w:pPr>
        <w:spacing w:after="0" w:line="62" w:lineRule="exact"/>
        <w:rPr>
          <w:rFonts w:ascii="Arial" w:cs="Arial" w:eastAsia="Arial" w:hAnsi="Arial"/>
          <w:sz w:val="18"/>
          <w:szCs w:val="18"/>
          <w:color w:val="auto"/>
        </w:rPr>
      </w:pPr>
    </w:p>
    <w:p>
      <w:pPr>
        <w:ind w:left="1240" w:hanging="337"/>
        <w:spacing w:after="0"/>
        <w:tabs>
          <w:tab w:leader="none" w:pos="12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transfers, leases or other dispositions of the Koval Land or any portion of or interest in the Koval Land.</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Notwithstanding the foregoing, any sale of assets which requires a mandatory prepayment of amounts outstanding (or the mandatory reduction of commitments thereunder) under the Credit Agreement shall constitute an Asset Sale for purposes of the Indenture.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80"/>
          </w:cols>
          <w:pgMar w:left="240" w:top="459" w:right="2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xml:space="preserve">”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sale and leaseback transaction results in a Capital Lease Obligation, the amount of Indebtedness represented thereby will be determined in accordance with the definition of “Capital Lease Obligation.”</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90" w:lineRule="exact"/>
        <w:rPr>
          <w:rFonts w:ascii="Arial" w:cs="Arial" w:eastAsia="Arial" w:hAnsi="Arial"/>
          <w:sz w:val="18"/>
          <w:szCs w:val="18"/>
          <w:color w:val="auto"/>
        </w:rPr>
      </w:pPr>
    </w:p>
    <w:p>
      <w:pPr>
        <w:ind w:left="460" w:right="560" w:firstLine="443"/>
        <w:spacing w:after="0" w:line="268" w:lineRule="auto"/>
        <w:tabs>
          <w:tab w:leader="none" w:pos="114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a limited liability company, the Person or Persons who are the managing member, members or managers or any controlling committee or managing members or managers thereof;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90" w:lineRule="exact"/>
        <w:rPr>
          <w:rFonts w:ascii="Arial" w:cs="Arial" w:eastAsia="Arial" w:hAnsi="Arial"/>
          <w:sz w:val="18"/>
          <w:szCs w:val="18"/>
          <w:color w:val="auto"/>
        </w:rPr>
      </w:pPr>
    </w:p>
    <w:p>
      <w:pPr>
        <w:ind w:left="460" w:right="30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a partnership or limited liability company, partnership interests (whether general or limited) or membership interests (whether general or limited); and</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90"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full faith and credit of the United States is pledged in support of those securities) having maturities of not more than six months from the date of acquisition;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firstLine="443"/>
        <w:spacing w:after="0" w:line="306"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certificates of deposit and Eurodollar time deposits with maturities of six months or less from the date of acquisition, bankers’ acceptances with maturities not exceeding six months and overnight bank deposits, in each case, with any lender party to the Credit Agreement or with any domestic commercial bank having capital and surplus in excess of $500.0 million and a Thomson Bank Watch Rating of “B” or better;</w:t>
      </w:r>
    </w:p>
    <w:p>
      <w:pPr>
        <w:spacing w:after="0" w:line="25" w:lineRule="exact"/>
        <w:rPr>
          <w:rFonts w:ascii="Arial" w:cs="Arial" w:eastAsia="Arial" w:hAnsi="Arial"/>
          <w:sz w:val="16"/>
          <w:szCs w:val="16"/>
          <w:color w:val="auto"/>
        </w:rPr>
      </w:pPr>
    </w:p>
    <w:p>
      <w:pPr>
        <w:ind w:left="460" w:right="50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commercial paper having one of the two highest ratings obtainable from Moody’s or S&amp;P and, in each case, maturing within six months after the date of acquisition;</w:t>
      </w:r>
    </w:p>
    <w:p>
      <w:pPr>
        <w:spacing w:after="0" w:line="5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money market funds at least 95% of the assets of which constitute Cash Equivalents of the kinds described in clauses (1) through (5) of this definition;</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extent not permitted in clauses (1) through (6) of this definition, Permitted Securities; and</w:t>
      </w:r>
    </w:p>
    <w:p>
      <w:pPr>
        <w:spacing w:after="0" w:line="90" w:lineRule="exact"/>
        <w:rPr>
          <w:rFonts w:ascii="Arial" w:cs="Arial" w:eastAsia="Arial" w:hAnsi="Arial"/>
          <w:sz w:val="18"/>
          <w:szCs w:val="18"/>
          <w:color w:val="auto"/>
        </w:rPr>
      </w:pPr>
    </w:p>
    <w:p>
      <w:pPr>
        <w:ind w:left="460" w:right="460" w:firstLine="443"/>
        <w:spacing w:after="0" w:line="268"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the extent not included in clauses (1) through (7) of this definition, funds managed or offered by the Trustee that invest exclusively in the securities and instruments described in clauses (1) through (7)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jc w:val="both"/>
        <w:ind w:left="460" w:right="220" w:firstLine="443"/>
        <w:spacing w:after="0" w:line="306" w:lineRule="auto"/>
        <w:tabs>
          <w:tab w:leader="none" w:pos="114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Wynn Las Vegas and its Restricted Subsidiaries, taken as a whole, to any “person” (as that term is used in Section 13(d)(3) of the Exchange Act), other than to the Principal or a Related Party of the Principal;</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90" w:lineRule="exact"/>
        <w:rPr>
          <w:rFonts w:ascii="Arial" w:cs="Arial" w:eastAsia="Arial" w:hAnsi="Arial"/>
          <w:sz w:val="18"/>
          <w:szCs w:val="18"/>
          <w:color w:val="auto"/>
        </w:rPr>
      </w:pPr>
    </w:p>
    <w:p>
      <w:pPr>
        <w:ind w:left="920" w:right="220" w:firstLine="421"/>
        <w:spacing w:after="0" w:line="259" w:lineRule="auto"/>
        <w:tabs>
          <w:tab w:leader="none" w:pos="157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 of the outstanding Voting Stock of Wynn Resorts, measured by voting power rather than number of equity interests;</w:t>
      </w:r>
    </w:p>
    <w:p>
      <w:pPr>
        <w:spacing w:after="0" w:line="59" w:lineRule="exact"/>
        <w:rPr>
          <w:rFonts w:ascii="Arial" w:cs="Arial" w:eastAsia="Arial" w:hAnsi="Arial"/>
          <w:sz w:val="18"/>
          <w:szCs w:val="18"/>
          <w:color w:val="auto"/>
        </w:rPr>
      </w:pPr>
    </w:p>
    <w:p>
      <w:pPr>
        <w:ind w:left="920" w:right="80" w:firstLine="421"/>
        <w:spacing w:after="0" w:line="253" w:lineRule="auto"/>
        <w:tabs>
          <w:tab w:leader="none" w:pos="158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Kazuo Okada, Aruze USA and Aruze Corp., so long as (i) the Stockholders Agreement, as in effect on the date of the Indenture, remains in full force and effect, (ii) a majority of the Board of Directors of Wynn Resorts is constituted of Persons named on any slate of directors chosen by the Principal and Aruze USA pursuant to the Stockholders Agreement, as in effect on the date of the Indenture, and (iii)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64" w:lineRule="exact"/>
        <w:rPr>
          <w:rFonts w:ascii="Arial" w:cs="Arial" w:eastAsia="Arial" w:hAnsi="Arial"/>
          <w:sz w:val="18"/>
          <w:szCs w:val="18"/>
          <w:color w:val="auto"/>
        </w:rPr>
      </w:pPr>
    </w:p>
    <w:p>
      <w:pPr>
        <w:ind w:left="920" w:firstLine="421"/>
        <w:spacing w:after="0" w:line="268" w:lineRule="auto"/>
        <w:tabs>
          <w:tab w:leader="none" w:pos="1579" w:val="left"/>
        </w:tabs>
        <w:numPr>
          <w:ilvl w:val="1"/>
          <w:numId w:val="154"/>
        </w:numPr>
        <w:rPr>
          <w:rFonts w:ascii="Arial" w:cs="Arial" w:eastAsia="Arial" w:hAnsi="Arial"/>
          <w:sz w:val="18"/>
          <w:szCs w:val="18"/>
          <w:color w:val="auto"/>
        </w:rPr>
      </w:pPr>
      <w:r>
        <w:rPr>
          <w:rFonts w:ascii="Arial" w:cs="Arial" w:eastAsia="Arial" w:hAnsi="Arial"/>
          <w:sz w:val="18"/>
          <w:szCs w:val="18"/>
          <w:color w:val="auto"/>
        </w:rPr>
        <w:t>prior to the earlier of (i) the Phase II Opening Date or (ii) December 31, 2007, the Principal and his Related Parties as a group own less than 80% of the outstanding Voting Stock of Wynn Resorts owned by such group as of the date of the Indenture; or</w:t>
      </w:r>
    </w:p>
    <w:p>
      <w:pPr>
        <w:spacing w:after="0" w:line="50" w:lineRule="exact"/>
        <w:rPr>
          <w:rFonts w:ascii="Arial" w:cs="Arial" w:eastAsia="Arial" w:hAnsi="Arial"/>
          <w:sz w:val="18"/>
          <w:szCs w:val="18"/>
          <w:color w:val="auto"/>
        </w:rPr>
      </w:pPr>
    </w:p>
    <w:p>
      <w:pPr>
        <w:ind w:left="920" w:right="340" w:firstLine="421"/>
        <w:spacing w:after="0" w:line="332" w:lineRule="auto"/>
        <w:tabs>
          <w:tab w:leader="none" w:pos="158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prior to the earlier of (i) the Phase II Opening Date or (ii) December 31, 2007, the Principal and his Related Parties as a group own less than 10% of the outstanding Voting Stock of Wynn Resorts, measured by voting power rather than number of equity interests;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first day before the earlier of (i) the Phase II Opening Date or (ii) December 31, 2007, on which the Principal does not act as either the chairman of the Board of Directors or the chief executive officer of Wynn Resorts, other than (A) as a result of death or disability or (B) if the Board of Directors of Wynn Resorts, exercising their fiduciary duties in good faith, removes or fails to re-appoint the Principal as chairman of the Board of Directors or chief executive officer of Wynn Resorts;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Capital are not Continuing Directors;</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113" w:lineRule="exact"/>
        <w:rPr>
          <w:rFonts w:ascii="Arial" w:cs="Arial" w:eastAsia="Arial" w:hAnsi="Arial"/>
          <w:sz w:val="16"/>
          <w:szCs w:val="16"/>
          <w:color w:val="auto"/>
        </w:rPr>
      </w:pPr>
    </w:p>
    <w:p>
      <w:pPr>
        <w:ind w:left="460" w:right="100" w:firstLine="443"/>
        <w:spacing w:after="0" w:line="291" w:lineRule="auto"/>
        <w:tabs>
          <w:tab w:leader="none" w:pos="1147"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that term in the Indenture governing the notes.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owned on the date of the Indenture or thereafter acquired, of either Issuer, any Guarantor, any Restricted Subsidiary or any other Person, to the extent such assets are pledged or assigned or purported to be pledged or assigned, or are required to be pledged or assigned under the Indenture or the Collateral Documents to the trustee, including the Primary Note Collateral, together with the proceeds and products thereof (including, without limitation, the proceeds of Asset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Security Agreements,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Intercreditor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Disbursement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Completion Guaranty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Local Bank Collateral Account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Control Agreements,</w:t>
      </w:r>
    </w:p>
    <w:p>
      <w:pPr>
        <w:spacing w:after="0" w:line="90" w:lineRule="exact"/>
        <w:rPr>
          <w:rFonts w:ascii="Arial" w:cs="Arial" w:eastAsia="Arial" w:hAnsi="Arial"/>
          <w:sz w:val="18"/>
          <w:szCs w:val="18"/>
          <w:color w:val="auto"/>
        </w:rPr>
      </w:pPr>
    </w:p>
    <w:p>
      <w:pPr>
        <w:ind w:left="1240" w:hanging="337"/>
        <w:spacing w:after="0"/>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90" w:lineRule="exact"/>
        <w:rPr>
          <w:rFonts w:ascii="Arial" w:cs="Arial" w:eastAsia="Arial" w:hAnsi="Arial"/>
          <w:sz w:val="18"/>
          <w:szCs w:val="18"/>
          <w:color w:val="auto"/>
        </w:rPr>
      </w:pPr>
    </w:p>
    <w:p>
      <w:pPr>
        <w:ind w:left="460" w:right="220" w:firstLine="443"/>
        <w:spacing w:after="0" w:line="259" w:lineRule="auto"/>
        <w:tabs>
          <w:tab w:leader="none" w:pos="12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 in each case, as amended, modified or otherwise supplemented from time to time in accordance with their respective terms and with the Indenture and the Collateral Documents.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Collateral Release Period</w:t>
      </w:r>
      <w:r>
        <w:rPr>
          <w:rFonts w:ascii="Arial" w:cs="Arial" w:eastAsia="Arial" w:hAnsi="Arial"/>
          <w:sz w:val="16"/>
          <w:szCs w:val="16"/>
          <w:color w:val="auto"/>
        </w:rPr>
        <w:t>” means any period of the time while the notes remain outstanding during which the Holders’ security interest in all of the Collateral is released in accordance with the conditions described above under the caption “—Security—Release of Collateral.”</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w:t>
      </w:r>
      <w:r>
        <w:rPr>
          <w:rFonts w:ascii="Arial" w:cs="Arial" w:eastAsia="Arial" w:hAnsi="Arial"/>
          <w:sz w:val="18"/>
          <w:szCs w:val="18"/>
          <w:color w:val="auto"/>
        </w:rPr>
        <w:t>” means the Completion Guarantee, dated as of the date of the Indenture, by the Completion Guarantor in favor of the trustee and the agent under the Credit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Guarantee Release Date</w:t>
      </w:r>
      <w:r>
        <w:rPr>
          <w:rFonts w:ascii="Arial" w:cs="Arial" w:eastAsia="Arial" w:hAnsi="Arial"/>
          <w:sz w:val="18"/>
          <w:szCs w:val="18"/>
          <w:color w:val="auto"/>
        </w:rPr>
        <w:t>” means the date on which the Completion Guarantee Release Conditions are satisfied.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 Release Conditions</w:t>
      </w:r>
      <w:r>
        <w:rPr>
          <w:rFonts w:ascii="Arial" w:cs="Arial" w:eastAsia="Arial" w:hAnsi="Arial"/>
          <w:sz w:val="16"/>
          <w:szCs w:val="16"/>
          <w:color w:val="auto"/>
        </w:rPr>
        <w:t>” has the meaning given the term “Completion Guaranty Release Conditions” in the Disbursement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Guarantor</w:t>
      </w:r>
      <w:r>
        <w:rPr>
          <w:rFonts w:ascii="Arial" w:cs="Arial" w:eastAsia="Arial" w:hAnsi="Arial"/>
          <w:sz w:val="18"/>
          <w:szCs w:val="18"/>
          <w:color w:val="auto"/>
        </w:rPr>
        <w:t>” means Wynn Completion Guarantor, LLC, a Nevada limited liability company.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Guaranty Collateral Account Agreement</w:t>
      </w:r>
      <w:r>
        <w:rPr>
          <w:rFonts w:ascii="Arial" w:cs="Arial" w:eastAsia="Arial" w:hAnsi="Arial"/>
          <w:sz w:val="18"/>
          <w:szCs w:val="18"/>
          <w:color w:val="auto"/>
        </w:rPr>
        <w:t>” means the Completion Guaranty Collateral Account Agreement, dated as of the date of the Indenture, among the Completion Guarantor, the securities intermediary named therein and the collateral agent, as amended, modified or otherwise supplemented from time to time in accordance with its terms and with the Indenture and the Collateral Documents.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Cash Flow</w:t>
      </w:r>
      <w:r>
        <w:rPr>
          <w:rFonts w:ascii="Arial" w:cs="Arial" w:eastAsia="Arial" w:hAnsi="Arial"/>
          <w:sz w:val="18"/>
          <w:szCs w:val="18"/>
          <w:color w:val="auto"/>
        </w:rPr>
        <w:t xml:space="preserve">” means, with respect to any specified Person for any period, the Consolidated Net Income of such Person for such period </w:t>
      </w:r>
      <w:r>
        <w:rPr>
          <w:rFonts w:ascii="Arial" w:cs="Arial" w:eastAsia="Arial" w:hAnsi="Arial"/>
          <w:sz w:val="18"/>
          <w:szCs w:val="18"/>
          <w:i w:val="1"/>
          <w:iCs w:val="1"/>
          <w:color w:val="auto"/>
        </w:rPr>
        <w:t>plus</w:t>
      </w:r>
      <w:r>
        <w:rPr>
          <w:rFonts w:ascii="Arial" w:cs="Arial" w:eastAsia="Arial" w:hAnsi="Arial"/>
          <w:sz w:val="18"/>
          <w:szCs w:val="18"/>
          <w:color w:val="auto"/>
        </w:rPr>
        <w:t>, without duplication:</w:t>
      </w:r>
    </w:p>
    <w:p>
      <w:pPr>
        <w:spacing w:after="0" w:line="51" w:lineRule="exact"/>
        <w:rPr>
          <w:sz w:val="20"/>
          <w:szCs w:val="20"/>
          <w:color w:val="auto"/>
        </w:rPr>
      </w:pPr>
    </w:p>
    <w:p>
      <w:pPr>
        <w:ind w:left="460" w:right="24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amount equal to any extraordinary loss plus any net loss realized by such Person or any of its Restricted Subsidiaries in connection with an Asset Sale, to the extent such losses were deducted in computing such Consolidated Net Income; plus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460" w:right="140" w:firstLine="443"/>
        <w:spacing w:after="0" w:line="254"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63"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31"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pre-opening expenses, to the extent such pre-opening expenses were deducted in calculating Consolidated Net Income on a consolidated basis; </w:t>
      </w:r>
      <w:r>
        <w:rPr>
          <w:rFonts w:ascii="Arial" w:cs="Arial" w:eastAsia="Arial" w:hAnsi="Arial"/>
          <w:sz w:val="18"/>
          <w:szCs w:val="18"/>
          <w:i w:val="1"/>
          <w:iCs w:val="1"/>
          <w:color w:val="auto"/>
        </w:rPr>
        <w:t>plus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period, other than the accrual of revenue in the ordinary course of business, in each case, on a consolidated basis and determined in accordance with GAAP.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16"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EBITDA</w:t>
      </w:r>
      <w:r>
        <w:rPr>
          <w:rFonts w:ascii="Arial" w:cs="Arial" w:eastAsia="Arial" w:hAnsi="Arial"/>
          <w:sz w:val="16"/>
          <w:szCs w:val="16"/>
          <w:color w:val="auto"/>
        </w:rPr>
        <w:t>” means, with respect to any specified Person for any period, the consolidated net income of such Person and its Subsidiaries for such period plus, without duplication and to the extent reflected as a charge in the statement of such consolidated net income for such period, the sum of</w:t>
      </w:r>
    </w:p>
    <w:p>
      <w:pPr>
        <w:ind w:firstLine="8"/>
        <w:spacing w:after="0" w:line="307" w:lineRule="auto"/>
        <w:tabs>
          <w:tab w:leader="none" w:pos="239"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income tax expense or the Tax Amount (whether or not paid during such period), (b) 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 expenses or losses (and, whether or not otherwise includable as separate items in the statement of such consolidated net income for such period, non-cash losses on sales of assets outside of the ordinary course of business and pre-opening expenses related to (i) the initial opening of the Phase II Project (such pre-opening expenses to be no greater than that set forth in the Phase II Project Budget) and (ii)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1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Member</w:t>
      </w:r>
      <w:r>
        <w:rPr>
          <w:rFonts w:ascii="Arial" w:cs="Arial" w:eastAsia="Arial" w:hAnsi="Arial"/>
          <w:sz w:val="18"/>
          <w:szCs w:val="18"/>
          <w:color w:val="auto"/>
        </w:rPr>
        <w:t>” means a Person that joins (or would join upon the consummation of a Permitted C-Corp. Conversion) in the filing of a consolidated, combined or unitary tax return for United States federal, state or local income or franchise tax purposes with Wynn Resorts, Limited, which Person is Wynn Las Vegas, the Completion Guarantor, or any of their respective Subsidiaries.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Net Income</w:t>
      </w:r>
      <w:r>
        <w:rPr>
          <w:rFonts w:ascii="Arial" w:cs="Arial" w:eastAsia="Arial" w:hAnsi="Arial"/>
          <w:sz w:val="16"/>
          <w:szCs w:val="16"/>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4" w:lineRule="exact"/>
        <w:rPr>
          <w:sz w:val="20"/>
          <w:szCs w:val="20"/>
          <w:color w:val="auto"/>
        </w:rPr>
      </w:pPr>
    </w:p>
    <w:p>
      <w:pPr>
        <w:ind w:left="460" w:right="80" w:firstLine="443"/>
        <w:spacing w:after="0" w:line="259"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(but not loss) of any Person that is not a Restricted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59"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62" w:lineRule="exact"/>
        <w:rPr>
          <w:rFonts w:ascii="Arial" w:cs="Arial" w:eastAsia="Arial" w:hAnsi="Arial"/>
          <w:sz w:val="18"/>
          <w:szCs w:val="18"/>
          <w:color w:val="auto"/>
        </w:rPr>
      </w:pPr>
    </w:p>
    <w:p>
      <w:pPr>
        <w:ind w:left="460" w:right="920" w:firstLine="443"/>
        <w:spacing w:after="0" w:line="268" w:lineRule="auto"/>
        <w:tabs>
          <w:tab w:leader="none" w:pos="114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Net Income (loss) of any Unrestricted Subsidiary will be excluded, whether or not distributed to the specified Person or one of its Subsidiaries;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 the cumulative effect of a change in accounting principles will be excluded.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90" w:lineRule="exact"/>
        <w:rPr>
          <w:sz w:val="20"/>
          <w:szCs w:val="20"/>
          <w:color w:val="auto"/>
        </w:rPr>
      </w:pPr>
    </w:p>
    <w:p>
      <w:pPr>
        <w:ind w:left="1160" w:hanging="257"/>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consolidated equity of the common stockholders of such Person and its consolidated Subsidiaries as of such date;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stock (other than</w:t>
      </w:r>
    </w:p>
    <w:p>
      <w:pPr>
        <w:spacing w:after="0" w:line="38" w:lineRule="exact"/>
        <w:rPr>
          <w:rFonts w:ascii="Arial" w:cs="Arial" w:eastAsia="Arial" w:hAnsi="Arial"/>
          <w:sz w:val="16"/>
          <w:szCs w:val="16"/>
          <w:color w:val="auto"/>
        </w:rPr>
      </w:pPr>
    </w:p>
    <w:p>
      <w:pPr>
        <w:ind w:left="460" w:right="80"/>
        <w:spacing w:after="0" w:line="323" w:lineRule="auto"/>
        <w:rPr>
          <w:rFonts w:ascii="Arial" w:cs="Arial" w:eastAsia="Arial" w:hAnsi="Arial"/>
          <w:sz w:val="16"/>
          <w:szCs w:val="16"/>
          <w:color w:val="auto"/>
        </w:rPr>
      </w:pPr>
      <w:r>
        <w:rPr>
          <w:rFonts w:ascii="Arial" w:cs="Arial" w:eastAsia="Arial" w:hAnsi="Arial"/>
          <w:sz w:val="16"/>
          <w:szCs w:val="16"/>
          <w:color w:val="auto"/>
        </w:rPr>
        <w:t>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9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113" w:lineRule="exact"/>
        <w:rPr>
          <w:sz w:val="20"/>
          <w:szCs w:val="20"/>
          <w:color w:val="auto"/>
        </w:rPr>
      </w:pPr>
    </w:p>
    <w:p>
      <w:pPr>
        <w:ind w:left="1160" w:hanging="257"/>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 or</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 Agreements</w:t>
      </w:r>
      <w:r>
        <w:rPr>
          <w:rFonts w:ascii="Arial" w:cs="Arial" w:eastAsia="Arial" w:hAnsi="Arial"/>
          <w:sz w:val="18"/>
          <w:szCs w:val="18"/>
          <w:color w:val="auto"/>
        </w:rPr>
        <w:t>” mean (1) the Control Agreement, dated as of the date of the Indenture, among Wynn Show Performers, the securities intermediary named therein and the collateral agent, (2) the Control Agreement, dated as of the date of the Indenture, among Wynn Las Vegas, the securities intermediary named therein and the collateral agent, and (3) the Control Agreement, dated as of the date of the Indenture, among Wynn Las Vegas Jet, LLC, the securities intermediary named therein and the collateral agent, each as amended, modified or otherwise supplemented from time to time in accordance with its terms, the Indenture and the other Collateral Documents.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that certain Credit Agreement, dated as of the date of the Indenture, by and among Wynn Las Vegas, the lenders party thereto, and Deutsche Bank Trust Company Americas, as sole administrative agent, Deutsche Bank Securities Inc., as joint advisor, joint book-running manager and joint lead arranger, Banc of America Securities LLC, as joint advisor, joint-book running manager and joint lead arranger, Bank of America, N.A. as sole syndication agent, Bear Stearns Corporate Lending, Inc., as joint documentation agent, Bear, Stearns &amp; Co. Inc., a joint book-running manager and arranger, JPMorgan Chase Bank, N.A., as joint documentation agent, J.P. Morgan Securities Inc., as joint-book running manager and arranger, SG Americas Securities, LLC, as arranger and joint book-running manager, and Société Générale, as joint book-running manager and arranger, providing for revolving credit and term loan borrowings, including any related notes, Guarantees, collateral documents, instruments and agreements executed in connection therewith, and, in each case, as amended, supplemented, restated, modified, renewed, refunded, replaced (whether upon or after termination or otherwise) or refinanced (whether with the same or different lenders or holders, including by means of sales of debt securities to institutional investors) from time to time.</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Dealership Lease Agreement</w:t>
      </w:r>
      <w:r>
        <w:rPr>
          <w:rFonts w:ascii="Arial" w:cs="Arial" w:eastAsia="Arial" w:hAnsi="Arial"/>
          <w:sz w:val="18"/>
          <w:szCs w:val="18"/>
          <w:color w:val="auto"/>
        </w:rPr>
        <w:t>” means the Dealership Lease Agreement, dated as of January 13, 2005, between Wynn Las Vegas, as lessor, and PW Automotive, LLC, as lessee, with respect to the lease of space at the Phase I Project for the development and operation of a Ferrari and Maserati automobile dealership, as amended, modified or otherwise supplemented from time to time in any manner that is not in contravention of the covenant described above under the caption “—Certain Covenants—Amendments to Certain Agreements.”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and the Guarantors, from time to time for the benefit of the collateral agent, as agent for (1) the administrative agent for the lenders under the Credit Agreement and (2) the trustee on behalf of the noteholders in accordance with the provisions of the Indenture and the Collateral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32"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Agreement</w:t>
      </w:r>
      <w:r>
        <w:rPr>
          <w:rFonts w:ascii="Arial" w:cs="Arial" w:eastAsia="Arial" w:hAnsi="Arial"/>
          <w:sz w:val="18"/>
          <w:szCs w:val="18"/>
          <w:color w:val="auto"/>
        </w:rPr>
        <w:t>” means the Master Disbursement Agreement, dated as of the date of the Indenture, among Wynn Las Vegas, the trustee, a representative of the lenders under the Credit Agreement, and the Disbursement Agent in connection with the Projects, as amended, modified or otherwise supplemented from time to time in accordance with its terms.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Collateral Account Agreement</w:t>
      </w:r>
      <w:r>
        <w:rPr>
          <w:rFonts w:ascii="Arial" w:cs="Arial" w:eastAsia="Arial" w:hAnsi="Arial"/>
          <w:sz w:val="18"/>
          <w:szCs w:val="18"/>
          <w:color w:val="auto"/>
        </w:rPr>
        <w:t>” means the Disbursement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(1) any Capital Stock that would constitute Disqualified Stock solely because the holders of the Capital Stock have the right to require Wynn Las Vegas to repurchase such Capital Stock upon the occurrence of a change of control or an asset sale will not constitute Disqualified Stock if the terms of such Capital Stock provide that Wynn Las Vegas may not repurchase or redeem any such Capital Stock pursuant to such provisions unless such repurchase or redemption complies with the covenant described above under the caption “—Certain Covenants—Restricted Payments” and (2) any Capital Stock will not constitute Disqualified Stock solely because it is required to be redeemed under applicable Gaming Laws. The amount of Disqualified Stock deemed to be outstanding at any time for purposes of the Indenture will be the maximum amount that Wynn Las Vegas and its Restricted Subsidiaries may become obligated to pay upon the maturity of, or pursuant to any mandatory redemption provisions of, such Disqualified Stock, exclusive of accrued dividends.</w:t>
      </w:r>
    </w:p>
    <w:p>
      <w:pPr>
        <w:spacing w:after="0" w:line="12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Domestic Subsidiary</w:t>
      </w:r>
      <w:r>
        <w:rPr>
          <w:rFonts w:ascii="Arial" w:cs="Arial" w:eastAsia="Arial" w:hAnsi="Arial"/>
          <w:sz w:val="16"/>
          <w:szCs w:val="16"/>
          <w:color w:val="auto"/>
        </w:rPr>
        <w:t>” means any Restricted Subsidiary of Wynn Las Vegas that was formed under the laws of the United States or any state of the United States or the District of Columbia or that guarantees or otherwise provides direct credit support for any Indebtedness of Wynn Las Vegas.</w:t>
      </w:r>
    </w:p>
    <w:p>
      <w:pPr>
        <w:spacing w:after="0" w:line="8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Entertainment Facility</w:t>
      </w:r>
      <w:r>
        <w:rPr>
          <w:rFonts w:ascii="Arial" w:cs="Arial" w:eastAsia="Arial" w:hAnsi="Arial"/>
          <w:sz w:val="18"/>
          <w:szCs w:val="18"/>
          <w:color w:val="auto"/>
        </w:rPr>
        <w:t>” means a showroom or entertainment facility adjoining the Wynn Las Vegas hotel and casino resort on the Project Site and connected directly to such hotel, which, as of the date of Indenture, was expect to feature the musical, “Avenue Q.”</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 any loss, destruction or damage of such property or asset;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firstLine="443"/>
        <w:spacing w:after="0" w:line="268" w:lineRule="auto"/>
        <w:tabs>
          <w:tab w:leader="none" w:pos="114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Indebtedness</w:t>
      </w:r>
      <w:r>
        <w:rPr>
          <w:rFonts w:ascii="Arial" w:cs="Arial" w:eastAsia="Arial" w:hAnsi="Arial"/>
          <w:sz w:val="18"/>
          <w:szCs w:val="18"/>
          <w:color w:val="auto"/>
        </w:rPr>
        <w:t>” means Indebtedness of Wynn Las Vegas or its Subsidiaries (other than Indebtedness under the Credit Agreement) in existence on the date of the Indenture until such amounts are repaid or redeemed.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Stockholders</w:t>
      </w:r>
      <w:r>
        <w:rPr>
          <w:rFonts w:ascii="Arial" w:cs="Arial" w:eastAsia="Arial" w:hAnsi="Arial"/>
          <w:sz w:val="18"/>
          <w:szCs w:val="18"/>
          <w:color w:val="auto"/>
        </w:rPr>
        <w:t>” means Stephen A. Wynn, Aruze, USA, Inc. and Baron Asset Fund.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the value that would be paid by a willing buyer to an unaffiliated willing seller in a transaction not involving distress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necessity of either party, determined in good faith by (1) an appropriate officer of Wynn Las Vegas, in the case of any value equal to or less than $10.0 million or</w:t>
      </w:r>
    </w:p>
    <w:p>
      <w:pPr>
        <w:spacing w:after="0" w:line="32" w:lineRule="exact"/>
        <w:rPr>
          <w:sz w:val="20"/>
          <w:szCs w:val="20"/>
          <w:color w:val="auto"/>
        </w:rPr>
      </w:pPr>
    </w:p>
    <w:p>
      <w:pPr>
        <w:ind w:right="180" w:firstLine="8"/>
        <w:spacing w:after="0" w:line="255" w:lineRule="auto"/>
        <w:tabs>
          <w:tab w:leader="none" w:pos="24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Board of Directors of Wynn Capital, in the event of any value greater than $10.0 million (in each case, unless otherwise provided in the Indenture). With respect to any Affiliate Transactions, the Board of Directors’ determination must be based upon an opinion or appraisal issued by an accounting, appraisal or investment banking firm of national standing if the Fair Market Value exceeds $25.0 million.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for such period to the Fixed Charges of such Person for such period. In the event that the specified Person or any of its Restricted Subsidiaries incurs, assumes, guarantees, repays, repurchases, redeems, defeases or otherwise discharges any Indebtedness (other than ordinary working capital borrowings) or issues, repurchases or redeems Disqualified Stock subsequent to the commencement of the period for which the Fixed Charge Coverage Ratio is being calculated and on or prior to the date on which the event for which the calculation of the Fixed Charge Coverage Ratio is made (the “</w:t>
      </w:r>
      <w:r>
        <w:rPr>
          <w:rFonts w:ascii="Arial" w:cs="Arial" w:eastAsia="Arial" w:hAnsi="Arial"/>
          <w:sz w:val="16"/>
          <w:szCs w:val="16"/>
          <w:i w:val="1"/>
          <w:iCs w:val="1"/>
          <w:color w:val="auto"/>
        </w:rPr>
        <w:t>Calculation Date</w:t>
      </w:r>
      <w:r>
        <w:rPr>
          <w:rFonts w:ascii="Arial" w:cs="Arial" w:eastAsia="Arial" w:hAnsi="Arial"/>
          <w:sz w:val="16"/>
          <w:szCs w:val="16"/>
          <w:color w:val="auto"/>
        </w:rPr>
        <w:t>”), then the Fixed Charge Coverage Ratio will be calculated giving pro forma effect to such incurrence, assumption, Guarantee, repayment, repurchase, redemption, defeasance or other discharge of Indebtedness, or such issuance, repurchase or redemption of Disqualified Stock, and the use of the proceeds therefrom, as if the same had occurred at the beginning of the applicable four-quarter reference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90" w:lineRule="exact"/>
        <w:rPr>
          <w:sz w:val="20"/>
          <w:szCs w:val="20"/>
          <w:color w:val="auto"/>
        </w:rPr>
      </w:pPr>
    </w:p>
    <w:p>
      <w:pPr>
        <w:ind w:left="460" w:right="180" w:firstLine="443"/>
        <w:spacing w:after="0" w:line="294"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acquisitions that have been made by the specified Person or any of its Restricted Subsidiaries, including through mergers or consolidations, or any Person or any of its Restricted Subsidiaries acquired by the specified Person or any of its Restricted Subsidiaries, and including any related financing transactions and including increases in ownership of Restricted Subsidiaries, during the four-quarter reference period or subsequent to such reference period and on or prior to the Calculation Date will be given pro forma effect (in accordance with Regulation S-X under the Securities Act) as if they had occurred on the first day of the four-quarter reference period;</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(and ownership interests therein) disposed of prior to the Calculation Date, will be excluded;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25" w:lineRule="exact"/>
        <w:rPr>
          <w:rFonts w:ascii="Arial" w:cs="Arial" w:eastAsia="Arial" w:hAnsi="Arial"/>
          <w:sz w:val="16"/>
          <w:szCs w:val="16"/>
          <w:color w:val="auto"/>
        </w:rPr>
      </w:pPr>
    </w:p>
    <w:p>
      <w:pPr>
        <w:ind w:left="460" w:right="24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that is a Restricted Subsidiary on the Calculation Date will be deemed to have been a Restricted Subsidiary at all times during such four-quarter period;</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Person that is not a Restricted Subsidiary on the Calculation Date will be deemed not to have been a Restricted Subsidiary at any time during such four-quarter period;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firstLine="443"/>
        <w:spacing w:after="0" w:line="259" w:lineRule="auto"/>
        <w:tabs>
          <w:tab w:leader="none" w:pos="114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90" w:lineRule="exact"/>
        <w:rPr>
          <w:sz w:val="20"/>
          <w:szCs w:val="20"/>
          <w:color w:val="auto"/>
        </w:rPr>
      </w:pPr>
    </w:p>
    <w:p>
      <w:pPr>
        <w:ind w:left="460" w:right="340" w:firstLine="443"/>
        <w:spacing w:after="0" w:line="294"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whether paid or accrued,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in respect of interest rates; </w:t>
      </w:r>
      <w:r>
        <w:rPr>
          <w:rFonts w:ascii="Arial" w:cs="Arial" w:eastAsia="Arial" w:hAnsi="Arial"/>
          <w:sz w:val="16"/>
          <w:szCs w:val="16"/>
          <w:i w:val="1"/>
          <w:iCs w:val="1"/>
          <w:color w:val="auto"/>
        </w:rPr>
        <w:t>plus</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consolidated interest expense of such Person and its Restricted Subsidiaries that was capitalized during such period; </w:t>
      </w:r>
      <w:r>
        <w:rPr>
          <w:rFonts w:ascii="Arial" w:cs="Arial" w:eastAsia="Arial" w:hAnsi="Arial"/>
          <w:sz w:val="18"/>
          <w:szCs w:val="18"/>
          <w:i w:val="1"/>
          <w:iCs w:val="1"/>
          <w:color w:val="auto"/>
        </w:rPr>
        <w:t>plus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any interest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4" w:lineRule="exact"/>
        <w:rPr>
          <w:rFonts w:ascii="Arial" w:cs="Arial" w:eastAsia="Arial" w:hAnsi="Arial"/>
          <w:sz w:val="16"/>
          <w:szCs w:val="16"/>
          <w:color w:val="auto"/>
        </w:rPr>
      </w:pPr>
    </w:p>
    <w:p>
      <w:pPr>
        <w:ind w:left="460" w:right="40" w:firstLine="443"/>
        <w:spacing w:after="0" w:line="291" w:lineRule="auto"/>
        <w:tabs>
          <w:tab w:leader="none" w:pos="114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the product of (a) all dividends, whether paid or accrued and whether or not in cash, on any series of preferred stock of such Person or any of its Restricted Subsidiaries, other than dividends on Equity Interests payable solely in Equity Interests of Wynn Las Vegas (other than Disqualified Stock) or to Wynn Las Vegas or a Restricted Subsidiary of Wynn Las Vegas, </w:t>
      </w:r>
      <w:r>
        <w:rPr>
          <w:rFonts w:ascii="Arial" w:cs="Arial" w:eastAsia="Arial" w:hAnsi="Arial"/>
          <w:sz w:val="16"/>
          <w:szCs w:val="16"/>
          <w:i w:val="1"/>
          <w:iCs w:val="1"/>
          <w:color w:val="auto"/>
        </w:rPr>
        <w:t>times</w:t>
      </w:r>
      <w:r>
        <w:rPr>
          <w:rFonts w:ascii="Arial" w:cs="Arial" w:eastAsia="Arial" w:hAnsi="Arial"/>
          <w:sz w:val="16"/>
          <w:szCs w:val="16"/>
          <w:color w:val="auto"/>
        </w:rPr>
        <w:t xml:space="preserve">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determined on a consolidated basis in accordance with GAAP.</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date of the Indenture.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on the date of the Indenture or thereafter in existence, including the Nevada Gaming Commission, the Nevada State Gaming Control Board, the Clark County Liquor and Gaming Licensing Board and any other applicable gaming regulatory authority or agency, in each case, with authority to regulate the sale or distribution of liquor or any gaming operation (or proposed gaming operation) owned, managed or operated by Wynn Las Vegas or any of the Restricted Subsidiaries.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or (2) any portion or aspect of which is managed or used, or expected to be managed or used, by Wynn Las Vegas or any Restricted Subsidiary.</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or any of the Restricted Subsidiaries is, or may be at any time after the date of the Indenture, subject.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w:t>
      </w:r>
      <w:r>
        <w:rPr>
          <w:rFonts w:ascii="Arial" w:cs="Arial" w:eastAsia="Arial" w:hAnsi="Arial"/>
          <w:sz w:val="18"/>
          <w:szCs w:val="18"/>
          <w:color w:val="auto"/>
        </w:rPr>
        <w:t>” means the 18-hole championship golf course located on the Golf Course Land.</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described in an exhibit to the Disbursement Agreement designated as the Golf Course Land (both the fee interest and leasehold interest estates) in the Collateral Documents, together with all improvements thereon and all rights appurtenant thereto, other than, for purposes of the covenant described above under the caption “—Certain Covenants—Limitation on Development of Golf Course Land,” homesites adjacent thereto to be used to construct a residence for Stephen A. Wynn.</w:t>
      </w:r>
    </w:p>
    <w:p>
      <w:pPr>
        <w:spacing w:after="0" w:line="14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Lease</w:t>
      </w:r>
      <w:r>
        <w:rPr>
          <w:rFonts w:ascii="Arial" w:cs="Arial" w:eastAsia="Arial" w:hAnsi="Arial"/>
          <w:sz w:val="16"/>
          <w:szCs w:val="16"/>
          <w:color w:val="auto"/>
        </w:rPr>
        <w:t>” means the Golf Course Lease, dated as of the date of the Indenture, between Wynn Golf, as lessor, and Wynn Las Vegas, as lessee, with respect to the lease of land on the Golf Course,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securities that are:</w:t>
      </w:r>
    </w:p>
    <w:p>
      <w:pPr>
        <w:spacing w:after="0" w:line="90" w:lineRule="exact"/>
        <w:rPr>
          <w:sz w:val="20"/>
          <w:szCs w:val="20"/>
          <w:color w:val="auto"/>
        </w:rPr>
      </w:pPr>
    </w:p>
    <w:p>
      <w:pPr>
        <w:ind w:left="1160" w:hanging="257"/>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90" w:lineRule="exact"/>
        <w:rPr>
          <w:rFonts w:ascii="Arial" w:cs="Arial" w:eastAsia="Arial" w:hAnsi="Arial"/>
          <w:sz w:val="18"/>
          <w:szCs w:val="18"/>
          <w:color w:val="auto"/>
        </w:rPr>
      </w:pPr>
    </w:p>
    <w:p>
      <w:pPr>
        <w:ind w:left="460" w:right="20" w:firstLine="443"/>
        <w:spacing w:after="0" w:line="312" w:lineRule="auto"/>
        <w:tabs>
          <w:tab w:leader="none" w:pos="1147" w:val="left"/>
        </w:tabs>
        <w:numPr>
          <w:ilvl w:val="0"/>
          <w:numId w:val="167"/>
        </w:numPr>
        <w:rPr>
          <w:rFonts w:ascii="Arial" w:cs="Arial" w:eastAsia="Arial" w:hAnsi="Arial"/>
          <w:sz w:val="15"/>
          <w:szCs w:val="15"/>
          <w:color w:val="auto"/>
        </w:rPr>
      </w:pPr>
      <w:r>
        <w:rPr>
          <w:rFonts w:ascii="Arial" w:cs="Arial" w:eastAsia="Arial" w:hAnsi="Arial"/>
          <w:sz w:val="15"/>
          <w:szCs w:val="15"/>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 thereof, and will include a depository receipt issued by a bank (as defined in Section 3(a)(2) of the Securities Act of 1933, as amended), as custodian with respect to any such Government Security or a specific payment of principal of or interest on any such Government Security held by such custodian for the account of the holder of such depository receipt;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“Government Transfers” means:</w:t>
      </w:r>
    </w:p>
    <w:p>
      <w:pPr>
        <w:spacing w:after="0" w:line="90" w:lineRule="exact"/>
        <w:rPr>
          <w:sz w:val="20"/>
          <w:szCs w:val="20"/>
          <w:color w:val="auto"/>
        </w:rPr>
      </w:pPr>
    </w:p>
    <w:p>
      <w:pPr>
        <w:ind w:left="460" w:right="420" w:firstLine="443"/>
        <w:spacing w:after="0" w:line="268"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seizures, condemnations, confiscations or takings by the power of eminent domain or other similar mandatory actions, in each case by a governmental authority against real property held by Wynn Las Vegas or any of the Restricted Subsidiaries, or</w:t>
      </w:r>
    </w:p>
    <w:p>
      <w:pPr>
        <w:spacing w:after="0" w:line="50"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transfers of interests in real property held by Wynn Las Vegas or any of the Restricted Subsidiaries to any State of Nevada, Clark County or local governmental authority consisting of easements, rights-of-way, dedications, exchanges or swaps or other similar transfers undertaken in furtherance of the development, construction or operation of the Projects, so long as such transfers, individually and in the aggregate, do not materially interfere with the ordinary course of business or the assets or operations of Wynn Las Vegas or any of the Restricted Subsidiaries, or materially detract from the value of the real property subject thereto.</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90" w:lineRule="exact"/>
        <w:rPr>
          <w:sz w:val="20"/>
          <w:szCs w:val="20"/>
          <w:color w:val="auto"/>
        </w:rPr>
      </w:pPr>
    </w:p>
    <w:p>
      <w:pPr>
        <w:ind w:left="1160" w:hanging="257"/>
        <w:spacing w:after="0"/>
        <w:tabs>
          <w:tab w:leader="none" w:pos="11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Restricted Subsidiaries that are Domestic Subsidiaries, other than Immaterial Subsidiaries,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other Person that provides a Guarantee by executing a supplemental indenture in accordance with the provisions of the Indenture,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and, except to the extent the applicable Note Guarantee is released in accordance with the caption “—Note Guarantees—Release of Guarantees,” their respective successors and assigns (other than the Issuers). A Person shall cease to be a Guarantor following the release of its Note Guarantee as described above under the caption “—Note Guarantees—Release of Guarantees.”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90" w:lineRule="exact"/>
        <w:rPr>
          <w:sz w:val="20"/>
          <w:szCs w:val="20"/>
          <w:color w:val="auto"/>
        </w:rPr>
      </w:pPr>
    </w:p>
    <w:p>
      <w:pPr>
        <w:ind w:left="460" w:right="46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interest rate swap agreements (whether from fixed to floating or from floating to fixed), interest rate cap agreements and interest rate collar agreements;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other agreements or arrangements designed to manage interest rates or interest rate risk;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other agreements or arrangements designed to protect such Person against fluctuations in currency exchange rates and/or commodity prices.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Site Land</w:t>
      </w:r>
      <w:r>
        <w:rPr>
          <w:rFonts w:ascii="Arial" w:cs="Arial" w:eastAsia="Arial" w:hAnsi="Arial"/>
          <w:sz w:val="18"/>
          <w:szCs w:val="18"/>
          <w:color w:val="auto"/>
        </w:rPr>
        <w:t>” means a tract of land (not to exceed 20 acres) located on the Golf Course Land where residential and non-gaming related developments may be built, after the release of the trustee’s Liens (for the benefit of the holders) thereon in accordance with the covenant described above under the caption “— Security—Release of Portions of the Golf Course Land.”</w:t>
      </w:r>
    </w:p>
    <w:p>
      <w:pPr>
        <w:spacing w:after="0" w:line="140"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Immaterial Subsidiary</w:t>
      </w:r>
      <w:r>
        <w:rPr>
          <w:rFonts w:ascii="Arial" w:cs="Arial" w:eastAsia="Arial" w:hAnsi="Arial"/>
          <w:sz w:val="16"/>
          <w:szCs w:val="16"/>
          <w:color w:val="auto"/>
        </w:rPr>
        <w:t xml:space="preserve">” means, as of any date, any Restricted Subsidiary whose total assets, as of that date, are less than $500,000 and whose total revenues for the most recent 12-month period do not exceed $500,000;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Restricted Subsidiary will not be considered to be an Immaterial Subsidiary if it, directly or indirectly, guarantees or otherwise provides direct credit support for any Indebtedness of Wynn Las Vegas.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whether or not contingent:</w:t>
      </w:r>
    </w:p>
    <w:p>
      <w:pPr>
        <w:spacing w:after="0" w:line="51" w:lineRule="exact"/>
        <w:rPr>
          <w:sz w:val="20"/>
          <w:szCs w:val="20"/>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Capital Lease Obligations or Attributable Debt;</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or services due more than six months after such property is acquired or such services are completed;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90" w:lineRule="exact"/>
        <w:rPr>
          <w:sz w:val="20"/>
          <w:szCs w:val="20"/>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90" w:lineRule="exact"/>
        <w:rPr>
          <w:rFonts w:ascii="Arial" w:cs="Arial" w:eastAsia="Arial" w:hAnsi="Arial"/>
          <w:sz w:val="18"/>
          <w:szCs w:val="18"/>
          <w:color w:val="auto"/>
        </w:rPr>
      </w:pPr>
    </w:p>
    <w:p>
      <w:pPr>
        <w:ind w:left="460" w:right="340" w:firstLine="443"/>
        <w:spacing w:after="0" w:line="268" w:lineRule="auto"/>
        <w:tabs>
          <w:tab w:leader="none" w:pos="114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90" w:lineRule="exact"/>
        <w:rPr>
          <w:rFonts w:ascii="Arial" w:cs="Arial" w:eastAsia="Arial" w:hAnsi="Arial"/>
          <w:sz w:val="18"/>
          <w:szCs w:val="18"/>
          <w:color w:val="auto"/>
        </w:rPr>
      </w:pPr>
    </w:p>
    <w:p>
      <w:pPr>
        <w:ind w:left="920" w:right="480" w:firstLine="421"/>
        <w:spacing w:after="0" w:line="268" w:lineRule="auto"/>
        <w:tabs>
          <w:tab w:leader="none" w:pos="157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Notwithstanding anything contained in the Indenture to the contrary, any obligation of the Issuers or the Restricted Subsidiaries incurred in the ordinary course of business in respect of casino chips or similar instruments shall not constitute “Indebtedness” for any purpose under the Indenture.</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w:t>
      </w:r>
      <w:r>
        <w:rPr>
          <w:rFonts w:ascii="Arial" w:cs="Arial" w:eastAsia="Arial" w:hAnsi="Arial"/>
          <w:sz w:val="18"/>
          <w:szCs w:val="18"/>
          <w:color w:val="auto"/>
        </w:rPr>
        <w:t>” means the Intercreditor Agreement, dated as of the date of the Indenture, among the trustee, the administrative agent under the Credit Agreement, the collateral agent and the other parties thereto from time to time, as such agreement may be amended, modified, restated or supplemented in accordance with the terms of the Indenture.</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Investments</w:t>
      </w:r>
      <w:r>
        <w:rPr>
          <w:rFonts w:ascii="Arial" w:cs="Arial" w:eastAsia="Arial" w:hAnsi="Arial"/>
          <w:sz w:val="15"/>
          <w:szCs w:val="15"/>
          <w:color w:val="auto"/>
        </w:rPr>
        <w:t>” means, with respect to any Person, all direct or indirect investments by such Person in other Persons (including Affiliates) in the forms of loans (including Guarantees or other obligations), advances (excluding advances made to customers in the ordinary course of business)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or any Restricted Subsidiary of Wynn Las Vegas sells or otherwise disposes of any Equity Interests of any direct or indirect Restricted Subsidiary of Wynn Las Vegas such that, after giving effect to any such sale or disposition, such Person is no longer a Restricted Subsidiary of Wynn Las Vegas, Wynn Las Vegas will be deemed to have made an Investment on the date of any such sale or disposition equal to the Fair Market Value of Wynn Las Vegas’ Investments in such Restricted Subsidiary that were not sold or disposed of in an amount determined as provided in the final paragraph of the covenant described above under the caption “—Certain Covenants—Restricted Payments.” The acquisition by Wynn Las Vegas or any Restricted Subsidiary of Wynn Las Vegas of a Person that holds an Investment in a third Person will be deemed to be an Investment by Wynn Las Vegas or such Subsidiary in such third Person in an amount equal to the Fair Market Value of the Investments held by the acquired Person in such third Person in an amount determined as provided in the final paragraph of the covenant described above under the caption “—Certain Covenants—Restricted Payments.” Except as otherwise provided in the Indenture, the amount of an Investment will be determined at the time the Investment is made and without giving effect to subsequent changes in value.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Koval Land</w:t>
      </w:r>
      <w:r>
        <w:rPr>
          <w:rFonts w:ascii="Arial" w:cs="Arial" w:eastAsia="Arial" w:hAnsi="Arial"/>
          <w:sz w:val="18"/>
          <w:szCs w:val="18"/>
          <w:color w:val="auto"/>
        </w:rPr>
        <w:t>” means the approximately 18 acres of land located across from the Projects on Koval Lane and Sands Avenue which, as of the date of this offering of notes, is used for employee parking and other ancillary uses.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(i) any mortgage, lien, pledge, charge, security interest or encumbrance of any kind in respect of such asset, whether or not filed, recorded or otherwise perfected under applicable law, including any conditional sale or other title retention agreement, (ii) any lease in the nature thereof, or (iii) any agreement to deliver a security interest in any asset. Notwithstanding the foregoing, the trust established and maintained for the sole purpose of holding title to the Aircraft and which a Restricted Subsidiary of Wynn Las Vegas is the sole beneficiary thereof shall not be considered a Lien for purposes of the Indenture.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Liquidated Damages</w:t>
      </w:r>
      <w:r>
        <w:rPr>
          <w:rFonts w:ascii="Arial" w:cs="Arial" w:eastAsia="Arial" w:hAnsi="Arial"/>
          <w:sz w:val="18"/>
          <w:szCs w:val="18"/>
          <w:color w:val="auto"/>
        </w:rPr>
        <w:t>” means all liquidated damages then owing pursuant to the registration rights agreement.</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Bank Collateral Account Agreement</w:t>
      </w:r>
      <w:r>
        <w:rPr>
          <w:rFonts w:ascii="Arial" w:cs="Arial" w:eastAsia="Arial" w:hAnsi="Arial"/>
          <w:sz w:val="18"/>
          <w:szCs w:val="18"/>
          <w:color w:val="auto"/>
        </w:rPr>
        <w:t>” means the Local Bank Collateral Account Agreement, dated as of the date of the Indenture, among Wynn Las Vegas, the securities intermediary named therein and the collateral agent, as amended, modified or otherwise supplemented from time to time in accordance with its terms, the Indenture and the other Collateral Documents.</w:t>
      </w:r>
    </w:p>
    <w:p>
      <w:pPr>
        <w:spacing w:after="0" w:line="140"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of the People’s Republic of China, dated June 24, 2002, between the Macau Special Administrative Region of the People’s Republic of China and Wynn Resorts (Macau), S.A.</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among Wynn Resorts, as manager, the Issuers and the Restricted Subsidiaries, as amended, modified or supplemented from time to time in any manner that is not in contravention of the covenant described above under the caption “—Certain Covenants—Amendments to Certain Agreements.”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 Resorts, the Issuers, the administrative agent under the Credit Agreement and the trustee.</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 assets that are necessary to the development, construction or operation of the Phase I Project in accordance with the Phase I Plans and Specifications; provided, however, that in no event shall (1) Released Assets or (2) assets with a Fair Market Value less than $100.0 million be considered Material Project Assets.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reduced by any provision in respect of the Tax Amount attributable to such net income)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excluding (to the extent previously taken into account in computing net income), however:</w:t>
      </w:r>
    </w:p>
    <w:p>
      <w:pPr>
        <w:spacing w:after="0" w:line="62" w:lineRule="exact"/>
        <w:rPr>
          <w:sz w:val="20"/>
          <w:szCs w:val="20"/>
          <w:color w:val="auto"/>
        </w:rPr>
      </w:pPr>
    </w:p>
    <w:p>
      <w:pPr>
        <w:jc w:val="both"/>
        <w:ind w:left="460" w:right="60" w:firstLine="443"/>
        <w:spacing w:after="0" w:line="259" w:lineRule="auto"/>
        <w:tabs>
          <w:tab w:leader="none" w:pos="1147"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the Tax Amount on such gain (or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 any extraordinary gain (or loss), together with any related provision for the Tax Amount on such extraordinary gain (or loss).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Loss Proceeds</w:t>
      </w:r>
      <w:r>
        <w:rPr>
          <w:rFonts w:ascii="Arial" w:cs="Arial" w:eastAsia="Arial" w:hAnsi="Arial"/>
          <w:sz w:val="16"/>
          <w:szCs w:val="16"/>
          <w:color w:val="auto"/>
        </w:rPr>
        <w:t>” means the aggregate cash proceeds received by Wynn Las Vegas or any of the Restricted Subsidiaries in respect of any Event of Loss, including, without limitation, insurance proceeds from condemnation awards or damages awarded by any judgment, net of:</w:t>
      </w:r>
    </w:p>
    <w:p>
      <w:pPr>
        <w:spacing w:after="0" w:line="4" w:lineRule="exact"/>
        <w:rPr>
          <w:sz w:val="20"/>
          <w:szCs w:val="20"/>
          <w:color w:val="auto"/>
        </w:rPr>
      </w:pPr>
    </w:p>
    <w:p>
      <w:pPr>
        <w:ind w:left="460" w:right="80" w:firstLine="443"/>
        <w:spacing w:after="0" w:line="268"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w:t>
      </w:r>
    </w:p>
    <w:p>
      <w:pPr>
        <w:spacing w:after="0" w:line="50"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Note Guarantees)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taxes or Tax Amount paid or payable as a result of the receipt of such cash proceeds.</w:t>
      </w:r>
    </w:p>
    <w:p>
      <w:pPr>
        <w:spacing w:after="0" w:line="171" w:lineRule="exact"/>
        <w:rPr>
          <w:sz w:val="20"/>
          <w:szCs w:val="20"/>
          <w:color w:val="auto"/>
        </w:rPr>
      </w:pPr>
    </w:p>
    <w:p>
      <w:pPr>
        <w:ind w:right="700" w:firstLine="456"/>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Proceeds</w:t>
      </w:r>
      <w:r>
        <w:rPr>
          <w:rFonts w:ascii="Arial" w:cs="Arial" w:eastAsia="Arial" w:hAnsi="Arial"/>
          <w:sz w:val="15"/>
          <w:szCs w:val="15"/>
          <w:color w:val="auto"/>
        </w:rPr>
        <w:t>” means the aggregate cash proceeds received by Wynn Las Vegas or any of the Restricted Subsidiaries in respect of any Asset Sale (including, without limitation, any cash received upon the sale or other disposition of any non-cash consideration received in any Asset Sale), net of:</w:t>
      </w:r>
    </w:p>
    <w:p>
      <w:pPr>
        <w:ind w:left="460" w:right="120" w:firstLine="443"/>
        <w:spacing w:after="0" w:line="306" w:lineRule="auto"/>
        <w:tabs>
          <w:tab w:leader="none" w:pos="114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direct costs relating to such Asset Sale, including, without limitation, legal, accounting and investment banking fees, and sales commissions, and any relocation expenses incurred as a result of the Asset Sale and the provision for taxes and the Tax Amount paid or payable as a result of the Asset Sale, in each case, after taking into account any available tax credits or deductions and any tax sharing arrangements,</w:t>
      </w:r>
    </w:p>
    <w:p>
      <w:pPr>
        <w:spacing w:after="0" w:line="25" w:lineRule="exact"/>
        <w:rPr>
          <w:rFonts w:ascii="Arial" w:cs="Arial" w:eastAsia="Arial" w:hAnsi="Arial"/>
          <w:sz w:val="16"/>
          <w:szCs w:val="16"/>
          <w:color w:val="auto"/>
        </w:rPr>
      </w:pPr>
    </w:p>
    <w:p>
      <w:pPr>
        <w:ind w:left="460" w:firstLine="443"/>
        <w:spacing w:after="0" w:line="256" w:lineRule="auto"/>
        <w:tabs>
          <w:tab w:leader="none" w:pos="114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amounts, if any, required to be, and in fact, applied to the prepayment of Indebtedness permitted under the Indenture (other than Indebtedness that is subordinated in right of payment to the notes or the Note Guarantees) secured by a Permitted Lien on the asset or assets that were the subject of such Asset Sale that ranks prior to the security interest of the trustee in those assets, after giving effect to any provisions in the Collateral Documents and the Intercreditor Agreement as to the relative ranking of security interests,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Gaming Control Act</w:t>
      </w:r>
      <w:r>
        <w:rPr>
          <w:rFonts w:ascii="Arial" w:cs="Arial" w:eastAsia="Arial" w:hAnsi="Arial"/>
          <w:sz w:val="18"/>
          <w:szCs w:val="18"/>
          <w:color w:val="auto"/>
        </w:rPr>
        <w:t>” means Chapter 463 of the Nevada Revised Statutes.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90" w:lineRule="exact"/>
        <w:rPr>
          <w:sz w:val="20"/>
          <w:szCs w:val="20"/>
          <w:color w:val="auto"/>
        </w:rPr>
      </w:pPr>
    </w:p>
    <w:p>
      <w:pPr>
        <w:ind w:left="460" w:right="260" w:firstLine="443"/>
        <w:spacing w:after="0" w:line="306"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as to which neither Wynn Las Vegas nor any of its Restricted Subsidiaries (a) provides credit support of any kind (including any undertaking, agreement or instrument that would constitute Indebtedness) (other than a pledge of the Equity Interests of the Unrestricted Subsidiary that is an obligor with respect to such Indebtedness), (b) is directly or indirectly liable as a guarantor or otherwise, or (c) constitutes the lender;</w:t>
      </w:r>
    </w:p>
    <w:p>
      <w:pPr>
        <w:spacing w:after="0" w:line="25" w:lineRule="exact"/>
        <w:rPr>
          <w:rFonts w:ascii="Arial" w:cs="Arial" w:eastAsia="Arial" w:hAnsi="Arial"/>
          <w:sz w:val="16"/>
          <w:szCs w:val="16"/>
          <w:color w:val="auto"/>
        </w:rPr>
      </w:pPr>
    </w:p>
    <w:p>
      <w:pPr>
        <w:ind w:left="460" w:right="320" w:firstLine="443"/>
        <w:spacing w:after="0" w:line="256" w:lineRule="auto"/>
        <w:tabs>
          <w:tab w:leader="none" w:pos="1147"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of the Indebtedness may have to take enforcement action against an Unrestricted Subsidiary, other than the Completion Guarantor) would permit upon notice, lapse of time or both any holder of any other Indebtedness of Wynn Las Vegas or any of its Restricted Subsidiaries to declare a default on such other Indebtedness or cause the payment of the Indebtedness to be accelerated or payable prior to its Stated Maturity;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firstLine="443"/>
        <w:spacing w:after="0" w:line="259" w:lineRule="auto"/>
        <w:tabs>
          <w:tab w:leader="none" w:pos="114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Wynn Las Vegas or any of its Restricted Subsidiaries (other than the stock of an Unrestricted Subsidiary pledged by Wynn Las Vegas of one of its Restricted Subsidiaries to secure Indebtedness of the Unrestricted Subsidiary).</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Guarantee</w:t>
      </w:r>
      <w:r>
        <w:rPr>
          <w:rFonts w:ascii="Arial" w:cs="Arial" w:eastAsia="Arial" w:hAnsi="Arial"/>
          <w:sz w:val="18"/>
          <w:szCs w:val="18"/>
          <w:color w:val="auto"/>
        </w:rPr>
        <w:t>” means the Guarantee, by each Guarantor of the Issuers’ obligations under the Indenture and the notes, executed pursuant to the provisions of the Indenture.</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Pari Passu Debt</w:t>
      </w:r>
      <w:r>
        <w:rPr>
          <w:rFonts w:ascii="Arial" w:cs="Arial" w:eastAsia="Arial" w:hAnsi="Arial"/>
          <w:sz w:val="15"/>
          <w:szCs w:val="15"/>
          <w:color w:val="auto"/>
        </w:rPr>
        <w:t xml:space="preserve">” means any Indebtedness, other than Indebtedness incurred under the Credit Agreement, that is </w:t>
      </w:r>
      <w:r>
        <w:rPr>
          <w:rFonts w:ascii="Arial" w:cs="Arial" w:eastAsia="Arial" w:hAnsi="Arial"/>
          <w:sz w:val="15"/>
          <w:szCs w:val="15"/>
          <w:i w:val="1"/>
          <w:iCs w:val="1"/>
          <w:color w:val="auto"/>
        </w:rPr>
        <w:t>pari passu</w:t>
      </w:r>
      <w:r>
        <w:rPr>
          <w:rFonts w:ascii="Arial" w:cs="Arial" w:eastAsia="Arial" w:hAnsi="Arial"/>
          <w:sz w:val="15"/>
          <w:szCs w:val="15"/>
          <w:color w:val="auto"/>
        </w:rPr>
        <w:t xml:space="preserve"> with the notes containing provisions similar to those set forth in the Indenture with respect to offers to purchase or redeem with the proceeds of sales of assets or Events of Loss.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United States federal or state income tax purposes or (2) an entity treated as a partnership or a disregarded entity for United States federal or state income tax purposes.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and Performance Bond</w:t>
      </w:r>
      <w:r>
        <w:rPr>
          <w:rFonts w:ascii="Arial" w:cs="Arial" w:eastAsia="Arial" w:hAnsi="Arial"/>
          <w:sz w:val="18"/>
          <w:szCs w:val="18"/>
          <w:color w:val="auto"/>
        </w:rPr>
        <w:t>” means any payment and performance bond delivered under any contract or subcontract in favor of Wynn Las Vegas (or any contractor), the agent for the lenders under the Credit Agreement and the trustee supporting the contractor’s or subcontractor’s obligations under any such contract or subcontract.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any development, construction, ownership or operation of lodging (including (i) any timeshare, interval ownership or similar development or</w:t>
      </w:r>
    </w:p>
    <w:p>
      <w:pPr>
        <w:spacing w:after="0" w:line="38" w:lineRule="exact"/>
        <w:rPr>
          <w:rFonts w:ascii="Arial" w:cs="Arial" w:eastAsia="Arial" w:hAnsi="Arial"/>
          <w:sz w:val="16"/>
          <w:szCs w:val="16"/>
          <w:color w:val="auto"/>
        </w:rPr>
      </w:pPr>
    </w:p>
    <w:p>
      <w:pPr>
        <w:ind w:left="460" w:right="180" w:firstLine="4"/>
        <w:spacing w:after="0" w:line="302" w:lineRule="auto"/>
        <w:tabs>
          <w:tab w:leader="none" w:pos="71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any condominium or similar development with respect to the Phase III Project), retail and restaurant or convention facilities, sports or entertainment facilities, golf facilities, art gallery facilities, food and beverage distribution operations, transportation services (including operation and chartering of the Aircraft), sales, leasing and repair of automobiles, parking services, or other activities related to the foregoing;</w:t>
      </w:r>
    </w:p>
    <w:p>
      <w:pPr>
        <w:spacing w:after="0" w:line="28" w:lineRule="exact"/>
        <w:rPr>
          <w:rFonts w:ascii="Arial" w:cs="Arial" w:eastAsia="Arial" w:hAnsi="Arial"/>
          <w:sz w:val="16"/>
          <w:szCs w:val="16"/>
          <w:color w:val="auto"/>
        </w:rPr>
      </w:pPr>
    </w:p>
    <w:p>
      <w:pPr>
        <w:ind w:left="460" w:right="80" w:firstLine="443"/>
        <w:spacing w:after="0" w:line="268" w:lineRule="auto"/>
        <w:tabs>
          <w:tab w:leader="none" w:pos="114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the Completion Guarantor or any of the Restricted Subsidiaries becoming a subchapter “C” corporation under the Code, so long as, in connection with such transaction:</w:t>
      </w:r>
    </w:p>
    <w:p>
      <w:pPr>
        <w:spacing w:after="0" w:line="51" w:lineRule="exact"/>
        <w:rPr>
          <w:sz w:val="20"/>
          <w:szCs w:val="20"/>
          <w:color w:val="auto"/>
        </w:rPr>
      </w:pPr>
    </w:p>
    <w:p>
      <w:pPr>
        <w:ind w:left="460" w:firstLine="443"/>
        <w:spacing w:after="0" w:line="306" w:lineRule="auto"/>
        <w:tabs>
          <w:tab w:leader="none" w:pos="114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assumes in writing all of the obligations, if any, of the applicable entity under</w:t>
      </w:r>
    </w:p>
    <w:p>
      <w:pPr>
        <w:spacing w:after="0" w:line="38" w:lineRule="exact"/>
        <w:rPr>
          <w:rFonts w:ascii="Arial" w:cs="Arial" w:eastAsia="Arial" w:hAnsi="Arial"/>
          <w:sz w:val="16"/>
          <w:szCs w:val="16"/>
          <w:color w:val="auto"/>
        </w:rPr>
      </w:pPr>
    </w:p>
    <w:p>
      <w:pPr>
        <w:ind w:left="460" w:right="240" w:firstLine="4"/>
        <w:spacing w:after="0" w:line="255" w:lineRule="auto"/>
        <w:tabs>
          <w:tab w:leader="none" w:pos="69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Indenture, the notes, the Note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63" w:lineRule="exact"/>
        <w:rPr>
          <w:rFonts w:ascii="Arial" w:cs="Arial" w:eastAsia="Arial" w:hAnsi="Arial"/>
          <w:sz w:val="18"/>
          <w:szCs w:val="18"/>
          <w:color w:val="auto"/>
        </w:rPr>
      </w:pPr>
    </w:p>
    <w:p>
      <w:pPr>
        <w:ind w:left="460" w:right="20" w:firstLine="443"/>
        <w:spacing w:after="0" w:line="259"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complies with the covenant described above under the caption “—Certain Covenants—Additional Collateral; Formation or Acquisition of Restricted Subsidiaries; Designation of Unrestricted Subsidiaries as Restricted Subsidiaries or Permitted C-Corp. Conversion”;</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50" w:lineRule="exact"/>
        <w:rPr>
          <w:rFonts w:ascii="Arial" w:cs="Arial" w:eastAsia="Arial" w:hAnsi="Arial"/>
          <w:sz w:val="18"/>
          <w:szCs w:val="18"/>
          <w:color w:val="auto"/>
        </w:rPr>
      </w:pPr>
    </w:p>
    <w:p>
      <w:pPr>
        <w:ind w:left="460" w:right="380" w:firstLine="443"/>
        <w:spacing w:after="0" w:line="306" w:lineRule="auto"/>
        <w:tabs>
          <w:tab w:leader="none" w:pos="1147" w:val="left"/>
        </w:tabs>
        <w:numPr>
          <w:ilvl w:val="1"/>
          <w:numId w:val="182"/>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an opinion of counsel of national repute in the United States reasonably acceptable to the trustee confirming that neither Issuer, nor any Restricted Subsidiary, nor any Guarantor nor any of the Holders will recognize income, gain or loss for United States federal or state income tax purposes as a result of such Permitted C-Corp. Conversion; and</w:t>
      </w:r>
    </w:p>
    <w:p>
      <w:pPr>
        <w:spacing w:after="0" w:line="25" w:lineRule="exact"/>
        <w:rPr>
          <w:rFonts w:ascii="Arial" w:cs="Arial" w:eastAsia="Arial" w:hAnsi="Arial"/>
          <w:sz w:val="16"/>
          <w:szCs w:val="16"/>
          <w:color w:val="auto"/>
        </w:rPr>
      </w:pPr>
    </w:p>
    <w:p>
      <w:pPr>
        <w:ind w:left="460" w:right="40" w:firstLine="443"/>
        <w:spacing w:after="0" w:line="268" w:lineRule="auto"/>
        <w:tabs>
          <w:tab w:leader="none" w:pos="114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Wynn Las Vegas shall have delivered to the trustee a certificate of the chief financial officer of Wynn Las Vegas confirming that the conditions in clauses (1) through (8) have been satisfied.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“Permitted Investments” </w:t>
      </w:r>
      <w:r>
        <w:rPr>
          <w:rFonts w:ascii="Arial" w:cs="Arial" w:eastAsia="Arial" w:hAnsi="Arial"/>
          <w:sz w:val="18"/>
          <w:szCs w:val="18"/>
          <w:color w:val="auto"/>
        </w:rPr>
        <w:t>means:</w:t>
      </w:r>
    </w:p>
    <w:p>
      <w:pPr>
        <w:spacing w:after="0" w:line="90" w:lineRule="exact"/>
        <w:rPr>
          <w:sz w:val="20"/>
          <w:szCs w:val="20"/>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Investment by any entity in Wynn Las Vegas or in a Wholly Owned Restricted Subsidiary of Wynn Las Vegas;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Investment in Cash Equivalents;</w:t>
      </w:r>
    </w:p>
    <w:p>
      <w:pPr>
        <w:spacing w:after="0" w:line="90" w:lineRule="exact"/>
        <w:rPr>
          <w:rFonts w:ascii="Arial" w:cs="Arial" w:eastAsia="Arial" w:hAnsi="Arial"/>
          <w:sz w:val="18"/>
          <w:szCs w:val="18"/>
          <w:color w:val="auto"/>
        </w:rPr>
      </w:pPr>
    </w:p>
    <w:p>
      <w:pPr>
        <w:ind w:left="460" w:right="340" w:firstLine="443"/>
        <w:spacing w:after="0" w:line="332" w:lineRule="auto"/>
        <w:tabs>
          <w:tab w:leader="none" w:pos="1147"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any Investment by Wynn Las Vegas or any Restricted Subsidiary in a Person that is engaged in a Permitted Business and that is evidenced by Capital Stock or intercompany notes that are pledged to the trustee as Primary Note Collateral, if as a result of such Investment:</w:t>
      </w:r>
    </w:p>
    <w:p>
      <w:pPr>
        <w:spacing w:after="0" w:line="4" w:lineRule="exact"/>
        <w:rPr>
          <w:rFonts w:ascii="Arial" w:cs="Arial" w:eastAsia="Arial" w:hAnsi="Arial"/>
          <w:sz w:val="16"/>
          <w:szCs w:val="16"/>
          <w:color w:val="auto"/>
        </w:rPr>
      </w:pPr>
    </w:p>
    <w:p>
      <w:pPr>
        <w:ind w:left="1580" w:hanging="239"/>
        <w:spacing w:after="0"/>
        <w:tabs>
          <w:tab w:leader="none" w:pos="158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90" w:lineRule="exact"/>
        <w:rPr>
          <w:rFonts w:ascii="Arial" w:cs="Arial" w:eastAsia="Arial" w:hAnsi="Arial"/>
          <w:sz w:val="18"/>
          <w:szCs w:val="18"/>
          <w:color w:val="auto"/>
        </w:rPr>
      </w:pPr>
    </w:p>
    <w:p>
      <w:pPr>
        <w:ind w:left="920" w:firstLine="421"/>
        <w:spacing w:after="0" w:line="306" w:lineRule="auto"/>
        <w:tabs>
          <w:tab w:leader="none" w:pos="1588" w:val="left"/>
        </w:tabs>
        <w:numPr>
          <w:ilvl w:val="1"/>
          <w:numId w:val="183"/>
        </w:numPr>
        <w:rPr>
          <w:rFonts w:ascii="Arial" w:cs="Arial" w:eastAsia="Arial" w:hAnsi="Arial"/>
          <w:sz w:val="16"/>
          <w:szCs w:val="16"/>
          <w:color w:val="auto"/>
        </w:rPr>
      </w:pPr>
      <w:r>
        <w:rPr>
          <w:rFonts w:ascii="Arial" w:cs="Arial" w:eastAsia="Arial" w:hAnsi="Arial"/>
          <w:sz w:val="16"/>
          <w:szCs w:val="16"/>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described above under the caption “—Certain Covenants—Merger, Consolidation or Sale of Assets,” if applicable;</w:t>
      </w:r>
    </w:p>
    <w:p>
      <w:pPr>
        <w:spacing w:after="0" w:line="25" w:lineRule="exact"/>
        <w:rPr>
          <w:rFonts w:ascii="Arial" w:cs="Arial" w:eastAsia="Arial" w:hAnsi="Arial"/>
          <w:sz w:val="16"/>
          <w:szCs w:val="16"/>
          <w:color w:val="auto"/>
        </w:rPr>
      </w:pPr>
    </w:p>
    <w:p>
      <w:pPr>
        <w:jc w:val="both"/>
        <w:ind w:left="460" w:right="20" w:firstLine="443"/>
        <w:spacing w:after="0" w:line="259" w:lineRule="auto"/>
        <w:tabs>
          <w:tab w:leader="none" w:pos="114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(i) a Permitted Disposition or (ii) an Asset Sale or an Event of Loss of the type contemplated by clause (3) of the definition of “Event of Loss” that was made pursuant to and in compliance with the covenant described above under the captions “—Repurchase at the Option of Holders—Asset Sales” or “—Events of Loss”;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Investment solely in exchange for Equity Interests (other than Disqualified Stock) of Wynn Resorts;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306" w:lineRule="auto"/>
        <w:tabs>
          <w:tab w:leader="none" w:pos="1147"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the extent constituting an Investment, 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Investment in Hedging Obligations;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or any of its Restricted Subsidiaries in the ordinary course of business and not interfering in any material respect with the ordinary conduct of the business of such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to the extent constituting an Investment, repurchases of the notes;</w:t>
      </w:r>
    </w:p>
    <w:p>
      <w:pPr>
        <w:spacing w:after="0" w:line="90" w:lineRule="exact"/>
        <w:rPr>
          <w:rFonts w:ascii="Arial" w:cs="Arial" w:eastAsia="Arial" w:hAnsi="Arial"/>
          <w:sz w:val="18"/>
          <w:szCs w:val="18"/>
          <w:color w:val="auto"/>
        </w:rPr>
      </w:pPr>
    </w:p>
    <w:p>
      <w:pPr>
        <w:ind w:left="460" w:right="80" w:firstLine="443"/>
        <w:spacing w:after="0" w:line="298"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 Investment in the form of a loan by Wynn Las Vegas to (a) Wynn Group Asia, Inc., (b) to Wynn Resorts for purposes of an investment in Wynn Group Asia, Inc., or (c) directly to Wynn Resorts (Macau), S.A., in each case, on or before August 30, 2005, in an amount not to exceed $122,000,000, which loan shall be pledged as Collateral to secure (i) the Indebtedness outstanding under the Credit Agreement and (ii) the notes (except in the case of a direct loan to Wynn Resorts (Macau), S.A., for which no such pledge will be required);</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22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Investments held by a Person in a third Person at the time such Person is acquired by Wynn Las Vegas or any Restricted Subsidiary of Wynn Las Vegas;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Investments were not acquired in contemplation of such acquisition by Wynn Las Vegas or such Restricted Subsidiary;</w:t>
      </w:r>
    </w:p>
    <w:p>
      <w:pPr>
        <w:spacing w:after="0" w:line="4" w:lineRule="exact"/>
        <w:rPr>
          <w:rFonts w:ascii="Arial" w:cs="Arial" w:eastAsia="Arial" w:hAnsi="Arial"/>
          <w:sz w:val="16"/>
          <w:szCs w:val="16"/>
          <w:color w:val="auto"/>
        </w:rPr>
      </w:pPr>
    </w:p>
    <w:p>
      <w:pPr>
        <w:ind w:left="460" w:right="480" w:firstLine="443"/>
        <w:spacing w:after="0" w:line="268" w:lineRule="auto"/>
        <w:tabs>
          <w:tab w:leader="none" w:pos="123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loans or advances to employees of Wynn Las Vegas or its Restricted Subsidiaries (other than the Principal) made in the ordinary course of business not exceeding $5.0 million in the aggregate outstanding at any time;</w:t>
      </w:r>
    </w:p>
    <w:p>
      <w:pPr>
        <w:spacing w:after="0" w:line="50" w:lineRule="exact"/>
        <w:rPr>
          <w:rFonts w:ascii="Arial" w:cs="Arial" w:eastAsia="Arial" w:hAnsi="Arial"/>
          <w:sz w:val="18"/>
          <w:szCs w:val="18"/>
          <w:color w:val="auto"/>
        </w:rPr>
      </w:pPr>
    </w:p>
    <w:p>
      <w:pPr>
        <w:ind w:left="460" w:right="340" w:firstLine="443"/>
        <w:spacing w:after="0" w:line="332"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to the extent constituting Investments, payroll, travel and similar advances to cover matters that at the time of such advances are expected to ultimately be treated as expenses for accounting purposes and that are made in the ordinary course of business; and</w:t>
      </w:r>
    </w:p>
    <w:p>
      <w:pPr>
        <w:spacing w:after="0" w:line="4" w:lineRule="exact"/>
        <w:rPr>
          <w:rFonts w:ascii="Arial" w:cs="Arial" w:eastAsia="Arial" w:hAnsi="Arial"/>
          <w:sz w:val="16"/>
          <w:szCs w:val="16"/>
          <w:color w:val="auto"/>
        </w:rPr>
      </w:pPr>
    </w:p>
    <w:p>
      <w:pPr>
        <w:ind w:left="460" w:right="140" w:firstLine="443"/>
        <w:spacing w:after="0" w:line="294" w:lineRule="auto"/>
        <w:tabs>
          <w:tab w:leader="none" w:pos="123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assignment of gaming debts evidenced by a credit instrument, including what are commonly referred to as “markers,” to an Affiliate of Wynn Las Vegas for the purpose of collecting amounts outstanding under such gaming debts or “markers” due to Wynn Las Vegas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Affiliate receiving any such assignment enters into a binding agreement to pay all amounts so collected back to Wynn Las Vegas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 days of receipt of payment of such collected amounts;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such Affiliate is not, at the time of any such assignment, in default of its obligations under any such binding agreement previously delivered with respect to any such assignment.</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Junior Debt</w:t>
      </w:r>
      <w:r>
        <w:rPr>
          <w:rFonts w:ascii="Arial" w:cs="Arial" w:eastAsia="Arial" w:hAnsi="Arial"/>
          <w:sz w:val="18"/>
          <w:szCs w:val="18"/>
          <w:color w:val="auto"/>
        </w:rPr>
        <w:t>” means any secured Indebtedness, which is either subordinated in right of payment to the notes or is secured by Liens with a lower priority than the Liens securing the notes, with respect to which the agent, trustee or other representatives of the lenders or the holders of such Indebtedness shall have become a party to the Intercreditor Agreement and which shall be subject to restrictions and the terms applicable to the holders of “junior debt” (as such term is defined in the Intercreditor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460" w:right="200" w:firstLine="443"/>
        <w:spacing w:after="0" w:line="306" w:lineRule="auto"/>
        <w:tabs>
          <w:tab w:leader="none" w:pos="11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Liens on property of a Person existing at the time such Person is merged into or consolidated with Wynn Las Vegas or any of the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Liens were in existence prior to the contemplation of such merger or consolidation and do not extend to any assets other than those of the Person merged into or consolidated with Wynn Las Vegas or any of the Restricted Subsidiaries;</w:t>
      </w:r>
    </w:p>
    <w:p>
      <w:pPr>
        <w:spacing w:after="0" w:line="25" w:lineRule="exact"/>
        <w:rPr>
          <w:rFonts w:ascii="Arial" w:cs="Arial" w:eastAsia="Arial" w:hAnsi="Arial"/>
          <w:sz w:val="16"/>
          <w:szCs w:val="16"/>
          <w:color w:val="auto"/>
        </w:rPr>
      </w:pPr>
    </w:p>
    <w:p>
      <w:pPr>
        <w:ind w:left="460" w:right="120" w:firstLine="443"/>
        <w:spacing w:after="0" w:line="268" w:lineRule="auto"/>
        <w:tabs>
          <w:tab w:leader="none" w:pos="11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Liens in favor of Wynn Las Vegas or any of the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if any such Liens are on any or all of the Collateral, such Liens are either: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collaterally assigned to the collateral agent for the benefit of the trustee and the holders of the notes,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firstLine="421"/>
        <w:spacing w:after="0" w:line="268" w:lineRule="auto"/>
        <w:tabs>
          <w:tab w:leader="none" w:pos="158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collateral agent for the benefit of the trustee for the benefit of the holders of the notes securing the obligations under the notes, the Note Guarantees and the Credit Agreement;</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Liens on property existing at the time of acquisition thereof by Wynn Las Vegas or any of the Restricted Subsidiaries (other than materials or supplies acquired in connection with developing, constructing, expanding or equipping of the Projects),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such Liens were in existence prior to the contemplation of such acquisition;</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Projects or in the applicable schedule(s) to the Credit Agreement, as in effect on the date of the Indenture;</w:t>
      </w:r>
    </w:p>
    <w:p>
      <w:pPr>
        <w:spacing w:after="0" w:line="50" w:lineRule="exact"/>
        <w:rPr>
          <w:rFonts w:ascii="Arial" w:cs="Arial" w:eastAsia="Arial" w:hAnsi="Arial"/>
          <w:sz w:val="18"/>
          <w:szCs w:val="18"/>
          <w:color w:val="auto"/>
        </w:rPr>
      </w:pPr>
    </w:p>
    <w:p>
      <w:pPr>
        <w:ind w:left="460" w:right="160" w:firstLine="443"/>
        <w:spacing w:after="0" w:line="256"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to secure performance of statutory obligations of, or obligations to,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 made therefor;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Liens permitted under the Disbursement Agreement;</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59" w:lineRule="exact"/>
        <w:rPr>
          <w:rFonts w:ascii="Arial" w:cs="Arial" w:eastAsia="Arial" w:hAnsi="Arial"/>
          <w:sz w:val="18"/>
          <w:szCs w:val="18"/>
          <w:color w:val="auto"/>
        </w:rPr>
      </w:pPr>
    </w:p>
    <w:p>
      <w:pPr>
        <w:ind w:left="460" w:right="60" w:firstLine="443"/>
        <w:spacing w:after="0" w:line="294" w:lineRule="auto"/>
        <w:tabs>
          <w:tab w:leader="none" w:pos="114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Liens on the Collateral created by the Indenture and the Collateral Documents securing the Indebtedness and other Obligations under the Indenture and the Collateral Documents, including the new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clause (8) shall not be deemed to permit the extension of the liens on the Collateral created by the Indenture and the Collateral Documents with respect to any Indebtedness incurred after the date of the Indenture as the result of the issuance of additional notes under the Indenture in compliance with the covenant described above under the caption “—Certain Covenants —Incurrence of Indebtedness and Issuance of Disqualified Stock”;</w:t>
      </w:r>
    </w:p>
    <w:p>
      <w:pPr>
        <w:spacing w:after="0" w:line="34"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on the Collateral securing up to $1.0 billion of Indebtedness and other Obligations under the Credit Agreement that were permitted by the terms of the Indenture to be incurred;</w:t>
      </w:r>
    </w:p>
    <w:p>
      <w:pPr>
        <w:spacing w:after="0" w:line="50" w:lineRule="exact"/>
        <w:rPr>
          <w:rFonts w:ascii="Arial" w:cs="Arial" w:eastAsia="Arial" w:hAnsi="Arial"/>
          <w:sz w:val="18"/>
          <w:szCs w:val="18"/>
          <w:color w:val="auto"/>
        </w:rPr>
      </w:pPr>
    </w:p>
    <w:p>
      <w:pPr>
        <w:ind w:left="460" w:firstLine="443"/>
        <w:spacing w:after="0" w:line="289" w:lineRule="auto"/>
        <w:tabs>
          <w:tab w:leader="none" w:pos="123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Liens on property or assets to secure Indebtedness permitted by clause (7)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so long as such Indebtedness is not incurred under the Credit Agreement or through the issuance of additional notes under the Indenture, such Liens do not at any time encumber any assets or property other than the assets or property financed by such Indebtedness, and the proceeds (including insurance proceeds), products, rents, profits, accessions and replacements thereof or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to the extent that the Indebtedness permitted by clause (7) of the second paragraph of the covenant described above under the caption “—Certain Covenants—Incurrence of Indebtedness and Issuance of Disqualified Stock” is incurred under the Credit Agreement or through the issuance of additional notes under the Indenture and the property or assets acquired with such Indebtedness becomes part of the Collateral, such Indebtedness may be secured by the Collateral;</w:t>
      </w:r>
    </w:p>
    <w:p>
      <w:pPr>
        <w:spacing w:after="0" w:line="37" w:lineRule="exact"/>
        <w:rPr>
          <w:rFonts w:ascii="Arial" w:cs="Arial" w:eastAsia="Arial" w:hAnsi="Arial"/>
          <w:sz w:val="16"/>
          <w:szCs w:val="16"/>
          <w:color w:val="auto"/>
        </w:rPr>
      </w:pPr>
    </w:p>
    <w:p>
      <w:pPr>
        <w:ind w:left="460" w:right="180" w:firstLine="443"/>
        <w:spacing w:after="0" w:line="259" w:lineRule="auto"/>
        <w:tabs>
          <w:tab w:leader="none" w:pos="12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59" w:lineRule="exact"/>
        <w:rPr>
          <w:rFonts w:ascii="Arial" w:cs="Arial" w:eastAsia="Arial" w:hAnsi="Arial"/>
          <w:sz w:val="18"/>
          <w:szCs w:val="18"/>
          <w:color w:val="auto"/>
        </w:rPr>
      </w:pPr>
    </w:p>
    <w:p>
      <w:pPr>
        <w:ind w:left="460" w:right="120" w:firstLine="443"/>
        <w:spacing w:after="0" w:line="259" w:lineRule="auto"/>
        <w:tabs>
          <w:tab w:leader="none" w:pos="123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or any of the Restricted Subsidiaries incurred in connection with a Permitted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0" w:firstLine="443"/>
        <w:spacing w:after="0" w:line="268"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on Equity Interests in Unrestricted Subsidiaries of Wynn Las Vegas but only to the extent that the recourse of the lender on any Indebtedness which such Lien secures is limited to such Equity Interests;</w:t>
      </w:r>
    </w:p>
    <w:p>
      <w:pPr>
        <w:spacing w:after="0" w:line="50" w:lineRule="exact"/>
        <w:rPr>
          <w:rFonts w:ascii="Arial" w:cs="Arial" w:eastAsia="Arial" w:hAnsi="Arial"/>
          <w:sz w:val="18"/>
          <w:szCs w:val="18"/>
          <w:color w:val="auto"/>
        </w:rPr>
      </w:pPr>
    </w:p>
    <w:p>
      <w:pPr>
        <w:ind w:left="460" w:right="560" w:firstLine="443"/>
        <w:spacing w:after="0" w:line="268"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on assets or property of Wynn Las Vegas or any of the Restricted Subsidiaries arising by reason of any attachment or judgment not constituting an Event of Default under the Indenture,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such Liens are adequately bonded or adequate reserves have been established on the books of the applicable Person in accordance with</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GAAP;</w:t>
      </w:r>
    </w:p>
    <w:p>
      <w:pPr>
        <w:spacing w:after="0" w:line="83" w:lineRule="exact"/>
        <w:rPr>
          <w:rFonts w:ascii="Arial" w:cs="Arial" w:eastAsia="Arial" w:hAnsi="Arial"/>
          <w:sz w:val="16"/>
          <w:szCs w:val="16"/>
          <w:color w:val="auto"/>
        </w:rPr>
      </w:pPr>
    </w:p>
    <w:p>
      <w:pPr>
        <w:ind w:left="460" w:right="260" w:firstLine="443"/>
        <w:spacing w:after="0" w:line="256"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or any of the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62" w:lineRule="exact"/>
        <w:rPr>
          <w:rFonts w:ascii="Arial" w:cs="Arial" w:eastAsia="Arial" w:hAnsi="Arial"/>
          <w:sz w:val="18"/>
          <w:szCs w:val="18"/>
          <w:color w:val="auto"/>
        </w:rPr>
      </w:pPr>
    </w:p>
    <w:p>
      <w:pPr>
        <w:ind w:left="920" w:right="360" w:firstLine="421"/>
        <w:spacing w:after="0" w:line="268" w:lineRule="auto"/>
        <w:tabs>
          <w:tab w:leader="none" w:pos="1579" w:val="left"/>
        </w:tabs>
        <w:numPr>
          <w:ilvl w:val="1"/>
          <w:numId w:val="188"/>
        </w:numPr>
        <w:rPr>
          <w:rFonts w:ascii="Arial" w:cs="Arial" w:eastAsia="Arial" w:hAnsi="Arial"/>
          <w:sz w:val="18"/>
          <w:szCs w:val="18"/>
          <w:color w:val="auto"/>
        </w:rPr>
      </w:pPr>
      <w:r>
        <w:rPr>
          <w:rFonts w:ascii="Arial" w:cs="Arial" w:eastAsia="Arial" w:hAnsi="Arial"/>
          <w:sz w:val="18"/>
          <w:szCs w:val="18"/>
          <w:color w:val="auto"/>
        </w:rPr>
        <w:t>neither Issuer nor any of the Restricted Subsidiaries is liable for the payment of any principal of, or interest, premiums or fees on, such financing, and</w:t>
      </w:r>
    </w:p>
    <w:p>
      <w:pPr>
        <w:spacing w:after="0" w:line="50" w:lineRule="exact"/>
        <w:rPr>
          <w:rFonts w:ascii="Arial" w:cs="Arial" w:eastAsia="Arial" w:hAnsi="Arial"/>
          <w:sz w:val="18"/>
          <w:szCs w:val="18"/>
          <w:color w:val="auto"/>
        </w:rPr>
      </w:pPr>
    </w:p>
    <w:p>
      <w:pPr>
        <w:ind w:left="920" w:right="160" w:firstLine="421"/>
        <w:spacing w:after="0" w:line="268"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Note Guarantee, as the case may be;</w:t>
      </w:r>
    </w:p>
    <w:p>
      <w:pPr>
        <w:spacing w:after="0" w:line="50" w:lineRule="exact"/>
        <w:rPr>
          <w:rFonts w:ascii="Arial" w:cs="Arial" w:eastAsia="Arial" w:hAnsi="Arial"/>
          <w:sz w:val="18"/>
          <w:szCs w:val="18"/>
          <w:color w:val="auto"/>
        </w:rPr>
      </w:pPr>
    </w:p>
    <w:p>
      <w:pPr>
        <w:ind w:left="460" w:firstLine="443"/>
        <w:spacing w:after="0" w:line="306"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Uniform Commercial Code financing statements filed for precautionary purposes in connection with any true lease of property leased by Wynn Las Vegas or any of the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25" w:lineRule="exact"/>
        <w:rPr>
          <w:rFonts w:ascii="Arial" w:cs="Arial" w:eastAsia="Arial" w:hAnsi="Arial"/>
          <w:sz w:val="16"/>
          <w:szCs w:val="16"/>
          <w:color w:val="auto"/>
        </w:rPr>
      </w:pPr>
    </w:p>
    <w:p>
      <w:pPr>
        <w:ind w:left="460" w:right="360" w:firstLine="443"/>
        <w:spacing w:after="0" w:line="268"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above under the caption “—Certain Covenants—Incurrence of Indebtedness and Issuance of Disqualified Stock,” so long as:</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Indebtedness being refinanced by such Permitted Refinancing Indebtedness was secured by a Lien of equivalent or lesser priority, and</w:t>
      </w:r>
    </w:p>
    <w:p>
      <w:pPr>
        <w:spacing w:after="0" w:line="113" w:lineRule="exact"/>
        <w:rPr>
          <w:rFonts w:ascii="Arial" w:cs="Arial" w:eastAsia="Arial" w:hAnsi="Arial"/>
          <w:sz w:val="16"/>
          <w:szCs w:val="16"/>
          <w:color w:val="auto"/>
        </w:rPr>
      </w:pPr>
    </w:p>
    <w:p>
      <w:pPr>
        <w:ind w:left="920" w:right="300" w:firstLine="421"/>
        <w:spacing w:after="0" w:line="259" w:lineRule="auto"/>
        <w:tabs>
          <w:tab w:leader="none" w:pos="158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59"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Liens securing Indebtedness incurred in accordance with clause (10) and/or clause (14) of the second paragraph of the covenant described above under the caption “—Certain Covenants—Incurrence of Indebtedness and Issuance of Disqualified Stock” and, to the extent such Indebtedness is incurred under the Credit Agreement, Liens securing Indebtedness incurred in accordance with clause (11) of the second paragraph of the covenant described above under the caption “—Certain Covenants—Incurrence of Indebtedness and Issuance of Disqualified Stock;”</w:t>
      </w:r>
    </w:p>
    <w:p>
      <w:pPr>
        <w:spacing w:after="0" w:line="31" w:lineRule="exact"/>
        <w:rPr>
          <w:rFonts w:ascii="Arial" w:cs="Arial" w:eastAsia="Arial" w:hAnsi="Arial"/>
          <w:sz w:val="16"/>
          <w:szCs w:val="16"/>
          <w:color w:val="auto"/>
        </w:rPr>
      </w:pPr>
    </w:p>
    <w:p>
      <w:pPr>
        <w:ind w:left="1240" w:hanging="337"/>
        <w:spacing w:after="0"/>
        <w:tabs>
          <w:tab w:leader="none" w:pos="12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created or expressly contemplated by the Affiliate Agreements, so long as such Liens do not secure Indebtedness;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3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above under the caption “—Certain Covenants—Incurrence of Indebtedness and Issuance of Disqualified Stock”;</w:t>
      </w:r>
    </w:p>
    <w:p>
      <w:pPr>
        <w:spacing w:after="0" w:line="50" w:lineRule="exact"/>
        <w:rPr>
          <w:rFonts w:ascii="Arial" w:cs="Arial" w:eastAsia="Arial" w:hAnsi="Arial"/>
          <w:sz w:val="18"/>
          <w:szCs w:val="18"/>
          <w:color w:val="auto"/>
        </w:rPr>
      </w:pPr>
    </w:p>
    <w:p>
      <w:pPr>
        <w:ind w:left="460" w:right="360" w:firstLine="443"/>
        <w:spacing w:after="0" w:line="332" w:lineRule="auto"/>
        <w:tabs>
          <w:tab w:leader="none" w:pos="123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licenses of patents, trademarks and other intellectual property rights granted by Wynn Las Vegas or any of the Restricted Subsidiaries in the ordinary course of business and not interfering in any material respect with the ordinary conduct of the business of such Person;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firstLine="443"/>
        <w:spacing w:after="0" w:line="294" w:lineRule="auto"/>
        <w:tabs>
          <w:tab w:leader="none" w:pos="12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Liens on cash disbursed pursuant to the Disbursement Agreement and deposited with, or held for the account of, Wynn Las Vegas or any of the Restricted Subsidiaries securing reimbursement obligations under performance bonds, guaranties, trade letters of credit, bankers’ acceptances or similar instruments permitted under clause (10) of the second paragraph of the covenant described above under the caption “—Certain Covenants—Incurrence of Indebtedness and Issuance of Disqualified Stock,” granted by Wynn Las Vegas or any of the Restricted Subsidiaries in favor of the issuers of such performance bonds, guaranties, trade letters of credit or bankers’ acceptances, so long as:</w:t>
      </w:r>
    </w:p>
    <w:p>
      <w:pPr>
        <w:spacing w:after="0" w:line="34" w:lineRule="exact"/>
        <w:rPr>
          <w:rFonts w:ascii="Arial" w:cs="Arial" w:eastAsia="Arial" w:hAnsi="Arial"/>
          <w:sz w:val="16"/>
          <w:szCs w:val="16"/>
          <w:color w:val="auto"/>
        </w:rPr>
      </w:pPr>
    </w:p>
    <w:p>
      <w:pPr>
        <w:ind w:left="1580" w:hanging="239"/>
        <w:spacing w:after="0"/>
        <w:tabs>
          <w:tab w:leader="none" w:pos="15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90" w:lineRule="exact"/>
        <w:rPr>
          <w:rFonts w:ascii="Arial" w:cs="Arial" w:eastAsia="Arial" w:hAnsi="Arial"/>
          <w:sz w:val="18"/>
          <w:szCs w:val="18"/>
          <w:color w:val="auto"/>
        </w:rPr>
      </w:pPr>
    </w:p>
    <w:p>
      <w:pPr>
        <w:ind w:left="920" w:right="280" w:firstLine="421"/>
        <w:spacing w:after="0" w:line="259" w:lineRule="auto"/>
        <w:tabs>
          <w:tab w:leader="none" w:pos="1588"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59" w:lineRule="exact"/>
        <w:rPr>
          <w:rFonts w:ascii="Arial" w:cs="Arial" w:eastAsia="Arial" w:hAnsi="Arial"/>
          <w:sz w:val="18"/>
          <w:szCs w:val="18"/>
          <w:color w:val="auto"/>
        </w:rPr>
      </w:pPr>
    </w:p>
    <w:p>
      <w:pPr>
        <w:ind w:left="460" w:right="640" w:firstLine="443"/>
        <w:spacing w:after="0" w:line="268"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to secure additional Indebtedness incurred at any time other than during a Collateral Release Period which is permitted to be incurred pursuant to the first paragraph, or pursuant to clause (8) of the second paragraph, of the covenant described above under the caption “—Certain Covenants —Incurrence of Indebtedness and Issuance of Disqualified Stock;”</w:t>
      </w:r>
    </w:p>
    <w:p>
      <w:pPr>
        <w:spacing w:after="0" w:line="59" w:lineRule="exact"/>
        <w:rPr>
          <w:rFonts w:ascii="Arial" w:cs="Arial" w:eastAsia="Arial" w:hAnsi="Arial"/>
          <w:sz w:val="18"/>
          <w:szCs w:val="18"/>
          <w:color w:val="auto"/>
        </w:rPr>
      </w:pPr>
    </w:p>
    <w:p>
      <w:pPr>
        <w:jc w:val="both"/>
        <w:ind w:left="460" w:firstLine="443"/>
        <w:spacing w:after="0" w:line="298" w:lineRule="auto"/>
        <w:tabs>
          <w:tab w:leader="none" w:pos="12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Liens to secure additional Indebtedness incurred at any time during a Collateral Release Period which is permitted to be incurred pursuant to the first paragraph, or pursuant to clause (1) of the second paragraph, of the covenant described above under the caption “—Certain Covenants—Incurrence of Indebtedness and Issuance of Disqualified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such secured Indebtedness at the time of incurrence does not exceed $100.0 million at any one time (collectively for all assets and property subject to such Liens);</w:t>
      </w:r>
    </w:p>
    <w:p>
      <w:pPr>
        <w:spacing w:after="0" w:line="31" w:lineRule="exact"/>
        <w:rPr>
          <w:rFonts w:ascii="Arial" w:cs="Arial" w:eastAsia="Arial" w:hAnsi="Arial"/>
          <w:sz w:val="16"/>
          <w:szCs w:val="16"/>
          <w:color w:val="auto"/>
        </w:rPr>
      </w:pPr>
    </w:p>
    <w:p>
      <w:pPr>
        <w:jc w:val="both"/>
        <w:ind w:left="460" w:right="380" w:firstLine="443"/>
        <w:spacing w:after="0" w:line="259"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on the Aircraft Assets to secure Indebtedness of World Travel, LLC, which is permitted to be incurred pursuant to clause (13) of the second paragraph of the covenant described above under the caption “—Certain Covenants—Incurrence of Indebtedness and Issuance of Disqualified Stock;”</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not specified in clauses (1) through (25) above and not otherwise permitted by the covenant described above under the caption “—Certain Covenants—Liens,” so long as the aggregate outstanding principal amount of the obligations secured by all such Liens in the aggregate does not exceed $10.0 million at any one time (collectively for all assets and property subject to such Liens);</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the event any loans are made directly to Wynn Resorts (Macau), S.A. in accordance with clause (10) of the definition of Permitted</w:t>
      </w:r>
    </w:p>
    <w:p>
      <w:pPr>
        <w:spacing w:after="0" w:line="38" w:lineRule="exact"/>
        <w:rPr>
          <w:rFonts w:ascii="Arial" w:cs="Arial" w:eastAsia="Arial" w:hAnsi="Arial"/>
          <w:sz w:val="16"/>
          <w:szCs w:val="16"/>
          <w:color w:val="auto"/>
        </w:rPr>
      </w:pPr>
    </w:p>
    <w:p>
      <w:pPr>
        <w:ind w:left="46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Investments, Liens of any lenders or other providers of Indebtedness to Wynn Resorts (Macau), S.A. on such loans and the proceeds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Indebtedness or other Obligations secured by any such Lien shall be non-recourse to Wynn Las Vegas and its Restricted Subsidiaries (other than with respect to such loans); and</w:t>
      </w:r>
    </w:p>
    <w:p>
      <w:pPr>
        <w:spacing w:after="0" w:line="63" w:lineRule="exact"/>
        <w:rPr>
          <w:rFonts w:ascii="Arial" w:cs="Arial" w:eastAsia="Arial" w:hAnsi="Arial"/>
          <w:sz w:val="16"/>
          <w:szCs w:val="16"/>
          <w:color w:val="auto"/>
        </w:rPr>
      </w:pPr>
    </w:p>
    <w:p>
      <w:pPr>
        <w:jc w:val="both"/>
        <w:ind w:left="460" w:right="300" w:firstLine="443"/>
        <w:spacing w:after="0" w:line="259" w:lineRule="auto"/>
        <w:tabs>
          <w:tab w:leader="none" w:pos="12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Liens of sellers of goods to Wynn Las Vegas or any of its Restricted Subsidiaries arising under Article 2 of the UCC or similar provisions of applicable law in the ordinary course of business, covering only the goods sold and securing only the unpaid purchase price for such goods and related expenses.</w:t>
      </w:r>
    </w:p>
    <w:p>
      <w:pPr>
        <w:spacing w:after="0" w:line="14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80"/>
          </w:cols>
          <w:pgMar w:left="24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or any of its Restricted Subsidiaries issued within 30 days after repayment of, in exchange for, or the net proceeds of which are used to extend, refinance, renew, replace, amend and restate, restate, defease or refund other Indebtedness of any Person (other than intercompany Indebtedness), so long as:</w:t>
      </w:r>
    </w:p>
    <w:p>
      <w:pPr>
        <w:spacing w:after="0" w:line="59" w:lineRule="exact"/>
        <w:rPr>
          <w:sz w:val="20"/>
          <w:szCs w:val="20"/>
          <w:color w:val="auto"/>
        </w:rPr>
      </w:pPr>
    </w:p>
    <w:p>
      <w:pPr>
        <w:ind w:left="460" w:firstLine="443"/>
        <w:spacing w:after="0" w:line="255"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61" w:lineRule="exact"/>
        <w:rPr>
          <w:rFonts w:ascii="Arial" w:cs="Arial" w:eastAsia="Arial" w:hAnsi="Arial"/>
          <w:sz w:val="18"/>
          <w:szCs w:val="18"/>
          <w:color w:val="auto"/>
        </w:rPr>
      </w:pPr>
    </w:p>
    <w:p>
      <w:pPr>
        <w:ind w:left="460" w:right="24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59" w:lineRule="exact"/>
        <w:rPr>
          <w:rFonts w:ascii="Arial" w:cs="Arial" w:eastAsia="Arial" w:hAnsi="Arial"/>
          <w:sz w:val="18"/>
          <w:szCs w:val="18"/>
          <w:color w:val="auto"/>
        </w:rPr>
      </w:pPr>
    </w:p>
    <w:p>
      <w:pPr>
        <w:ind w:left="460" w:right="200" w:firstLine="443"/>
        <w:spacing w:after="0" w:line="298" w:lineRule="auto"/>
        <w:tabs>
          <w:tab w:leader="none" w:pos="114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the Indebtedness being extended, refinanced, renewed, replaced, defeased or refunded is subordinated in right of payment to the notes or the Note Guarantees, such Permitted Refinancing Indebtedness has a final maturity date later than the final maturity date of, and is subordinated in right of payment to, the notes or the Note Guarantees, as applicable, on terms at least as favorable, taken as a whole, to the Holders of notes as those contained in the documentation governing the Indebtedness being extended, refinanced, renewed, replaced, defeased or refunded; and</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such Indebtedness is incurred by the Person that is the obligor on the Indebtedness being extended, refinanced, renewed, replaced, defeased or</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refunded.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means:</w:t>
      </w:r>
    </w:p>
    <w:p>
      <w:pPr>
        <w:spacing w:after="0" w:line="90" w:lineRule="exact"/>
        <w:rPr>
          <w:sz w:val="20"/>
          <w:szCs w:val="20"/>
          <w:color w:val="auto"/>
        </w:rPr>
      </w:pPr>
    </w:p>
    <w:p>
      <w:pPr>
        <w:ind w:left="460" w:right="380" w:firstLine="443"/>
        <w:spacing w:after="0" w:line="332"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guaranteed by, the United States government or issued by any agency thereof and backed by the full faith and credit of the United States, in each case maturing within 18 months from the date of acquisition;</w:t>
      </w:r>
    </w:p>
    <w:p>
      <w:pPr>
        <w:spacing w:after="0" w:line="4" w:lineRule="exact"/>
        <w:rPr>
          <w:rFonts w:ascii="Arial" w:cs="Arial" w:eastAsia="Arial" w:hAnsi="Arial"/>
          <w:sz w:val="16"/>
          <w:szCs w:val="16"/>
          <w:color w:val="auto"/>
        </w:rPr>
      </w:pPr>
    </w:p>
    <w:p>
      <w:pPr>
        <w:ind w:left="460" w:right="80" w:firstLine="443"/>
        <w:spacing w:after="0" w:line="268" w:lineRule="auto"/>
        <w:tabs>
          <w:tab w:leader="none" w:pos="1147"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shares of money market, mutual or similar funds, including funds managed or offered by the trustee, which invest exclusively in assets satisfying the requirements of clause (1) of this definition; or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shares of, or an investment in, the JPMorgan Federal Money Market Fund.</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corporation, partnership, joint venture, association, joint-stock company, trust, unincorporated organization, limited liability company or government or other entity. Notwithstanding the foregoing, the trust established and maintained for the sole purpose of holding title to the Aircraft and which a Restricted Subsidiary of Wynn Las Vegas is the sole beneficiary thereof shall not be considered a Person for purposes of the Indenture.</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 Key Project Documents</w:t>
      </w:r>
      <w:r>
        <w:rPr>
          <w:rFonts w:ascii="Arial" w:cs="Arial" w:eastAsia="Arial" w:hAnsi="Arial"/>
          <w:sz w:val="16"/>
          <w:szCs w:val="16"/>
          <w:color w:val="auto"/>
        </w:rPr>
        <w:t>” means each Payment and Performance Bond, in each case, as amended, modified or otherwise supplemented from time to time in accordance with the Disbursement Agreement (or, if the covenant described above under the caption “—Certain Covenants—Amendments to Certain Agreements” is applicable thereto, as amended, modified or otherwise supplemented in any manner that is not in contravention of that covenant).</w:t>
      </w:r>
    </w:p>
    <w:p>
      <w:pPr>
        <w:spacing w:after="0" w:line="10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Phase I Land</w:t>
      </w:r>
      <w:r>
        <w:rPr>
          <w:rFonts w:ascii="Arial" w:cs="Arial" w:eastAsia="Arial" w:hAnsi="Arial"/>
          <w:sz w:val="15"/>
          <w:szCs w:val="15"/>
          <w:color w:val="auto"/>
        </w:rPr>
        <w:t>” means that portion of the Project Site described in an exhibit to the Disbursement Agreement, as in effect on the date of the Indenture, together with all improvements thereon and all rights appurtenant thereto on which the Phase I Project will be designed, developed, constructed and operated.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Opening Date</w:t>
      </w:r>
      <w:r>
        <w:rPr>
          <w:rFonts w:ascii="Arial" w:cs="Arial" w:eastAsia="Arial" w:hAnsi="Arial"/>
          <w:sz w:val="18"/>
          <w:szCs w:val="18"/>
          <w:color w:val="auto"/>
        </w:rPr>
        <w:t>” means April 28, 2005.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Plans and Specifications</w:t>
      </w:r>
      <w:r>
        <w:rPr>
          <w:rFonts w:ascii="Arial" w:cs="Arial" w:eastAsia="Arial" w:hAnsi="Arial"/>
          <w:sz w:val="18"/>
          <w:szCs w:val="18"/>
          <w:color w:val="auto"/>
        </w:rPr>
        <w:t>” has the meaning given that term in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 Project</w:t>
      </w:r>
      <w:r>
        <w:rPr>
          <w:rFonts w:ascii="Arial" w:cs="Arial" w:eastAsia="Arial" w:hAnsi="Arial"/>
          <w:sz w:val="18"/>
          <w:szCs w:val="18"/>
          <w:color w:val="auto"/>
        </w:rPr>
        <w:t>” means Wynn Las Vegas hotel and casino resort, a large scale luxury hotel and destination casino resort, with related parking structure and golf course facilities on the Project Site.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Completion Date</w:t>
      </w:r>
      <w:r>
        <w:rPr>
          <w:rFonts w:ascii="Arial" w:cs="Arial" w:eastAsia="Arial" w:hAnsi="Arial"/>
          <w:sz w:val="18"/>
          <w:szCs w:val="18"/>
          <w:color w:val="auto"/>
        </w:rPr>
        <w:t>” means the date on which Phase II Completion occurs.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w:t>
      </w:r>
      <w:r>
        <w:rPr>
          <w:rFonts w:ascii="Arial" w:cs="Arial" w:eastAsia="Arial" w:hAnsi="Arial"/>
          <w:sz w:val="18"/>
          <w:szCs w:val="18"/>
          <w:color w:val="auto"/>
        </w:rPr>
        <w:t>” has the meaning given that term in the Disbursement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Final Completion Date</w:t>
      </w:r>
      <w:r>
        <w:rPr>
          <w:rFonts w:ascii="Arial" w:cs="Arial" w:eastAsia="Arial" w:hAnsi="Arial"/>
          <w:sz w:val="18"/>
          <w:szCs w:val="18"/>
          <w:color w:val="auto"/>
        </w:rPr>
        <w:t>” means the date on which Phase II Final Completion occurs.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Phase II Land</w:t>
      </w:r>
      <w:r>
        <w:rPr>
          <w:rFonts w:ascii="Arial" w:cs="Arial" w:eastAsia="Arial" w:hAnsi="Arial"/>
          <w:sz w:val="16"/>
          <w:szCs w:val="16"/>
          <w:color w:val="auto"/>
        </w:rPr>
        <w:t>” means the approximately 20-acre portion of the Project Site designated as the Phase II Land in the Collateral Documents, together with all improvements thereon and all rights appurtenant thereto on which the Phase II Project will be designed, developed, constructed and operated.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Opening Date</w:t>
      </w:r>
      <w:r>
        <w:rPr>
          <w:rFonts w:ascii="Arial" w:cs="Arial" w:eastAsia="Arial" w:hAnsi="Arial"/>
          <w:sz w:val="18"/>
          <w:szCs w:val="18"/>
          <w:color w:val="auto"/>
        </w:rPr>
        <w:t>” means the date on which all or any portion of the Phase II Project is open for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Plans and Specifications</w:t>
      </w:r>
      <w:r>
        <w:rPr>
          <w:rFonts w:ascii="Arial" w:cs="Arial" w:eastAsia="Arial" w:hAnsi="Arial"/>
          <w:sz w:val="18"/>
          <w:szCs w:val="18"/>
          <w:color w:val="auto"/>
        </w:rPr>
        <w:t>” means “Plans and Specifications” as defined in the Disbursement Agreement.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w:t>
      </w:r>
      <w:r>
        <w:rPr>
          <w:rFonts w:ascii="Arial" w:cs="Arial" w:eastAsia="Arial" w:hAnsi="Arial"/>
          <w:sz w:val="18"/>
          <w:szCs w:val="18"/>
          <w:color w:val="auto"/>
        </w:rPr>
        <w:t>” means the hotel tower, casino facility and retail and convention space to be constructed on the Phase II Land that will be part of Wynn Las Vegas and tentatively called “Encore at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Project Budget</w:t>
      </w:r>
      <w:r>
        <w:rPr>
          <w:rFonts w:ascii="Arial" w:cs="Arial" w:eastAsia="Arial" w:hAnsi="Arial"/>
          <w:sz w:val="18"/>
          <w:szCs w:val="18"/>
          <w:color w:val="auto"/>
        </w:rPr>
        <w:t>” means the Phase II Project Budget approved in accordance with the Disbursement Agreement.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Liability</w:t>
      </w:r>
      <w:r>
        <w:rPr>
          <w:rFonts w:ascii="Arial" w:cs="Arial" w:eastAsia="Arial" w:hAnsi="Arial"/>
          <w:sz w:val="18"/>
          <w:szCs w:val="18"/>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or any of the Restricted Subsidiaries that (i) are, or were previously, deductible by such Person and (ii) have not previously reduced Taxable Income), and (b) the Presumed Tax Rate.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Rate</w:t>
      </w:r>
      <w:r>
        <w:rPr>
          <w:rFonts w:ascii="Arial" w:cs="Arial" w:eastAsia="Arial" w:hAnsi="Arial"/>
          <w:sz w:val="16"/>
          <w:szCs w:val="16"/>
          <w:color w:val="auto"/>
        </w:rPr>
        <w:t>” with respect to any Person for any period means the highest effective combined United States federal, state and local income tax rate applicable during such period to a corporation organized under the laws of the State of Nevada, taxable at the highest marginal United States federal income tax rate and the highest marginal state and local income tax rates to which such Person is subject (after giving effect to the United States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or any of the Restricted Subsidiaries that is a Pass Through Entity). In determining the Presumed Tax Rate, the character of the items of income and gain comprising Taxable Income (e.g. ordinary income or long term capital gain) shall be taken into account.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Primary Note Collateral</w:t>
      </w:r>
      <w:r>
        <w:rPr>
          <w:rFonts w:ascii="Arial" w:cs="Arial" w:eastAsia="Arial" w:hAnsi="Arial"/>
          <w:sz w:val="16"/>
          <w:szCs w:val="16"/>
          <w:color w:val="auto"/>
        </w:rPr>
        <w:t>” means all Collateral together with the proceeds and products thereof (including, without limitation, the proceeds of Asset Sales).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Dealership Lease Agreement,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Shuttle Easement Agreement,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Access Easement Agreement,</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any manner that is not in contravention of the covenant described above under the caption “—Certain Covenants—Amendments to Certain Agreements.”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235-acre site upon which the Projects are located, together with all easements, licenses and other rights running for the benefit of Wynn Las Vegas or any of the Restricted Subsidiaries and/or appurtenant thereto, and all as more particularly described in the exhibit captioned “Project Site” in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Projects</w:t>
      </w:r>
      <w:r>
        <w:rPr>
          <w:rFonts w:ascii="Arial" w:cs="Arial" w:eastAsia="Arial" w:hAnsi="Arial"/>
          <w:sz w:val="18"/>
          <w:szCs w:val="18"/>
          <w:color w:val="auto"/>
        </w:rPr>
        <w:t>” means the Phase I Project and the Phase II Project.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Qualifying Project</w:t>
      </w:r>
      <w:r>
        <w:rPr>
          <w:rFonts w:ascii="Arial" w:cs="Arial" w:eastAsia="Arial" w:hAnsi="Arial"/>
          <w:sz w:val="18"/>
          <w:szCs w:val="18"/>
          <w:color w:val="auto"/>
        </w:rPr>
        <w:t>” means the gaming and/or hotel projects of Wynn Resorts and its Subsidiaries which are operating or for which the financing for the development, construction and opening thereof has been obtained. For purposes of this definition, each of the Phase I Project, the Phase II Project and the Macau Project shall count as separate projects.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90" w:lineRule="exact"/>
        <w:rPr>
          <w:sz w:val="20"/>
          <w:szCs w:val="20"/>
          <w:color w:val="auto"/>
        </w:rPr>
      </w:pPr>
    </w:p>
    <w:p>
      <w:pPr>
        <w:ind w:left="1160" w:hanging="257"/>
        <w:spacing w:after="0"/>
        <w:tabs>
          <w:tab w:leader="none" w:pos="11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any controlling stockholder, 80% (or more) owned Subsidiary, or immediate family member (in the case of an individual) of any Principal; or</w:t>
      </w:r>
    </w:p>
    <w:p>
      <w:pPr>
        <w:spacing w:after="0" w:line="113"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trust, corporation, partnership, limited liability company or other entity, the beneficiaries, stockholders, partners, members, owners or Persons beneficially holding an 80% or more controlling interest of which consist of the Principal and/or such other Persons referred to in the immediately preceding clause (1) or this clause (2).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and the funds securing the Completion Guarantee (currently, $31.1 million). Any such item of Collateral shall cease to be a Released Asset in the event, and to the extent, that Wynn Las Vegas or any of the Restricted Subsidiaries is required to grant a security interest therein in favor of the trustee to secure the notes or a Note Guarantee pursuant to the covenants described above under the captions “—Security—Release of Collateral,” “—Security—Release of Golf Course Land,” “—Security—Release of Homesite Acreage” and “—Security—Release of Portions of the Golf Course Land.”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Wynn Las Vegas that is not an Unrestricted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Retail Facility</w:t>
      </w:r>
      <w:r>
        <w:rPr>
          <w:rFonts w:ascii="Arial" w:cs="Arial" w:eastAsia="Arial" w:hAnsi="Arial"/>
          <w:sz w:val="18"/>
          <w:szCs w:val="18"/>
          <w:color w:val="auto"/>
        </w:rPr>
        <w:t>” means an up to approximately 60,000 square foot retail facility adjoining the Projects.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w:t>
      </w:r>
      <w:r>
        <w:rPr>
          <w:rFonts w:ascii="Arial" w:cs="Arial" w:eastAsia="Arial" w:hAnsi="Arial"/>
          <w:sz w:val="15"/>
          <w:szCs w:val="15"/>
          <w:i w:val="1"/>
          <w:iCs w:val="1"/>
          <w:color w:val="auto"/>
        </w:rPr>
        <w:t>econd Mortgage Notes</w:t>
      </w:r>
      <w:r>
        <w:rPr>
          <w:rFonts w:ascii="Arial" w:cs="Arial" w:eastAsia="Arial" w:hAnsi="Arial"/>
          <w:sz w:val="15"/>
          <w:szCs w:val="15"/>
          <w:color w:val="auto"/>
        </w:rPr>
        <w:t>” means the 12% Second Mortgage Notes due 2010 of the Issuers issued pursuant to an indenture, dated as of October 30, 2002.</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Agreements</w:t>
      </w:r>
      <w:r>
        <w:rPr>
          <w:rFonts w:ascii="Arial" w:cs="Arial" w:eastAsia="Arial" w:hAnsi="Arial"/>
          <w:sz w:val="18"/>
          <w:szCs w:val="18"/>
          <w:color w:val="auto"/>
        </w:rPr>
        <w:t>” means:</w:t>
      </w:r>
    </w:p>
    <w:p>
      <w:pPr>
        <w:spacing w:after="0" w:line="90" w:lineRule="exact"/>
        <w:rPr>
          <w:sz w:val="20"/>
          <w:szCs w:val="20"/>
          <w:color w:val="auto"/>
        </w:rPr>
      </w:pPr>
    </w:p>
    <w:p>
      <w:pPr>
        <w:ind w:left="460" w:right="100" w:firstLine="443"/>
        <w:spacing w:after="0" w:line="268"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Pledge and Security Agreement, dated as of the date of the Indenture, among the Issuers, the Restricted Subsidiaries, Wynn Resorts Holdings and the collateral agent,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or any Restricted Subsidiary from time to time in accordance with the provisions of the Indenture,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between Wynn Golf and Wynn Las Vegas, as amended, modified or otherwise supplemented from time to time in any manner that is not in contravention of the covenant described above under the caption “— Certain Covenants—Amendments to Certain Agreements.”</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 any Restricted Subsidiary of Wynn Las Vegas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90" w:lineRule="exact"/>
        <w:rPr>
          <w:sz w:val="20"/>
          <w:szCs w:val="20"/>
          <w:color w:val="auto"/>
        </w:rPr>
      </w:pPr>
    </w:p>
    <w:p>
      <w:pPr>
        <w:ind w:left="460" w:right="180" w:firstLine="443"/>
        <w:spacing w:after="0" w:line="298"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31" w:lineRule="exact"/>
        <w:rPr>
          <w:rFonts w:ascii="Arial" w:cs="Arial" w:eastAsia="Arial" w:hAnsi="Arial"/>
          <w:sz w:val="16"/>
          <w:szCs w:val="16"/>
          <w:color w:val="auto"/>
        </w:rPr>
      </w:pPr>
    </w:p>
    <w:p>
      <w:pPr>
        <w:ind w:left="460" w:right="20" w:firstLine="443"/>
        <w:spacing w:after="0" w:line="332"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4" w:lineRule="exact"/>
        <w:rPr>
          <w:rFonts w:ascii="Arial" w:cs="Arial" w:eastAsia="Arial" w:hAnsi="Arial"/>
          <w:sz w:val="16"/>
          <w:szCs w:val="16"/>
          <w:color w:val="auto"/>
        </w:rPr>
      </w:pPr>
    </w:p>
    <w:p>
      <w:pPr>
        <w:ind w:left="460" w:right="560" w:firstLine="443"/>
        <w:spacing w:after="0" w:line="268" w:lineRule="auto"/>
        <w:tabs>
          <w:tab w:leader="none" w:pos="114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Amount</w:t>
      </w:r>
      <w:r>
        <w:rPr>
          <w:rFonts w:ascii="Arial" w:cs="Arial" w:eastAsia="Arial" w:hAnsi="Arial"/>
          <w:sz w:val="16"/>
          <w:szCs w:val="16"/>
          <w:color w:val="auto"/>
        </w:rPr>
        <w:t>” means, with respect to any period, (1) with respect to any of Wynn Las Vegas, the Completion Guarantor or any of the Restricted Subsidiaries that is a Pass Through Entity and in the case of any direct or indirect Subsidiary of any of Wynn Las Vegas, the Completion Guarantor or any of the Restricted Subsidiaries that is a Pass Through Entity, the Presumed Tax Liability of such direct or indirect Subsidiary,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294" w:lineRule="auto"/>
        <w:tabs>
          <w:tab w:leader="none" w:pos="24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 respect to any of Wynn Las Vegas, the Completion Guarantor or any of their respective subsidiaries that are Consolidated Members, the aggregate United States federal income tax liability such Persons would owe for such period if each was a corporation filing United States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Income</w:t>
      </w:r>
      <w:r>
        <w:rPr>
          <w:rFonts w:ascii="Arial" w:cs="Arial" w:eastAsia="Arial" w:hAnsi="Arial"/>
          <w:sz w:val="18"/>
          <w:szCs w:val="18"/>
          <w:color w:val="auto"/>
        </w:rPr>
        <w:t>” means, with respect to any Person for any period, the taxable income, if any, of such Person for such period for United States federal income tax purposes as a result of such Person’s equity ownership of Wynn Las Vegas, the Completion Guarantor or any of the Restricted Subsidiaries that are Pass Through Entities for such period, so long as all items of income, gain, loss or deduction required to be stated separately pursuant to Section 703(a)(1) of the Code are included in taxable income or loss.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Wynn Completion Guarantor, LLC and any other Subsidiary of Wynn Las Vegas, other than Wynn Capital, that is designated by the Board of Directors of Wynn Capital as an Unrestricted Subsidiary pursuant to a resolution of the Board of Directors (and any Subsidiary of each such Unrestricted Subsidiary), but only to the extent that such Subsidiary of Wynn Las Vegas (other than the Completion Guarantor):</w:t>
      </w:r>
    </w:p>
    <w:p>
      <w:pPr>
        <w:spacing w:after="0" w:line="26" w:lineRule="exact"/>
        <w:rPr>
          <w:sz w:val="20"/>
          <w:szCs w:val="20"/>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is not party to any agreement, contract, arrangement or understanding with either Issuer, any Restricted Subsidiary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covenant described above under the caption “—Certain Covenants—Transactions with Affiliates”;</w:t>
      </w:r>
    </w:p>
    <w:p>
      <w:pPr>
        <w:spacing w:after="0" w:line="34" w:lineRule="exact"/>
        <w:rPr>
          <w:rFonts w:ascii="Arial" w:cs="Arial" w:eastAsia="Arial" w:hAnsi="Arial"/>
          <w:sz w:val="16"/>
          <w:szCs w:val="16"/>
          <w:color w:val="auto"/>
        </w:rPr>
      </w:pPr>
    </w:p>
    <w:p>
      <w:pPr>
        <w:ind w:left="460" w:right="240" w:firstLine="443"/>
        <w:spacing w:after="0" w:line="259"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Subsidiary,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Subsidiary or any Guarantor; and</w:t>
      </w:r>
    </w:p>
    <w:p>
      <w:pPr>
        <w:spacing w:after="0" w:line="50" w:lineRule="exact"/>
        <w:rPr>
          <w:rFonts w:ascii="Arial" w:cs="Arial" w:eastAsia="Arial" w:hAnsi="Arial"/>
          <w:sz w:val="18"/>
          <w:szCs w:val="18"/>
          <w:color w:val="auto"/>
        </w:rPr>
      </w:pPr>
    </w:p>
    <w:p>
      <w:pPr>
        <w:jc w:val="both"/>
        <w:ind w:left="460" w:right="480" w:firstLine="443"/>
        <w:spacing w:after="0" w:line="370" w:lineRule="auto"/>
        <w:tabs>
          <w:tab w:leader="none" w:pos="114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has at least one director on its Board of Directors that is not a director or executive officer of either Issuer, any Restricted Subsidiary or any Guarantor and has at least one executive officer that is not a director or executive officer of either Issuer, any Restricted Subsidiary or any Guarantor.</w:t>
      </w:r>
    </w:p>
    <w:p>
      <w:pPr>
        <w:spacing w:after="0" w:line="6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Capital’s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deemed to be incurred by a Restricted Subsidiary of Wynn Las Vegas as of such date and, if such Indebtedness is not permitted to be incurred as of such date under the covenant described above under the caption “—Certain Covenants—Incurrence of Indebtedness and Issuance of Disqualified Stock,” Wynn Las Vegas shall be in default of such covenant. The Board of Directors of Wynn Capital may, at any time, designate any Unrestricted Subsidiary of Wynn Las Vegas to be a Restricted Subsidiary. Such designation shall be deemed to be an incurrence of Indebtedness by a Restricted Subsidiary of any outstanding Indebtedness of such Unrestricted Subsidiary and such designation shall only be permitted if (1) such Indebtedness is permitted under the covenant described above under the caption “—Certain Covenants—Incurrence of Indebtedness and Issuance of Disqualified Stock,” calculated on a pro forma basis as if such designation had occurred at the beginning of the four-quarter reference period and (2) no Default or Event of Default would be in existence following such designation.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Lamore</w:t>
      </w:r>
      <w:r>
        <w:rPr>
          <w:rFonts w:ascii="Arial" w:cs="Arial" w:eastAsia="Arial" w:hAnsi="Arial"/>
          <w:sz w:val="18"/>
          <w:szCs w:val="18"/>
          <w:color w:val="auto"/>
        </w:rPr>
        <w:t>” means Valvino Lamore, LLC, a Nevada limited liability company.</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 to or appurtenant to property owned or leased by such Person, and (2) with respect to any property, any water stock, permits or entitlements and any other water rights related to or appurtenant to such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90" w:lineRule="exact"/>
        <w:rPr>
          <w:sz w:val="20"/>
          <w:szCs w:val="20"/>
          <w:color w:val="auto"/>
        </w:rPr>
      </w:pPr>
    </w:p>
    <w:p>
      <w:pPr>
        <w:jc w:val="both"/>
        <w:ind w:left="460" w:firstLine="443"/>
        <w:spacing w:after="0" w:line="259" w:lineRule="auto"/>
        <w:tabs>
          <w:tab w:leader="none" w:pos="1147"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w:t>
      </w:r>
      <w:r>
        <w:rPr>
          <w:rFonts w:ascii="Arial" w:cs="Arial" w:eastAsia="Arial" w:hAnsi="Arial"/>
          <w:sz w:val="18"/>
          <w:szCs w:val="18"/>
          <w:i w:val="1"/>
          <w:iCs w:val="1"/>
          <w:color w:val="auto"/>
        </w:rPr>
        <w:t>by</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will at the time be owned by such Person or by one or more Wholly Owned Restricted Subsidiaries of such Person.</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Amended and Restated Project Administrative Services Agreement, dated as of the date of the Indenture, between Wynn Las Vegas and Wynn Design, as amended, modified or otherwise supplemented from time to time in any manner that is not in contravention of the covenant described above under the caption “—Certain Covenants—Amendments to Certain Agreements.”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Golf</w:t>
      </w:r>
      <w:r>
        <w:rPr>
          <w:rFonts w:ascii="Arial" w:cs="Arial" w:eastAsia="Arial" w:hAnsi="Arial"/>
          <w:sz w:val="18"/>
          <w:szCs w:val="18"/>
          <w:color w:val="auto"/>
        </w:rPr>
        <w:t>” means Wynn Golf, LLC, a Nevada limited liability company.</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Home Site Land</w:t>
      </w:r>
      <w:r>
        <w:rPr>
          <w:rFonts w:ascii="Arial" w:cs="Arial" w:eastAsia="Arial" w:hAnsi="Arial"/>
          <w:sz w:val="18"/>
          <w:szCs w:val="18"/>
          <w:color w:val="auto"/>
        </w:rPr>
        <w:t>” means an approximately two acre tract of land located on the Golf Course Land where a personal residence for Stephen A. Wynn may be built, after the release of the Trustee’s Liens (for the benefit of the Holders) thereon in accordance with the covenant described above under the caption “—Security—Release of Homesite Acreage.”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IP Agreement</w:t>
      </w:r>
      <w:r>
        <w:rPr>
          <w:rFonts w:ascii="Arial" w:cs="Arial" w:eastAsia="Arial" w:hAnsi="Arial"/>
          <w:sz w:val="18"/>
          <w:szCs w:val="18"/>
          <w:color w:val="auto"/>
        </w:rPr>
        <w:t>” means the Intellectual Property License Agreement, dated as of the date of the Indenture, among Wynn Resorts, Wynn Resorts Holdings and Wynn Las Vegas.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 Holdings</w:t>
      </w:r>
      <w:r>
        <w:rPr>
          <w:rFonts w:ascii="Arial" w:cs="Arial" w:eastAsia="Arial" w:hAnsi="Arial"/>
          <w:sz w:val="18"/>
          <w:szCs w:val="18"/>
          <w:color w:val="auto"/>
        </w:rPr>
        <w:t>” means Wynn Resorts Holdings, LLC, a Nevada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Show Performers</w:t>
      </w:r>
      <w:r>
        <w:rPr>
          <w:rFonts w:ascii="Arial" w:cs="Arial" w:eastAsia="Arial" w:hAnsi="Arial"/>
          <w:sz w:val="18"/>
          <w:szCs w:val="18"/>
          <w:color w:val="auto"/>
        </w:rPr>
        <w:t>” means Wynn Show Performers, LLC, a Nevada limited liability company.</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40"/>
          </w:cols>
          <w:pgMar w:left="240" w:top="459" w:right="7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August 15, 2006, we entered into the Amended and Restated Credit Agreement and related ancillary agreements with Deutsche Bank Trust Company Americas (referred to herein as Deutsche Bank), as administrative agent, issuing lender and swing line lender, Deutsche Bank Securities Inc., as lead arranger and joint book-running manager, Banc of America Securities LLC, as lead arranger and joint book-running manager, Bank of America, N.A., as syndication agent, Bear, Stearns &amp; Co. Inc., as arranger and joint book-running manager, Bear Stearns Corporate Lending Inc., as joint documentation agent, SG Americas Securities, LLC, as arranger and joint book-running manager, Société Générale, as joint documentation agent, J.P. Morgan Securities Inc., as arranger and joint book-running manager, JPMorgan Chase Bank, N.A., as joint documentation agent, Bank of Scotland, as managing agent, HSH Nordbank AG, as managing agent, The Royal Bank of Scotland PLC, as managing agent, Wachovia Bank, as managing agent, and the several banks and other financial institutions or entities from time to time parties thereto as lenders, which credit agreement provided for secured revolving credit and term loan facilities in the aggregate amount of $1.125 billion. The following summary is qualified in its entirety by reference to the credit agreement. On April 9, 2007, we entered into an amendment to the credit agreement which, among other things, effected certain procedural changes to the credit agreement and removed from the credit agreement a limitation on expenditures with respect to project costs for Encore. Additionally, on October 31, 2007, we entered into an amendment to the credit agreement which, among other things, amended certain provisions relating to the insurance coverages we are required to maintain under the credit agreement and the disbursement agreement and permitted us to issue the old notes and permits us to issue the new notes.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credit facilities are comprised of the following:</w:t>
      </w:r>
    </w:p>
    <w:p>
      <w:pPr>
        <w:spacing w:after="0" w:line="90" w:lineRule="exact"/>
        <w:rPr>
          <w:sz w:val="20"/>
          <w:szCs w:val="20"/>
          <w:color w:val="auto"/>
        </w:rPr>
      </w:pPr>
    </w:p>
    <w:p>
      <w:pPr>
        <w:ind w:left="900" w:hanging="446"/>
        <w:spacing w:after="0" w:line="268"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senior secured revolving credit facility in the amount of $900 million that will terminate and be payable in full on August 15, 2011, and a portion of which may be used for letters of credit;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senior secured term loan facility in the amount of $225 million.</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2007, no amounts were outstanding under the revolving credit facility; however, we do have $16.7 million of outstanding letters of credit that reduce our availability under the revolving credit facility. Consequently, $883.3 million remains available under the revolving credit facility for future borrowings for the construction of Encore or for other uses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Payments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Term loans under the term loan facility will be amortized through the date of maturity for the term loan facility according to the following schedule:</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93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initial term loan</w:t>
            </w:r>
          </w:p>
        </w:tc>
      </w:tr>
      <w:tr>
        <w:trPr>
          <w:trHeight w:val="161"/>
        </w:trPr>
        <w:tc>
          <w:tcPr>
            <w:tcW w:w="9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principal amount</w:t>
            </w:r>
          </w:p>
        </w:tc>
        <w:tc>
          <w:tcPr>
            <w:tcW w:w="140" w:type="dxa"/>
            <w:vAlign w:val="bottom"/>
          </w:tcPr>
          <w:p>
            <w:pPr>
              <w:spacing w:after="0"/>
              <w:rPr>
                <w:sz w:val="14"/>
                <w:szCs w:val="14"/>
                <w:color w:val="auto"/>
              </w:rPr>
            </w:pPr>
          </w:p>
        </w:tc>
      </w:tr>
      <w:tr>
        <w:trPr>
          <w:trHeight w:val="210"/>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9340" w:type="dxa"/>
            <w:vAlign w:val="bottom"/>
          </w:tcPr>
          <w:p>
            <w:pPr>
              <w:spacing w:after="0"/>
              <w:rPr>
                <w:sz w:val="20"/>
                <w:szCs w:val="20"/>
                <w:color w:val="auto"/>
              </w:rPr>
            </w:pPr>
            <w:r>
              <w:rPr>
                <w:rFonts w:ascii="Arial" w:cs="Arial" w:eastAsia="Arial" w:hAnsi="Arial"/>
                <w:sz w:val="18"/>
                <w:szCs w:val="18"/>
                <w:color w:val="auto"/>
              </w:rPr>
              <w:t>August 15, 2013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Fees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purposes of calculating interest, loans under our credit facilities will be designated, at our election, as “Eurodollar Loans” or “Base Rate Loans.” Prior to the opening of Encore, Eurodollar Loans bear interest at LIBOR plus an interest margin equal to 1.625% for revolving loans and 1.875% for term loans under the term loan facility. Interest on Eurodollar Loans is payable at the end of the applicable interest period in the case of interest periods of one, two or three months, and every three months in the case of interest periods of six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 xml:space="preserve">Prior to the opening of Encore, Base Rate Loans bear interest at (a) a rate per annum equal to the greater of (i) the rate most recently announced by Deutsche Bank as its “prime rate,” or (ii) the Federal Funds Effective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plus (b) an interest margin equal to 0.625% for revolving loans and 0.875% for term loans under the term loan facility. Interest on Base Rate Loans will be payable quarterly in arrears.</w:t>
      </w:r>
    </w:p>
    <w:p>
      <w:pPr>
        <w:spacing w:after="0" w:line="16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After the opening of Encore, the applicable interest margins for revolving loans will be based on our and our subsidiaries’ consolidated leverage ratio, ranging from 1.00% to 1.75% per annum for Eurodollar Loans and 0.00% to 0.75% per annum for Base Rate Loans.</w:t>
      </w:r>
    </w:p>
    <w:p>
      <w:pPr>
        <w:spacing w:after="0" w:line="8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will pay, quarterly in arrears, a commitment fee on the daily average of unborrowed availability under the revolving credit facility at a rate equal to, prior to the opening of Encore, 0.375% per annum. After the opening of Encore, the commitment fee will be based on our and our subsidiaries’ consolidated leverage ratio and will range from 0.25% to 0.50% per annum on the daily average unborrowed availability under the revolving credit facility.</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Letters of credit issued pursuant to our credit facilities will accrue fees at the interest margin payable on Eurodollar Loans under the revolving credit facility, as described above, plus a customary fronting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credit facilities are guaranteed by each of our subsidiaries, other than Wynn Completion Guarantor, LLC. Each guarantee of our obligations under our credit facilities is secured by a security interest in substantially all of the guarantors’ existing and future assets (except World Travel, LLC’s corporate aircraft), and ranks pari passu in right of payment with any existing and future senior indebtedness of such guarantors, including indebtedness with respect to the notes. In addition, each guarantee of our obligations under our credit facilities ranks senior in right of payment to all of the existing and future subordinated indebtedness of each guarantor.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9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Subject to the intercreditor agreement, and certain exceptions, compliance with all applicable laws, including gaming laws and regulations, permitted liens and obtaining any necessary regulatory approvals, our obligations under our credit facilities and the obligations of each of the guarantors under the guarantee are secured by:</w:t>
      </w:r>
    </w:p>
    <w:p>
      <w:pPr>
        <w:spacing w:after="0" w:line="59" w:lineRule="exact"/>
        <w:rPr>
          <w:sz w:val="20"/>
          <w:szCs w:val="20"/>
          <w:color w:val="auto"/>
        </w:rPr>
      </w:pPr>
    </w:p>
    <w:p>
      <w:pPr>
        <w:ind w:left="900" w:right="80" w:hanging="446"/>
        <w:spacing w:after="0" w:line="268"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first priority pledge of Wynn Holdings’ equity interests in Wynn Las Vegas, LLC and all of our and the guarantors’ equity interests in our and their subsidiaries;</w:t>
      </w:r>
    </w:p>
    <w:p>
      <w:pPr>
        <w:spacing w:after="0" w:line="50" w:lineRule="exact"/>
        <w:rPr>
          <w:rFonts w:ascii="Arial" w:cs="Arial" w:eastAsia="Arial" w:hAnsi="Arial"/>
          <w:sz w:val="18"/>
          <w:szCs w:val="18"/>
          <w:color w:val="auto"/>
        </w:rPr>
      </w:pPr>
    </w:p>
    <w:p>
      <w:pPr>
        <w:ind w:left="900" w:right="100" w:hanging="446"/>
        <w:spacing w:after="0" w:line="294" w:lineRule="auto"/>
        <w:tabs>
          <w:tab w:leader="none" w:pos="90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first mortgages on all real property on which Wynn Las Vegas and Encore are located, including the golf course parcel, as well as substantially all appurtenant rights we or our subsidiaries own related to the development, construction and operation of Wynn Las Vegas and Encore, subject to release of the golf course parcel and certain other parcels and assets in connection with dispositions thereof upon satisfaction of certain conditions and meeting certain maximum leverage tests and minimum earnings before interest, taxes, depreciation and amortization requirements, in each case, as may be applicable, and releases related to certain dispositions permitted by our credit facilities; and</w:t>
      </w:r>
    </w:p>
    <w:p>
      <w:pPr>
        <w:spacing w:after="0" w:line="34"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of our and our restricted subsidiaries’ other existing and future assets, subject to certain exceptions, and further subject to release of certain assets as permitted by our credit facilities. Our credit facilities are not secured by World Travel, LLC’s corporate aircraft.</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obligations under our credit facilities are secured by other assets on a pari passu basis with our obligations under the notes. The agreement among the agent, on behalf of itself and the lenders under our credit facilities, and the trustee, on behalf of the noteholders, is set forth in an intercreditor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Guarantee</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Completion Guarantor, LLC, our special purpose subsidiary, has provided a completion guarantee in favor of the lenders under our credit facilities and the holders of the notes to guarantee completion in full of the construction and opening of Wynn Las Vegas and Encore. The completion guarantee was initially capped at $50 million and consists of cash collateralized by a security interest in a collateral account holding cash or short-term highly rated securities and pledged to the lenders under our credit facilities and the holders of the notes as security for the completion guarantee. As of December 31, 2007, there was $31.1 million on deposit in the completion guarantee account. Subject to the intercreditor agreement, upon the occurrence of an event of default under our credit facilities or the Indenture, the lenders under our credit facilities and the holders of the notes will be permitted to exercise remedies against deposits in the completion guarantee account. After the satisfaction of certain conditions relating to the completion of Wynn Las Vegas and Encore, any amounts remaining in this account will be released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Commitment Reductions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the scheduled amortization payments described above, we are required to make mandatory prepayments of indebtedness under our credit facilities from the net proceeds from all debt offerings (other than the notes and other offerings constituting certain permitted debt), the net proceeds from certain dispositions, the net proceeds from asset sales, insurance or condemnation proceeds, and liquidated damages under certain project documents received by us, in each case, with specified exceptions and subject in certain cases to reinvestment periods. Following the opening of Encore, if our leverage ratio is above a certain level we will also be required to make mandatory prepayments of indebtedness under our credit facilities from 50% of our excess cash flow. Mandatory prepayments under our credit facilities will be applied to repay the term loan facility, and in certain events, to reduce the revolving credit commitments and repay amounts borrowed under the revolving credit facility. We have the option to prepay all or any portion of the indebtedness under our credit facilities at any time without premium or penalty.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loan documentation contains customary negative covenants and financial covenants. During the term of our credit facilities, the negative covenants restrict our ability to do certain things, including but not limited to:</w:t>
      </w:r>
    </w:p>
    <w:p>
      <w:pPr>
        <w:spacing w:after="0" w:line="51" w:lineRule="exact"/>
        <w:rPr>
          <w:sz w:val="20"/>
          <w:szCs w:val="20"/>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incur additional indebtedness, including guarantees;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create, incur, assume or permit to exist liens on property and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declare or pay dividends and make distributions or restrict the ability of our subsidiaries to pay dividends and make distributions;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engage in mergers, investments and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execute modifications to material contracts;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engage in sales of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capital expenditures;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optional prepayments of certain indebtedness.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covenants are:</w:t>
      </w:r>
    </w:p>
    <w:p>
      <w:pPr>
        <w:spacing w:after="0" w:line="90" w:lineRule="exact"/>
        <w:rPr>
          <w:sz w:val="20"/>
          <w:szCs w:val="20"/>
          <w:color w:val="auto"/>
        </w:rPr>
      </w:pPr>
    </w:p>
    <w:p>
      <w:pPr>
        <w:ind w:left="900" w:hanging="446"/>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minimum consolidated interest coverage ratio (earnings before interest, taxes, depreciation and amortization to total interest expense); and</w:t>
      </w:r>
    </w:p>
    <w:p>
      <w:pPr>
        <w:spacing w:after="0" w:line="18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171</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maximum consolidated leverage ratio (total debt to earnings before interest, taxes, depreciation and amortization).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loan documentation for our credit facilities contains certain events of default, including the failure to make payments when due, defaults under, or the invalidity or termination of, other material agreements or instruments of indebtedness of specific amounts, noncompliance with covenants, material breaches of representations and warranties, bankruptcy events, judgments in excess of specified amounts, ERISA matters, impairment of security interests in collateral, loss of gaming licenses, failure of subordinated indebtedness and certain other obligations to remain subordinated to the obligations under our credit facilities, change of control and specified events under the disbursement agreement (including the failure or inability to open or complete Encore by a specified opening or completion date), subject in some cases to applicable notice provisions and grace periods. See “Disbursement Agreement.” The consequences of an event of default may include termination of the commitments under our credit facilities, acceleration of all amounts due under our credit facilities, and various other remedies that could include, among other things, foreclosure on substantially all of our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Availability of Funds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Borrowings of loans under our credit facilities are subject to prior written notice, the accuracy of representations and warranties, the absence of any default or event of default and certain other customary conditions to borrowing.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60"/>
          </w:cols>
          <w:pgMar w:left="240" w:top="459" w:right="2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DISBURSEMENT AGREEMENT</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an amended and restated disbursement agreement with Deutsche Bank Trust Company Americas, as the agent for the lenders under our credit facilities, and Deutsche Bank Trust Company Americas, as the disbursement agent. This summary is qualified in its entirety by reference to the disbursement agreement.</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disbursement agreement, among other things, sets forth terms and conditions with respect to our use of funds in certain of our accounts (including for the purpose of paying project costs), the completion of Encore and our ability to amend the budget, schedule, and contracts related to the construction of Encore. Furthermore, the disbursement agreement requires us to deliver status reports, costs reports, the budget and the schedule related to the construction of Encore and to certify as to the availability of funds necessary to complete construction of Encore, each on a quarterly basis. Failure to deliver such items or make such certifications, or the failure or inability to open or complete Encore by a specified opening or completion date, may result in a default or event of default under the disbursement agreement, in which case we may be prohibited from accessing funds under our credit facilities or making payments of project costs for Encore. Upon the occurrence and during the continuance of an event of default under the disbursement agreement, the agent for the lenders under our credit facilities and the disbursement agent will be entitled to refuse to make extensions of credit under our credit facilities or make or allow any payments or disbursements for the payment of project costs. The disbursement agreement provides that the agent for the lenders under our credit facilities, without the consent of any person, is entitled to waive defaults and events of default under the disbursement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the trustee for the notes nor the holders of the notes have any rights under the disbursement agreement.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INTERCREDITOR AGREEMENT</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agent under our credit facilities and the trustee on behalf of the noteholders have entered into an intercreditor agreement (the “intercreditor agreement”) that will govern the relationship among the holders of the notes, the lenders under our credit facilities and holders of future permitted senior and junior indebtedness. This summary is qualified in its entirety by reference to the intercreditor agreement.</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intercreditor agreement sets forth certain agreements among the parties regarding, among other things, the priority of their claims and interests in the shared collateral securing our obligations under our credit facilities, the indenture, additional permitted senior debt and permitted junior debt and other assets we own, the method of decision-making among the lenders, the noteholders, other permitted senior debt holders and permitted junior debt holders, the arrangements applicable to actions with respect to approval rights and waivers, certain limitations on rights of enforcement upon default and the application of proceeds from enforcement.</w:t>
      </w:r>
    </w:p>
    <w:p>
      <w:pPr>
        <w:spacing w:after="0" w:line="143"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Under the intercreditor agreement, the agent under our credit facilities and the trustee on behalf of the noteholders have appointed Deutsche Bank Trust Company Americas to act as collateral agent with respect to the collateral securing our obligations under our credit facilities and the indenture, to exercise remedies in respect thereof upon the occurrence of an event of default and to act as specified in the intercreditor agreement under our security documents.</w:t>
      </w:r>
    </w:p>
    <w:p>
      <w:pPr>
        <w:spacing w:after="0" w:line="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intercreditor agreement provides that the liens granted for the benefit of the noteholders with respect to our assets (which shall not include a lien on our bank proceeds account) and the assets pledged by the guarantors are pari passu in priority (which priority is first, subject to permitted liens) with the liens on such assets granted for the benefit of the lenders under our credit facilities and the liens on such assets that may be granted for the benefit of other permitted senior debt holders. Additionally, the intercreditor agreement provides that the liens on such assets granted for the benefit of permitted junior debt holders are junior to the liens on such assets granted for the benefit of the noteholders, the lenders under our credit facilities and other permitted senior debt holders. Subject to the direction of the required secured creditors, the intercreditor agreement provides that the collateral agent has the sole and exclusive right to exercise rights and enforce remedies under the security documents to which it is a party.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is a summary of the anticipated material United States federal income tax consequences to a holder of old notes relating to the exchange of old notes for new notes. This summary is based upon existing United States federal income tax law, which is subject to differing interpretations or change, possibly with retroactive effect. This summary does not discuss all aspects of United States federal income taxation which may be important to particular investors in light of their individual investment circumstances, such as notes held by investors subject to special tax rules (e.g., financial institutions, insurance companies, broker-dealers, partnerships and their partners, and tax-exempt organizations (including private foundations)) or to persons that will hold the new notes as part of a straddle, hedge, conversion, constructive sale, or other integrated security transaction for United States federal income tax purposes, all of whom may be subject to tax rules that differ significantly from those summarized below. This summary does not discuss any (i) United States federal income tax consequences to a Non-U.S. Holder (as defined below) that (A) is engaged in the conduct of a United States trade or business, (B) is a nonresident alien individual and such holder is present in the United States for 183 or more days during the taxable year, or (C) is a corporation which operates through a United States branch, and (ii) state, local or non-United States tax considerations. This summary addresses investors who will hold the new notes as “capital assets” (generally, property held for investment) under the Internal Revenue Code of 1986, as amended (the “Code”). Each prospective investor is urged to consult its tax advisor regarding the United States federal, state, local, and non-United States income and other tax considerations of the purchase, ownership, and disposition of the new notes.</w:t>
      </w:r>
    </w:p>
    <w:p>
      <w:pPr>
        <w:spacing w:after="0" w:line="12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summary, a “Non-U.S. Holder” means any beneficial owner of a note that is not, for United states federal income tax purposes, (i) an individual who is a citizen or resident of the United States, (ii) a corporation or other entity taxable as a corporation created in, or organized under the law of, the United States or any State or political subdivision thereof,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 exchange of old notes for new notes pursuant to the exchange offer will be ignored for United States federal income tax purposes. Consequently, a holder of old notes will not recognize gain or loss, for United States federal income tax purposes, as a result of exchanging old notes for new notes pursuant to the exchange offer. The holding period of the new notes will be the same as the holding period of the old notes and the tax basis in the new notes will be the same as the adjusted tax basis in the old notes as determined immediately before the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80" w:firstLine="456"/>
        <w:spacing w:after="0" w:line="294" w:lineRule="auto"/>
        <w:rPr>
          <w:sz w:val="20"/>
          <w:szCs w:val="20"/>
          <w:color w:val="auto"/>
        </w:rPr>
      </w:pPr>
      <w:r>
        <w:rPr>
          <w:rFonts w:ascii="Arial" w:cs="Arial" w:eastAsia="Arial" w:hAnsi="Arial"/>
          <w:sz w:val="15"/>
          <w:szCs w:val="15"/>
          <w:color w:val="auto"/>
        </w:rPr>
        <w:t>Each broker-dealer that receives new notes for its own account pursuant to the exchange offer must acknowledge that it will deliver a prospectus in connection with any resale of the new notes. This prospectus, as it may be amended or supplemented from time to time, may be used by a broker-dealer in connection with resales of new notes received in exchange for old notes where such old notes were acquired as a result of market-making activities or other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trading activities. We have agreed that, for a period of up to the later of (i) 180 days following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registration statement containing this</w:t>
      </w:r>
    </w:p>
    <w:p>
      <w:pPr>
        <w:spacing w:after="0" w:line="14" w:lineRule="exact"/>
        <w:rPr>
          <w:sz w:val="20"/>
          <w:szCs w:val="20"/>
          <w:color w:val="auto"/>
        </w:rPr>
      </w:pPr>
    </w:p>
    <w:p>
      <w:pPr>
        <w:ind w:right="220"/>
        <w:spacing w:after="0" w:line="220" w:lineRule="auto"/>
        <w:rPr>
          <w:sz w:val="20"/>
          <w:szCs w:val="20"/>
          <w:color w:val="auto"/>
        </w:rPr>
      </w:pPr>
      <w:r>
        <w:rPr>
          <w:rFonts w:ascii="Arial" w:cs="Arial" w:eastAsia="Arial" w:hAnsi="Arial"/>
          <w:sz w:val="18"/>
          <w:szCs w:val="18"/>
          <w:color w:val="auto"/>
        </w:rPr>
        <w:t>prospectus is declared effective, and (ii) 180 days following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business day after the exchange offer expires, we will make this prospectus, as amended or supplemented, available to any broker-dealer for use in connection with any such resale. In addition, until , 2008, all dealers effecting transactions in the new notes may be required to deliver a prospectus.</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will not receive any proceeds from any sale of new notes by broker-dealers. New notes received by broker-dealers for their own account pursuant to the exchange offer may be sold from time to time in one or more transactions:</w:t>
      </w:r>
    </w:p>
    <w:p>
      <w:pPr>
        <w:spacing w:after="0" w:line="51" w:lineRule="exact"/>
        <w:rPr>
          <w:sz w:val="20"/>
          <w:szCs w:val="20"/>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negotiated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through the writing of options on the new notes, or</w:t>
      </w:r>
    </w:p>
    <w:p>
      <w:pPr>
        <w:spacing w:after="0" w:line="9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combination of such methods of resale, at market prices prevailing at the time of resale, at prices related to such prevailing market prices or at negotiated prices.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Any resale may be made directly to purchasers or to or through brokers or dealers who may receive compensation in the form of commissions or concessions from any such broker-dealer or the purchasers of any such new notes. Any broker-dealer that resells new notes that were received by it for its own account pursuant to the exchange offer and any broker or dealer that participates in a distribution of new notes may be deemed to be an “underwriter” within the meaning of the Securities Act and any profit of any such resale of new notes and any commission or concessions received by any such persons may be deemed to be underwriting compensation under the Securities Act. Any broker-dealer that resells new notes that were received by it for its own account in the exchange offer and any broker-dealer that participates in a distribution of those new notes may be deemed to be an underwriter within the meaning of the Securities Act and must comply with the registration and prospectus delivery requirements of the Securities Act in connection with any resale transaction, including the delivery of a prospectus that contains information with respect to any selling holder required by the Securities Act in connection with any resale of the new notes. The letter of transmittal states that, by acknowledging that it will deliver and by delivering a prospectus, a broker-dealer will not be deemed to admit that it is an “underwriter” within the meaning of the Securities Act.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Furthermore, any broker-dealer that acquired any of the old notes directly from us:</w:t>
      </w:r>
    </w:p>
    <w:p>
      <w:pPr>
        <w:spacing w:after="0" w:line="90" w:lineRule="exact"/>
        <w:rPr>
          <w:sz w:val="20"/>
          <w:szCs w:val="20"/>
          <w:color w:val="auto"/>
        </w:rPr>
      </w:pPr>
    </w:p>
    <w:p>
      <w:pPr>
        <w:ind w:left="900" w:right="260" w:hanging="446"/>
        <w:spacing w:after="0" w:line="259"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Incorporated, SEC no-action letter (June 5, 1991) and Shearman &amp; Sterling, SEC no-action letter (July 2, 1993); and</w:t>
      </w:r>
    </w:p>
    <w:p>
      <w:pPr>
        <w:spacing w:after="0" w:line="59"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must also be named as a selling noteholder in connection with the registration and prospectus delivery requirements of the Securities Act relating to any resale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a period of up to the later of (i) 180 days following the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business day after the registration statement containing this prospectus is declared effective,</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and (ii) 180 days following the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business day after the exchange offer expires,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holders of the old notes) other than commissions or concessions of any broker-dealer and will indemnify the holders of the old notes (including any broker-dealers) against certain liabilities, including liabilities under the Securities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Certain legal matters in connection with this exchange offer will be passed upon for us by Skadden, Arps, Slate, Meagher &amp; Flom LLP, Los Angeles, California. Certain matters of Nevada law will be passed upon for us by Brownstein Hyatt Farber Schreck, LLP, Las Vegas, Nevada.</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consolidated financial statements and the financial statement schedule of Wynn Las Vegas, LLC and subsidiaries at December 31, 2007 and 2006 and for each of the two years in the period ended December 31, 2007 appearing in this Prospectus and Registration Statement have been audited by Ernst &amp; Young LLP, independent registered public accounting firm, to the extent indicated in their report thereon also appearing elsewhere herein and in the Registration Statement. Such consolidated financial statements have been included herein in reliance upon such reports given on the authority of such firm as experts in accounting and auditing.</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consolidated financial statements for the year ended December 31, 2005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and are included in reliance upon the report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is part of a registration statement on Form S-4 that we have filed with the SEC under the Securities Act. This prospectus does not contain all of the information set forth in the registration statement. For further information about us and the new notes, you should refer to the registration statement. This prospectus summarizes material provisions of contracts and other documents to which we refer you. Since this prospectus may not contain all of the information that you may find important, you should review the full text of these documents. We have filed these documents as exhibits to our registration statement.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indenture governing the notes requires that we file reports under the Exchange Act with the SEC (unless the SEC will not accept such filings) and furnish information to the trustee and holders of the notes. See “Description of the New Notes—Certain Covenants—Reports.” In addition, upon the effectiveness of the registration statement, we will become subject to the information and periodic reporting requirements of the Exchange Act and, accordingly, will file periodic reports and other information with the SEC. Such periodic reports and other information will be available for inspection and copying at the SEC’s Public Reference Room at 100 F Street, NE, Washington, D.C. 20549 and through the SEC’s Internet site at http://www.sec.gov. You may obtain information on the operation of the Public Reference Room by calling the SEC at 1-800-SEC-0330.</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our ultimate parent, files periodic reports, proxy statements and other information with the SEC. You may read and copy any document that Wynn Resorts files with the SEC at the SEC’s Public Reference Room. The SEC filings of Wynn Resorts also are available to the public over the Internet at the SEC’s website at http://www.sec.gov. You may find additional information about Wynn Resorts and its subsidiaries on its website at http://www.wynnresorts.com. The information contained on or that can be accessed through the Wynn Resorts website is not incorporated by reference in this prospectus. You should not consider information contained on the Wynn Resorts website or that can be accessed through the website to be part of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8"/>
            <w:vMerge w:val="restart"/>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8"/>
            <w:vMerge w:val="continue"/>
          </w:tcPr>
          <w:p>
            <w:pPr>
              <w:spacing w:after="0"/>
              <w:rPr>
                <w:sz w:val="14"/>
                <w:szCs w:val="14"/>
                <w:color w:val="auto"/>
              </w:rPr>
            </w:pPr>
          </w:p>
        </w:tc>
        <w:tc>
          <w:tcPr>
            <w:tcW w:w="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Report of Independent Registered Public Accounting Firm</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64"/>
        </w:trPr>
        <w:tc>
          <w:tcPr>
            <w:tcW w:w="4120" w:type="dxa"/>
            <w:vAlign w:val="bottom"/>
            <w:tcBorders>
              <w:top w:val="single" w:sz="8" w:color="0000EE"/>
            </w:tcBorders>
            <w:gridSpan w:val="7"/>
          </w:tcPr>
          <w:p>
            <w:pPr>
              <w:spacing w:after="0"/>
              <w:rPr>
                <w:rFonts w:ascii="Arial" w:cs="Arial" w:eastAsia="Arial" w:hAnsi="Arial"/>
                <w:sz w:val="18"/>
                <w:szCs w:val="18"/>
                <w:color w:val="0000EE"/>
              </w:rPr>
            </w:pPr>
            <w:hyperlink w:anchor="page185">
              <w:r>
                <w:rPr>
                  <w:rFonts w:ascii="Arial" w:cs="Arial" w:eastAsia="Arial" w:hAnsi="Arial"/>
                  <w:sz w:val="18"/>
                  <w:szCs w:val="18"/>
                  <w:color w:val="0000EE"/>
                </w:rPr>
                <w:t>Consolidated Balance Sheets</w:t>
              </w:r>
            </w:hyperlink>
          </w:p>
        </w:tc>
        <w:tc>
          <w:tcPr>
            <w:tcW w:w="68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6">
              <w:r>
                <w:rPr>
                  <w:rFonts w:ascii="Arial" w:cs="Arial" w:eastAsia="Arial" w:hAnsi="Arial"/>
                  <w:sz w:val="18"/>
                  <w:szCs w:val="18"/>
                  <w:color w:val="0000EE"/>
                  <w:w w:val="87"/>
                </w:rPr>
                <w:t>Consolidated Statements of Operations</w:t>
              </w:r>
            </w:hyperlink>
          </w:p>
        </w:tc>
        <w:tc>
          <w:tcPr>
            <w:tcW w:w="8180" w:type="dxa"/>
            <w:vAlign w:val="bottom"/>
            <w:gridSpan w:val="6"/>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87">
              <w:r>
                <w:rPr>
                  <w:rFonts w:ascii="Arial" w:cs="Arial" w:eastAsia="Arial" w:hAnsi="Arial"/>
                  <w:sz w:val="18"/>
                  <w:szCs w:val="18"/>
                  <w:color w:val="0000EE"/>
                  <w:w w:val="88"/>
                </w:rPr>
                <w:t>Consolidated Statements of Member’s Equity</w:t>
              </w:r>
            </w:hyperlink>
          </w:p>
        </w:tc>
        <w:tc>
          <w:tcPr>
            <w:tcW w:w="7720" w:type="dxa"/>
            <w:vAlign w:val="bottom"/>
            <w:gridSpan w:val="3"/>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Consolidated Statements of Cash Flows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940" w:type="dxa"/>
            <w:vAlign w:val="bottom"/>
            <w:gridSpan w:val="8"/>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Notes to Consolidated Financial Statements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2"/>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 Schedules</w:t>
            </w:r>
          </w:p>
        </w:tc>
        <w:tc>
          <w:tcPr>
            <w:tcW w:w="786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940" w:type="dxa"/>
            <w:vAlign w:val="bottom"/>
            <w:gridSpan w:val="8"/>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 Schedule II—Valuation and Qualifying Accounts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100" w:hanging="452"/>
        <w:spacing w:after="0" w:line="268" w:lineRule="auto"/>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We have omitted all other financial statements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w:t>
      </w:r>
    </w:p>
    <w:p>
      <w:pPr>
        <w:spacing w:after="0" w:line="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2007 and 2006, and the related consolidated statements of operations, member’s equity, and cash flows for each of the two years in the period ended December 31, 2007. Our audits also included the financial statement schedule included in Item 15(a)(2).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2007 and 2006, and the consolidated results of their operations and their cash flows for each of the two years in the period ended December 31, 2007,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Share-Based Payments in accordance with Statement of Financial Accounting Standards No. 123 (revised 2004) on January 1,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have audited the accompanying consolidated statements of operations, member’s equity, and cash flows of Wynn Las Vegas, LLC and subsidiaries for the year ended December 31, 2005. Our audit also included the financial statement schedule of Valuation and Qualifying Accounts for the year ended December 31, 2005. The financial statements and financial statement schedule are the responsibility of the Company’s management. Our responsibility is to express an opinion on the financial statements and financial statement schedule based on our audit.</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such consolidated financial statements present fairly, in all material respects, the results of operations and cash flows of Wynn Las Vegas, LLC for the year ended December 31, 2005, in conformity with accounting principles generally accepted in the United States of America. Also, in our opinion, such financial statement schedule, when considered in relation to the basic 2005 consolidated financial statements taken as a whole, presents fairly, in all material respects, the information set forth therein.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93,820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24,621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120,489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49,451</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310,100</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172,896</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82,379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2,419,161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28,202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45,385</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56,257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5,309</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28,459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37,298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18,093</w:t>
            </w: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67,317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8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237,633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198,521</w:t>
            </w: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1,647,092</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31,505</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1,877,118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1,453,918</w:t>
            </w: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(86,929)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(211,148)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1,242,770</w:t>
            </w:r>
          </w:p>
        </w:tc>
        <w:tc>
          <w:tcPr>
            <w:tcW w:w="8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3,119,888</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(152,718)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(154,255)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1,295,851</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1,139,348</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1,096,026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200,621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(86,090)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(117,787)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(12,533)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(106,648)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124,219</w:t>
            </w:r>
          </w:p>
        </w:tc>
        <w:tc>
          <w:tcPr>
            <w:tcW w:w="3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6"/>
          <w:szCs w:val="16"/>
          <w:b w:val="1"/>
          <w:bCs w:val="1"/>
          <w:color w:val="auto"/>
        </w:rPr>
        <w:t>(A WHOLLY OWNED INDIRECT SUBSIDIARY OF WYNN RESORTS, LIMITED)</w:t>
      </w:r>
    </w:p>
    <w:p>
      <w:pPr>
        <w:spacing w:after="0" w:line="10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(amounts in thousands)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Balance at January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Vested stock grant issued to consultant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Pre-opening settlement of amounts due from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loss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company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Parent company stock-based compensation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$ 1,276,868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508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(7,273)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1,224,829</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9,808</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1,242,770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124,219</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403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$ 1,375,020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403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4038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760" w:space="720"/>
            <w:col w:w="92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124,219</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152,839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147,608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11,316</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 net of distributions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20,675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14,399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(7,550)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8,376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205,628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(678,480)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(249,526)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166,465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197,240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(24,721)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(562,021)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(90,341)</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(282,911)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(440,169)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585,460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328,892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termination of interest rate swap</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299,008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(109,244)</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52,701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146,521</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93,820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110,298</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108,205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Settlement of due from affiliates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For the periods presented prior to April 28, 2005, the Company was solely a development stage company.</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2007,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currently constructing “Encore at Wynn Las Vegas” or “Encore”. Encore is being constructed adjacent to Wynn Las Vegas and will be fully integrated with Wynn Las Vegas. Encore is expected to open in December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Restricted cash and investments consist primarily of certain proceeds of the Company’s financing activities invested in approved money market funds. The majority of these funds are restricted by the agreements governing the Company’s debt instruments for the payment of certain construction and development costs relating to Wynn Las Vegas and Encore. Amounts classified as current are equal to current construction payables.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2007 and 2006, approximately 53% and 55%,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Land improvements</w:t>
            </w:r>
          </w:p>
        </w:tc>
        <w:tc>
          <w:tcPr>
            <w:tcW w:w="410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10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$33.6 million, $7.7 million and $36.8 million was capitalized for the years ended December 31, 2007, 2006 and 2005,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overall purchase price of the land on which Wynn Las Vegas is located, and trademarks. Indefinite-lived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are not amortized, but are reviewed annually for impairment. The Company’s finite-lived intangible assets consist of show production rights.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Finite-lived intangible assets are amortized over the shorter of their contractual terms or estimated useful lives.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$7.2 million, $8.8 million, and $9.7 million was amortized to interest expense during the years ended December 31, 2007, 2006 and 2005, respectively. Debt discounts incurred in connection with the issuance of debt has been capitalized and is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(loss) or comprehensive income (loss) as applicable. The Company’s current interest rate swaps do not qualify for hedge accounting. Accordingly, changes in the fair value of the interest rate swaps are presented as an increase (decrease) in fair value of swaps in the accompanying Consolidated Statements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Reseller of the Vendor’s Products).” EITF 01-9 requires that sales incentives be recorded as a reduction of revenues; consequently, the Company’s casino revenues are reduced by discounts and points earned in customer loyalty programs, such as the player’s club loyalty program.</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$24,816</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$24,531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Food and beverage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53,742</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55,930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88,259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91,687</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65,035</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$19.7 million, $16.7 million and $18 million, respectively, for the years ended December 31, 2007, 2006 and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Pre-opening costs, consisting primarily of salaries and wages, legal and consulting fees, insurance, utilities and travel, are expensed as incurred. The Company incurred pre-opening costs in connection with Wynn Las Vegas prior to its opening on April 28, 2005. The Company will continue to incur such costs related to Encore prior to its opening in December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Company’s operations are reported on the consolidated tax return of Wynn Resorts. As a limited liability company, the Company is considered a partnership for federal income tax purposes. Accordingly, no provision has been made for federal income taxes as such taxes are liabilities of its member.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Financial Accounting Standards Board (“FASB”) issued SFAS No. 123(R), “Share Based Payment.” This statement is a revision of SFAS No. 123, “Accounting for Stock-Based Compensation” and supercedes Accounting Principles Board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 of employee services received in exchange for an award of equity instruments based on the grant-date fair value of the award and recognize that cost over the service period. The Company adopted this statement on January 1, 2006 under the modified prospective method. The Company uses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Black-Scholes valuation model to determine the estimated fair value for each option grant issued. The Black- Scholes determined fair value net of estimated forfeitures is amortized as compensation cost on a straight-line basis over the service period. In applying the modified prospective method, financial statements of prior periods presented do not reflect any adjusted amounts (i.e. prior periods do not include compensation cost calculated under the fair value method). Further information on the Company’s share-based compensation arrangements is included in Note 11 “Benefit Plans.”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2006, the Company applied the provisions of EITF Issue 00-23 “Options Granted to Employees of Entities under Common Control” and recorded the cost of equity instruments granted by Wynn Resorts to employees of the Company in the Company’s consolidated financial statements as a capital contribution.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adoption of this statement will not have a material impact on the Company’s consolidated financial statements.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Company is currently evaluating the impact that the adoption of SFAS No. 159 will have on its consolidated financial statements.</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 in subsidiaries held by parties other than the parent and for the deconsolidation of a subsidiary. It also clarifies that a noncontrolling interest in a subsidiary is an ownership interest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2006 have been reclassified to be consistent with the current year presentation. These reclassifications had no effect on the previously reported net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$161,913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$133,985</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15,317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gridSpan w:val="2"/>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185,736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155,491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420" w:type="dxa"/>
            <w:vAlign w:val="bottom"/>
            <w:gridSpan w:val="2"/>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603,838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603,290</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1,209,562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1,164,947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655,754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614,676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865,130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214,574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3,378,538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2,641,741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$ 3,031,403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2,419,161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December 31, 2007 and 2006, construction in progress includes interest and other costs capitalized in conjunction with the Encore project and to certain enhancements to Wynn Las Vegas.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Show</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240" w:type="dxa"/>
            <w:vAlign w:val="bottom"/>
          </w:tcPr>
          <w:p>
            <w:pPr>
              <w:spacing w:after="0"/>
              <w:rPr>
                <w:sz w:val="12"/>
                <w:szCs w:val="12"/>
                <w:color w:val="auto"/>
              </w:rPr>
            </w:pPr>
          </w:p>
        </w:tc>
        <w:tc>
          <w:tcPr>
            <w:tcW w:w="11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Water</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7"/>
              </w:rPr>
              <w:t>Rights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Rights</w:t>
            </w:r>
          </w:p>
        </w:tc>
        <w:tc>
          <w:tcPr>
            <w:tcW w:w="6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Trademarks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January 1, 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11,250</w:t>
            </w:r>
          </w:p>
        </w:tc>
        <w:tc>
          <w:tcPr>
            <w:tcW w:w="3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1,013</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14,497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December 31, 2006</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20,789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6,400</w:t>
            </w:r>
          </w:p>
        </w:tc>
        <w:tc>
          <w:tcPr>
            <w:tcW w:w="2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(2,963)</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17,826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Rêve” name. The water rights and trademarks are indefinite-lived assets and, accordingly, not amortized. Show production rights represent the amounts paid to purchase the rights to present “Monty Python’s Spamalot” and “Le Rêve” production shows. On May 31, 2006, the Company entered into an agreement to acquire substantially all intellectual property rights related to “Le Rêve” which were previously only licensed to the Company. The Company paid $14.5 million to acquire substantially all of the rights in and to “Le Rêve”. The rights acquired enable the Company to produce, present, enhance, or alter the performance of “Le Rêve” after May 31, 2006. The Company expects that amortization of show production rights will be approximately $3.1 million for each of the years 2008 through 2012, approximately $1.9 million for 2013, and approximately $0.2 million in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6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$ 38,986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30,057</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Base stock</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10,645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13,843</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5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Golf memberships</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5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20" w:type="dxa"/>
            <w:vAlign w:val="bottom"/>
          </w:tcPr>
          <w:p>
            <w:pPr>
              <w:spacing w:after="0"/>
              <w:rPr>
                <w:sz w:val="18"/>
                <w:szCs w:val="18"/>
                <w:color w:val="auto"/>
              </w:rPr>
            </w:pPr>
          </w:p>
        </w:tc>
      </w:tr>
      <w:tr>
        <w:trPr>
          <w:trHeight w:val="222"/>
        </w:trPr>
        <w:tc>
          <w:tcPr>
            <w:tcW w:w="3640" w:type="dxa"/>
            <w:vAlign w:val="bottom"/>
          </w:tcPr>
          <w:p>
            <w:pPr>
              <w:ind w:left="440"/>
              <w:spacing w:after="0"/>
              <w:rPr>
                <w:sz w:val="20"/>
                <w:szCs w:val="20"/>
                <w:color w:val="auto"/>
              </w:rPr>
            </w:pPr>
            <w:r>
              <w:rPr>
                <w:rFonts w:ascii="Arial" w:cs="Arial" w:eastAsia="Arial" w:hAnsi="Arial"/>
                <w:sz w:val="18"/>
                <w:szCs w:val="18"/>
                <w:color w:val="auto"/>
              </w:rPr>
              <w:t>Total</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$ 63,895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56,257</w:t>
            </w:r>
          </w:p>
        </w:tc>
      </w:tr>
      <w:tr>
        <w:trPr>
          <w:trHeight w:val="20"/>
        </w:trPr>
        <w:tc>
          <w:tcPr>
            <w:tcW w:w="36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5800" w:type="dxa"/>
            <w:vAlign w:val="bottom"/>
            <w:gridSpan w:val="2"/>
          </w:tcPr>
          <w:p>
            <w:pPr>
              <w:jc w:val="right"/>
              <w:ind w:right="3942"/>
              <w:spacing w:after="0"/>
              <w:rPr>
                <w:sz w:val="20"/>
                <w:szCs w:val="20"/>
                <w:color w:val="auto"/>
              </w:rPr>
            </w:pPr>
            <w:r>
              <w:rPr>
                <w:rFonts w:ascii="Arial" w:cs="Arial" w:eastAsia="Arial" w:hAnsi="Arial"/>
                <w:sz w:val="18"/>
                <w:szCs w:val="18"/>
                <w:color w:val="auto"/>
              </w:rPr>
              <w:t>F-14</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240" w:top="460"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 original issue discount of $10,816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$ 1,689,184</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4"/>
              </w:rPr>
              <w:t>$900 million Revolving Credit Facility; due August 15, 2011; interest at LIBOR plus 1.625% (approximately 6.2% and 7.0%,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88,892</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5"/>
              </w:rPr>
              <w:t>$225 million Term Loan Facility; $112.5 million due September 30, 2012 with the remaining $112.5 million due August 15,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2013; interest at LIBOR plus 1.875% (approximately 6.9% and 7.2%, 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7.7%)</w:t>
            </w:r>
          </w:p>
        </w:tc>
        <w:tc>
          <w:tcPr>
            <w:tcW w:w="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 (approximately 6.5%)</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1,955,134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1,652,401</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(5,309)</w:t>
            </w: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9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$ 1,954,084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$ 1,647,092</w:t>
            </w:r>
          </w:p>
        </w:tc>
      </w:tr>
      <w:tr>
        <w:trPr>
          <w:trHeight w:val="20"/>
        </w:trPr>
        <w:tc>
          <w:tcPr>
            <w:tcW w:w="9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112" w:lineRule="exact"/>
        <w:rPr>
          <w:sz w:val="20"/>
          <w:szCs w:val="20"/>
          <w:color w:val="auto"/>
        </w:rPr>
      </w:pPr>
    </w:p>
    <w:p>
      <w:pPr>
        <w:ind w:right="140" w:firstLine="456"/>
        <w:spacing w:after="0" w:line="274" w:lineRule="auto"/>
        <w:rPr>
          <w:sz w:val="20"/>
          <w:szCs w:val="20"/>
          <w:color w:val="auto"/>
        </w:rPr>
      </w:pPr>
      <w:r>
        <w:rPr>
          <w:rFonts w:ascii="Arial" w:cs="Arial" w:eastAsia="Arial" w:hAnsi="Arial"/>
          <w:sz w:val="15"/>
          <w:szCs w:val="15"/>
          <w:color w:val="auto"/>
        </w:rPr>
        <w:t xml:space="preserve">On December 14, 2004, the Issuers issued $1.3 billion aggregate principal amount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(the “First Mortgage Notes”). The First Mortgage Notes mature on December 1, 2014 and bear interest at the rate of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per year. The Company pays interest on the First Mortgage Notes on June 1</w:t>
      </w:r>
      <w:r>
        <w:rPr>
          <w:rFonts w:ascii="Arial" w:cs="Arial" w:eastAsia="Arial" w:hAnsi="Arial"/>
          <w:sz w:val="19"/>
          <w:szCs w:val="19"/>
          <w:color w:val="auto"/>
          <w:vertAlign w:val="superscript"/>
        </w:rPr>
        <w:t>st</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17"/>
          <w:szCs w:val="17"/>
          <w:color w:val="auto"/>
        </w:rPr>
        <w:t>and December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8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all amounts on deposit from time to time (currently $31.1 million) in a completion guarantee deposit account maintained by Wynn Completion Guarantor, LLC; (2) a first priority pledge of all of the member’s interests owned by Wynn Las Vegas, LLC in its subsidiaries (other than Wynn Completion Guarantor, LLC) and of Wynn Resorts Holdings, LLC’s 100% member’s interest in Wynn Las Vegas, LLC; (3) first mortgages on all real property constituting Wynn Las Vegas, its golf course and Encore; and (4) a first priority security interest in substantially all other existing and future assets of Wynn Las Vegas, LLC and the guarantors, excluding, among other things, an aircraft beneficially owned by World Travel, LLC.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67"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 xml:space="preserve">On November 6, 2007, the Issuers issued, in a private offering, $400 million aggregate principal amount of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2014 at a price of 97.25% of the principal amount (the “Additional Notes”). The Additional Notes were issued under the same indenture as the First Mortgage Notes issued on December 14, 2004.</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Additional Notes have not been registered under the Securities Act of 1933 or under any state securities laws. Therefore, the Issuers may not offer or sell the Additional Notes within the United States to, or for the account or benefit of, any United States person unless the offer or sale would qualify for a registration exemption from the Securities Act and applicable state securities laws. The Issuers have agreed to make an offer to exchange the Additional Notes for registered, publicly traded notes that have substantially identical terms as the Additional Notes.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December 14, 2004, Wynn Las Vegas, LLC entered into a credit agreement and related ancillary agreements for secured revolving credit and term loan facilities in the aggregate amount of $1 billion. The credit facilities consisted of a revolving credit facility (the “Revolver”) in the amount of $600 million and a term loan facility (the “Term Loan”) in the amount of $400 million. The Revolver was to terminate and be payable in full on December 14, 2009, and the Term Loan was to mature on December 14, 2011.</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Revolver from $600 million to $900 million and reducing the Term Loan from $400 million to $225 million. The $900 million Revolver and the $225 million Term Loan are herein referred to as the “Credit Facilities”. In August 2006, the maturity dates for the Revolver and the Term Loan were extended to August 15, 2011 and August 15, 2013, respectively. One half of the Term Loan is due on September 30, 2012 and the remaining half is due August 15, 2013.</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5"/>
          <w:szCs w:val="15"/>
          <w:color w:val="auto"/>
        </w:rPr>
        <w:t>For purposes of calculating interest, loans under the Credit Facilities will be designated, at the election of Wynn Las Vegas, LLC, as Eurodollar Loans or, in certain circumstances, Base Rate Loans. Eurodollar Loans under the Revolver and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w:t>
      </w:r>
    </w:p>
    <w:p>
      <w:pPr>
        <w:spacing w:after="0" w:line="1"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 xml:space="preserve">recently announced by Deutsche Bank as its “prime rate,” or (ii) the Federal Funds Rate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per annum; plus (b) a borrowing margin 0.625% or 0.875% under the Revolver and Term Loans, respectively. Interest on Base Rate Loans will be payable quarterly in arrears.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the opening of Encore, the applicable borrowing margins for the Revolver will be based on Wynn Las Vegas, LLC’s leverage ratio, ranging from 1% to 1.75% per annum for Eurodollar Loans and 0% to 0.75% per annum for Base Rate Loans. Until then, Wynn Las Vegas, LLC will pay, quarterly in arrears, 0.375% per annum on the daily average of unborrowed availability under the Revolver. After opening Encore, the annual fee Wynn Las Vegas, LLC will be required to pay for unborrowed availability under the Revolver will be based on Wynn Las Vegas, LLC’s leverage ratio, ranging from 0.25% to 0.50% per annum.</w:t>
      </w:r>
    </w:p>
    <w:p>
      <w:pPr>
        <w:spacing w:after="0" w:line="11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all amounts on deposit from time to time (currently $31.1 million) in a completion guarantee deposit account maintained by Wynn Completion Guarantor, LLC; (2) all amounts on deposit from time to time in a secured account holding the proceeds of the Credit Facilities;</w:t>
      </w:r>
    </w:p>
    <w:p>
      <w:pPr>
        <w:spacing w:after="0" w:line="3" w:lineRule="exact"/>
        <w:rPr>
          <w:sz w:val="20"/>
          <w:szCs w:val="20"/>
          <w:color w:val="auto"/>
        </w:rPr>
      </w:pPr>
    </w:p>
    <w:p>
      <w:pPr>
        <w:jc w:val="both"/>
        <w:ind w:right="100" w:firstLine="8"/>
        <w:spacing w:after="0" w:line="254" w:lineRule="auto"/>
        <w:tabs>
          <w:tab w:leader="none" w:pos="24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first priority pledge of all member’s interests owned by Wynn Las Vegas, LLC in its subsidiaries (other than Wynn Completion Guarantor, LLC) and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an aircraft beneficially owned by World Travel, LLC.</w:t>
      </w:r>
    </w:p>
    <w:p>
      <w:pPr>
        <w:spacing w:after="0" w:line="144"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existing and future senior indebtedness, including indebtedness with respect to the First Mortgage Notes and rank senior in right of payment to all existing and future subordinated indebtedness.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 ratio. Wynn Las Vegas, LLC has the option to prepay all or any portion of the indebtedness under the Credit Facilities at any time without premium or penalty.</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Credit Facilities.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2007, the Company amended the Credit Facilities to: (a) have the Final Completion, as defined, be deemed satisfied for Wynn Las Vegas with the resulting release of (i) all amounts in excess of $30 million from the Completion Guaranty Deposit Account, ($24.6 million), and (ii) the balance of 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October 2007, the Company further amended the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 and $42 Million Note Payable for Aircraft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were to terminate on March 31, 2010. The term loans were guaranteed by Wynn Las Vegas, LLC and secured by a first priority security interest in the Company’s aircraft. Principal and interest was payable quarterly, and interest was calculated at LIBOR plus a margin of 2.375%. In addition to scheduled amortization payments, the borrower was required to prepay the loans if certain events of loss with respect to the aircraft occur.</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March 2007, World Travel, LLC, a subsidiary of Wynn Las Vegas, refinanced the $44.75 million note payable. The new loan has a principal balance of $42 million and is due April 1, 2017. The loan is guaranteed by Wynn Las Vegas, LLC and secured by a first priority security interest in the Company’s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net book value of the First Mortgage Notes, including the Additional Notes, at December 31, 2007 and 2006 was $1.7 billion and $1.3 billion, respectively. The estimated fair value of the First Mortgage Notes, including the Additional Notes, based upon most recent trades at December 31, 2007 and 2006 was approximately $1.67 billion and $1.3 billion, respectively. The net book value of the Company’s other debt instruments approximates fair value.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4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0" w:type="dxa"/>
            <w:vAlign w:val="bottom"/>
          </w:tcPr>
          <w:p>
            <w:pPr>
              <w:jc w:val="center"/>
              <w:ind w:right="17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97"/>
        </w:trPr>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0" w:type="dxa"/>
            <w:vAlign w:val="bottom"/>
          </w:tcPr>
          <w:p>
            <w:pPr>
              <w:jc w:val="center"/>
              <w:ind w:right="152"/>
              <w:spacing w:after="0"/>
              <w:rPr>
                <w:sz w:val="20"/>
                <w:szCs w:val="20"/>
                <w:color w:val="auto"/>
              </w:rPr>
            </w:pPr>
            <w:r>
              <w:rPr>
                <w:rFonts w:ascii="Arial" w:cs="Arial" w:eastAsia="Arial" w:hAnsi="Arial"/>
                <w:sz w:val="18"/>
                <w:szCs w:val="18"/>
                <w:b w:val="1"/>
                <w:bCs w:val="1"/>
                <w:color w:val="auto"/>
                <w:w w:val="96"/>
              </w:rPr>
              <w:t>NOTES TO CONSOLIDATED FINANCIAL STATEMENTS—(Continued)</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8800" w:type="dxa"/>
            <w:vAlign w:val="bottom"/>
            <w:gridSpan w:val="3"/>
          </w:tcPr>
          <w:p>
            <w:pPr>
              <w:spacing w:after="0"/>
              <w:rPr>
                <w:sz w:val="20"/>
                <w:szCs w:val="20"/>
                <w:color w:val="auto"/>
              </w:rPr>
            </w:pPr>
            <w:r>
              <w:rPr>
                <w:rFonts w:ascii="Arial" w:cs="Arial" w:eastAsia="Arial" w:hAnsi="Arial"/>
                <w:sz w:val="18"/>
                <w:szCs w:val="18"/>
                <w:i w:val="1"/>
                <w:iCs w:val="1"/>
                <w:color w:val="auto"/>
              </w:rPr>
              <w:t>Scheduled Maturities of Long-Term Debt</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97"/>
        </w:trPr>
        <w:tc>
          <w:tcPr>
            <w:tcW w:w="8800" w:type="dxa"/>
            <w:vAlign w:val="bottom"/>
            <w:gridSpan w:val="3"/>
          </w:tcPr>
          <w:p>
            <w:pPr>
              <w:ind w:left="220"/>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3"/>
        </w:trPr>
        <w:tc>
          <w:tcPr>
            <w:tcW w:w="68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2008</w:t>
            </w: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r>
      <w:tr>
        <w:trPr>
          <w:trHeight w:val="223"/>
        </w:trPr>
        <w:tc>
          <w:tcPr>
            <w:tcW w:w="68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1,846,800</w:t>
            </w:r>
          </w:p>
        </w:tc>
      </w:tr>
      <w:tr>
        <w:trPr>
          <w:trHeight w:val="216"/>
        </w:trPr>
        <w:tc>
          <w:tcPr>
            <w:tcW w:w="68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1,965,950</w:t>
            </w:r>
          </w:p>
        </w:tc>
      </w:tr>
      <w:tr>
        <w:trPr>
          <w:trHeight w:val="20"/>
        </w:trPr>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9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has entered into floating-for-fixed interest rate swap arrangements relating to its Term Loans. The Company accounts for its interest rate swaps in accordance with SFAS No. 133, “Accounting for Derivative Instruments and Hedging Activities”, and its related interpretations.</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14, 2004, the Company entered into two $200 million notional amount interest rate swap arrangements to fix the interest rate on the $400 million of floating-rate Term Loan borrowings outstanding prior to the August 15, 2006 refinancing of the Credit Facilities (See Note 7 “Long-term Debt”). Under these arrangements, the Company paid 3.793% of the notional amount and received payments equal to 1-month LIBOR. Although these interest rate swaps essentially fixed the interest rate at approximately 5.9%, changes in the fair value of the interest rate swaps for each reporting period were recorded in the increase (decrease) in swap fair value in the accompanying Consolidated Statements of Operations since the interest rate swaps did not qualify for hedge accounting under SFAS No. 133.</w:t>
      </w:r>
    </w:p>
    <w:p>
      <w:pPr>
        <w:spacing w:after="0" w:line="144"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On August 15, 2006, the Company reduced its Term Loan facility as part of the refinancing of the Credit Facilities, and concurrently terminated one of its two $200 million interest rate swap arrangements. The Company received approximately $6.6 million in cash from unwinding this interest rate swap. The Company elected to retain the second $200 million interest rate swap to essentially fix the interest rate on $200 million of the new $225 million of Term Loan borrowings. Because the Company continues to pay a fixed rate of 3.793% on the $200 million notional amount and receives payments based on LIBOR, the interest rate on $200 million of the new $225 million Term Loan is fixed at approximately 5.7%. The interest rate on the remaining $25 million of Term Loan is subject to changes in LIBOR rates.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2007 and 2006, the Company has recorded an asset of approximately $0.4 million and $4.8 million, respectively to reflect the fair value of the remaining $200 million notional amount interest rate swap. The fair value approximates the amount the Company would receive if the contract was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noted above, although the current interest rate swap is highly effective economically in fixing the interest rate on $200 million of the Term Loan, this interest rate swap does not qualify for hedge accounting under SFAS No. 133. Accordingly, changes in the fair value of the interest rate swap are recorded in the accompanying Consolidated Statement of Operations as an increase/(decrease) in swap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net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90"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On August 15, 2005, the Company loaned $80 million to Wynn Resorts that further loaned those funds through its subsidiaries to Wynn Macau, S.A. as part of the financing of Wynn Macau, Wynn Resorts’ casino resort facility in the Macau Special Administrative Region of the People’s Republic of China (“Macau”), which opened on September 6, 2006. Wynn Macau S. A. repaid to Wynn Resorts all amounts outstanding in November 2006. Interest accrues at 7.5% per annum. Unpaid principal and interest is due at maturity on August 15, 2012. Included in the balances as of December 31, 2007 and 2006, was approximately $8.4 million and $2.4 million, respectively, of accrued interest receivable related to this note.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December 31, 2007, the Company’s net due to affiliates was primarily comprised of construction payables of approximately $65.7 million, construction retention of approximately $41.6 million, a management fee of approximately $47.4 million (equal to 1.5% of net revenues and payable upon meeting certain leverage ratios as specified in the documents governing the Company’s Credit Facilities), and other net amounts receivable from affiliates totaling $35.2 million (including corporate allocations discussed below). As of December 31, 2006 the Company’s net due to affiliates was primarily comprised of construction payables of approximately $20 million, construction retention of approximately $9 million, a management fee of approximately $27.9 million (equal to 1.5% of revenues and payable upon meeting certain leverage ratios as specified in the documents governing the Company’s Credit Facilities) and other net amounts payable to affiliates totaling $7.8 million (including corporate allocations discussed below).</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Wynn Resorts maintains corporate offices at Wynn Las Vegas without charge from the Company. The Company settles these corporate allocation charges with Wynn Resorts on a periodic basis as discussed in “Amounts Due to Affiliates, net” above. During the years ended December 31, 2007 and 2006, approximately $18.7 million and $18.4 million, respectively, was charged to the Company for such corporate allocations.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These services include household services, construction work and other personal services. The cost of these services is transferred to Wynn Resorts, Limited on a periodic basis. Mr. Wynn and these other officers have amounts on deposit with Wynn Resorts to prepay any such items, which are replenished on an ongoing basis as needed. At December 31, 2007 and December 31, 2006, Wynn Resorts owed Mr. Wynn and the other officers approximately $357,145 and $315,000,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the opening of Wynn Las Vegas through February 2006, the resort included an art gallery that displayed rare paintings from a private collection of fine art owned by Mr. and Mrs. Wynn.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2007, 2006 and 2005, were $6 million, $14.4 million and $14.2 million, respectively.</w:t>
      </w:r>
    </w:p>
    <w:p>
      <w:pPr>
        <w:spacing w:after="0" w:line="194"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 xml:space="preserve">In response to the Company’s evaluation of the completed Wynn Las Vegas project and the reactions of its guests, the Company continues to make enhancements and refinements to the property. Costs relating to assets retired as a result of these enhancement and remodel efforts have been expensed as property charges. During the year ended December 31, 2007, asset abandonments were recorded related to the remodel and enhancements made to the Le Rêve Theater, the abandonment of a marquee sign, two retail outlet conversions and the conversion of </w:t>
      </w:r>
      <w:r>
        <w:rPr>
          <w:rFonts w:ascii="Arial" w:cs="Arial" w:eastAsia="Arial" w:hAnsi="Arial"/>
          <w:sz w:val="15"/>
          <w:szCs w:val="15"/>
          <w:i w:val="1"/>
          <w:iCs w:val="1"/>
          <w:color w:val="auto"/>
        </w:rPr>
        <w:t>Lure</w:t>
      </w:r>
      <w:r>
        <w:rPr>
          <w:rFonts w:ascii="Arial" w:cs="Arial" w:eastAsia="Arial" w:hAnsi="Arial"/>
          <w:sz w:val="15"/>
          <w:szCs w:val="15"/>
          <w:color w:val="auto"/>
        </w:rPr>
        <w:t xml:space="preserve"> to the nighclub </w:t>
      </w:r>
      <w:r>
        <w:rPr>
          <w:rFonts w:ascii="Arial" w:cs="Arial" w:eastAsia="Arial" w:hAnsi="Arial"/>
          <w:sz w:val="15"/>
          <w:szCs w:val="15"/>
          <w:i w:val="1"/>
          <w:iCs w:val="1"/>
          <w:color w:val="auto"/>
        </w:rPr>
        <w:t>Blush</w:t>
      </w:r>
      <w:r>
        <w:rPr>
          <w:rFonts w:ascii="Arial" w:cs="Arial" w:eastAsia="Arial" w:hAnsi="Arial"/>
          <w:sz w:val="15"/>
          <w:szCs w:val="15"/>
          <w:color w:val="auto"/>
        </w:rPr>
        <w:t>. During the year ended December 31, 2006, the Company remodeled six North Fairway Villas, several areas of the retail promenade, a portion of the baccarat area to feature a casino bar and improved public baccarat space along with private baccarat salons and converted the Keno lounge to a retail outlet for womens’ accessories. Included in property charges and other for 2005 are approximately $9.4 million of costs relating to assets retired and approximately $3.1 million of expenses relating to the abandonment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for Wynn Las Vegas which was later abandoned.</w:t>
      </w:r>
    </w:p>
    <w:p>
      <w:pPr>
        <w:spacing w:after="0" w:line="215" w:lineRule="exact"/>
        <w:rPr>
          <w:sz w:val="20"/>
          <w:szCs w:val="20"/>
          <w:color w:val="auto"/>
        </w:rPr>
      </w:pPr>
    </w:p>
    <w:p>
      <w:pPr>
        <w:ind w:right="9740" w:firstLine="8"/>
        <w:spacing w:after="0" w:line="417" w:lineRule="auto"/>
        <w:tabs>
          <w:tab w:leader="none" w:pos="254"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$4.5 million, $3 million and $591,000 for the years ended December 31, 2007, 2006 and 2005, respectively.</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$4.5 million, $4.3 million and $1.2 million under such plans for the years ended December 31, 2007, 2006 and 2005, respectively. Information from the plans’ sponsors is not available to permit the Company to determine its share of unfunded vested benefits, if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07"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A maximum of 9,750,000 shares of Wynn Resorts’ common stock has been reserved for issuance under the Stock Plan. As of December 31, 2007, 4,430,712 shares remain available for the grant of stock options or nonvested shares of Wynn Resorts’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2007, and the changes during the year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Weighted</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1,341,000</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$ 48.34</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Granted</w:t>
            </w:r>
          </w:p>
        </w:tc>
        <w:tc>
          <w:tcPr>
            <w:tcW w:w="23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(113,825)</w:t>
            </w: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$ 43.79</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3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(21,250)</w:t>
            </w:r>
          </w:p>
        </w:tc>
        <w:tc>
          <w:tcPr>
            <w:tcW w:w="122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$ 52.37</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3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1,205,925</w:t>
            </w:r>
          </w:p>
        </w:tc>
        <w:tc>
          <w:tcPr>
            <w:tcW w:w="3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3"/>
              </w:rPr>
              <w:t>$ 48.68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$73,342,220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2007</w:t>
            </w:r>
          </w:p>
        </w:tc>
        <w:tc>
          <w:tcPr>
            <w:tcW w:w="2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3"/>
            <w:vMerge w:val="restart"/>
          </w:tcPr>
          <w:p>
            <w:pPr>
              <w:jc w:val="center"/>
              <w:ind w:right="220"/>
              <w:spacing w:after="0"/>
              <w:rPr>
                <w:sz w:val="20"/>
                <w:szCs w:val="20"/>
                <w:color w:val="auto"/>
              </w:rPr>
            </w:pPr>
            <w:r>
              <w:rPr>
                <w:rFonts w:ascii="Arial" w:cs="Arial" w:eastAsia="Arial" w:hAnsi="Arial"/>
                <w:sz w:val="18"/>
                <w:szCs w:val="18"/>
                <w:color w:val="auto"/>
                <w:w w:val="93"/>
              </w:rPr>
              <w:t>$ 29.99</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5.94</w:t>
            </w:r>
          </w:p>
        </w:tc>
        <w:tc>
          <w:tcPr>
            <w:tcW w:w="1140" w:type="dxa"/>
            <w:vAlign w:val="bottom"/>
            <w:gridSpan w:val="3"/>
            <w:vMerge w:val="restart"/>
          </w:tcPr>
          <w:p>
            <w:pPr>
              <w:jc w:val="center"/>
              <w:ind w:left="112"/>
              <w:spacing w:after="0"/>
              <w:rPr>
                <w:sz w:val="20"/>
                <w:szCs w:val="20"/>
                <w:color w:val="auto"/>
              </w:rPr>
            </w:pPr>
            <w:r>
              <w:rPr>
                <w:rFonts w:ascii="Arial" w:cs="Arial" w:eastAsia="Arial" w:hAnsi="Arial"/>
                <w:sz w:val="18"/>
                <w:szCs w:val="18"/>
                <w:color w:val="auto"/>
                <w:w w:val="89"/>
              </w:rPr>
              <w:t>$28,271,490</w:t>
            </w: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344,175</w:t>
            </w:r>
          </w:p>
        </w:tc>
        <w:tc>
          <w:tcPr>
            <w:tcW w:w="3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years ended December 31, 2006 and 2005 was $31.01 and $24.31, respectively. There were no stock options granted during the year ended December 31, 2007. The total intrinsic value of the options exercised for the years ended December 31, 2007, 2006 and 2005 was $7.9 million, $25 million and $2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2007 and changes during the year then ended is presented below:</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7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7740" w:type="dxa"/>
            <w:vAlign w:val="bottom"/>
          </w:tcPr>
          <w:p>
            <w:pPr>
              <w:spacing w:after="0"/>
              <w:rPr>
                <w:sz w:val="14"/>
                <w:szCs w:val="14"/>
                <w:color w:val="auto"/>
              </w:rPr>
            </w:pPr>
          </w:p>
        </w:tc>
        <w:tc>
          <w:tcPr>
            <w:tcW w:w="6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2007</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169,000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r>
      <w:tr>
        <w:trPr>
          <w:trHeight w:val="216"/>
        </w:trPr>
        <w:tc>
          <w:tcPr>
            <w:tcW w:w="77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14,000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123.73</w:t>
            </w:r>
          </w:p>
        </w:tc>
      </w:tr>
      <w:tr>
        <w:trPr>
          <w:trHeight w:val="216"/>
        </w:trPr>
        <w:tc>
          <w:tcPr>
            <w:tcW w:w="7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Pr>
          <w:p>
            <w:pPr>
              <w:ind w:left="440"/>
              <w:spacing w:after="0"/>
              <w:rPr>
                <w:sz w:val="20"/>
                <w:szCs w:val="20"/>
                <w:color w:val="auto"/>
              </w:rPr>
            </w:pPr>
            <w:r>
              <w:rPr>
                <w:rFonts w:ascii="Arial" w:cs="Arial" w:eastAsia="Arial" w:hAnsi="Arial"/>
                <w:sz w:val="18"/>
                <w:szCs w:val="18"/>
                <w:color w:val="auto"/>
              </w:rPr>
              <w:t>Canceled</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70.33</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2007</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171,000</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7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general and administrative expenses, pre-opening costs and construction in progress for the Company’s development projects.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 Expected term represents the weighted average time between the option’s grant date and its exercise date. Since the adoption of SFAS No. 123(R), the Company uses the simplified method prescribed by SAB No. 107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 There were no options granted during the year ended December 31, 2007.</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32.5%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Compensation cost related to stock options for the years ended December 31, 2007 and 2006, were $6.1 million and $7.3 million, respectively.</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compensation cost relating to stock options, during the years ended December 31, 2007 and 2006, the Company recognized compensation cost related to nonvested shares of Wynn Resorts’ common stock of approximately $1.9 million and $809,000, respectively. Approximately $8.7 million of unamortized compensation cost relating to nonvested shares of Common Stock at December 31, 2007, will be recognized as compensation over the vesting period of the related grants through May 2016.</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2007 and 2006 is allocated as follows (amounts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7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8,133</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SFAS No. 123”, the Company continued to apply the provisions of APB Opinion No. 25, “Accounting for Stock Issued to Employees,” and related interpretations in accounting for its employee stock-based compensation for the year ended December 31, 2005. Accordingly, compensation expense was recognized only to the extent that the market value at the date of grant exceeded the exercise price.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following table illustrates the effect on the net loss that would have resulted had the Company applied the fair value recognition provisions of SFAS No. 123, “Accounting for Stock-Based Compensation” to stock-based employee compensation during the year ended December 31, 2005 (amounts in thousands):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8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61"/>
        </w:trPr>
        <w:tc>
          <w:tcPr>
            <w:tcW w:w="8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r>
      <w:tr>
        <w:trPr>
          <w:trHeight w:val="208"/>
        </w:trPr>
        <w:tc>
          <w:tcPr>
            <w:tcW w:w="8220" w:type="dxa"/>
            <w:vAlign w:val="bottom"/>
          </w:tcPr>
          <w:p>
            <w:pPr>
              <w:ind w:left="440"/>
              <w:spacing w:after="0"/>
              <w:rPr>
                <w:sz w:val="20"/>
                <w:szCs w:val="20"/>
                <w:color w:val="auto"/>
              </w:rPr>
            </w:pPr>
            <w:r>
              <w:rPr>
                <w:rFonts w:ascii="Arial" w:cs="Arial" w:eastAsia="Arial" w:hAnsi="Arial"/>
                <w:sz w:val="18"/>
                <w:szCs w:val="18"/>
                <w:color w:val="auto"/>
                <w:w w:val="92"/>
              </w:rPr>
              <w:t>Less: total stock-based employee compensation expenses determined under the fair-value based method</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8220" w:type="dxa"/>
            <w:vAlign w:val="bottom"/>
          </w:tcPr>
          <w:p>
            <w:pPr>
              <w:ind w:left="660"/>
              <w:spacing w:after="0"/>
              <w:rPr>
                <w:sz w:val="20"/>
                <w:szCs w:val="20"/>
                <w:color w:val="auto"/>
              </w:rPr>
            </w:pPr>
            <w:r>
              <w:rPr>
                <w:rFonts w:ascii="Arial" w:cs="Arial" w:eastAsia="Arial" w:hAnsi="Arial"/>
                <w:sz w:val="18"/>
                <w:szCs w:val="18"/>
                <w:color w:val="auto"/>
              </w:rPr>
              <w:t>for all awards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(5,138)</w:t>
            </w:r>
          </w:p>
        </w:tc>
      </w:tr>
      <w:tr>
        <w:trPr>
          <w:trHeight w:val="28"/>
        </w:trPr>
        <w:tc>
          <w:tcPr>
            <w:tcW w:w="8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(50,412)</w:t>
            </w:r>
          </w:p>
        </w:tc>
      </w:tr>
      <w:tr>
        <w:trPr>
          <w:trHeight w:val="20"/>
        </w:trPr>
        <w:tc>
          <w:tcPr>
            <w:tcW w:w="8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right="8640" w:hanging="232"/>
        <w:spacing w:after="0" w:line="391" w:lineRule="auto"/>
        <w:tabs>
          <w:tab w:leader="none" w:pos="275"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Wynn Las Vegas Enhancements. </w:t>
      </w:r>
      <w:r>
        <w:rPr>
          <w:rFonts w:ascii="Arial" w:cs="Arial" w:eastAsia="Arial" w:hAnsi="Arial"/>
          <w:sz w:val="16"/>
          <w:szCs w:val="16"/>
          <w:color w:val="auto"/>
        </w:rPr>
        <w:t>The Company has made and continues to make certain enhancements and refinements to Wynn Las Vegas.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incurred and will continue to incur capital expenditures related to these enhancements and refinements. Under the terms of the Wynn Las Vegas, LLC credit facilities, the Company was permitted up to $172.2 million of capital expenditures in 2007, of which $60.1 million was spent. For 2008, the limit under the Wynn Las Vegas Credit Facilities is $272.1 million, including $112.1 million carried forward from 2007. These spending limits do not apply to any funds that may be contributed to Wynn Las Vegas, LLC by Wynn Resorts.</w:t>
      </w:r>
    </w:p>
    <w:p>
      <w:pPr>
        <w:spacing w:after="0" w:line="1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Encore Construction Development</w:t>
      </w:r>
      <w:r>
        <w:rPr>
          <w:rFonts w:ascii="Arial" w:cs="Arial" w:eastAsia="Arial" w:hAnsi="Arial"/>
          <w:sz w:val="16"/>
          <w:szCs w:val="16"/>
          <w:color w:val="auto"/>
        </w:rPr>
        <w:t>. Encore’s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restaurants, a nightclub, swimming pools, a spa and salon and retail outlets. The Company commenced construction of Encore on April 28, 2006 and expects to open Encore in December 2008.</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project budget for Encore is approximately $2.2 billion, consisting of approximately $2.1 billion for Encore and approximately $100 million for an employee parking garage on our Koval property, an associated pedestrian bridge and costs incurred in connection with the theater remodeling and production of “Monty Python’s Spamalot” at Wynn Las Vegas. The project budget is being funded from our existing Credit Facilities, operating cash flow from Wynn Las Vegas and remaining proceeds from a $400 million addition to the Wynn Las Vegas First Mortgage Notes that was completed in November 2007 (see Note 7). To the extent additional funds are required, they will be provided from additional debt and equity contributions by Wynn Resorts or additional indebtedness to be incurred by Wynn Las Vegas.</w:t>
      </w:r>
    </w:p>
    <w:p>
      <w:pPr>
        <w:spacing w:after="0" w:line="14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June 2007, the Company and Tutor executed the First Amendment to the Contract which set the Guaranteed Maximum Price (“GMP”) for construction work covered by the contract at $1.3 billion.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31, 2007, the Company has incurred approximately $998.7 million of project costs related to the development and construction of Encore and related capital improvements.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Completion Guarantee </w:t>
      </w:r>
      <w:r>
        <w:rPr>
          <w:rFonts w:ascii="Arial" w:cs="Arial" w:eastAsia="Arial" w:hAnsi="Arial"/>
          <w:sz w:val="16"/>
          <w:szCs w:val="16"/>
          <w:color w:val="auto"/>
        </w:rPr>
        <w:t>As part of the Wynn Las Vegas financing, the Company contributed $50 million of the net proceeds of the initial public offering of</w:t>
      </w:r>
      <w:r>
        <w:rPr>
          <w:rFonts w:ascii="Arial" w:cs="Arial" w:eastAsia="Arial" w:hAnsi="Arial"/>
          <w:sz w:val="16"/>
          <w:szCs w:val="16"/>
          <w:i w:val="1"/>
          <w:iCs w:val="1"/>
          <w:color w:val="auto"/>
        </w:rPr>
        <w:t xml:space="preserve"> </w:t>
      </w:r>
      <w:r>
        <w:rPr>
          <w:rFonts w:ascii="Arial" w:cs="Arial" w:eastAsia="Arial" w:hAnsi="Arial"/>
          <w:sz w:val="16"/>
          <w:szCs w:val="16"/>
          <w:color w:val="auto"/>
        </w:rPr>
        <w:t>Wynn Resorts’ common stock to Wynn Completion Guarantor, LLC, a special purpose subsidiary of Wynn Las Vegas, LLC and deposited those funds into a completion guarantee deposit account to secure completion of Wynn Las Vegas. As referenced in Note 7, in April 2007 all amounts in excess of $30 million were released as a result of the April 2007 amendment to the Credit Facilities. The remaining $30 million is retained as Encore’s completion guarantee.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2009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2011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2,145</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23"/>
        </w:trPr>
        <w:tc>
          <w:tcPr>
            <w:tcW w:w="1720" w:type="dxa"/>
            <w:vAlign w:val="bottom"/>
          </w:tcPr>
          <w:p>
            <w:pPr>
              <w:spacing w:after="0"/>
              <w:rPr>
                <w:sz w:val="20"/>
                <w:szCs w:val="20"/>
                <w:color w:val="auto"/>
              </w:rPr>
            </w:pPr>
            <w:r>
              <w:rPr>
                <w:rFonts w:ascii="Arial" w:cs="Arial" w:eastAsia="Arial" w:hAnsi="Arial"/>
                <w:sz w:val="18"/>
                <w:szCs w:val="18"/>
                <w:color w:val="auto"/>
              </w:rPr>
              <w:t>Thereafter</w:t>
            </w:r>
          </w:p>
        </w:tc>
        <w:tc>
          <w:tcPr>
            <w:tcW w:w="7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r>
      <w:tr>
        <w:trPr>
          <w:trHeight w:val="216"/>
        </w:trPr>
        <w:tc>
          <w:tcPr>
            <w:tcW w:w="1720" w:type="dxa"/>
            <w:vAlign w:val="bottom"/>
            <w:shd w:val="clear" w:color="auto" w:fill="CCEEFF"/>
          </w:tcPr>
          <w:p>
            <w:pPr>
              <w:spacing w:after="0"/>
              <w:rPr>
                <w:sz w:val="18"/>
                <w:szCs w:val="18"/>
                <w:color w:val="auto"/>
              </w:rPr>
            </w:pPr>
          </w:p>
        </w:tc>
        <w:tc>
          <w:tcPr>
            <w:tcW w:w="7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12,584</w:t>
            </w:r>
          </w:p>
        </w:tc>
      </w:tr>
      <w:tr>
        <w:trPr>
          <w:trHeight w:val="20"/>
        </w:trPr>
        <w:tc>
          <w:tcPr>
            <w:tcW w:w="17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Total minimum payments of approximately $9.7 million are to be made under non-cancelable leases for approximately $1.7 million in 2008 and 2009, $1.2 million in 2010, $1.1 million in 2011 and 2012 and approximately $2.9 million thereafter.</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459" w:right="2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Condensed Consolidating Financial Information of Guarantors and Issuers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2007 and 2006, and for each of the three years in the period ended December 31, 2007.</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4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Issuers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Subsidiary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146,556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135,094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58,612</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19,956</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360,218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88,379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2,825,608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205,795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3,031,403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19,381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25,525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41,536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59,174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4,721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28,811</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28,856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10,816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44,516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Customer deposits and other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88,299</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(148,607)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189,121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191,450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1,914,184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1,954,084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55,618</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2,017,103</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231,350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23,783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2,272,236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Member’s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1,461,949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(12,530)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1,461,949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(86,929)</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(21,972)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7,269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(86,929)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1,375,020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vMerge w:val="continue"/>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3,392,123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221,908</w:t>
            </w:r>
          </w:p>
        </w:tc>
        <w:tc>
          <w:tcPr>
            <w:tcW w:w="2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31,052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3,647,256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60" w:type="dxa"/>
            <w:vAlign w:val="bottom"/>
            <w:gridSpan w:val="4"/>
          </w:tcPr>
          <w:p>
            <w:pPr>
              <w:jc w:val="right"/>
              <w:ind w:right="104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93,825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24,621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120,489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49,451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21,321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309,707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118,965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82,379</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2,219,360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45,215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56,243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28,364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8,833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36,235</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accrued expenses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18,078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Customer deposits and other liabilities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67,317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to affiliates,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(161,022)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175,664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current liabilities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182,163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1,613,892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1,647,092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Due to affiliates,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1,505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1,613,202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215,363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1,877,118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1,453,918</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1,453,918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earnings (deficit)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(211,148)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(15,863)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(211,148)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40"/>
              <w:spacing w:after="0"/>
              <w:rPr>
                <w:sz w:val="20"/>
                <w:szCs w:val="20"/>
                <w:color w:val="auto"/>
              </w:rPr>
            </w:pPr>
            <w:r>
              <w:rPr>
                <w:rFonts w:ascii="Arial" w:cs="Arial" w:eastAsia="Arial" w:hAnsi="Arial"/>
                <w:sz w:val="18"/>
                <w:szCs w:val="18"/>
                <w:color w:val="auto"/>
              </w:rPr>
              <w:t>Total member’s equity</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1,242,770</w:t>
            </w: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1,242,770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member’s equity</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2,855,972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212,030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3,119,888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60" w:type="dxa"/>
            <w:vAlign w:val="bottom"/>
          </w:tcPr>
          <w:p>
            <w:pPr>
              <w:spacing w:after="0"/>
              <w:rPr>
                <w:sz w:val="24"/>
                <w:szCs w:val="24"/>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7"/>
              </w:rPr>
              <w:t>Issuers</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642,327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642,327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311,032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210,304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1,449,365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1,448,569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(152,718)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(152,718)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1,296,647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276,523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75,808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192,497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145,460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202,135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147,413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1,092,910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1,096,026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796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199,519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200,621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(83,249)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(75,300)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(76,402)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124,219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(6,109)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F-30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Issuers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535,561</w:t>
            </w:r>
          </w:p>
        </w:tc>
        <w:tc>
          <w:tcPr>
            <w:tcW w:w="34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535,561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295,205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1,295,012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1,293,603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(154,255)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1,140,757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1,139,348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Casino</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183,166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17,091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142,713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4,895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1,021,916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115,751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(114,584)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(12,533)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(105,943)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(106,648)</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2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9,808</w:t>
            </w:r>
          </w:p>
        </w:tc>
        <w:tc>
          <w:tcPr>
            <w:tcW w:w="3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2,498</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3,090</w:t>
            </w:r>
          </w:p>
        </w:tc>
        <w:tc>
          <w:tcPr>
            <w:tcW w:w="3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F-31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Subsidiary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(100,923)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2,960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(2,610)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17,085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(45,274)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(4,283)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w w:val="97"/>
              </w:rPr>
              <w:t>F-32</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Issuers</w:t>
            </w: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$ 124,219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(6,109)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1,891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4,218</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$ 124,219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(loss) to net cash provided by</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147,413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Amortization and writeoff of deferred financing costs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10,795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4,218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(4,218)</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6,005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swap fair value</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(41,744)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(7,252)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35,963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(7,177)</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320,801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Capital expenditures, net of construction payables and retentions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(667,060)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(11,420)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143,586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22,879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166,465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(21,542)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(4,707)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(20,585)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20,634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(24,770)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(564,637)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(562,021)</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(243,352)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(39,559)</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543,460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4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296,567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52,731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4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93,825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$ 146,556</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40" w:type="dxa"/>
            <w:vAlign w:val="bottom"/>
            <w:gridSpan w:val="3"/>
          </w:tcPr>
          <w:p>
            <w:pPr>
              <w:jc w:val="right"/>
              <w:ind w:right="720"/>
              <w:spacing w:after="0"/>
              <w:rPr>
                <w:sz w:val="20"/>
                <w:szCs w:val="20"/>
                <w:color w:val="auto"/>
              </w:rPr>
            </w:pPr>
            <w:r>
              <w:rPr>
                <w:rFonts w:ascii="Arial" w:cs="Arial" w:eastAsia="Arial" w:hAnsi="Arial"/>
                <w:sz w:val="18"/>
                <w:szCs w:val="18"/>
                <w:color w:val="auto"/>
              </w:rPr>
              <w:t>F-33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9,808</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(5,588)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2,498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9,808</w:t>
            </w:r>
          </w:p>
        </w:tc>
        <w:tc>
          <w:tcPr>
            <w:tcW w:w="60" w:type="dxa"/>
            <w:vAlign w:val="bottom"/>
          </w:tcPr>
          <w:p>
            <w:pPr>
              <w:spacing w:after="0"/>
              <w:rPr>
                <w:sz w:val="18"/>
                <w:szCs w:val="18"/>
                <w:color w:val="auto"/>
              </w:rPr>
            </w:pPr>
          </w:p>
        </w:tc>
      </w:tr>
      <w:tr>
        <w:trPr>
          <w:trHeight w:val="20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142,713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4,895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147,608</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11,316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60" w:type="dxa"/>
            <w:vAlign w:val="bottom"/>
            <w:shd w:val="clear" w:color="auto" w:fill="CCEEFF"/>
          </w:tcPr>
          <w:p>
            <w:pPr>
              <w:spacing w:after="0"/>
              <w:rPr>
                <w:sz w:val="18"/>
                <w:szCs w:val="18"/>
                <w:color w:val="auto"/>
              </w:rPr>
            </w:pPr>
          </w:p>
        </w:tc>
      </w:tr>
      <w:tr>
        <w:trPr>
          <w:trHeight w:val="208"/>
        </w:trPr>
        <w:tc>
          <w:tcPr>
            <w:tcW w:w="4980" w:type="dxa"/>
            <w:vAlign w:val="bottom"/>
          </w:tcPr>
          <w:p>
            <w:pPr>
              <w:ind w:left="22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4980" w:type="dxa"/>
            <w:vAlign w:val="bottom"/>
          </w:tcPr>
          <w:p>
            <w:pPr>
              <w:ind w:left="44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3,090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(3,090)</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w:t>
            </w: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14,399</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(52,909)</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(7,546)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(7,550)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32,985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32,985</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204,419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205,628</w:t>
            </w:r>
          </w:p>
        </w:tc>
        <w:tc>
          <w:tcPr>
            <w:tcW w:w="60" w:type="dxa"/>
            <w:vAlign w:val="bottom"/>
            <w:shd w:val="clear" w:color="auto" w:fill="CCEEFF"/>
          </w:tcPr>
          <w:p>
            <w:pPr>
              <w:spacing w:after="0"/>
              <w:rPr>
                <w:sz w:val="18"/>
                <w:szCs w:val="18"/>
                <w:color w:val="auto"/>
              </w:rPr>
            </w:pP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Capital expenditures, net of construction payables and retention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(212,455)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(37,071)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(249,526)</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199,738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197,240</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(21,437)</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(60,024)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43,406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(16,618)</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(90,341)</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(435,142)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(440,169)</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328,892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328,892</w:t>
            </w:r>
          </w:p>
        </w:tc>
        <w:tc>
          <w:tcPr>
            <w:tcW w:w="60" w:type="dxa"/>
            <w:vAlign w:val="bottom"/>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termination of interest rate swap</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(4,572)</w:t>
            </w: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(104,217)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(109,244)</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60" w:type="dxa"/>
            <w:vAlign w:val="bottom"/>
            <w:shd w:val="clear" w:color="auto" w:fill="CCEEFF"/>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87,787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r>
      <w:tr>
        <w:trPr>
          <w:trHeight w:val="27"/>
        </w:trPr>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93,825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93,820</w:t>
            </w:r>
          </w:p>
        </w:tc>
        <w:tc>
          <w:tcPr>
            <w:tcW w:w="6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30,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guarantor</w:t>
            </w:r>
          </w:p>
        </w:tc>
        <w:tc>
          <w:tcPr>
            <w:tcW w:w="28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(45,274)</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(4,283)</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1,385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(used in) operating activities: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90,355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3,942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Amortization and writeoff of deferred financing costs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w w:val="99"/>
              </w:rPr>
              <w:t>Equity in (income) loss from unconsolidated affiliates, net of</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16,304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14,203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(107,092)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265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(54,901)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accrued expenses and other</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130,679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13,273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60,296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retentions</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(648,527)</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(8,916)</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385,223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intangibles and other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6,030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(29,723)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(373,999)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(42,355)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(1,385)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(417,739)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(120,000)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(1,214)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503,436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(7,638)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375,798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62,095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Balance, beginning of year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25,692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year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87,787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Quarterly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2007 and 2006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2007</w:t>
            </w: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$ 330,934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$ 335,181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$ 305,798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$ 323,938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$ 1,295,851</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59,014</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63,420</w:t>
            </w:r>
          </w:p>
        </w:tc>
        <w:tc>
          <w:tcPr>
            <w:tcW w:w="700" w:type="dxa"/>
            <w:vAlign w:val="bottom"/>
          </w:tcPr>
          <w:p>
            <w:pPr>
              <w:jc w:val="right"/>
              <w:spacing w:after="0"/>
              <w:rPr>
                <w:sz w:val="20"/>
                <w:szCs w:val="20"/>
                <w:color w:val="auto"/>
              </w:rPr>
            </w:pPr>
            <w:r>
              <w:rPr>
                <w:rFonts w:ascii="Arial" w:cs="Arial" w:eastAsia="Arial" w:hAnsi="Arial"/>
                <w:sz w:val="18"/>
                <w:szCs w:val="18"/>
                <w:color w:val="auto"/>
              </w:rPr>
              <w:t>35,803</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42,384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200,621</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37,572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45,354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124,219</w:t>
            </w:r>
          </w:p>
        </w:tc>
        <w:tc>
          <w:tcPr>
            <w:tcW w:w="20" w:type="dxa"/>
            <w:vAlign w:val="bottom"/>
          </w:tcPr>
          <w:p>
            <w:pPr>
              <w:spacing w:after="0"/>
              <w:rPr>
                <w:sz w:val="18"/>
                <w:szCs w:val="18"/>
                <w:color w:val="auto"/>
              </w:rPr>
            </w:pPr>
          </w:p>
        </w:tc>
      </w:tr>
      <w:tr>
        <w:trPr>
          <w:trHeight w:val="365"/>
        </w:trPr>
        <w:tc>
          <w:tcPr>
            <w:tcW w:w="3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432"/>
              <w:spacing w:after="0"/>
              <w:rPr>
                <w:sz w:val="20"/>
                <w:szCs w:val="20"/>
                <w:color w:val="auto"/>
              </w:rPr>
            </w:pPr>
            <w:r>
              <w:rPr>
                <w:rFonts w:ascii="Arial" w:cs="Arial" w:eastAsia="Arial" w:hAnsi="Arial"/>
                <w:sz w:val="14"/>
                <w:szCs w:val="14"/>
                <w:b w:val="1"/>
                <w:bCs w:val="1"/>
                <w:color w:val="auto"/>
              </w:rPr>
              <w:t>Year Ended December 31, 2006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First</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Second</w:t>
            </w:r>
          </w:p>
        </w:tc>
        <w:tc>
          <w:tcPr>
            <w:tcW w:w="400" w:type="dxa"/>
            <w:vAlign w:val="bottom"/>
          </w:tcPr>
          <w:p>
            <w:pPr>
              <w:spacing w:after="0"/>
              <w:rPr>
                <w:sz w:val="12"/>
                <w:szCs w:val="12"/>
                <w:color w:val="auto"/>
              </w:rPr>
            </w:pPr>
          </w:p>
        </w:tc>
        <w:tc>
          <w:tcPr>
            <w:tcW w:w="70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12"/>
                <w:szCs w:val="12"/>
                <w:color w:val="auto"/>
              </w:rPr>
            </w:pPr>
          </w:p>
        </w:tc>
        <w:tc>
          <w:tcPr>
            <w:tcW w:w="8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$ 277,361</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$ 273,562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$ 273,228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$ 315,197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$ 1,139,348</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22,248</w:t>
            </w:r>
          </w:p>
        </w:tc>
        <w:tc>
          <w:tcPr>
            <w:tcW w:w="4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22,140</w:t>
            </w:r>
          </w:p>
        </w:tc>
        <w:tc>
          <w:tcPr>
            <w:tcW w:w="700" w:type="dxa"/>
            <w:vAlign w:val="bottom"/>
          </w:tcPr>
          <w:p>
            <w:pPr>
              <w:jc w:val="right"/>
              <w:spacing w:after="0"/>
              <w:rPr>
                <w:sz w:val="20"/>
                <w:szCs w:val="20"/>
                <w:color w:val="auto"/>
              </w:rPr>
            </w:pPr>
            <w:r>
              <w:rPr>
                <w:rFonts w:ascii="Arial" w:cs="Arial" w:eastAsia="Arial" w:hAnsi="Arial"/>
                <w:sz w:val="18"/>
                <w:szCs w:val="18"/>
                <w:color w:val="auto"/>
              </w:rPr>
              <w:t>22,440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49,628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116,456</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(15,864)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0" w:type="dxa"/>
            <w:vAlign w:val="bottom"/>
          </w:tcPr>
          <w:p>
            <w:pPr>
              <w:spacing w:after="0"/>
              <w:rPr>
                <w:sz w:val="18"/>
                <w:szCs w:val="18"/>
                <w:color w:val="auto"/>
              </w:rPr>
            </w:pPr>
          </w:p>
        </w:tc>
      </w:tr>
      <w:tr>
        <w:trPr>
          <w:trHeight w:val="363"/>
        </w:trPr>
        <w:tc>
          <w:tcPr>
            <w:tcW w:w="3400" w:type="dxa"/>
            <w:vAlign w:val="bottom"/>
          </w:tcPr>
          <w:p>
            <w:pPr>
              <w:spacing w:after="0"/>
              <w:rPr>
                <w:sz w:val="24"/>
                <w:szCs w:val="24"/>
                <w:color w:val="auto"/>
              </w:rPr>
            </w:pPr>
          </w:p>
        </w:tc>
        <w:tc>
          <w:tcPr>
            <w:tcW w:w="3960" w:type="dxa"/>
            <w:vAlign w:val="bottom"/>
            <w:gridSpan w:val="3"/>
          </w:tcPr>
          <w:p>
            <w:pPr>
              <w:jc w:val="right"/>
              <w:ind w:right="1480"/>
              <w:spacing w:after="0"/>
              <w:rPr>
                <w:sz w:val="20"/>
                <w:szCs w:val="20"/>
                <w:color w:val="auto"/>
              </w:rPr>
            </w:pPr>
            <w:r>
              <w:rPr>
                <w:rFonts w:ascii="Arial" w:cs="Arial" w:eastAsia="Arial" w:hAnsi="Arial"/>
                <w:sz w:val="18"/>
                <w:szCs w:val="18"/>
                <w:color w:val="auto"/>
              </w:rPr>
              <w:t>F-36</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2007</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$ 35,002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21,139</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(5,537)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2006</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520" w:type="dxa"/>
            <w:vAlign w:val="bottom"/>
            <w:gridSpan w:val="4"/>
            <w:shd w:val="clear" w:color="auto" w:fill="CCEEFF"/>
          </w:tcPr>
          <w:p>
            <w:pPr>
              <w:jc w:val="center"/>
              <w:ind w:left="2712"/>
              <w:spacing w:after="0"/>
              <w:rPr>
                <w:sz w:val="20"/>
                <w:szCs w:val="20"/>
                <w:color w:val="auto"/>
              </w:rPr>
            </w:pPr>
            <w:r>
              <w:rPr>
                <w:rFonts w:ascii="Arial" w:cs="Arial" w:eastAsia="Arial" w:hAnsi="Arial"/>
                <w:sz w:val="18"/>
                <w:szCs w:val="18"/>
                <w:color w:val="auto"/>
                <w:w w:val="91"/>
              </w:rPr>
              <w:t>$ 15,812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35,002</w:t>
            </w:r>
          </w:p>
        </w:tc>
        <w:tc>
          <w:tcPr>
            <w:tcW w:w="20" w:type="dxa"/>
            <w:vAlign w:val="bottom"/>
          </w:tcPr>
          <w:p>
            <w:pPr>
              <w:spacing w:after="0"/>
              <w:rPr>
                <w:sz w:val="18"/>
                <w:szCs w:val="18"/>
                <w:color w:val="auto"/>
              </w:rPr>
            </w:pPr>
          </w:p>
        </w:tc>
      </w:tr>
      <w:tr>
        <w:trPr>
          <w:trHeight w:val="352"/>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at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540" w:type="dxa"/>
            <w:vAlign w:val="bottom"/>
          </w:tcPr>
          <w:p>
            <w:pPr>
              <w:spacing w:after="0"/>
              <w:rPr>
                <w:sz w:val="24"/>
                <w:szCs w:val="2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540" w:type="dxa"/>
            <w:vAlign w:val="bottom"/>
          </w:tcPr>
          <w:p>
            <w:pPr>
              <w:spacing w:after="0"/>
              <w:rPr>
                <w:sz w:val="12"/>
                <w:szCs w:val="12"/>
                <w:color w:val="auto"/>
              </w:rPr>
            </w:pP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8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2005</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Recoveries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80" w:type="dxa"/>
            <w:vAlign w:val="bottom"/>
            <w:gridSpan w:val="2"/>
            <w:shd w:val="clear" w:color="auto" w:fill="CCEEFF"/>
          </w:tcPr>
          <w:p>
            <w:pPr>
              <w:ind w:left="3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tcPr>
          <w:p>
            <w:pPr>
              <w:spacing w:after="0"/>
              <w:rPr>
                <w:sz w:val="18"/>
                <w:szCs w:val="18"/>
                <w:color w:val="auto"/>
              </w:rPr>
            </w:pPr>
          </w:p>
        </w:tc>
      </w:tr>
      <w:tr>
        <w:trPr>
          <w:trHeight w:val="363"/>
        </w:trPr>
        <w:tc>
          <w:tcPr>
            <w:tcW w:w="2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80" w:type="dxa"/>
            <w:vAlign w:val="bottom"/>
            <w:gridSpan w:val="2"/>
          </w:tcPr>
          <w:p>
            <w:pPr>
              <w:ind w:left="2020"/>
              <w:spacing w:after="0"/>
              <w:rPr>
                <w:sz w:val="20"/>
                <w:szCs w:val="20"/>
                <w:color w:val="auto"/>
              </w:rPr>
            </w:pPr>
            <w:r>
              <w:rPr>
                <w:rFonts w:ascii="Arial" w:cs="Arial" w:eastAsia="Arial" w:hAnsi="Arial"/>
                <w:sz w:val="18"/>
                <w:szCs w:val="18"/>
                <w:color w:val="auto"/>
              </w:rPr>
              <w:t>F-37</w:t>
            </w: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$400,000,000</w:t>
      </w:r>
    </w:p>
    <w:p>
      <w:pPr>
        <w:spacing w:after="0" w:line="200" w:lineRule="exact"/>
        <w:rPr>
          <w:sz w:val="20"/>
          <w:szCs w:val="20"/>
          <w:color w:val="auto"/>
        </w:rPr>
      </w:pPr>
    </w:p>
    <w:p>
      <w:pPr>
        <w:spacing w:after="0" w:line="202"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xml:space="preserve">6 </w:t>
      </w:r>
      <w:r>
        <w:rPr>
          <w:rFonts w:ascii="Arial" w:cs="Arial" w:eastAsia="Arial" w:hAnsi="Arial"/>
          <w:sz w:val="29"/>
          <w:szCs w:val="29"/>
          <w:b w:val="1"/>
          <w:bCs w:val="1"/>
          <w:color w:val="auto"/>
          <w:vertAlign w:val="superscript"/>
        </w:rPr>
        <w:t>5</w:t>
      </w:r>
      <w:r>
        <w:rPr>
          <w:rFonts w:ascii="Arial" w:cs="Arial" w:eastAsia="Arial" w:hAnsi="Arial"/>
          <w:sz w:val="22"/>
          <w:szCs w:val="22"/>
          <w:b w:val="1"/>
          <w:bCs w:val="1"/>
          <w:color w:val="auto"/>
        </w:rPr>
        <w:t>/</w:t>
      </w:r>
      <w:r>
        <w:rPr>
          <w:rFonts w:ascii="Arial" w:cs="Arial" w:eastAsia="Arial" w:hAnsi="Arial"/>
          <w:sz w:val="17"/>
          <w:szCs w:val="17"/>
          <w:b w:val="1"/>
          <w:bCs w:val="1"/>
          <w:color w:val="auto"/>
        </w:rPr>
        <w:t>8</w:t>
      </w:r>
      <w:r>
        <w:rPr>
          <w:rFonts w:ascii="Arial" w:cs="Arial" w:eastAsia="Arial" w:hAnsi="Arial"/>
          <w:sz w:val="22"/>
          <w:szCs w:val="22"/>
          <w:b w:val="1"/>
          <w:bCs w:val="1"/>
          <w:color w:val="auto"/>
        </w:rPr>
        <w:t>% First Mortgage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1203325</wp:posOffset>
            </wp:positionV>
            <wp:extent cx="15176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4880"/>
        <w:spacing w:after="0"/>
        <w:rPr>
          <w:sz w:val="20"/>
          <w:szCs w:val="20"/>
          <w:color w:val="auto"/>
        </w:rPr>
      </w:pPr>
      <w:r>
        <w:rPr>
          <w:rFonts w:ascii="Arial" w:cs="Arial" w:eastAsia="Arial" w:hAnsi="Arial"/>
          <w:sz w:val="18"/>
          <w:szCs w:val="18"/>
          <w:b w:val="1"/>
          <w:bCs w:val="1"/>
          <w:color w:val="auto"/>
        </w:rPr>
        <w:t>PROSPECTUS</w:t>
      </w:r>
    </w:p>
    <w:p>
      <w:pPr>
        <w:spacing w:after="0" w:line="21" w:lineRule="exact"/>
        <w:rPr>
          <w:sz w:val="20"/>
          <w:szCs w:val="20"/>
          <w:color w:val="auto"/>
        </w:rPr>
      </w:pPr>
    </w:p>
    <w:p>
      <w:pPr>
        <w:jc w:val="right"/>
        <w:ind w:right="4900"/>
        <w:spacing w:after="0"/>
        <w:rPr>
          <w:sz w:val="20"/>
          <w:szCs w:val="20"/>
          <w:color w:val="auto"/>
        </w:rPr>
      </w:pPr>
      <w:r>
        <w:rPr>
          <w:rFonts w:ascii="Arial" w:cs="Arial" w:eastAsia="Arial" w:hAnsi="Arial"/>
          <w:sz w:val="18"/>
          <w:szCs w:val="18"/>
          <w:b w:val="1"/>
          <w:bCs w:val="1"/>
          <w:color w:val="auto"/>
        </w:rPr>
        <w:t>,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2008,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20. </w:t>
      </w:r>
      <w:r>
        <w:rPr>
          <w:rFonts w:ascii="Arial" w:cs="Arial" w:eastAsia="Arial" w:hAnsi="Arial"/>
          <w:sz w:val="18"/>
          <w:szCs w:val="18"/>
          <w:b w:val="1"/>
          <w:bCs w:val="1"/>
          <w:i w:val="1"/>
          <w:iCs w:val="1"/>
          <w:color w:val="auto"/>
        </w:rPr>
        <w:t>Indemnification of Directors, Officers, Managers and Members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78.7502 of the Nevada Revised Statutes (the “NRS”) permits a corporation to indemnify any person who was or is a party or is threatened to be made a party to any threatened, pending or completed action, suit or proceeding, whether civil, criminal, administrative or investigative (except an action by or in the right of the corporation), by reason of being or having been an officer, director, employee or agent of the corporation or serving or having served in certain capacities at the request of the corporation. Indemnification may include attorneys’ fees, judgments, fines and amounts paid in settlement actually and reasonably incurred by the person to be indemnified in connection with the action, suit or proceeding.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or having served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such person must have had no reasonable cause to believe his or her conduct was unlawful.</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78.7502 of the NRS also provides that to the extent a director, officer, employee or agent of a corporation has been successful on the merits or otherwise in defense of any such action, suit or proceeding he or she must be indemnified by the corporation against expenses, including attorneys’ fees actually and reasonably incurred in connection with the defense.</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78.751 of the NRS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corporation.</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Section 78.752 of the NRS permits a corporation to purchase and maintain insurance or make other financial arrangements on behalf of the corporation’s current and former officers, directors, employees or agents, or any persons serving or who have served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Wynn Resorts’ bylaws provide that it will indemnify its directors and officers to the maximum extent permitted by Nevada law, including in certain circumstances in which indemnification would be otherwise discretionary under Nevada law. In addition, Wynn Resorts has entered into separate indemnification agreements with its directors and officers that require Wynn Resorts, among other things, to indemnify such directors and officers against certain liabilities that may arise by reason of their status or service other than liabilities arising from willful misconduct of a culpable nature. Wynn Resorts also intends to maintain director and officer liability insurance, if available on reasonable terms.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Section 86.411 of the NRS permits a limited liability company to indemnify any person who was or is a party or is threatened to be made a party to any threatened, pending or completed action, suit or proceeding, whether civil, criminal, administrative or investigative (except an action by or in the right of the limited liability company), by reason of being or having been a manager, member, employee or agent of the limited liability company or serving or having served in certain capacities at the request of the limited liability company. As with corporations, indemnification may include attorneys’ fees, judgments, fines and amounts paid in settlement actually and reasonably incurred by the person to be indemnified in connection with the action, suit or proceeding. Section 86.421 of the NRS permits a limited liability company to indemnify any person who was or is a party or is threatened to be made a party to any threatened, pending or completed action or suit by or in the right of the limited liability company to procure a judgment in its favor by reason of being or having been a manager, member, employee or agent of the limited liability company or serving or having served in certain capacities at the request of the limited liability company except that indemnification may not be made for any claim, issue or matter as to which such a person has been finally adjudged by a court of competent jurisdiction to be liable to the limited liability company or for amounts paid in settlement to the limited liability company,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However, to be entitled to indemnification, the person to be indemnified in either case must have acted in good faith and in a manner which he or she reasonably believed to be in or not opposed to the best interests of the limited liability company and, with respect to any criminal action or proceeding, such person must have had no reasonable cause to believe his or her conduct was unlawful.</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86.431 of the NRS also provides that to the extent a manager, member, employee or agent of a limited liability has been successful on the merits or otherwise in defense of any such action, he or she must be indemnified by the limited liability company against expenses, including attorneys’ fees actually and reasonably incurred in connection with the defense.</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Section 86.441 of the NRS permits a limited liability company, in its articles of organization, operating agreement or other agreement, to provide for the payment of expenses incurred by members or managers in defending any civil or criminal action, suit or proceeding as they are incurred and in advance of the final disposition of the action, suit or proceeding, upon receipt of an undertaking to repay the amount if it is ultimately determined by a court of competent jurisdiction that the person is not entitled to indemnification by the company.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86.461 of the NRS permits a limited liability to purchase and maintain insurance or make other financial arrangements on behalf of the limited liability company’s current and former managers, members employees or agents, or any persons serving or who have served in certain capacities at the request of the limited liability company, for any liability and expenses incurred by them in their capacities as managers, members, employees or agents or arising out of their status as such, whether or not the limited liability company has the authority to indemnify him, her or them against such liability and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 </w:t>
      </w:r>
      <w:r>
        <w:rPr>
          <w:rFonts w:ascii="Arial" w:cs="Arial" w:eastAsia="Arial" w:hAnsi="Arial"/>
          <w:sz w:val="18"/>
          <w:szCs w:val="18"/>
          <w:b w:val="1"/>
          <w:bCs w:val="1"/>
          <w:i w:val="1"/>
          <w:i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21(a). </w:t>
      </w: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1240" w:type="dxa"/>
            <w:vAlign w:val="bottom"/>
          </w:tcPr>
          <w:p>
            <w:pPr>
              <w:spacing w:after="0"/>
              <w:rPr>
                <w:sz w:val="14"/>
                <w:szCs w:val="14"/>
                <w:color w:val="auto"/>
              </w:rPr>
            </w:pPr>
          </w:p>
        </w:tc>
      </w:tr>
      <w:tr>
        <w:trPr>
          <w:trHeight w:val="216"/>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3.1</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Second Amended and Restated Articles of Organization of Wynn Las Vegas,</w:t>
            </w:r>
          </w:p>
        </w:tc>
        <w:tc>
          <w:tcPr>
            <w:tcW w:w="1240" w:type="dxa"/>
            <w:vAlign w:val="bottom"/>
          </w:tcPr>
          <w:p>
            <w:pPr>
              <w:spacing w:after="0"/>
              <w:rPr>
                <w:sz w:val="20"/>
                <w:szCs w:val="20"/>
                <w:color w:val="auto"/>
              </w:rPr>
            </w:pPr>
            <w:r>
              <w:rPr>
                <w:rFonts w:ascii="Arial" w:cs="Arial" w:eastAsia="Arial" w:hAnsi="Arial"/>
                <w:sz w:val="18"/>
                <w:szCs w:val="18"/>
                <w:color w:val="auto"/>
              </w:rPr>
              <w:t>LLC. (1)</w:t>
            </w:r>
          </w:p>
        </w:tc>
      </w:tr>
      <w:tr>
        <w:trPr>
          <w:trHeight w:val="316"/>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3.2</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3.3</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w w:val="93"/>
              </w:rPr>
              <w:t>First Amended and Restated Articles of Incorporation of Wynn Las Vegas Capital Corp.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3.4</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w w:val="90"/>
              </w:rPr>
              <w:t>Certificate of Amendment of the Articles of Incorporation of Wynn Las Vegas Capital Corp. (1)</w:t>
            </w:r>
          </w:p>
        </w:tc>
      </w:tr>
      <w:tr>
        <w:trPr>
          <w:trHeight w:val="324"/>
        </w:trPr>
        <w:tc>
          <w:tcPr>
            <w:tcW w:w="460" w:type="dxa"/>
            <w:vAlign w:val="bottom"/>
          </w:tcPr>
          <w:p>
            <w:pPr>
              <w:jc w:val="right"/>
              <w:ind w:right="76"/>
              <w:spacing w:after="0"/>
              <w:rPr>
                <w:sz w:val="20"/>
                <w:szCs w:val="20"/>
                <w:color w:val="auto"/>
              </w:rPr>
            </w:pPr>
            <w:r>
              <w:rPr>
                <w:rFonts w:ascii="Arial" w:cs="Arial" w:eastAsia="Arial" w:hAnsi="Arial"/>
                <w:sz w:val="18"/>
                <w:szCs w:val="18"/>
                <w:color w:val="auto"/>
              </w:rPr>
              <w:t>3.5</w:t>
            </w:r>
          </w:p>
        </w:tc>
        <w:tc>
          <w:tcPr>
            <w:tcW w:w="7400" w:type="dxa"/>
            <w:vAlign w:val="bottom"/>
            <w:gridSpan w:val="3"/>
          </w:tcPr>
          <w:p>
            <w:pPr>
              <w:ind w:left="66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65"/>
        </w:trPr>
        <w:tc>
          <w:tcPr>
            <w:tcW w:w="460" w:type="dxa"/>
            <w:vAlign w:val="bottom"/>
          </w:tcPr>
          <w:p>
            <w:pPr>
              <w:spacing w:after="0"/>
              <w:rPr>
                <w:sz w:val="24"/>
                <w:szCs w:val="24"/>
                <w:color w:val="auto"/>
              </w:rPr>
            </w:pPr>
          </w:p>
        </w:tc>
        <w:tc>
          <w:tcPr>
            <w:tcW w:w="7400" w:type="dxa"/>
            <w:vAlign w:val="bottom"/>
            <w:gridSpan w:val="3"/>
          </w:tcPr>
          <w:p>
            <w:pPr>
              <w:ind w:left="51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6"/>
              </w:rPr>
              <w:t>First Amendment to the First Amended and Restated Bylaws of Wynn</w:t>
            </w: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 w:type="dxa"/>
            <w:vAlign w:val="bottom"/>
          </w:tcPr>
          <w:p>
            <w:pPr>
              <w:ind w:left="80"/>
              <w:spacing w:after="0"/>
              <w:rPr>
                <w:sz w:val="20"/>
                <w:szCs w:val="20"/>
                <w:color w:val="auto"/>
              </w:rPr>
            </w:pPr>
            <w:r>
              <w:rPr>
                <w:rFonts w:ascii="Arial" w:cs="Arial" w:eastAsia="Arial" w:hAnsi="Arial"/>
                <w:sz w:val="18"/>
                <w:szCs w:val="18"/>
                <w:color w:val="auto"/>
              </w:rPr>
              <w:t>3.6</w:t>
            </w:r>
          </w:p>
        </w:tc>
        <w:tc>
          <w:tcPr>
            <w:tcW w:w="5420" w:type="dxa"/>
            <w:vAlign w:val="bottom"/>
            <w:vMerge w:val="continue"/>
          </w:tcPr>
          <w:p>
            <w:pPr>
              <w:spacing w:after="0"/>
              <w:rPr>
                <w:sz w:val="18"/>
                <w:szCs w:val="18"/>
                <w:color w:val="auto"/>
              </w:rPr>
            </w:pPr>
          </w:p>
        </w:tc>
        <w:tc>
          <w:tcPr>
            <w:tcW w:w="5520" w:type="dxa"/>
            <w:vAlign w:val="bottom"/>
            <w:gridSpan w:val="2"/>
          </w:tcPr>
          <w:p>
            <w:pPr>
              <w:ind w:left="140"/>
              <w:spacing w:after="0"/>
              <w:rPr>
                <w:sz w:val="20"/>
                <w:szCs w:val="20"/>
                <w:color w:val="auto"/>
              </w:rPr>
            </w:pPr>
            <w:r>
              <w:rPr>
                <w:rFonts w:ascii="Arial" w:cs="Arial" w:eastAsia="Arial" w:hAnsi="Arial"/>
                <w:sz w:val="18"/>
                <w:szCs w:val="18"/>
                <w:color w:val="auto"/>
              </w:rPr>
              <w:t>Las Vegas Capital Corp. (1)</w:t>
            </w:r>
          </w:p>
        </w:tc>
        <w:tc>
          <w:tcPr>
            <w:tcW w:w="0" w:type="dxa"/>
            <w:vAlign w:val="bottom"/>
          </w:tcPr>
          <w:p>
            <w:pPr>
              <w:spacing w:after="0"/>
              <w:rPr>
                <w:sz w:val="1"/>
                <w:szCs w:val="1"/>
                <w:color w:val="auto"/>
              </w:rPr>
            </w:pPr>
          </w:p>
        </w:tc>
      </w:tr>
      <w:tr>
        <w:trPr>
          <w:trHeight w:val="316"/>
        </w:trPr>
        <w:tc>
          <w:tcPr>
            <w:tcW w:w="440" w:type="dxa"/>
            <w:vAlign w:val="bottom"/>
          </w:tcPr>
          <w:p>
            <w:pPr>
              <w:ind w:left="80"/>
              <w:spacing w:after="0"/>
              <w:rPr>
                <w:sz w:val="20"/>
                <w:szCs w:val="20"/>
                <w:color w:val="auto"/>
              </w:rPr>
            </w:pPr>
            <w:r>
              <w:rPr>
                <w:rFonts w:ascii="Arial" w:cs="Arial" w:eastAsia="Arial" w:hAnsi="Arial"/>
                <w:sz w:val="18"/>
                <w:szCs w:val="18"/>
                <w:color w:val="auto"/>
              </w:rPr>
              <w:t>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Kevyn, LLC. (2)</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Operating Agreement of Kevyn, LLC. (2)</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w w:val="96"/>
              </w:rPr>
              <w:t>3.19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(3)</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December 14, 2004, among Wynn Las Vegas, LLC, Wynn Las Vegas Capital Corp., the Guarantors set</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forth therein and Wells Fargo Bank, National Association, as trustee. (3)</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(4)</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Supplemental Indenture, dated as of July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(2)</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Inc. and SG Americas Securities, LLC. (5)</w:t>
            </w:r>
          </w:p>
        </w:tc>
        <w:tc>
          <w:tcPr>
            <w:tcW w:w="0" w:type="dxa"/>
            <w:vAlign w:val="bottom"/>
          </w:tcPr>
          <w:p>
            <w:pPr>
              <w:spacing w:after="0"/>
              <w:rPr>
                <w:sz w:val="1"/>
                <w:szCs w:val="1"/>
                <w:color w:val="auto"/>
              </w:rPr>
            </w:pPr>
          </w:p>
        </w:tc>
      </w:tr>
      <w:tr>
        <w:trPr>
          <w:trHeight w:val="318"/>
        </w:trPr>
        <w:tc>
          <w:tcPr>
            <w:tcW w:w="440" w:type="dxa"/>
            <w:vAlign w:val="bottom"/>
          </w:tcPr>
          <w:p>
            <w:pPr>
              <w:ind w:left="80"/>
              <w:spacing w:after="0"/>
              <w:rPr>
                <w:sz w:val="20"/>
                <w:szCs w:val="20"/>
                <w:color w:val="auto"/>
              </w:rPr>
            </w:pPr>
            <w:r>
              <w:rPr>
                <w:rFonts w:ascii="Arial" w:cs="Arial" w:eastAsia="Arial" w:hAnsi="Arial"/>
                <w:sz w:val="18"/>
                <w:szCs w:val="18"/>
                <w:color w:val="auto"/>
              </w:rPr>
              <w:t>4.6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guarantors party thereto, Deutsche Bank Securities Inc. and Banc of America Securities LLC. (6)</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Skadden, Arps, Slate, Meagher &amp; Flom LLP. (7)</w:t>
            </w:r>
          </w:p>
        </w:tc>
        <w:tc>
          <w:tcPr>
            <w:tcW w:w="0" w:type="dxa"/>
            <w:vAlign w:val="bottom"/>
          </w:tcPr>
          <w:p>
            <w:pPr>
              <w:spacing w:after="0"/>
              <w:rPr>
                <w:sz w:val="1"/>
                <w:szCs w:val="1"/>
                <w:color w:val="auto"/>
              </w:rPr>
            </w:pPr>
          </w:p>
        </w:tc>
      </w:tr>
      <w:tr>
        <w:trPr>
          <w:trHeight w:val="324"/>
        </w:trPr>
        <w:tc>
          <w:tcPr>
            <w:tcW w:w="440" w:type="dxa"/>
            <w:vAlign w:val="bottom"/>
          </w:tcPr>
          <w:p>
            <w:pPr>
              <w:ind w:left="80"/>
              <w:spacing w:after="0"/>
              <w:rPr>
                <w:sz w:val="20"/>
                <w:szCs w:val="20"/>
                <w:color w:val="auto"/>
              </w:rPr>
            </w:pPr>
            <w:r>
              <w:rPr>
                <w:rFonts w:ascii="Arial" w:cs="Arial" w:eastAsia="Arial" w:hAnsi="Arial"/>
                <w:sz w:val="18"/>
                <w:szCs w:val="18"/>
                <w:color w:val="auto"/>
              </w:rPr>
              <w:t>5.2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Opinion of Brownstein Hyatt Farber Schreck, LLP (7)</w:t>
            </w:r>
          </w:p>
        </w:tc>
        <w:tc>
          <w:tcPr>
            <w:tcW w:w="0" w:type="dxa"/>
            <w:vAlign w:val="bottom"/>
          </w:tcPr>
          <w:p>
            <w:pPr>
              <w:spacing w:after="0"/>
              <w:rPr>
                <w:sz w:val="1"/>
                <w:szCs w:val="1"/>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Trust Company Americas and U.S. Bank National Association. (3)</w:t>
            </w:r>
          </w:p>
        </w:tc>
        <w:tc>
          <w:tcPr>
            <w:tcW w:w="0" w:type="dxa"/>
            <w:vAlign w:val="bottom"/>
          </w:tcPr>
          <w:p>
            <w:pPr>
              <w:spacing w:after="0"/>
              <w:rPr>
                <w:sz w:val="1"/>
                <w:szCs w:val="1"/>
                <w:color w:val="auto"/>
              </w:rPr>
            </w:pPr>
          </w:p>
        </w:tc>
      </w:tr>
      <w:tr>
        <w:trPr>
          <w:trHeight w:val="318"/>
        </w:trPr>
        <w:tc>
          <w:tcPr>
            <w:tcW w:w="440" w:type="dxa"/>
            <w:vAlign w:val="bottom"/>
          </w:tcPr>
          <w:p>
            <w:pPr>
              <w:ind w:left="20"/>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Americas, as bank agent and Deutsche Bank Trust Company Americas, as disbursement agent. (8)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center"/>
              <w:ind w:right="22"/>
              <w:spacing w:after="0" w:line="201" w:lineRule="exact"/>
              <w:rPr>
                <w:sz w:val="20"/>
                <w:szCs w:val="20"/>
                <w:color w:val="auto"/>
              </w:rPr>
            </w:pPr>
            <w:r>
              <w:rPr>
                <w:rFonts w:ascii="Arial" w:cs="Arial" w:eastAsia="Arial" w:hAnsi="Arial"/>
                <w:sz w:val="18"/>
                <w:szCs w:val="18"/>
                <w:color w:val="auto"/>
                <w:w w:val="85"/>
              </w:rPr>
              <w:t>10.3</w:t>
            </w:r>
          </w:p>
        </w:tc>
        <w:tc>
          <w:tcPr>
            <w:tcW w:w="6060" w:type="dxa"/>
            <w:vAlign w:val="bottom"/>
            <w:gridSpan w:val="2"/>
          </w:tcPr>
          <w:p>
            <w:pPr>
              <w:ind w:left="580"/>
              <w:spacing w:after="0" w:line="201" w:lineRule="exact"/>
              <w:rPr>
                <w:sz w:val="20"/>
                <w:szCs w:val="20"/>
                <w:color w:val="auto"/>
              </w:rPr>
            </w:pPr>
            <w:r>
              <w:rPr>
                <w:rFonts w:ascii="Arial" w:cs="Arial" w:eastAsia="Arial" w:hAnsi="Arial"/>
                <w:sz w:val="18"/>
                <w:szCs w:val="18"/>
                <w:color w:val="auto"/>
                <w:w w:val="87"/>
              </w:rPr>
              <w:t>Second Amendment to Master Disbursement Agreement, dated as of June 29,</w:t>
            </w:r>
          </w:p>
        </w:tc>
        <w:tc>
          <w:tcPr>
            <w:tcW w:w="4780" w:type="dxa"/>
            <w:vAlign w:val="bottom"/>
          </w:tcPr>
          <w:p>
            <w:pPr>
              <w:ind w:left="20"/>
              <w:spacing w:after="0" w:line="201" w:lineRule="exact"/>
              <w:rPr>
                <w:sz w:val="20"/>
                <w:szCs w:val="20"/>
                <w:color w:val="auto"/>
              </w:rPr>
            </w:pPr>
            <w:r>
              <w:rPr>
                <w:rFonts w:ascii="Arial" w:cs="Arial" w:eastAsia="Arial" w:hAnsi="Arial"/>
                <w:sz w:val="18"/>
                <w:szCs w:val="18"/>
                <w:color w:val="auto"/>
                <w:w w:val="92"/>
              </w:rPr>
              <w:t>2005,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(9)</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Third Amendment to Master Disbursement Agreement, dated as of March 15, 2006, between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(10)</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Fourth Amendment to Master Disbursement Agreement, dated as of August 15, 2006, among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 as both agent and disbursement agent. (11)</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Fifth Amendment to Master Disbursement Agreement, dated as of April 9, 2007 among Wynn Las Vegas, LLC and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Company Americas. (12)</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Trust Company Americas, as the initial Bank Agent, and Deutsche Bank Trust Company America, as the initial Disbursement Agent. (13)</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Disbursement Agent. (14)</w:t>
            </w:r>
          </w:p>
        </w:tc>
      </w:tr>
      <w:tr>
        <w:trPr>
          <w:trHeight w:val="318"/>
        </w:trPr>
        <w:tc>
          <w:tcPr>
            <w:tcW w:w="460" w:type="dxa"/>
            <w:vAlign w:val="bottom"/>
            <w:gridSpan w:val="2"/>
          </w:tcPr>
          <w:p>
            <w:pPr>
              <w:jc w:val="center"/>
              <w:ind w:right="2"/>
              <w:spacing w:after="0"/>
              <w:rPr>
                <w:sz w:val="20"/>
                <w:szCs w:val="20"/>
                <w:color w:val="auto"/>
              </w:rPr>
            </w:pPr>
            <w:r>
              <w:rPr>
                <w:rFonts w:ascii="Arial" w:cs="Arial" w:eastAsia="Arial" w:hAnsi="Arial"/>
                <w:sz w:val="18"/>
                <w:szCs w:val="18"/>
                <w:color w:val="auto"/>
                <w:w w:val="85"/>
              </w:rPr>
              <w:t>10.9</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60" w:type="dxa"/>
            <w:vAlign w:val="bottom"/>
            <w:gridSpan w:val="2"/>
          </w:tcPr>
          <w:p>
            <w:pPr>
              <w:jc w:val="center"/>
              <w:spacing w:after="0"/>
              <w:rPr>
                <w:sz w:val="20"/>
                <w:szCs w:val="20"/>
                <w:color w:val="auto"/>
              </w:rPr>
            </w:pPr>
            <w:r>
              <w:rPr>
                <w:rFonts w:ascii="Arial" w:cs="Arial" w:eastAsia="Arial" w:hAnsi="Arial"/>
                <w:sz w:val="18"/>
                <w:szCs w:val="18"/>
                <w:color w:val="auto"/>
                <w:w w:val="88"/>
              </w:rPr>
              <w:t>10.10</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as owner trustee, and World Travel, LLC; and accepted and agreed to by Bank of America, N.A., as lender and Wells Fargo Bank, National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 but solely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owner trustee, and World Travel, LLC; and accepted and agreed to by The CIT Group / Equipment Financing, Inc., as lender and Wells Fargo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as owner trustee, World Travel, LLC and Wells Fargo Bank, National Association, not in its individual capacity but solely as collateral agent. (15)</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Guaranty, dated May 24, 2005, by Wynn Las Vegas, LLC in favor of The CIT Group / Equipment Financing, Inc., Bank of America, N.A.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(15)</w:t>
            </w:r>
          </w:p>
        </w:tc>
      </w:tr>
      <w:tr>
        <w:trPr>
          <w:trHeight w:val="324"/>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(16)</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Gallery, LLC, as lessee. (16)</w:t>
            </w: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 18, 2003.</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the Bank Agent, and U.S. Bank National Association, as Indenture Trustee. (5)</w:t>
            </w:r>
          </w:p>
        </w:tc>
      </w:tr>
      <w:tr>
        <w:trPr>
          <w:trHeight w:val="324"/>
        </w:trPr>
        <w:tc>
          <w:tcPr>
            <w:tcW w:w="460" w:type="dxa"/>
            <w:vAlign w:val="bottom"/>
            <w:gridSpan w:val="2"/>
          </w:tcPr>
          <w:p>
            <w:pPr>
              <w:ind w:left="20"/>
              <w:spacing w:after="0"/>
              <w:rPr>
                <w:sz w:val="20"/>
                <w:szCs w:val="20"/>
                <w:color w:val="auto"/>
              </w:rPr>
            </w:pPr>
            <w:r>
              <w:rPr>
                <w:rFonts w:ascii="Arial" w:cs="Arial" w:eastAsia="Arial" w:hAnsi="Arial"/>
                <w:sz w:val="18"/>
                <w:szCs w:val="18"/>
                <w:color w:val="auto"/>
                <w:w w:val="93"/>
              </w:rPr>
              <w:t>10.18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(18)</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40" w:type="dxa"/>
            <w:vAlign w:val="bottom"/>
            <w:gridSpan w:val="3"/>
          </w:tcPr>
          <w:p>
            <w:pPr>
              <w:ind w:left="500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8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5"/>
          <w:szCs w:val="15"/>
          <w:color w:val="auto"/>
        </w:rPr>
        <w:t>Purchase Agreement, dated October 25, 2002, by and among Wynn Las Vegas, LLC, Wynn Las Vegas Capital Corp. and Aruze USA, Inc. (18)</w:t>
      </w:r>
    </w:p>
    <w:p>
      <w:pPr>
        <w:spacing w:after="0" w:line="109" w:lineRule="exact"/>
        <w:rPr>
          <w:sz w:val="20"/>
          <w:szCs w:val="20"/>
          <w:color w:val="auto"/>
        </w:rPr>
      </w:pPr>
    </w:p>
    <w:p>
      <w:pPr>
        <w:ind w:left="1040" w:hanging="961"/>
        <w:spacing w:after="0" w:line="268"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Acknowledgement and Agreement, dated as of September 1, 2004, among Wynn Las Vegas, LLC, Wells Fargo Bank, National Association and the lenders named therein. (19)</w:t>
      </w:r>
    </w:p>
    <w:p>
      <w:pPr>
        <w:spacing w:after="0" w:line="78" w:lineRule="exact"/>
        <w:rPr>
          <w:sz w:val="20"/>
          <w:szCs w:val="20"/>
          <w:color w:val="auto"/>
        </w:rPr>
      </w:pPr>
    </w:p>
    <w:p>
      <w:pPr>
        <w:ind w:left="1040" w:right="120" w:hanging="961"/>
        <w:spacing w:after="0" w:line="268"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Third Amended and Restated Art Rental and Licensing Agreement, dated as of August 6, 2004, by and between Stephen A. Wynn and Wynn Las Vegas, LLC. (20)</w:t>
      </w:r>
    </w:p>
    <w:p>
      <w:pPr>
        <w:spacing w:after="0" w:line="78" w:lineRule="exact"/>
        <w:rPr>
          <w:sz w:val="20"/>
          <w:szCs w:val="20"/>
          <w:color w:val="auto"/>
        </w:rPr>
      </w:pPr>
    </w:p>
    <w:p>
      <w:pPr>
        <w:ind w:left="1040" w:right="240" w:hanging="961"/>
        <w:spacing w:after="0" w:line="370"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Las Vegas, LLC, as trustor, to Nevada Title Company, as trustee, for the benefit of Deutsche Bank Trust Company Americas, as collateral agent. (5)</w:t>
      </w:r>
    </w:p>
    <w:p>
      <w:pPr>
        <w:spacing w:after="0" w:line="8" w:lineRule="exact"/>
        <w:rPr>
          <w:sz w:val="20"/>
          <w:szCs w:val="20"/>
          <w:color w:val="auto"/>
        </w:rPr>
      </w:pPr>
    </w:p>
    <w:p>
      <w:pPr>
        <w:ind w:left="1040" w:right="140" w:hanging="961"/>
        <w:spacing w:after="0" w:line="370"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Sunrise, LLC, as trustor, to Nevada Title Company, as trustee, for the benefit of Deutsche Bank Trust Company Americas, as collateral agent. (5)</w:t>
      </w:r>
    </w:p>
    <w:p>
      <w:pPr>
        <w:spacing w:after="0" w:line="8" w:lineRule="exact"/>
        <w:rPr>
          <w:sz w:val="20"/>
          <w:szCs w:val="20"/>
          <w:color w:val="auto"/>
        </w:rPr>
      </w:pPr>
    </w:p>
    <w:p>
      <w:pPr>
        <w:ind w:left="1040" w:right="340" w:hanging="961"/>
        <w:spacing w:after="0" w:line="370"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5"/>
          <w:szCs w:val="15"/>
          <w:color w:val="auto"/>
        </w:rPr>
        <w:t>Deed of Trust, Assignment of Rents and Leases, Security Agreement and Fixture Filing, dated as of December 14, 2004, made by Wynn Golf, LLC, as trustor, to Nevada Title Company, as trustee, for the benefit of Deutsche Bank Trust Company Americas, as collateral agent. (5)</w:t>
      </w:r>
    </w:p>
    <w:p>
      <w:pPr>
        <w:spacing w:after="0" w:line="8" w:lineRule="exact"/>
        <w:rPr>
          <w:sz w:val="20"/>
          <w:szCs w:val="20"/>
          <w:color w:val="auto"/>
        </w:rPr>
      </w:pPr>
    </w:p>
    <w:p>
      <w:pPr>
        <w:ind w:left="1040" w:right="20" w:hanging="961"/>
        <w:spacing w:after="0" w:line="306" w:lineRule="auto"/>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Guarantee and Collateral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(5)</w:t>
      </w:r>
    </w:p>
    <w:p>
      <w:pPr>
        <w:spacing w:after="0" w:line="53" w:lineRule="exact"/>
        <w:rPr>
          <w:sz w:val="20"/>
          <w:szCs w:val="20"/>
          <w:color w:val="auto"/>
        </w:rPr>
      </w:pPr>
    </w:p>
    <w:p>
      <w:pPr>
        <w:ind w:left="1040" w:right="220" w:hanging="961"/>
        <w:spacing w:after="0" w:line="268" w:lineRule="auto"/>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Intercreditor Agreement, dated as of December 14, 2004, among Deutsche Bank Trust Company Americas, as bank agent, Deutsche Bank Trust Company Americas, as collateral agent, and U.S. Bank National Association, as trustee. (3)</w:t>
      </w:r>
    </w:p>
    <w:p>
      <w:pPr>
        <w:spacing w:after="0" w:line="78" w:lineRule="exact"/>
        <w:rPr>
          <w:sz w:val="20"/>
          <w:szCs w:val="20"/>
          <w:color w:val="auto"/>
        </w:rPr>
      </w:pPr>
    </w:p>
    <w:p>
      <w:pPr>
        <w:ind w:left="1040" w:right="240" w:hanging="961"/>
        <w:spacing w:after="0" w:line="306" w:lineRule="auto"/>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Pledge and Security Agreement, dated as of December 14, 2004, made by Wynn Resorts Holdings, LLC, Wynn Las Vegas, LLC, Wynn Show Performers, LLC, Wynn Las Vegas Capital Corp., Wynn Golf, LLC, World Travel, LLC, Las Vegas Jet, LLC, Wynn Sunrise, LLC and the other Grantors from time to time party thereto in favor of Deutsche Bank Trust Company Americas, as administrative agent. (5)</w:t>
      </w:r>
    </w:p>
    <w:p>
      <w:pPr>
        <w:spacing w:after="0" w:line="53" w:lineRule="exact"/>
        <w:rPr>
          <w:sz w:val="20"/>
          <w:szCs w:val="20"/>
          <w:color w:val="auto"/>
        </w:rPr>
      </w:pPr>
    </w:p>
    <w:p>
      <w:pPr>
        <w:jc w:val="both"/>
        <w:ind w:left="1040" w:right="20" w:hanging="961"/>
        <w:spacing w:after="0" w:line="259" w:lineRule="auto"/>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Management Fees Subordination Agreement, dated as of December 14, 2004, by Wynn Resorts, Limited, Wynn Las Vegas, LLC, Wynn Las Vegas Capital Corp., and those subsidiaries of Wynn Las Vegas, LLC listed on Exhibit A hereto in favor of Deutsche Bank Trust Company Americas, as administrative agent, and U.S. Bank National Association, as trustee. (5)</w:t>
      </w:r>
    </w:p>
    <w:p>
      <w:pPr>
        <w:spacing w:after="0" w:line="86" w:lineRule="exact"/>
        <w:rPr>
          <w:sz w:val="20"/>
          <w:szCs w:val="20"/>
          <w:color w:val="auto"/>
        </w:rPr>
      </w:pPr>
    </w:p>
    <w:p>
      <w:pPr>
        <w:ind w:left="1040" w:right="140" w:hanging="961"/>
        <w:spacing w:after="0" w:line="332" w:lineRule="auto"/>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 Vegas Capital Corp., Wynn Golf, LLC, World Travel, LLC, Las Vegas Jet, LLC, Wynn Sunrise, LLC, and Wynn Resorts, Limited. (5)</w:t>
      </w:r>
    </w:p>
    <w:p>
      <w:pPr>
        <w:spacing w:after="0" w:line="31" w:lineRule="exact"/>
        <w:rPr>
          <w:sz w:val="20"/>
          <w:szCs w:val="20"/>
          <w:color w:val="auto"/>
        </w:rPr>
      </w:pPr>
    </w:p>
    <w:p>
      <w:pPr>
        <w:ind w:left="1040" w:right="260" w:hanging="961"/>
        <w:spacing w:after="0" w:line="268" w:lineRule="auto"/>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Irrevocable Trust Agreement, dated as of December 14, 2004, by and among Wynn Las Vegas, LLC, Wynn Las Vegas Capital Corp., and Wells Fargo Bank, National Association, as Trustee. (5)</w:t>
      </w:r>
    </w:p>
    <w:p>
      <w:pPr>
        <w:spacing w:after="0" w:line="78" w:lineRule="exact"/>
        <w:rPr>
          <w:sz w:val="20"/>
          <w:szCs w:val="20"/>
          <w:color w:val="auto"/>
        </w:rPr>
      </w:pPr>
    </w:p>
    <w:p>
      <w:pPr>
        <w:ind w:left="1040" w:right="80" w:hanging="961"/>
        <w:spacing w:after="0" w:line="268" w:lineRule="auto"/>
        <w:tabs>
          <w:tab w:leader="none" w:pos="10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Amended and Restated Project Administration Services Agreement, dated December 14, 2004, between Wynn Las Vegas, LLC and Wynn Design &amp; Development, LLC. (5)</w:t>
      </w:r>
    </w:p>
    <w:p>
      <w:pPr>
        <w:spacing w:after="0" w:line="78" w:lineRule="exact"/>
        <w:rPr>
          <w:sz w:val="20"/>
          <w:szCs w:val="20"/>
          <w:color w:val="auto"/>
        </w:rPr>
      </w:pPr>
    </w:p>
    <w:p>
      <w:pPr>
        <w:ind w:left="1040" w:right="380" w:hanging="961"/>
        <w:spacing w:after="0" w:line="268" w:lineRule="auto"/>
        <w:tabs>
          <w:tab w:leader="none" w:pos="10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Intellectual Property License Agreement, dated as of December 14, 2004, by and among Wynn Resorts Holdings, Wynn Resorts, Limited and Wynn Las Vegas, LLC. (5)</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Employment Agreement, dated as of August 31, 2005 by and between Wynn Las Vegas, LLC and Andrew Pascal. (21)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34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10.34</w:t>
            </w:r>
          </w:p>
        </w:tc>
        <w:tc>
          <w:tcPr>
            <w:tcW w:w="6040" w:type="dxa"/>
            <w:vAlign w:val="bottom"/>
            <w:gridSpan w:val="2"/>
          </w:tcPr>
          <w:p>
            <w:pPr>
              <w:ind w:left="500"/>
              <w:spacing w:after="0"/>
              <w:rPr>
                <w:sz w:val="20"/>
                <w:szCs w:val="20"/>
                <w:color w:val="auto"/>
              </w:rPr>
            </w:pPr>
            <w:r>
              <w:rPr>
                <w:rFonts w:ascii="Arial" w:cs="Arial" w:eastAsia="Arial" w:hAnsi="Arial"/>
                <w:sz w:val="18"/>
                <w:szCs w:val="18"/>
                <w:color w:val="auto"/>
                <w:w w:val="85"/>
              </w:rPr>
              <w:t>Employment Agreement, dated as of September 16, 2003 by and between Wynn</w:t>
            </w:r>
          </w:p>
        </w:tc>
        <w:tc>
          <w:tcPr>
            <w:tcW w:w="4840" w:type="dxa"/>
            <w:vAlign w:val="bottom"/>
          </w:tcPr>
          <w:p>
            <w:pPr>
              <w:ind w:left="160"/>
              <w:spacing w:after="0"/>
              <w:rPr>
                <w:sz w:val="20"/>
                <w:szCs w:val="20"/>
                <w:color w:val="auto"/>
              </w:rPr>
            </w:pPr>
            <w:r>
              <w:rPr>
                <w:rFonts w:ascii="Arial" w:cs="Arial" w:eastAsia="Arial" w:hAnsi="Arial"/>
                <w:sz w:val="18"/>
                <w:szCs w:val="18"/>
                <w:color w:val="auto"/>
              </w:rPr>
              <w:t>Las Vegas, LLC and David Sisk. (1)</w:t>
            </w:r>
          </w:p>
        </w:tc>
      </w:tr>
      <w:tr>
        <w:trPr>
          <w:trHeight w:val="316"/>
        </w:trPr>
        <w:tc>
          <w:tcPr>
            <w:tcW w:w="460" w:type="dxa"/>
            <w:vAlign w:val="bottom"/>
          </w:tcPr>
          <w:p>
            <w:pPr>
              <w:spacing w:after="0"/>
              <w:rPr>
                <w:sz w:val="20"/>
                <w:szCs w:val="20"/>
                <w:color w:val="auto"/>
              </w:rPr>
            </w:pPr>
            <w:r>
              <w:rPr>
                <w:rFonts w:ascii="Arial" w:cs="Arial" w:eastAsia="Arial" w:hAnsi="Arial"/>
                <w:sz w:val="18"/>
                <w:szCs w:val="18"/>
                <w:color w:val="auto"/>
                <w:w w:val="97"/>
              </w:rPr>
              <w:t>10.35</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First Amendment to Employment Agreement, dated October 20, 2003, by and between Wynn Las Vegas, LLC and David Sisk. (1)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10.36</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and Deutsche Bank Trust Company Americas, as Administrative Agent. (11)</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10.37</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to Wynn Las Vegas LLC’s Amended and Restated Credit Agreement, dated as of August 15, 2006. (12)</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w w:val="97"/>
              </w:rPr>
              <w:t>10.38</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460" w:type="dxa"/>
            <w:vAlign w:val="bottom"/>
          </w:tcPr>
          <w:p>
            <w:pPr>
              <w:spacing w:after="0"/>
              <w:rPr>
                <w:sz w:val="18"/>
                <w:szCs w:val="18"/>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Agreement, dated as of August 15, 2006. (14)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Statements re Computation of Ratios.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Subsidiaries of the Registrant.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Ernst &amp; Young LLP.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Deloitte &amp; Touche LLP.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Skadden, Arps, Slate, Meagher &amp; Flom LLP (included in Exhibit 5.1).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23.4</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Consent of Brownstein Hyatt Farber Schreck, LLP (included in Exhibit 5.2).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Powers of Attorney (included in the signature pages to the Registration Statement). (7)</w:t>
            </w: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25.1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w w:val="92"/>
              </w:rPr>
              <w:t>Statement of Eligibility and Qualification on Form T-1 of U.S. Bank National Association, as trustee under the Indenture for Wynn Las Vegas,</w:t>
            </w:r>
          </w:p>
        </w:tc>
      </w:tr>
      <w:tr>
        <w:trPr>
          <w:trHeight w:val="222"/>
        </w:trPr>
        <w:tc>
          <w:tcPr>
            <w:tcW w:w="460" w:type="dxa"/>
            <w:vAlign w:val="bottom"/>
          </w:tcPr>
          <w:p>
            <w:pPr>
              <w:spacing w:after="0"/>
              <w:rPr>
                <w:sz w:val="19"/>
                <w:szCs w:val="19"/>
                <w:color w:val="auto"/>
              </w:rPr>
            </w:pP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LLC and Wynn Las Vegas Capital Corp.’s 6 5/8% First Mortgage Notes due 2014.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of Transmittal.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Notice of Guaranteed Delivery.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99.3</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to Clients. (7)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99.4</w:t>
            </w:r>
          </w:p>
        </w:tc>
        <w:tc>
          <w:tcPr>
            <w:tcW w:w="10880" w:type="dxa"/>
            <w:vAlign w:val="bottom"/>
            <w:gridSpan w:val="3"/>
          </w:tcPr>
          <w:p>
            <w:pPr>
              <w:ind w:left="500"/>
              <w:spacing w:after="0"/>
              <w:rPr>
                <w:sz w:val="20"/>
                <w:szCs w:val="20"/>
                <w:color w:val="auto"/>
              </w:rPr>
            </w:pPr>
            <w:r>
              <w:rPr>
                <w:rFonts w:ascii="Arial" w:cs="Arial" w:eastAsia="Arial" w:hAnsi="Arial"/>
                <w:sz w:val="18"/>
                <w:szCs w:val="18"/>
                <w:color w:val="auto"/>
              </w:rPr>
              <w:t>Form of Letter to Brokers, Dealers, Commercial Banks, Trust Companies and Other Nominees.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right="80" w:hanging="572"/>
        <w:spacing w:after="0" w:line="254" w:lineRule="auto"/>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the Registrant on February 22,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December 17,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15, 2005 and incorporated herein by reference.</w:t>
      </w:r>
    </w:p>
    <w:p>
      <w:pPr>
        <w:spacing w:after="0" w:line="38"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13,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16,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9,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Previously filed with the Quarterly Report on Form 10-Q filed by the Registrant on August 9,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October 31,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November 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25,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August 3,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May 15, 2003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November 18, 2002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8,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4,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1, 2005 and incorporated herein by reference.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21(b). </w:t>
      </w:r>
      <w:r>
        <w:rPr>
          <w:rFonts w:ascii="Arial" w:cs="Arial" w:eastAsia="Arial" w:hAnsi="Arial"/>
          <w:sz w:val="18"/>
          <w:szCs w:val="18"/>
          <w:b w:val="1"/>
          <w:bCs w:val="1"/>
          <w:i w:val="1"/>
          <w:iCs w:val="1"/>
          <w:color w:val="auto"/>
        </w:rPr>
        <w:t>Financial Statement Schedules.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None. We have omitted financial statement schedules because they are not required or are not applicable, or the required information is shown in the financial statements or notes to the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22. </w:t>
      </w:r>
      <w:r>
        <w:rPr>
          <w:rFonts w:ascii="Arial" w:cs="Arial" w:eastAsia="Arial" w:hAnsi="Arial"/>
          <w:sz w:val="18"/>
          <w:szCs w:val="18"/>
          <w:b w:val="1"/>
          <w:bCs w:val="1"/>
          <w:i w:val="1"/>
          <w:iCs w:val="1"/>
          <w:color w:val="auto"/>
        </w:rPr>
        <w:t>Undertakings</w:t>
      </w:r>
    </w:p>
    <w:p>
      <w:pPr>
        <w:spacing w:after="0" w:line="96" w:lineRule="exact"/>
        <w:rPr>
          <w:sz w:val="20"/>
          <w:szCs w:val="20"/>
          <w:color w:val="auto"/>
        </w:rPr>
      </w:pPr>
    </w:p>
    <w:p>
      <w:pPr>
        <w:ind w:left="700" w:hanging="236"/>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jc w:val="both"/>
        <w:ind w:left="920" w:firstLine="421"/>
        <w:spacing w:after="0" w:line="256" w:lineRule="auto"/>
        <w:tabs>
          <w:tab w:leader="none" w:pos="1598" w:val="left"/>
        </w:tabs>
        <w:numPr>
          <w:ilvl w:val="2"/>
          <w:numId w:val="2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59" w:lineRule="exact"/>
        <w:rPr>
          <w:sz w:val="20"/>
          <w:szCs w:val="20"/>
          <w:color w:val="auto"/>
        </w:rPr>
      </w:pPr>
    </w:p>
    <w:p>
      <w:pPr>
        <w:ind w:left="920" w:right="280" w:firstLine="421"/>
        <w:spacing w:after="0" w:line="268" w:lineRule="auto"/>
        <w:tabs>
          <w:tab w:leader="none" w:pos="164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60" w:firstLine="443"/>
        <w:spacing w:after="0" w:line="286" w:lineRule="auto"/>
        <w:tabs>
          <w:tab w:leader="none" w:pos="1147"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of 1933 to any purchaser, each prospectus filed by the registrant pursuant to Rule 424(b)(3) shall be deemed to be part of the registration statement as of the date the filed prospectus was deemed part of and included in the registration statement; and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and or made in any such document immediately prior to such effective date; and</w:t>
      </w:r>
    </w:p>
    <w:p>
      <w:pPr>
        <w:spacing w:after="0" w:line="39"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1" w:lineRule="exact"/>
        <w:rPr>
          <w:rFonts w:ascii="Arial" w:cs="Arial" w:eastAsia="Arial" w:hAnsi="Arial"/>
          <w:sz w:val="18"/>
          <w:szCs w:val="18"/>
          <w:color w:val="auto"/>
        </w:rPr>
      </w:pPr>
    </w:p>
    <w:p>
      <w:pPr>
        <w:ind w:left="1560" w:hanging="219"/>
        <w:spacing w:after="0"/>
        <w:tabs>
          <w:tab w:leader="none" w:pos="156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00" w:firstLine="421"/>
        <w:spacing w:after="0" w:line="268" w:lineRule="auto"/>
        <w:tabs>
          <w:tab w:leader="none" w:pos="159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firstLine="421"/>
        <w:spacing w:after="0" w:line="268" w:lineRule="auto"/>
        <w:tabs>
          <w:tab w:leader="none" w:pos="16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20" w:hanging="256"/>
        <w:spacing w:after="0"/>
        <w:tabs>
          <w:tab w:leader="none" w:pos="7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undersigned registrants hereby undertake that:</w:t>
      </w:r>
    </w:p>
    <w:p>
      <w:pPr>
        <w:spacing w:after="0" w:line="90" w:lineRule="exact"/>
        <w:rPr>
          <w:rFonts w:ascii="Arial" w:cs="Arial" w:eastAsia="Arial" w:hAnsi="Arial"/>
          <w:sz w:val="18"/>
          <w:szCs w:val="18"/>
          <w:color w:val="auto"/>
        </w:rPr>
      </w:pPr>
    </w:p>
    <w:p>
      <w:pPr>
        <w:ind w:left="460" w:firstLine="443"/>
        <w:spacing w:after="0" w:line="289" w:lineRule="auto"/>
        <w:tabs>
          <w:tab w:leader="none" w:pos="114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7" w:lineRule="exact"/>
        <w:rPr>
          <w:rFonts w:ascii="Arial" w:cs="Arial" w:eastAsia="Arial" w:hAnsi="Arial"/>
          <w:sz w:val="16"/>
          <w:szCs w:val="16"/>
          <w:color w:val="auto"/>
        </w:rPr>
      </w:pPr>
    </w:p>
    <w:p>
      <w:pPr>
        <w:ind w:left="460" w:firstLine="443"/>
        <w:spacing w:after="0" w:line="256" w:lineRule="auto"/>
        <w:tabs>
          <w:tab w:leader="none" w:pos="114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undersigned registrants hereby undertake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2" w:lineRule="exact"/>
        <w:rPr>
          <w:rFonts w:ascii="Arial" w:cs="Arial" w:eastAsia="Arial" w:hAnsi="Arial"/>
          <w:sz w:val="18"/>
          <w:szCs w:val="18"/>
          <w:color w:val="auto"/>
        </w:rPr>
      </w:pPr>
    </w:p>
    <w:p>
      <w:pPr>
        <w:ind w:left="460" w:firstLine="443"/>
        <w:spacing w:after="0" w:line="332" w:lineRule="auto"/>
        <w:tabs>
          <w:tab w:leader="none" w:pos="114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60" w:right="2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4800" w:type="dxa"/>
            <w:vAlign w:val="bottom"/>
            <w:tcBorders>
              <w:bottom w:val="single" w:sz="8" w:color="auto"/>
            </w:tcBorders>
            <w:gridSpan w:val="4"/>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840" w:type="dxa"/>
            <w:vAlign w:val="bottom"/>
          </w:tcPr>
          <w:p>
            <w:pPr>
              <w:spacing w:after="0"/>
              <w:rPr>
                <w:sz w:val="17"/>
                <w:szCs w:val="17"/>
                <w:color w:val="auto"/>
              </w:rPr>
            </w:pPr>
          </w:p>
        </w:tc>
        <w:tc>
          <w:tcPr>
            <w:tcW w:w="296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8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6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840" w:type="dxa"/>
            <w:vAlign w:val="bottom"/>
          </w:tcPr>
          <w:p>
            <w:pPr>
              <w:spacing w:after="0"/>
              <w:rPr>
                <w:sz w:val="17"/>
                <w:szCs w:val="17"/>
                <w:color w:val="auto"/>
              </w:rPr>
            </w:pPr>
          </w:p>
        </w:tc>
        <w:tc>
          <w:tcPr>
            <w:tcW w:w="296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7"/>
        </w:trPr>
        <w:tc>
          <w:tcPr>
            <w:tcW w:w="18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6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169"/>
        </w:trPr>
        <w:tc>
          <w:tcPr>
            <w:tcW w:w="1840" w:type="dxa"/>
            <w:vAlign w:val="bottom"/>
          </w:tcPr>
          <w:p>
            <w:pPr>
              <w:spacing w:after="0"/>
              <w:rPr>
                <w:sz w:val="14"/>
                <w:szCs w:val="14"/>
                <w:color w:val="auto"/>
              </w:rPr>
            </w:pPr>
          </w:p>
        </w:tc>
        <w:tc>
          <w:tcPr>
            <w:tcW w:w="296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90"/>
              </w:rPr>
              <w:t>Kazuo Okada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8"/>
        </w:trPr>
        <w:tc>
          <w:tcPr>
            <w:tcW w:w="1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840" w:type="dxa"/>
            <w:vAlign w:val="bottom"/>
          </w:tcPr>
          <w:p>
            <w:pPr>
              <w:spacing w:after="0"/>
              <w:rPr>
                <w:sz w:val="17"/>
                <w:szCs w:val="17"/>
                <w:color w:val="auto"/>
              </w:rPr>
            </w:pPr>
          </w:p>
        </w:tc>
        <w:tc>
          <w:tcPr>
            <w:tcW w:w="296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6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840" w:type="dxa"/>
            <w:vAlign w:val="bottom"/>
          </w:tcPr>
          <w:p>
            <w:pPr>
              <w:spacing w:after="0"/>
              <w:rPr>
                <w:sz w:val="17"/>
                <w:szCs w:val="17"/>
                <w:color w:val="auto"/>
              </w:rPr>
            </w:pPr>
          </w:p>
        </w:tc>
        <w:tc>
          <w:tcPr>
            <w:tcW w:w="2960" w:type="dxa"/>
            <w:vAlign w:val="bottom"/>
            <w:gridSpan w:val="3"/>
          </w:tcPr>
          <w:p>
            <w:pPr>
              <w:jc w:val="center"/>
              <w:ind w:right="1840"/>
              <w:spacing w:after="0"/>
              <w:rPr>
                <w:sz w:val="20"/>
                <w:szCs w:val="20"/>
                <w:color w:val="auto"/>
              </w:rPr>
            </w:pPr>
            <w:r>
              <w:rPr>
                <w:rFonts w:ascii="Arial" w:cs="Arial" w:eastAsia="Arial" w:hAnsi="Arial"/>
                <w:sz w:val="14"/>
                <w:szCs w:val="14"/>
                <w:b w:val="1"/>
                <w:bCs w:val="1"/>
                <w:color w:val="auto"/>
                <w:w w:val="89"/>
              </w:rPr>
              <w:t>Linda Chen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II-10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II-11</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-3754120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59" w:right="7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72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2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w w:val="98"/>
              </w:rPr>
              <w:t>Chairman of Board and Chief Executive Officer (Principal</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7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Executive Officer)</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Financial Officer and</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72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9"/>
              </w:rPr>
              <w:t>Treasurer (Principal Financial and Accounting Officer)</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7"/>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4800" w:type="dxa"/>
            <w:vAlign w:val="bottom"/>
            <w:tcBorders>
              <w:bottom w:val="single" w:sz="8" w:color="auto"/>
            </w:tcBorders>
            <w:gridSpan w:val="4"/>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Linda Chen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2"/>
              </w:rPr>
              <w:t>Robert J. Miller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John A. Moran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720" w:type="dxa"/>
            <w:vAlign w:val="bottom"/>
            <w:gridSpan w:val="3"/>
          </w:tcPr>
          <w:p>
            <w:pPr>
              <w:ind w:left="740"/>
              <w:spacing w:after="0"/>
              <w:rPr>
                <w:sz w:val="20"/>
                <w:szCs w:val="20"/>
                <w:color w:val="auto"/>
              </w:rPr>
            </w:pPr>
            <w:r>
              <w:rPr>
                <w:rFonts w:ascii="Arial" w:cs="Arial" w:eastAsia="Arial" w:hAnsi="Arial"/>
                <w:sz w:val="18"/>
                <w:szCs w:val="18"/>
                <w:color w:val="auto"/>
              </w:rPr>
              <w:t>II-12</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2440" w:type="dxa"/>
            <w:vAlign w:val="bottom"/>
            <w:gridSpan w:val="2"/>
          </w:tcPr>
          <w:p>
            <w:pPr>
              <w:ind w:left="216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12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5"/>
        </w:trPr>
        <w:tc>
          <w:tcPr>
            <w:tcW w:w="4800" w:type="dxa"/>
            <w:vAlign w:val="bottom"/>
            <w:tcBorders>
              <w:bottom w:val="single" w:sz="8" w:color="auto"/>
            </w:tcBorders>
            <w:gridSpan w:val="4"/>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Alvin V. Shoemaker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5"/>
              </w:rPr>
              <w:t>D. Boone Wayson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7"/>
              </w:rPr>
              <w:t>Elaine P. Wynn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1"/>
              </w:rPr>
              <w:t>Allan Zeman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419"/>
        </w:trPr>
        <w:tc>
          <w:tcPr>
            <w:tcW w:w="172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R</w:t>
            </w:r>
            <w:r>
              <w:rPr>
                <w:rFonts w:ascii="Arial" w:cs="Arial" w:eastAsia="Arial" w:hAnsi="Arial"/>
                <w:sz w:val="18"/>
                <w:szCs w:val="18"/>
                <w:color w:val="auto"/>
                <w:w w:val="97"/>
              </w:rPr>
              <w:t>. R</w:t>
            </w:r>
            <w:r>
              <w:rPr>
                <w:rFonts w:ascii="Arial" w:cs="Arial" w:eastAsia="Arial" w:hAnsi="Arial"/>
                <w:sz w:val="14"/>
                <w:szCs w:val="14"/>
                <w:color w:val="auto"/>
                <w:w w:val="97"/>
              </w:rPr>
              <w:t>AY</w:t>
            </w:r>
            <w:r>
              <w:rPr>
                <w:rFonts w:ascii="Arial" w:cs="Arial" w:eastAsia="Arial" w:hAnsi="Arial"/>
                <w:sz w:val="18"/>
                <w:szCs w:val="18"/>
                <w:color w:val="auto"/>
                <w:w w:val="97"/>
              </w:rPr>
              <w:t xml:space="preserve"> R. I</w:t>
            </w:r>
            <w:r>
              <w:rPr>
                <w:rFonts w:ascii="Arial" w:cs="Arial" w:eastAsia="Arial" w:hAnsi="Arial"/>
                <w:sz w:val="14"/>
                <w:szCs w:val="14"/>
                <w:color w:val="auto"/>
                <w:w w:val="97"/>
              </w:rPr>
              <w:t>RANI</w:t>
            </w:r>
          </w:p>
        </w:tc>
        <w:tc>
          <w:tcPr>
            <w:tcW w:w="244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169"/>
        </w:trPr>
        <w:tc>
          <w:tcPr>
            <w:tcW w:w="1720" w:type="dxa"/>
            <w:vAlign w:val="bottom"/>
          </w:tcPr>
          <w:p>
            <w:pPr>
              <w:spacing w:after="0"/>
              <w:rPr>
                <w:sz w:val="14"/>
                <w:szCs w:val="14"/>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3"/>
              </w:rPr>
              <w:t>Dr. Ray R. Irani</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50"/>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40" w:type="dxa"/>
            <w:vAlign w:val="bottom"/>
            <w:gridSpan w:val="2"/>
          </w:tcPr>
          <w:p>
            <w:pPr>
              <w:ind w:left="740"/>
              <w:spacing w:after="0"/>
              <w:rPr>
                <w:sz w:val="20"/>
                <w:szCs w:val="20"/>
                <w:color w:val="auto"/>
              </w:rPr>
            </w:pPr>
            <w:r>
              <w:rPr>
                <w:rFonts w:ascii="Arial" w:cs="Arial" w:eastAsia="Arial" w:hAnsi="Arial"/>
                <w:sz w:val="18"/>
                <w:szCs w:val="18"/>
                <w:color w:val="auto"/>
              </w:rPr>
              <w:t>II-13</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900"/>
          </w:cols>
          <w:pgMar w:left="240" w:top="459" w:right="7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II-14</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II-15</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-4165600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60" w:right="7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KEVYN,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II-16</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II-17</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-4166235</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60" w:right="7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II-18</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II-19</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-4166235</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60" w:right="7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SUNRISE,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II-20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II-21</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-4165600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59" w:right="7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SHOW PERFORMERS,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II-22</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II-23</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-4165600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59" w:right="7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Las Vegas, State of Nevada, on March 5, 2008.</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GOLF,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LAS VEGAS,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HOLDINGS, LLC,</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3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40"/>
              <w:spacing w:after="0"/>
              <w:rPr>
                <w:sz w:val="20"/>
                <w:szCs w:val="20"/>
                <w:color w:val="auto"/>
              </w:rPr>
            </w:pPr>
            <w:r>
              <w:rPr>
                <w:rFonts w:ascii="Arial" w:cs="Arial" w:eastAsia="Arial" w:hAnsi="Arial"/>
                <w:sz w:val="18"/>
                <w:szCs w:val="18"/>
                <w:color w:val="auto"/>
              </w:rPr>
              <w:t>WYNN RESORTS, LIMITED,</w:t>
            </w:r>
          </w:p>
        </w:tc>
      </w:tr>
      <w:tr>
        <w:trPr>
          <w:trHeight w:val="222"/>
        </w:trPr>
        <w:tc>
          <w:tcPr>
            <w:tcW w:w="500" w:type="dxa"/>
            <w:vAlign w:val="bottom"/>
          </w:tcPr>
          <w:p>
            <w:pPr>
              <w:spacing w:after="0"/>
              <w:rPr>
                <w:sz w:val="19"/>
                <w:szCs w:val="19"/>
                <w:color w:val="auto"/>
              </w:rPr>
            </w:pPr>
          </w:p>
        </w:tc>
        <w:tc>
          <w:tcPr>
            <w:tcW w:w="4060" w:type="dxa"/>
            <w:vAlign w:val="bottom"/>
          </w:tcPr>
          <w:p>
            <w:pPr>
              <w:ind w:left="40"/>
              <w:spacing w:after="0"/>
              <w:rPr>
                <w:sz w:val="20"/>
                <w:szCs w:val="20"/>
                <w:color w:val="auto"/>
              </w:rPr>
            </w:pPr>
            <w:r>
              <w:rPr>
                <w:rFonts w:ascii="Arial" w:cs="Arial" w:eastAsia="Arial" w:hAnsi="Arial"/>
                <w:sz w:val="18"/>
                <w:szCs w:val="18"/>
                <w:color w:val="auto"/>
              </w:rPr>
              <w:t>its sole member</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r>
      <w:tr>
        <w:trPr>
          <w:trHeight w:val="131"/>
        </w:trPr>
        <w:tc>
          <w:tcPr>
            <w:tcW w:w="500" w:type="dxa"/>
            <w:vAlign w:val="bottom"/>
          </w:tcPr>
          <w:p>
            <w:pPr>
              <w:spacing w:after="0" w:line="131"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540"/>
              <w:spacing w:after="0" w:line="131" w:lineRule="exact"/>
              <w:rPr>
                <w:sz w:val="20"/>
                <w:szCs w:val="20"/>
                <w:color w:val="auto"/>
              </w:rPr>
            </w:pPr>
            <w:r>
              <w:rPr>
                <w:rFonts w:ascii="Arial" w:cs="Arial" w:eastAsia="Arial" w:hAnsi="Arial"/>
                <w:sz w:val="14"/>
                <w:szCs w:val="14"/>
                <w:b w:val="1"/>
                <w:bCs w:val="1"/>
                <w:color w:val="auto"/>
              </w:rPr>
              <w:t>Stephen A. Wynn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1380"/>
              <w:spacing w:after="0"/>
              <w:rPr>
                <w:sz w:val="20"/>
                <w:szCs w:val="20"/>
                <w:color w:val="auto"/>
              </w:rPr>
            </w:pPr>
            <w:r>
              <w:rPr>
                <w:rFonts w:ascii="Arial" w:cs="Arial" w:eastAsia="Arial" w:hAnsi="Arial"/>
                <w:sz w:val="14"/>
                <w:szCs w:val="14"/>
                <w:b w:val="1"/>
                <w:bCs w:val="1"/>
                <w:color w:val="auto"/>
              </w:rPr>
              <w:t>Chief Executive Officer</w:t>
            </w: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person whose signature to this registration statement appears below hereby severally constitutes and appoints Stephen A. Wynn, Ronald J. Kramer, John Strzemp and Kim Sinatra, and each of them singly, as his true and lawful attorney-in-fact and agent with full power of substitution and resubstitution for him and in his name, place and stead, and in any and all capacities to sign any and all amendments (including pre-effective and post-effective amendments) to this registration statement, and to file the same with all exhibits thereto, and other documents in connection therewith, with the Securities and Exchange Commission, and hereby grants to each such attorney-in-fact and agent full power and authority to do and perform each and every act and thing requisite and necessary to be done, as fully to all intents and purposes as he might or could do in person, hereby ratifying and confirming all that said attorney-in-fact and agent, or his substitute or substitutes may lawfully do or cause to be done by virtue hereof. Pursuant to the requirements of the Securities Act of 1933, this registration statement has been signed by the following persons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76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4"/>
        </w:trPr>
        <w:tc>
          <w:tcPr>
            <w:tcW w:w="17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w w:val="99"/>
              </w:rPr>
              <w:t>Chairman of Board and Chief Executive Officer of Wynn</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Stephen A. Wynn</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Resorts, Limited (Principal Executive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S</w:t>
            </w:r>
            <w:r>
              <w:rPr>
                <w:rFonts w:ascii="Arial" w:cs="Arial" w:eastAsia="Arial" w:hAnsi="Arial"/>
                <w:sz w:val="14"/>
                <w:szCs w:val="14"/>
                <w:color w:val="auto"/>
                <w:w w:val="97"/>
              </w:rPr>
              <w:t>TRZEMP</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of Wynn Resorts, Limited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6"/>
              </w:rPr>
              <w:t>John Strzemp</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0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420" w:type="dxa"/>
            <w:vAlign w:val="bottom"/>
            <w:gridSpan w:val="3"/>
          </w:tcPr>
          <w:p>
            <w:pPr>
              <w:jc w:val="center"/>
              <w:ind w:left="312"/>
              <w:spacing w:after="0"/>
              <w:rPr>
                <w:sz w:val="20"/>
                <w:szCs w:val="20"/>
                <w:color w:val="auto"/>
              </w:rPr>
            </w:pPr>
            <w:r>
              <w:rPr>
                <w:rFonts w:ascii="Arial" w:cs="Arial" w:eastAsia="Arial" w:hAnsi="Arial"/>
                <w:sz w:val="18"/>
                <w:szCs w:val="18"/>
                <w:color w:val="auto"/>
                <w:w w:val="88"/>
              </w:rPr>
              <w:t>March 5, 2008</w:t>
            </w: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Kazuo Okada</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26"/>
        </w:trPr>
        <w:tc>
          <w:tcPr>
            <w:tcW w:w="1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Arial" w:cs="Arial" w:eastAsia="Arial" w:hAnsi="Arial"/>
                <w:sz w:val="18"/>
                <w:szCs w:val="18"/>
                <w:color w:val="auto"/>
              </w:rPr>
              <w:t>President and Director</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2"/>
        </w:trPr>
        <w:tc>
          <w:tcPr>
            <w:tcW w:w="1720" w:type="dxa"/>
            <w:vAlign w:val="bottom"/>
          </w:tcPr>
          <w:p>
            <w:pPr>
              <w:spacing w:after="0"/>
              <w:rPr>
                <w:sz w:val="17"/>
                <w:szCs w:val="17"/>
                <w:color w:val="auto"/>
              </w:rPr>
            </w:pPr>
          </w:p>
        </w:tc>
        <w:tc>
          <w:tcPr>
            <w:tcW w:w="30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91"/>
              </w:rPr>
              <w:t>Ronald J. Kramer</w:t>
            </w:r>
          </w:p>
        </w:tc>
        <w:tc>
          <w:tcPr>
            <w:tcW w:w="468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Wynn Resorts, Limited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358"/>
        </w:trPr>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80" w:type="dxa"/>
            <w:vAlign w:val="bottom"/>
            <w:gridSpan w:val="3"/>
          </w:tcPr>
          <w:p>
            <w:pPr>
              <w:ind w:left="740"/>
              <w:spacing w:after="0"/>
              <w:rPr>
                <w:sz w:val="20"/>
                <w:szCs w:val="20"/>
                <w:color w:val="auto"/>
              </w:rPr>
            </w:pPr>
            <w:r>
              <w:rPr>
                <w:rFonts w:ascii="Arial" w:cs="Arial" w:eastAsia="Arial" w:hAnsi="Arial"/>
                <w:sz w:val="18"/>
                <w:szCs w:val="18"/>
                <w:color w:val="auto"/>
              </w:rPr>
              <w:t>II-24</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4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2" w:lineRule="exact"/>
        <w:rPr>
          <w:sz w:val="20"/>
          <w:szCs w:val="20"/>
          <w:color w:val="auto"/>
        </w:rPr>
      </w:pPr>
    </w:p>
    <w:p>
      <w:pPr>
        <w:ind w:left="1620"/>
        <w:spacing w:after="0"/>
        <w:tabs>
          <w:tab w:leader="none" w:pos="19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4"/>
          <w:szCs w:val="14"/>
          <w:b w:val="1"/>
          <w:bCs w:val="1"/>
          <w:color w:val="auto"/>
        </w:rPr>
        <w:t>Linda Chen</w:t>
      </w:r>
    </w:p>
    <w:p>
      <w:pPr>
        <w:spacing w:after="0" w:line="262"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J. M</w:t>
      </w:r>
      <w:r>
        <w:rPr>
          <w:rFonts w:ascii="Arial" w:cs="Arial" w:eastAsia="Arial" w:hAnsi="Arial"/>
          <w:sz w:val="13"/>
          <w:szCs w:val="13"/>
          <w:color w:val="auto"/>
        </w:rPr>
        <w:t>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Robert J. Miller</w:t>
      </w:r>
    </w:p>
    <w:p>
      <w:pPr>
        <w:spacing w:after="0" w:line="262" w:lineRule="exact"/>
        <w:rPr>
          <w:sz w:val="20"/>
          <w:szCs w:val="20"/>
          <w:color w:val="auto"/>
        </w:rPr>
      </w:pPr>
    </w:p>
    <w:p>
      <w:pPr>
        <w:ind w:left="148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A. M</w:t>
      </w:r>
      <w:r>
        <w:rPr>
          <w:rFonts w:ascii="Arial" w:cs="Arial" w:eastAsia="Arial" w:hAnsi="Arial"/>
          <w:sz w:val="13"/>
          <w:szCs w:val="13"/>
          <w:color w:val="auto"/>
        </w:rPr>
        <w:t>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John A. Moran</w:t>
      </w:r>
    </w:p>
    <w:p>
      <w:pPr>
        <w:spacing w:after="0" w:line="262" w:lineRule="exact"/>
        <w:rPr>
          <w:sz w:val="20"/>
          <w:szCs w:val="20"/>
          <w:color w:val="auto"/>
        </w:rPr>
      </w:pPr>
    </w:p>
    <w:p>
      <w:pPr>
        <w:jc w:val="right"/>
        <w:ind w:right="1080"/>
        <w:spacing w:after="0"/>
        <w:tabs>
          <w:tab w:leader="none" w:pos="26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LVIN</w:t>
      </w:r>
      <w:r>
        <w:rPr>
          <w:rFonts w:ascii="Arial" w:cs="Arial" w:eastAsia="Arial" w:hAnsi="Arial"/>
          <w:sz w:val="16"/>
          <w:szCs w:val="16"/>
          <w:color w:val="auto"/>
        </w:rPr>
        <w:t xml:space="preserve"> V. S</w:t>
      </w:r>
      <w:r>
        <w:rPr>
          <w:rFonts w:ascii="Arial" w:cs="Arial" w:eastAsia="Arial" w:hAnsi="Arial"/>
          <w:sz w:val="13"/>
          <w:szCs w:val="13"/>
          <w:color w:val="auto"/>
        </w:rPr>
        <w:t>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b w:val="1"/>
          <w:bCs w:val="1"/>
          <w:color w:val="auto"/>
        </w:rPr>
        <w:t>Alvin V. Shoemaker</w:t>
      </w:r>
    </w:p>
    <w:p>
      <w:pPr>
        <w:spacing w:after="0" w:line="262" w:lineRule="exact"/>
        <w:rPr>
          <w:sz w:val="20"/>
          <w:szCs w:val="20"/>
          <w:color w:val="auto"/>
        </w:rPr>
      </w:pPr>
    </w:p>
    <w:p>
      <w:pPr>
        <w:ind w:left="1360"/>
        <w:spacing w:after="0"/>
        <w:tabs>
          <w:tab w:leader="none" w:pos="17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 B</w:t>
      </w:r>
      <w:r>
        <w:rPr>
          <w:rFonts w:ascii="Arial" w:cs="Arial" w:eastAsia="Arial" w:hAnsi="Arial"/>
          <w:sz w:val="13"/>
          <w:szCs w:val="13"/>
          <w:color w:val="auto"/>
        </w:rPr>
        <w:t>OONE</w:t>
      </w:r>
      <w:r>
        <w:rPr>
          <w:rFonts w:ascii="Arial" w:cs="Arial" w:eastAsia="Arial" w:hAnsi="Arial"/>
          <w:sz w:val="16"/>
          <w:szCs w:val="16"/>
          <w:color w:val="auto"/>
        </w:rPr>
        <w:t xml:space="preserve"> W</w:t>
      </w:r>
      <w:r>
        <w:rPr>
          <w:rFonts w:ascii="Arial" w:cs="Arial" w:eastAsia="Arial" w:hAnsi="Arial"/>
          <w:sz w:val="13"/>
          <w:szCs w:val="13"/>
          <w:color w:val="auto"/>
        </w:rPr>
        <w:t>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4"/>
          <w:szCs w:val="14"/>
          <w:b w:val="1"/>
          <w:bCs w:val="1"/>
          <w:color w:val="auto"/>
        </w:rPr>
        <w:t>D. Boone Wayson</w:t>
      </w:r>
    </w:p>
    <w:p>
      <w:pPr>
        <w:spacing w:after="0" w:line="262"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LAINE</w:t>
      </w:r>
      <w:r>
        <w:rPr>
          <w:rFonts w:ascii="Arial" w:cs="Arial" w:eastAsia="Arial" w:hAnsi="Arial"/>
          <w:sz w:val="16"/>
          <w:szCs w:val="16"/>
          <w:color w:val="auto"/>
        </w:rPr>
        <w:t xml:space="preserve"> P.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b w:val="1"/>
          <w:bCs w:val="1"/>
          <w:color w:val="auto"/>
        </w:rPr>
        <w:t>Elaine P. Wynn</w:t>
      </w:r>
    </w:p>
    <w:p>
      <w:pPr>
        <w:spacing w:after="0" w:line="262" w:lineRule="exact"/>
        <w:rPr>
          <w:sz w:val="20"/>
          <w:szCs w:val="20"/>
          <w:color w:val="auto"/>
        </w:rPr>
      </w:pPr>
    </w:p>
    <w:p>
      <w:pPr>
        <w:ind w:left="1540"/>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4"/>
          <w:szCs w:val="14"/>
          <w:b w:val="1"/>
          <w:bCs w:val="1"/>
          <w:color w:val="auto"/>
        </w:rPr>
        <w:t>Allan Zeman</w:t>
      </w:r>
    </w:p>
    <w:p>
      <w:pPr>
        <w:spacing w:after="0" w:line="262" w:lineRule="exact"/>
        <w:rPr>
          <w:sz w:val="20"/>
          <w:szCs w:val="20"/>
          <w:color w:val="auto"/>
        </w:rPr>
      </w:pPr>
    </w:p>
    <w:p>
      <w:pPr>
        <w:ind w:left="1440"/>
        <w:spacing w:after="0"/>
        <w:tabs>
          <w:tab w:leader="none" w:pos="17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R</w:t>
      </w:r>
      <w:r>
        <w:rPr>
          <w:rFonts w:ascii="Arial" w:cs="Arial" w:eastAsia="Arial" w:hAnsi="Arial"/>
          <w:sz w:val="16"/>
          <w:szCs w:val="16"/>
          <w:color w:val="auto"/>
        </w:rPr>
        <w:t>. R</w:t>
      </w:r>
      <w:r>
        <w:rPr>
          <w:rFonts w:ascii="Arial" w:cs="Arial" w:eastAsia="Arial" w:hAnsi="Arial"/>
          <w:sz w:val="13"/>
          <w:szCs w:val="13"/>
          <w:color w:val="auto"/>
        </w:rPr>
        <w:t>AY</w:t>
      </w:r>
      <w:r>
        <w:rPr>
          <w:rFonts w:ascii="Arial" w:cs="Arial" w:eastAsia="Arial" w:hAnsi="Arial"/>
          <w:sz w:val="16"/>
          <w:szCs w:val="16"/>
          <w:color w:val="auto"/>
        </w:rPr>
        <w:t xml:space="preserve"> R. I</w:t>
      </w:r>
      <w:r>
        <w:rPr>
          <w:rFonts w:ascii="Arial" w:cs="Arial" w:eastAsia="Arial" w:hAnsi="Arial"/>
          <w:sz w:val="13"/>
          <w:szCs w:val="13"/>
          <w:color w:val="auto"/>
        </w:rPr>
        <w:t>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0441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Dr. Ray R. Irani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ind w:left="1920"/>
              <w:spacing w:after="0"/>
              <w:rPr>
                <w:sz w:val="20"/>
                <w:szCs w:val="20"/>
                <w:color w:val="auto"/>
              </w:rPr>
            </w:pPr>
            <w:r>
              <w:rPr>
                <w:rFonts w:ascii="Arial" w:cs="Arial" w:eastAsia="Arial" w:hAnsi="Arial"/>
                <w:sz w:val="14"/>
                <w:szCs w:val="14"/>
                <w:b w:val="1"/>
                <w:bCs w:val="1"/>
                <w:color w:val="auto"/>
                <w:w w:val="90"/>
              </w:rPr>
              <w:t>Title</w:t>
            </w:r>
          </w:p>
        </w:tc>
        <w:tc>
          <w:tcPr>
            <w:tcW w:w="300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7"/>
        </w:trPr>
        <w:tc>
          <w:tcPr>
            <w:tcW w:w="1920" w:type="dxa"/>
            <w:vAlign w:val="bottom"/>
          </w:tcPr>
          <w:p>
            <w:pPr>
              <w:spacing w:after="0"/>
              <w:rPr>
                <w:sz w:val="20"/>
                <w:szCs w:val="20"/>
                <w:color w:val="auto"/>
              </w:rPr>
            </w:pPr>
            <w:r>
              <w:rPr>
                <w:rFonts w:ascii="Arial" w:cs="Arial" w:eastAsia="Arial" w:hAnsi="Arial"/>
                <w:sz w:val="18"/>
                <w:szCs w:val="18"/>
                <w:color w:val="auto"/>
              </w:rPr>
              <w:t>Director</w:t>
            </w:r>
          </w:p>
        </w:tc>
        <w:tc>
          <w:tcPr>
            <w:tcW w:w="280" w:type="dxa"/>
            <w:vAlign w:val="bottom"/>
          </w:tcPr>
          <w:p>
            <w:pPr>
              <w:spacing w:after="0"/>
              <w:rPr>
                <w:sz w:val="24"/>
                <w:szCs w:val="24"/>
                <w:color w:val="auto"/>
              </w:rPr>
            </w:pP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6"/>
        </w:trPr>
        <w:tc>
          <w:tcPr>
            <w:tcW w:w="2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60" w:type="dxa"/>
            <w:vAlign w:val="bottom"/>
            <w:gridSpan w:val="3"/>
          </w:tcPr>
          <w:p>
            <w:pPr>
              <w:jc w:val="center"/>
              <w:ind w:left="2552"/>
              <w:spacing w:after="0"/>
              <w:rPr>
                <w:sz w:val="20"/>
                <w:szCs w:val="20"/>
                <w:color w:val="auto"/>
              </w:rPr>
            </w:pPr>
            <w:r>
              <w:rPr>
                <w:rFonts w:ascii="Arial" w:cs="Arial" w:eastAsia="Arial" w:hAnsi="Arial"/>
                <w:sz w:val="18"/>
                <w:szCs w:val="18"/>
                <w:color w:val="auto"/>
                <w:w w:val="88"/>
              </w:rPr>
              <w:t>March 5, 2008</w:t>
            </w:r>
          </w:p>
        </w:tc>
      </w:tr>
      <w:tr>
        <w:trPr>
          <w:trHeight w:val="222"/>
        </w:trPr>
        <w:tc>
          <w:tcPr>
            <w:tcW w:w="2200" w:type="dxa"/>
            <w:vAlign w:val="bottom"/>
            <w:gridSpan w:val="2"/>
          </w:tcPr>
          <w:p>
            <w:pPr>
              <w:ind w:left="200"/>
              <w:spacing w:after="0"/>
              <w:rPr>
                <w:sz w:val="20"/>
                <w:szCs w:val="20"/>
                <w:color w:val="auto"/>
              </w:rPr>
            </w:pPr>
            <w:r>
              <w:rPr>
                <w:rFonts w:ascii="Arial" w:cs="Arial" w:eastAsia="Arial" w:hAnsi="Arial"/>
                <w:sz w:val="18"/>
                <w:szCs w:val="18"/>
                <w:color w:val="auto"/>
              </w:rPr>
              <w:t>Wynn Resorts, Limited</w:t>
            </w: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2200" w:type="dxa"/>
            <w:vAlign w:val="bottom"/>
            <w:gridSpan w:val="2"/>
          </w:tcPr>
          <w:p>
            <w:pPr>
              <w:ind w:left="500"/>
              <w:spacing w:after="0"/>
              <w:rPr>
                <w:sz w:val="20"/>
                <w:szCs w:val="20"/>
                <w:color w:val="auto"/>
              </w:rPr>
            </w:pPr>
            <w:r>
              <w:rPr>
                <w:rFonts w:ascii="Arial" w:cs="Arial" w:eastAsia="Arial" w:hAnsi="Arial"/>
                <w:sz w:val="18"/>
                <w:szCs w:val="18"/>
                <w:color w:val="auto"/>
              </w:rPr>
              <w:t>II-25</w:t>
            </w:r>
          </w:p>
        </w:tc>
        <w:tc>
          <w:tcPr>
            <w:tcW w:w="3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-4166235</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4320" w:space="720"/>
            <w:col w:w="5860"/>
          </w:cols>
          <w:pgMar w:left="240" w:top="460" w:right="7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43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53"/>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vMerge w:val="restart"/>
          </w:tcPr>
          <w:p>
            <w:pPr>
              <w:ind w:left="580"/>
              <w:spacing w:after="0"/>
              <w:rPr>
                <w:sz w:val="20"/>
                <w:szCs w:val="20"/>
                <w:color w:val="auto"/>
              </w:rPr>
            </w:pPr>
            <w:r>
              <w:rPr>
                <w:rFonts w:ascii="Arial" w:cs="Arial" w:eastAsia="Arial" w:hAnsi="Arial"/>
                <w:sz w:val="18"/>
                <w:szCs w:val="18"/>
                <w:color w:val="auto"/>
                <w:w w:val="87"/>
              </w:rPr>
              <w:t>Second Amended and Restated Articles of Organization of Wynn Las</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rPr>
              <w:t>3.1</w:t>
            </w:r>
          </w:p>
        </w:tc>
        <w:tc>
          <w:tcPr>
            <w:tcW w:w="5420" w:type="dxa"/>
            <w:vAlign w:val="bottom"/>
            <w:vMerge w:val="continue"/>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Arial" w:cs="Arial" w:eastAsia="Arial" w:hAnsi="Arial"/>
                <w:sz w:val="18"/>
                <w:szCs w:val="18"/>
                <w:color w:val="auto"/>
              </w:rPr>
              <w:t>Vegas, LLC. (1)</w:t>
            </w:r>
          </w:p>
        </w:tc>
        <w:tc>
          <w:tcPr>
            <w:tcW w:w="0" w:type="dxa"/>
            <w:vAlign w:val="bottom"/>
          </w:tcPr>
          <w:p>
            <w:pPr>
              <w:spacing w:after="0"/>
              <w:rPr>
                <w:sz w:val="1"/>
                <w:szCs w:val="1"/>
                <w:color w:val="auto"/>
              </w:rPr>
            </w:pPr>
          </w:p>
        </w:tc>
      </w:tr>
      <w:tr>
        <w:trPr>
          <w:trHeight w:val="316"/>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Kevyn, LLC. (2)</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3.9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Operating Agreement of Kevyn, LLC. (2)</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3.10</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Amended and Restated Articles of Organization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Golf,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Las Vegas Jet,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Articles of Organization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Sunrise,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3.16</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Organization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3.17</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Operating Agreement of World Travel,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3.18</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c>
          <w:tcPr>
            <w:tcW w:w="0" w:type="dxa"/>
            <w:vAlign w:val="bottom"/>
          </w:tcPr>
          <w:p>
            <w:pPr>
              <w:spacing w:after="0"/>
              <w:rPr>
                <w:sz w:val="1"/>
                <w:szCs w:val="1"/>
                <w:color w:val="auto"/>
              </w:rPr>
            </w:pPr>
          </w:p>
        </w:tc>
      </w:tr>
      <w:tr>
        <w:trPr>
          <w:trHeight w:val="324"/>
        </w:trPr>
        <w:tc>
          <w:tcPr>
            <w:tcW w:w="460" w:type="dxa"/>
            <w:vAlign w:val="bottom"/>
            <w:gridSpan w:val="2"/>
          </w:tcPr>
          <w:p>
            <w:pPr>
              <w:ind w:left="140"/>
              <w:spacing w:after="0"/>
              <w:rPr>
                <w:sz w:val="20"/>
                <w:szCs w:val="20"/>
                <w:color w:val="auto"/>
              </w:rPr>
            </w:pPr>
            <w:r>
              <w:rPr>
                <w:rFonts w:ascii="Arial" w:cs="Arial" w:eastAsia="Arial" w:hAnsi="Arial"/>
                <w:sz w:val="18"/>
                <w:szCs w:val="18"/>
                <w:color w:val="auto"/>
                <w:w w:val="85"/>
              </w:rPr>
              <w:t>3.19</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First Amended and Restated Operating Agreement of Wynn Show Performers, LLC. (1)</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7"/>
              </w:rPr>
              <w:t>Indenture, dated as of December 14, 2004, among Wynn Las Vegas, LLC, Wynn Las Vegas Capital Corp., the Guarantors set forth therein and U.S.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December 14, 2004, among Wynn Las Vegas, LLC, Wynn Las Vegas Capital Corp., the Guarantors set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forth therein and Wells Fargo Bank, National Association, as trustee. (3)</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4.3</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9"/>
              </w:rPr>
              <w:t>First Supplemental Indenture, dated as of June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(4)</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4.4</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Second Supplemental Indenture, dated as of July 29, 2005, among Wynn Las Vegas, LLC, Wynn Las Vegas Capital Corp., the Guarantors set forth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therein and U.S. Bank National Association, as trustee. (2)</w:t>
            </w:r>
          </w:p>
        </w:tc>
        <w:tc>
          <w:tcPr>
            <w:tcW w:w="0" w:type="dxa"/>
            <w:vAlign w:val="bottom"/>
          </w:tcPr>
          <w:p>
            <w:pPr>
              <w:spacing w:after="0"/>
              <w:rPr>
                <w:sz w:val="1"/>
                <w:szCs w:val="1"/>
                <w:color w:val="auto"/>
              </w:rPr>
            </w:pPr>
          </w:p>
        </w:tc>
      </w:tr>
      <w:tr>
        <w:trPr>
          <w:trHeight w:val="318"/>
        </w:trPr>
        <w:tc>
          <w:tcPr>
            <w:tcW w:w="460" w:type="dxa"/>
            <w:vAlign w:val="bottom"/>
            <w:gridSpan w:val="2"/>
          </w:tcPr>
          <w:p>
            <w:pPr>
              <w:ind w:left="140"/>
              <w:spacing w:after="0"/>
              <w:rPr>
                <w:sz w:val="20"/>
                <w:szCs w:val="20"/>
                <w:color w:val="auto"/>
              </w:rPr>
            </w:pPr>
            <w:r>
              <w:rPr>
                <w:rFonts w:ascii="Arial" w:cs="Arial" w:eastAsia="Arial" w:hAnsi="Arial"/>
                <w:sz w:val="18"/>
                <w:szCs w:val="18"/>
                <w:color w:val="auto"/>
              </w:rPr>
              <w:t>4.5</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Inc. and SG Americas Securities, LLC. (5)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Exhibit</w:t>
            </w:r>
          </w:p>
        </w:tc>
        <w:tc>
          <w:tcPr>
            <w:tcW w:w="5100" w:type="dxa"/>
            <w:vAlign w:val="bottom"/>
          </w:tcPr>
          <w:p>
            <w:pPr>
              <w:spacing w:after="0"/>
              <w:rPr>
                <w:sz w:val="14"/>
                <w:szCs w:val="14"/>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vMerge w:val="restart"/>
          </w:tcPr>
          <w:p>
            <w:pPr>
              <w:spacing w:after="0"/>
              <w:rPr>
                <w:sz w:val="20"/>
                <w:szCs w:val="20"/>
                <w:color w:val="auto"/>
              </w:rPr>
            </w:pPr>
            <w:r>
              <w:rPr>
                <w:rFonts w:ascii="Arial" w:cs="Arial" w:eastAsia="Arial" w:hAnsi="Arial"/>
                <w:sz w:val="18"/>
                <w:szCs w:val="18"/>
                <w:color w:val="auto"/>
              </w:rPr>
              <w:t>Wynn Las Vegas, LLC, Wynn Las Vegas Capital Corp., the</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c>
          <w:tcPr>
            <w:tcW w:w="580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88"/>
              </w:rPr>
              <w:t>Registration Rights Agreement, dated as of November 6, 2007, by and among</w:t>
            </w:r>
          </w:p>
        </w:tc>
        <w:tc>
          <w:tcPr>
            <w:tcW w:w="4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guarantors party thereto, Deutsche Bank Securities Inc. and Banc of America Securities LLC. (6)</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Opinion of Skadden, Arps, Slate, Meagher &amp; Flom LLP. (7)</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Opinion of Brownstein Hyatt Farber Schreck, LLP (7)</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Master Disbursement Agreement, dated as of December 14, 2004, among Wynn Las Vegas, LLC, Wynn Las Vegas Capital Corp.,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Trust Company Americas and U.S. Bank National Association. (3)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3"/>
              </w:rPr>
              <w:t>First Amendment to Master Disbursement Agreement, dated April 26, 2005, among Wynn Las Vegas, LLC, Deutsche Bank Trust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Americas, as bank agent and Deutsche Bank Trust Company Americas, as disbursement agent. (8)</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Americas. (9)</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Third Amendment to Master Disbursement Agreement, dated as of March 15, 2006, between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Americas. (10)</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Fourth Amendment to Master Disbursement Agreement, dated as of August 15, 2006, among Wynn Las Vegas, LLC and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Company America, as both agent and disbursement agent. (11)</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Fifth Amendment to Master Disbursement Agreement, dated as of April 9, 2007 among Wynn Las Vegas, LLC and Deutsche Bank Trust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Americas. (12)</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(13)</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Agent. (14)</w:t>
            </w:r>
          </w:p>
        </w:tc>
        <w:tc>
          <w:tcPr>
            <w:tcW w:w="0" w:type="dxa"/>
            <w:vAlign w:val="bottom"/>
          </w:tcPr>
          <w:p>
            <w:pPr>
              <w:spacing w:after="0"/>
              <w:rPr>
                <w:sz w:val="1"/>
                <w:szCs w:val="1"/>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8"/>
              </w:rPr>
              <w:t>LLC, Deutsche Bank Trust Company Americas, as the Bank Agent, and Deutsche Bank Trust Company Americas, as the Disbursement Agent. (6)</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10.10</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5"/>
              </w:rPr>
              <w:t>owner trustee, and World Travel, LLC; and accepted and agreed to by Bank of America, N.A., as lender and Wells Fargo Bank, National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Association, not in its individual capacity but solely as collateral agent. (15)</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10.11</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 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1"/>
              </w:rPr>
              <w:t>owner trustee, and World Travel, LLC; and accepted and agreed to by The CIT Group / Equipment Financing, Inc., as lender and Wells Fargo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rPr>
              <w:t>Bank, National Association, not in its individual capacity but solely as collateral agent. (15)</w:t>
            </w:r>
          </w:p>
        </w:tc>
        <w:tc>
          <w:tcPr>
            <w:tcW w:w="0" w:type="dxa"/>
            <w:vAlign w:val="bottom"/>
          </w:tcPr>
          <w:p>
            <w:pPr>
              <w:spacing w:after="0"/>
              <w:rPr>
                <w:sz w:val="1"/>
                <w:szCs w:val="1"/>
                <w:color w:val="auto"/>
              </w:rPr>
            </w:pPr>
          </w:p>
        </w:tc>
      </w:tr>
      <w:tr>
        <w:trPr>
          <w:trHeight w:val="318"/>
        </w:trPr>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10.12</w:t>
            </w: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Aircraft Security Agreement, dated May 24, 2005, between Wells Fargo Northwest, National Association, not in its individual capacity but solely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20" w:type="dxa"/>
            <w:vAlign w:val="bottom"/>
            <w:gridSpan w:val="3"/>
          </w:tcPr>
          <w:p>
            <w:pPr>
              <w:ind w:left="260"/>
              <w:spacing w:after="0"/>
              <w:rPr>
                <w:sz w:val="20"/>
                <w:szCs w:val="20"/>
                <w:color w:val="auto"/>
              </w:rPr>
            </w:pPr>
            <w:r>
              <w:rPr>
                <w:rFonts w:ascii="Arial" w:cs="Arial" w:eastAsia="Arial" w:hAnsi="Arial"/>
                <w:sz w:val="18"/>
                <w:szCs w:val="18"/>
                <w:color w:val="auto"/>
                <w:w w:val="90"/>
              </w:rPr>
              <w:t>as owner trustee, World Travel, LLC and Wells Fargo Bank, National Association, not in its individual capacity but solely as collateral agent. (15)</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9"/>
              </w:rPr>
              <w:t>Exhibit</w:t>
            </w:r>
          </w:p>
        </w:tc>
        <w:tc>
          <w:tcPr>
            <w:tcW w:w="5080" w:type="dxa"/>
            <w:vAlign w:val="bottom"/>
          </w:tcPr>
          <w:p>
            <w:pPr>
              <w:spacing w:after="0"/>
              <w:rPr>
                <w:sz w:val="14"/>
                <w:szCs w:val="14"/>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20" w:type="dxa"/>
            <w:vAlign w:val="bottom"/>
            <w:vMerge w:val="restart"/>
          </w:tcPr>
          <w:p>
            <w:pPr>
              <w:ind w:left="20"/>
              <w:spacing w:after="0"/>
              <w:rPr>
                <w:sz w:val="20"/>
                <w:szCs w:val="20"/>
                <w:color w:val="auto"/>
              </w:rPr>
            </w:pPr>
            <w:r>
              <w:rPr>
                <w:rFonts w:ascii="Arial" w:cs="Arial" w:eastAsia="Arial" w:hAnsi="Arial"/>
                <w:sz w:val="18"/>
                <w:szCs w:val="18"/>
                <w:color w:val="auto"/>
                <w:w w:val="94"/>
              </w:rPr>
              <w:t>Group / Equipment Financing, Inc., Bank of America, N.A. and</w:t>
            </w: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10.13</w:t>
            </w:r>
          </w:p>
        </w:tc>
        <w:tc>
          <w:tcPr>
            <w:tcW w:w="5780" w:type="dxa"/>
            <w:vAlign w:val="bottom"/>
            <w:gridSpan w:val="2"/>
          </w:tcPr>
          <w:p>
            <w:pPr>
              <w:ind w:left="300"/>
              <w:spacing w:after="0" w:line="201" w:lineRule="exact"/>
              <w:rPr>
                <w:sz w:val="20"/>
                <w:szCs w:val="20"/>
                <w:color w:val="auto"/>
              </w:rPr>
            </w:pPr>
            <w:r>
              <w:rPr>
                <w:rFonts w:ascii="Arial" w:cs="Arial" w:eastAsia="Arial" w:hAnsi="Arial"/>
                <w:sz w:val="18"/>
                <w:szCs w:val="18"/>
                <w:color w:val="auto"/>
                <w:w w:val="89"/>
              </w:rPr>
              <w:t>Guaranty, dated May 24, 2005, by Wynn Las Vegas, LLC in favor of The CIT</w:t>
            </w:r>
          </w:p>
        </w:tc>
        <w:tc>
          <w:tcPr>
            <w:tcW w:w="4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(15)</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10.14</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(16)</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10.15</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Fourth Amended and Restated Art Rental and Licensing Agreement, dated as of June 30, 2005, between Stephen A. Wynn, as lessor, Wynn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Gallery, LLC, as lessee. (16)</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10.16</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Lump Sum Agreement, by and between Wynn Las Vegas, LLC and Wadsworth Golf Construction Company, effective as of February 18, 2003.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80" w:type="dxa"/>
            <w:vAlign w:val="bottom"/>
          </w:tcPr>
          <w:p>
            <w:pPr>
              <w:ind w:left="30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10.17</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Completion Guaranty, dated December 14, 2004, by Wynn Completion Guarantor, LLC in favor of Deutsche Bank Trust Company Americas,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the Bank Agent, and U.S. Bank National Association, as Indenture Trustee. (5)</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10.18</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(18)</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10.19</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 (18)</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10.20</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the lenders named therein. (19)</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10.21</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Third Amended and Restated Art Rental and Licensing Agreement, dated as of August 6, 2004, by and between Stephen A. Wynn and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Vegas, LLC. (20)</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10.22</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Las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Vegas, 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10.23</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7"/>
              </w:rPr>
              <w:t>Deed of Trust, Assignment of Rents and Leases, Security Agreement and Fixture Filing, dated as of December 14, 2004, made by Wynn Sunrise,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10.24</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Golf,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10.25</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1"/>
              </w:rPr>
              <w:t>Guarantee and Collateral Agreement, dated as of December 14, 2004, made by Wynn Resorts Holdings, LLC, Wynn Las Vegas, LLC,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Show Performers, LLC, Wynn Las Vegas Capital Corp., Wynn Golf, LLC, World Travel, LLC, Las Vegas Jet, LLC, Wynn Sunrise, LLC and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other Grantors from time to time party thereto in favor of Deutsche Bank Trust Company Americas, as administrative agent. (5)</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10.26</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88"/>
              </w:rPr>
              <w:t>Intercreditor Agreement, dated as of December 14, 2004, among Deutsche Bank Trust Company Americas, as bank agent, Deutsche Bank 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10.27</w:t>
            </w: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Pledge and Security Agreement, dated as of December 14, 2004, made by Wynn Resorts Holdings, LLC, Wynn Las Vegas, LLC, Wynn Show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w w:val="90"/>
              </w:rPr>
              <w:t>Performers, LLC, Wynn Las Vegas Capital Corp., Wynn Golf, LLC, World Travel, LLC, Las Vegas Jet, LLC, Wynn Sunrise, LLC and the other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500" w:type="dxa"/>
            <w:vAlign w:val="bottom"/>
            <w:gridSpan w:val="3"/>
          </w:tcPr>
          <w:p>
            <w:pPr>
              <w:ind w:left="30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(5)</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100" w:type="dxa"/>
            <w:vAlign w:val="bottom"/>
          </w:tcPr>
          <w:p>
            <w:pPr>
              <w:spacing w:after="0"/>
              <w:rPr>
                <w:sz w:val="14"/>
                <w:szCs w:val="14"/>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75"/>
              </w:rPr>
              <w:t>10.28</w:t>
            </w:r>
          </w:p>
        </w:tc>
        <w:tc>
          <w:tcPr>
            <w:tcW w:w="320" w:type="dxa"/>
            <w:vAlign w:val="bottom"/>
          </w:tcPr>
          <w:p>
            <w:pPr>
              <w:spacing w:after="0"/>
              <w:rPr>
                <w:sz w:val="17"/>
                <w:szCs w:val="17"/>
                <w:color w:val="auto"/>
              </w:rPr>
            </w:pPr>
          </w:p>
        </w:tc>
        <w:tc>
          <w:tcPr>
            <w:tcW w:w="5100" w:type="dxa"/>
            <w:vAlign w:val="bottom"/>
          </w:tcPr>
          <w:p>
            <w:pPr>
              <w:ind w:left="260"/>
              <w:spacing w:after="0" w:line="201" w:lineRule="exact"/>
              <w:rPr>
                <w:sz w:val="20"/>
                <w:szCs w:val="20"/>
                <w:color w:val="auto"/>
              </w:rPr>
            </w:pPr>
            <w:r>
              <w:rPr>
                <w:rFonts w:ascii="Arial" w:cs="Arial" w:eastAsia="Arial" w:hAnsi="Arial"/>
                <w:sz w:val="18"/>
                <w:szCs w:val="18"/>
                <w:color w:val="auto"/>
                <w:w w:val="88"/>
              </w:rPr>
              <w:t>Management Fees Subordination Agreement, dated as of December</w:t>
            </w: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14, 2004,</w:t>
            </w:r>
          </w:p>
        </w:tc>
        <w:tc>
          <w:tcPr>
            <w:tcW w:w="4840" w:type="dxa"/>
            <w:vAlign w:val="bottom"/>
          </w:tcPr>
          <w:p>
            <w:pPr>
              <w:spacing w:after="0" w:line="201" w:lineRule="exact"/>
              <w:rPr>
                <w:sz w:val="20"/>
                <w:szCs w:val="20"/>
                <w:color w:val="auto"/>
              </w:rPr>
            </w:pPr>
            <w:r>
              <w:rPr>
                <w:rFonts w:ascii="Arial" w:cs="Arial" w:eastAsia="Arial" w:hAnsi="Arial"/>
                <w:sz w:val="18"/>
                <w:szCs w:val="18"/>
                <w:color w:val="auto"/>
                <w:w w:val="89"/>
              </w:rPr>
              <w:t>by Wynn Resorts, Limited, Wynn Las Vegas, LLC,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Capital Corp., and those subsidiaries of Wynn Las Vegas, LLC listed on Exhibit A hereto in favor of Deutsche Bank Trust Company Americas,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administrative agent, and U.S. Bank National Association, as trustee.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10.29</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10.30</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 and Wells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Fargo Bank, National Association, as Trustee.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10.31</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Amended and Restated Project Administration Services Agreement, dated December 14, 2004, between Wynn Las Vegas, LLC and Wynn Design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&amp; Development, LLC. (5)</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10.32</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2"/>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Wynn Las Vegas, LLC. (5)</w:t>
            </w:r>
          </w:p>
        </w:tc>
      </w:tr>
      <w:tr>
        <w:trPr>
          <w:trHeight w:val="32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10.33</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August 31, 2005 by and between Wynn Las Vegas, LLC and Andrew Pascal. (21)</w:t>
            </w:r>
          </w:p>
        </w:tc>
      </w:tr>
      <w:tr>
        <w:trPr>
          <w:trHeight w:val="32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10.34</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 (1)</w:t>
            </w:r>
          </w:p>
        </w:tc>
      </w:tr>
      <w:tr>
        <w:trPr>
          <w:trHeight w:val="32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10.35</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First Amendment to Employment Agreement, dated October 20, 2003, by and between Wynn Las Vegas, LLC and David Sisk. (1)</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10.36</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7"/>
              </w:rPr>
              <w:t>Amended and Restated Credit Agreement, dated as of August 15, 2006 among Wynn Las Vegas, LLC, as the Borrower, several lenders and agents,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and Deutsche Bank Trust Company Americas, as Administrative Agent. (11)</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10.37</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First Amendment to Amended and Restated Credit Agreement dated April 9, 2007 among Wynn Las Vegas, LLC, Wynn Las Vegas Capital Corp.,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Wynn Show Performers, LLC, Wynn Golf, LLC, Wynn Sunrise, LLC, World Travel, LLC, Kevyn, LLC, Las Vegas Jet, LLC, and Deutsche Bank</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9"/>
              </w:rPr>
              <w:t>Trust Company Americas, as Administrative Agent on behalf of the several banks and other financial institutions or entities from time to time party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to Wynn Las Vegas LLC’s Amended and Restated Credit Agreement, dated as of August 15, 2006. (12)</w:t>
            </w:r>
          </w:p>
        </w:tc>
      </w:tr>
      <w:tr>
        <w:trPr>
          <w:trHeight w:val="318"/>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10.38</w:t>
            </w: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88"/>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1"/>
              </w:rPr>
              <w:t>Corp., Wynn Show Performers, LLC, Wynn Golf, LLC, Wynn Sunrise, LLC, World Travel, LLC, Kevyn, LLC, Las Vegas Jet, LLC,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4"/>
              </w:rPr>
              <w:t>Holdings, LLC, Wynn Completion Guarantors, LLC and Deutsche Bank Trust Company Americas, as Administrative Agent on behalf of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w w:val="95"/>
              </w:rPr>
              <w:t>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Agreement, dated as of August 15, 2006. (14)</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12.1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Statements re Computation of Ratios.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21.1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Subsidiaries of the Registrant.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Ernst &amp; Young LLP.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23.2</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Deloitte &amp; Touche LLP.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Skadden, Arps, Slate, Meagher &amp; Flom LLP (included in Exhibit 5.1).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23.4</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Consent of Brownstein Hyatt Farber Schreck, LLP (included in Exhibit 5.2). (7)</w:t>
            </w:r>
          </w:p>
        </w:tc>
      </w:tr>
      <w:tr>
        <w:trPr>
          <w:trHeight w:val="324"/>
        </w:trPr>
        <w:tc>
          <w:tcPr>
            <w:tcW w:w="460" w:type="dxa"/>
            <w:vAlign w:val="bottom"/>
            <w:gridSpan w:val="2"/>
          </w:tcPr>
          <w:p>
            <w:pPr>
              <w:ind w:left="100"/>
              <w:spacing w:after="0"/>
              <w:rPr>
                <w:sz w:val="20"/>
                <w:szCs w:val="20"/>
                <w:color w:val="auto"/>
              </w:rPr>
            </w:pPr>
            <w:r>
              <w:rPr>
                <w:rFonts w:ascii="Arial" w:cs="Arial" w:eastAsia="Arial" w:hAnsi="Arial"/>
                <w:sz w:val="18"/>
                <w:szCs w:val="18"/>
                <w:color w:val="auto"/>
                <w:w w:val="96"/>
              </w:rPr>
              <w:t>24.1</w:t>
            </w:r>
          </w:p>
        </w:tc>
        <w:tc>
          <w:tcPr>
            <w:tcW w:w="320" w:type="dxa"/>
            <w:vAlign w:val="bottom"/>
          </w:tcPr>
          <w:p>
            <w:pPr>
              <w:spacing w:after="0"/>
              <w:rPr>
                <w:sz w:val="24"/>
                <w:szCs w:val="24"/>
                <w:color w:val="auto"/>
              </w:rPr>
            </w:pPr>
          </w:p>
        </w:tc>
        <w:tc>
          <w:tcPr>
            <w:tcW w:w="10640" w:type="dxa"/>
            <w:vAlign w:val="bottom"/>
            <w:gridSpan w:val="3"/>
          </w:tcPr>
          <w:p>
            <w:pPr>
              <w:ind w:left="260"/>
              <w:spacing w:after="0"/>
              <w:rPr>
                <w:sz w:val="20"/>
                <w:szCs w:val="20"/>
                <w:color w:val="auto"/>
              </w:rPr>
            </w:pPr>
            <w:r>
              <w:rPr>
                <w:rFonts w:ascii="Arial" w:cs="Arial" w:eastAsia="Arial" w:hAnsi="Arial"/>
                <w:sz w:val="18"/>
                <w:szCs w:val="18"/>
                <w:color w:val="auto"/>
              </w:rPr>
              <w:t>Powers of Attorney (included in the signature pages to the Registration Statement). (7)</w:t>
            </w:r>
          </w:p>
        </w:tc>
      </w:tr>
    </w:tbl>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25.1</w:t>
            </w:r>
          </w:p>
        </w:tc>
        <w:tc>
          <w:tcPr>
            <w:tcW w:w="5420" w:type="dxa"/>
            <w:vAlign w:val="bottom"/>
          </w:tcPr>
          <w:p>
            <w:pPr>
              <w:ind w:left="580"/>
              <w:spacing w:after="0" w:line="201" w:lineRule="exact"/>
              <w:rPr>
                <w:sz w:val="20"/>
                <w:szCs w:val="20"/>
                <w:color w:val="auto"/>
              </w:rPr>
            </w:pPr>
            <w:r>
              <w:rPr>
                <w:rFonts w:ascii="Arial" w:cs="Arial" w:eastAsia="Arial" w:hAnsi="Arial"/>
                <w:sz w:val="18"/>
                <w:szCs w:val="18"/>
                <w:color w:val="auto"/>
                <w:w w:val="91"/>
              </w:rPr>
              <w:t>Statement of Eligibility and Qualification on Form T-1 of U.S. Bank</w:t>
            </w:r>
          </w:p>
        </w:tc>
        <w:tc>
          <w:tcPr>
            <w:tcW w:w="7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w w:val="99"/>
              </w:rPr>
              <w:t>National</w:t>
            </w:r>
          </w:p>
        </w:tc>
        <w:tc>
          <w:tcPr>
            <w:tcW w:w="4480" w:type="dxa"/>
            <w:vAlign w:val="bottom"/>
          </w:tcPr>
          <w:p>
            <w:pPr>
              <w:spacing w:after="0" w:line="201" w:lineRule="exact"/>
              <w:rPr>
                <w:sz w:val="20"/>
                <w:szCs w:val="20"/>
                <w:color w:val="auto"/>
              </w:rPr>
            </w:pPr>
            <w:r>
              <w:rPr>
                <w:rFonts w:ascii="Arial" w:cs="Arial" w:eastAsia="Arial" w:hAnsi="Arial"/>
                <w:sz w:val="18"/>
                <w:szCs w:val="18"/>
                <w:color w:val="auto"/>
                <w:w w:val="86"/>
              </w:rPr>
              <w:t>Association, as trustee under the Indenture for Wynn Las Vegas,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LLC and Wynn Las Vegas Capital Corp.’s 6 5/8% First Mortgage Notes due 2014. (7)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of Transmittal. (7)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Notice of Guaranteed Delivery. (7)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Clients. (7)</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10600" w:type="dxa"/>
            <w:vAlign w:val="bottom"/>
            <w:gridSpan w:val="3"/>
          </w:tcPr>
          <w:p>
            <w:pPr>
              <w:ind w:left="580"/>
              <w:spacing w:after="0"/>
              <w:rPr>
                <w:sz w:val="20"/>
                <w:szCs w:val="20"/>
                <w:color w:val="auto"/>
              </w:rPr>
            </w:pPr>
            <w:r>
              <w:rPr>
                <w:rFonts w:ascii="Arial" w:cs="Arial" w:eastAsia="Arial" w:hAnsi="Arial"/>
                <w:sz w:val="18"/>
                <w:szCs w:val="18"/>
                <w:color w:val="auto"/>
              </w:rPr>
              <w:t>Form of Letter to Brokers, Dealers, Commercial Banks, Trust Companies and Other Nominees.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line="254" w:lineRule="auto"/>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the Registrant on February 22, 2008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December 17,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15,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13,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June 29,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Annual Report on Form 10-K filed by Wynn Resorts, Limited on March 16,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9, 2006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August 9,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October 31, 2007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November 1, 2007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May 25, 2005 and incorporated herein by reference.</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August 3, 2005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May 15, 2003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November 18, 2002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8,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Wynn Resorts, Limited on November 4, 2004 and incorporated herein by reference.</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September 1, 2005 and incorporated herein by reference.</w:t>
      </w:r>
    </w:p>
    <w:p>
      <w:pPr>
        <w:sectPr>
          <w:pgSz w:w="11900" w:h="16838" w:orient="portrait"/>
          <w:cols w:equalWidth="0" w:num="1">
            <w:col w:w="11340"/>
          </w:cols>
          <w:pgMar w:left="240" w:top="460" w:right="31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5,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3520" w:type="dxa"/>
            <w:vAlign w:val="bottom"/>
          </w:tcPr>
          <w:p>
            <w:pPr>
              <w:spacing w:after="0"/>
              <w:rPr>
                <w:sz w:val="20"/>
                <w:szCs w:val="20"/>
                <w:color w:val="auto"/>
              </w:rPr>
            </w:pPr>
            <w:r>
              <w:rPr>
                <w:rFonts w:ascii="Arial" w:cs="Arial" w:eastAsia="Arial" w:hAnsi="Arial"/>
                <w:sz w:val="18"/>
                <w:szCs w:val="18"/>
                <w:color w:val="auto"/>
                <w:w w:val="88"/>
              </w:rPr>
              <w:t>Wynn Las Vegas Capital Corp., Wynn Las Vegas,</w:t>
            </w:r>
          </w:p>
        </w:tc>
      </w:tr>
      <w:tr>
        <w:trPr>
          <w:trHeight w:val="184"/>
        </w:trPr>
        <w:tc>
          <w:tcPr>
            <w:tcW w:w="560" w:type="dxa"/>
            <w:vAlign w:val="bottom"/>
          </w:tcPr>
          <w:p>
            <w:pPr>
              <w:spacing w:after="0"/>
              <w:rPr>
                <w:sz w:val="15"/>
                <w:szCs w:val="15"/>
                <w:color w:val="auto"/>
              </w:rPr>
            </w:pPr>
          </w:p>
        </w:tc>
        <w:tc>
          <w:tcPr>
            <w:tcW w:w="352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rPr>
              <w:t>LLC Registration Statement on Form S-4</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firstLine="456"/>
        <w:spacing w:after="0" w:line="295" w:lineRule="auto"/>
        <w:rPr>
          <w:sz w:val="20"/>
          <w:szCs w:val="20"/>
          <w:color w:val="auto"/>
        </w:rPr>
      </w:pPr>
      <w:r>
        <w:rPr>
          <w:rFonts w:ascii="Arial" w:cs="Arial" w:eastAsia="Arial" w:hAnsi="Arial"/>
          <w:sz w:val="15"/>
          <w:szCs w:val="15"/>
          <w:color w:val="auto"/>
        </w:rPr>
        <w:t>We have acted as special counsel to Wynn Las Vegas, LLC, a Nevada limited liability company, and Wynn Las Vegas Capital Corp., a Nevada corporation (collectively, the “Issuers”), and each of the entities listed on Schedule I hereto (collectively, the “Guarantors”) in connection with the public offering of up 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$400,000,000 aggregate principal amount of the Issuers’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9"/>
          <w:szCs w:val="19"/>
          <w:color w:val="auto"/>
          <w:vertAlign w:val="subscript"/>
        </w:rPr>
        <w:t>8</w:t>
      </w:r>
      <w:r>
        <w:rPr>
          <w:rFonts w:ascii="Arial" w:cs="Arial" w:eastAsia="Arial" w:hAnsi="Arial"/>
          <w:sz w:val="15"/>
          <w:szCs w:val="15"/>
          <w:color w:val="auto"/>
        </w:rPr>
        <w:t>% First Mortgage Notes due 2014 (the “Exchange Notes”). The Indenture, dated as of December 14,</w:t>
      </w:r>
    </w:p>
    <w:p>
      <w:pPr>
        <w:spacing w:after="0" w:line="73" w:lineRule="exact"/>
        <w:rPr>
          <w:sz w:val="20"/>
          <w:szCs w:val="20"/>
          <w:color w:val="auto"/>
        </w:rPr>
      </w:pPr>
    </w:p>
    <w:p>
      <w:pPr>
        <w:ind w:right="520"/>
        <w:spacing w:after="0" w:line="280" w:lineRule="auto"/>
        <w:rPr>
          <w:sz w:val="20"/>
          <w:szCs w:val="20"/>
          <w:color w:val="auto"/>
        </w:rPr>
      </w:pPr>
      <w:r>
        <w:rPr>
          <w:rFonts w:ascii="Arial" w:cs="Arial" w:eastAsia="Arial" w:hAnsi="Arial"/>
          <w:sz w:val="16"/>
          <w:szCs w:val="16"/>
          <w:color w:val="auto"/>
        </w:rPr>
        <w:t>2004, among the Issuers, the Guarantors party thereto and U.S. Bank National Association, as trustee (the “Trustee,” and, such indenture, the “Original Indenture”), as amended and supplemented by the First Supplemental Indenture thereto, dated as of June 29, 2005, among the Issuers, the Guarantors party thereto and Trustee (the “First Supplemental Indenture”), and the Second Supplemental Indenture thereto, dated as</w:t>
      </w:r>
    </w:p>
    <w:p>
      <w:pPr>
        <w:sectPr>
          <w:pgSz w:w="11900" w:h="16838" w:orient="portrait"/>
          <w:cols w:equalWidth="0" w:num="1">
            <w:col w:w="11420"/>
          </w:cols>
          <w:pgMar w:left="240" w:top="125" w:right="23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of July 29, 2005, among the Issuers, the Guarantors party thereto and Trustee (the “Second Supplemental Indenture,” and collectively with the Original Indenture and the First Supplemental Indenture, the “Indenture”), provides for the guarantee of the Exchange Notes by the Guarantors (the “Guarantees”) to the extent set forth in the Indenture. The Exchange Notes and the Guarantees are to be offered (the “Exchange Offer”) in exchange for a like principal amount of the issued and</w:t>
      </w:r>
    </w:p>
    <w:p>
      <w:pPr>
        <w:spacing w:after="0"/>
        <w:rPr>
          <w:sz w:val="20"/>
          <w:szCs w:val="20"/>
          <w:color w:val="auto"/>
        </w:rPr>
      </w:pPr>
      <w:r>
        <w:rPr>
          <w:rFonts w:ascii="Arial" w:cs="Arial" w:eastAsia="Arial" w:hAnsi="Arial"/>
          <w:sz w:val="16"/>
          <w:szCs w:val="16"/>
          <w:color w:val="auto"/>
        </w:rPr>
        <w:t xml:space="preserve">outstanding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20"/>
          <w:szCs w:val="20"/>
          <w:color w:val="auto"/>
          <w:vertAlign w:val="subscript"/>
        </w:rPr>
        <w:t>8</w:t>
      </w:r>
      <w:r>
        <w:rPr>
          <w:rFonts w:ascii="Arial" w:cs="Arial" w:eastAsia="Arial" w:hAnsi="Arial"/>
          <w:sz w:val="16"/>
          <w:szCs w:val="16"/>
          <w:color w:val="auto"/>
        </w:rPr>
        <w:t>% First Mortgage Notes due 2014 of the Issuers issued on November 6, 2007 and the guarantees thereof by the Guarantors (the “Original</w:t>
      </w:r>
    </w:p>
    <w:p>
      <w:pPr>
        <w:spacing w:after="0" w:line="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Notes”), as contemplated by the Registration Rights Agreement, dated as of November 6, 2007 (the “Registration Rights Agreement”), by and among the Issuers, the Guarantors, Deutsche Bank Securities Inc. and Banc of America Securities LLC.</w:t>
      </w:r>
    </w:p>
    <w:p>
      <w:pPr>
        <w:spacing w:after="0" w:line="18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opinion is being furnished to you in accordance with the requirements of Item 601(b)(5) of Regulation S-K under the Securities Act of 1933, as amended (the “Securities Act”).</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rendering the opinion set forth herein, we have examined and relied on originals or copies of the following: (a) the registration statement on Form S-4 of the Issuers and the Guarantors relating to the Exchange Notes and the Guarantees filed with the Securities and Exchange Commission (the “Commission”) under the Securities Act on the date hereof (such registration statement being hereinafter referred to as the “Registration Statement”); (b) an executed copy of the Original Indenture; (c) an executed copy of the First Supplemental Indenture; (d) an executed copy of the Second Supplemental Indenture; (e) an executed copy of the Reaffirmation Agreement, dated as of November 6, 2007, by the Issuers, the Guarantors, Wynn Resorts, Limited, Wynn Resorts Holdings, LLC and Wynn Completion Guarantor, LLC in favor of Deutsche Bank Trust Company Americas, as Administrative Agent and Deutsche Bank Trust Company Americas, as Collateral Agent; (f) an executed copy of the Registration Rights Agreement; (g) the form of Exchange Notes included in the Indenture; and (h) the form of the Guarantees included in the Indenture.</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records of the Issuers and the Guarantors and such agreements, certificates and receipts of public officials, certificates of officers or other representatives of the Issuers, the Guarantors and others, and such other documents as we have deemed necessary or appropriate as a basis for the opinion set forth below.</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our examination, we have assumed the legal capacity of all natural persons, the genuineness of all signatures, the authenticity of all documents submitted to us as originals, the conformity to original documents of all documents</w:t>
      </w:r>
    </w:p>
    <w:p>
      <w:pPr>
        <w:sectPr>
          <w:pgSz w:w="11900" w:h="16838" w:orient="portrait"/>
          <w:cols w:equalWidth="0" w:num="1">
            <w:col w:w="11400"/>
          </w:cols>
          <w:pgMar w:left="240" w:top="280" w:right="2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submitted to us as facsimile, electronic, certified or photostatic copies and the authenticity of the originals of such copies. In making our examination of executed documents, we have assumed that the parties thereto, including the Issuers and the Guarantors, had the power, corporate or other, to enter into and perform all obligations thereunder and have also assumed the due authorization by all requisite action, corporate or other, and the execution and delivery by such parties of such documents and, except to the extent expressly set forth in our opinion below, the validity and binding effect thereof on such parties. We have also assumed that each of the Issuers and the Guarantors has been duly organized and is validly existing in good standing, and has requisite legal status and legal capacity, under the laws of the State of Nevada and that each of the Issuers and the Guarantors has complied and will comply with all aspects of the laws of all relevant jurisdictions (including the laws of the State of Nevada) in connection with the transactions contemplated by, and the performance of their obligations under, the Exchange Offer, other than the laws of the State of New York insofar as we express our opinion herein. As to any facts material to the opinion expressed herein that we did not independently establish or verify, we have relied upon statements and representations of officers and other representatives of the Issuers, the Guarantors and others and of public officials.</w:t>
      </w:r>
    </w:p>
    <w:p>
      <w:pPr>
        <w:spacing w:after="0" w:line="12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express any opinion as to any laws other than those laws, rules and regulations of the State of New York that, in our experience, are applicable to transactions of the type contemplated by the Exchange Offer, and to the extent that judicial or regulatory orders or decrees or consents, approvals, licenses, authorizations, validations, filings, recordings or registrations with governmental authorities are relevant, to those required under such laws (all of the foregoing being referred to as “Opined on Law”). We do not express any opinion with respect to the law of any jurisdiction other than Opined on Law or as to the effect of any such law (other than Opined on Law) on the opinion herein stated. Insofar as the opinion expressed herein relates to matters governed by laws other than Opined on Law, we have assumed, without having made any independent investigation, that such laws do not affect the opinion set forth herein. The opinion expressed herein is based on laws in effect on the date hereof, which laws are subject to change with possible retroactive effect, and we disclaim any undertaking to advise you of any subsequent changes in the facts stated or assumed herein or of any subsequent changes in applicable laws.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subject to the following further qualifications, assumptions and limitations: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in rendering the opinion set forth below, we have assumed that the Trustee’s certificate of authentication of the Exchange Notes will have been</w:t>
      </w:r>
    </w:p>
    <w:p>
      <w:pPr>
        <w:sectPr>
          <w:pgSz w:w="11900" w:h="16838" w:orient="portrait"/>
          <w:cols w:equalWidth="0" w:num="1">
            <w:col w:w="11400"/>
          </w:cols>
          <w:pgMar w:left="240" w:top="280" w:right="25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manually signed by one of the Trustee’s authorized officers and that the Exchange Notes conform to the specimens thereof examined by us;</w:t>
      </w:r>
    </w:p>
    <w:p>
      <w:pPr>
        <w:spacing w:after="0" w:line="171" w:lineRule="exact"/>
        <w:rPr>
          <w:sz w:val="20"/>
          <w:szCs w:val="20"/>
          <w:color w:val="auto"/>
        </w:rPr>
      </w:pPr>
    </w:p>
    <w:p>
      <w:pPr>
        <w:ind w:right="280" w:firstLine="464"/>
        <w:spacing w:after="0" w:line="256"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 do not express any opinion as to the effect on the opinion expressed herein of (i) the compliance or noncompliance of any party to the Indenture (other than with respect to the Issuers and Guarantors to the extent necessary to render the opinion set forth herein) with any state, federal or other laws or regulations applicable to it or them or (ii) the legal or regulatory status or the nature of the business of any party (other than with respect to the Issuers and Guarantors to the extent necessary to render the opinion set forth herein);</w:t>
      </w:r>
    </w:p>
    <w:p>
      <w:pPr>
        <w:spacing w:after="0" w:line="143" w:lineRule="exact"/>
        <w:rPr>
          <w:rFonts w:ascii="Arial" w:cs="Arial" w:eastAsia="Arial" w:hAnsi="Arial"/>
          <w:sz w:val="18"/>
          <w:szCs w:val="18"/>
          <w:color w:val="auto"/>
        </w:rPr>
      </w:pPr>
    </w:p>
    <w:p>
      <w:pPr>
        <w:ind w:right="60" w:firstLine="464"/>
        <w:spacing w:after="0" w:line="255"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 have assumed that the execution and delivery by the Issuers and Guarantors of the Indenture, and the performance by the Issuers and Guarantors of their obligations thereunder do not and will not violate, conflict with or constitute a default under (i) any agreement or instrument to which the Issuers or Guarantors or any of their properties is subject, (ii) any law, rule, or regulation to which the Issuers or Guarantors or any of their properties is subject, (iii) any judicial or regulatory order or decree of any governmental authority or (iv) any consent, approval, license, authorization or validation of, or filing, recording or registration with, any governmental authority;</w:t>
      </w:r>
    </w:p>
    <w:p>
      <w:pPr>
        <w:spacing w:after="0" w:line="142" w:lineRule="exact"/>
        <w:rPr>
          <w:rFonts w:ascii="Arial" w:cs="Arial" w:eastAsia="Arial" w:hAnsi="Arial"/>
          <w:sz w:val="18"/>
          <w:szCs w:val="18"/>
          <w:color w:val="auto"/>
        </w:rPr>
      </w:pPr>
    </w:p>
    <w:p>
      <w:pPr>
        <w:jc w:val="both"/>
        <w:ind w:right="80" w:firstLine="464"/>
        <w:spacing w:after="0" w:line="259"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validity or enforcement of any agreement or instrument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140"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we do not express any opinion as to the applicability or effect of any fraudulent transfer, preference or similar law on the Indenture or any transactions contemplated thereby; and</w:t>
      </w:r>
    </w:p>
    <w:p>
      <w:pPr>
        <w:spacing w:after="0" w:line="131" w:lineRule="exact"/>
        <w:rPr>
          <w:rFonts w:ascii="Arial" w:cs="Arial" w:eastAsia="Arial" w:hAnsi="Arial"/>
          <w:sz w:val="18"/>
          <w:szCs w:val="18"/>
          <w:color w:val="auto"/>
        </w:rPr>
      </w:pPr>
    </w:p>
    <w:p>
      <w:pPr>
        <w:ind w:firstLine="464"/>
        <w:spacing w:after="0" w:line="259" w:lineRule="auto"/>
        <w:tabs>
          <w:tab w:leader="none" w:pos="67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the extent any opinion relates to the enforceability of the choice of New York law and choice of New York forum provisions of the Indenture, our opinion is rendered in reliance upon N.Y. Gen. Oblig. Law §§ 5-1401, 5-1402 (McKinney 2001) and N.Y. C.P.L.R. 327(b) (McKinney 2001) and is subject to the qualification that such enforceability may be limited by public policy considerations.</w:t>
      </w:r>
    </w:p>
    <w:p>
      <w:pPr>
        <w:spacing w:after="0" w:line="140"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Based upon the foregoing and subject to the limitations, qualifications, exceptions and assumptions set forth herein, we are of the opinion that when the Exchange Notes and the Guarantees (in the forms examined by us) have been duly executed, authenticated, issued and delivered in exchange for the Original Notes in accordance with the terms of the Indenture, the Registration Rights Agreement and the Exchange Offer, the Exchange Notes and the Guarantees will constitute valid and</w:t>
      </w:r>
    </w:p>
    <w:p>
      <w:pPr>
        <w:sectPr>
          <w:pgSz w:w="11900" w:h="16838" w:orient="portrait"/>
          <w:cols w:equalWidth="0" w:num="1">
            <w:col w:w="11340"/>
          </w:cols>
          <w:pgMar w:left="240" w:top="280" w:right="31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5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binding obligations of each of the Issuers and each of the Guarantors, respectively, enforceable against each of the Issuers and each of the Guarantors, respectively, in accordance with their terms.</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hereby consent to the use of our name under the heading “Legal Matters” in the prospectus forming a part of the Registration Statement. In giving this consent, we do not thereby admit that we are within the category of persons whose consent is required under Section 7 of the Securities Act or the rules and regulations of the Commission promulgated thereunder.</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SKADDEN, ARPS, SLATE, MEAGHER &amp; FLOM LLP</w:t>
      </w:r>
    </w:p>
    <w:p>
      <w:pPr>
        <w:sectPr>
          <w:pgSz w:w="11900" w:h="16838" w:orient="portrait"/>
          <w:cols w:equalWidth="0" w:num="1">
            <w:col w:w="11220"/>
          </w:cols>
          <w:pgMar w:left="240" w:top="280" w:right="439" w:bottom="1440" w:gutter="0" w:footer="0" w:header="0"/>
        </w:sectPr>
      </w:pPr>
    </w:p>
    <w:bookmarkStart w:id="254" w:name="page255"/>
    <w:bookmarkEnd w:id="25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GUARANTORS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219"/>
          </w:cols>
          <w:pgMar w:left="240" w:top="274" w:right="1440"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117475</wp:posOffset>
            </wp:positionV>
            <wp:extent cx="1920875" cy="5403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920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66666"/>
        </w:rPr>
        <w:t>A Merger with Schreck Brignone</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Brownstein Hyatt Farber Schreck, LLP</w:t>
      </w:r>
    </w:p>
    <w:p>
      <w:pPr>
        <w:jc w:val="right"/>
        <w:spacing w:after="0" w:line="221" w:lineRule="auto"/>
        <w:rPr>
          <w:sz w:val="20"/>
          <w:szCs w:val="20"/>
          <w:color w:val="auto"/>
        </w:rPr>
      </w:pPr>
      <w:r>
        <w:rPr>
          <w:rFonts w:ascii="Arial" w:cs="Arial" w:eastAsia="Arial" w:hAnsi="Arial"/>
          <w:sz w:val="14"/>
          <w:szCs w:val="14"/>
          <w:color w:val="auto"/>
        </w:rPr>
        <w:t>300 South Fourth Street, Suite 1200</w:t>
      </w:r>
    </w:p>
    <w:p>
      <w:pPr>
        <w:jc w:val="right"/>
        <w:spacing w:after="0" w:line="221" w:lineRule="auto"/>
        <w:rPr>
          <w:sz w:val="20"/>
          <w:szCs w:val="20"/>
          <w:color w:val="auto"/>
        </w:rPr>
      </w:pPr>
      <w:r>
        <w:rPr>
          <w:rFonts w:ascii="Arial" w:cs="Arial" w:eastAsia="Arial" w:hAnsi="Arial"/>
          <w:sz w:val="14"/>
          <w:szCs w:val="14"/>
          <w:color w:val="auto"/>
        </w:rPr>
        <w:t>Las Vegas, Nevada 89101-6020</w:t>
      </w:r>
    </w:p>
    <w:p>
      <w:pPr>
        <w:jc w:val="right"/>
        <w:spacing w:after="0"/>
        <w:rPr>
          <w:sz w:val="20"/>
          <w:szCs w:val="20"/>
          <w:color w:val="auto"/>
        </w:rPr>
      </w:pPr>
      <w:r>
        <w:rPr>
          <w:rFonts w:ascii="Arial" w:cs="Arial" w:eastAsia="Arial" w:hAnsi="Arial"/>
          <w:sz w:val="14"/>
          <w:szCs w:val="14"/>
          <w:b w:val="1"/>
          <w:bCs w:val="1"/>
          <w:color w:val="auto"/>
        </w:rPr>
        <w:t xml:space="preserve">T </w:t>
      </w:r>
      <w:r>
        <w:rPr>
          <w:rFonts w:ascii="Arial" w:cs="Arial" w:eastAsia="Arial" w:hAnsi="Arial"/>
          <w:sz w:val="14"/>
          <w:szCs w:val="14"/>
          <w:color w:val="auto"/>
        </w:rPr>
        <w:t>702.382.2101</w:t>
      </w:r>
      <w:r>
        <w:rPr>
          <w:rFonts w:ascii="Arial" w:cs="Arial" w:eastAsia="Arial" w:hAnsi="Arial"/>
          <w:sz w:val="14"/>
          <w:szCs w:val="14"/>
          <w:b w:val="1"/>
          <w:bCs w:val="1"/>
          <w:color w:val="auto"/>
        </w:rPr>
        <w:t xml:space="preserve"> F </w:t>
      </w:r>
      <w:r>
        <w:rPr>
          <w:rFonts w:ascii="Arial" w:cs="Arial" w:eastAsia="Arial" w:hAnsi="Arial"/>
          <w:sz w:val="14"/>
          <w:szCs w:val="14"/>
          <w:color w:val="auto"/>
        </w:rPr>
        <w:t>702.382.8135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acted as special Nevada counsel to Wynn Las Vegas, LLC, a Nevada limited liability company (the “Company”), Wynn Las Vegas Capital Corp., a Nevada corporation (“Capital Corp.” and, together with the Company, the “Issuers”), Wynn Show Performers, LLC, Wynn Golf, LLC, Las Vegas Jet, LLC, World Travel, LLC, Wynn Sunrise, LLC, and Kevyn, LLC, each a Nevada limited liability company (collectively, the “Guarantors”), in connection with the filing of the Issuers’ Registration Statement on Form S-4 (the “Registration Statement”) with the Securities and Exchange Commission (the “Commission”) under the Securities Act of 1933, as amended (the “Act”), covering the registration of $400,000,000 aggregate principal amount of the Issuers’ 6 5/8% First Mortgage Notes due 2014 (the “Exchange Notes”), and the guarantees of the Exchange Notes by the Guarantors (the “Note Guarantees” and together with the Exchange Notes, the “Securities”), issued under the Indenture, dated as of December 14, 2004, by and among the Issuers, the Guarantors and U.S. Bank National Association, as trustee (as supplemented and reaffirmed to date, the “Indenture”).</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Issuers and the Guarantors in connection with the authorization and issuance of the Securities, all as referenced in the Registration Statement. For purposes of this opinion letter, we have assumed all such proceedings will be timely completed in the manner presently proposed and the terms of such issuance will be in compliance with applicable laws.</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made such legal and factual examinations and inquiries, including an examination of originals or copies certified or otherwise identified to our satisfaction of such documents, agreements,</w:t>
      </w:r>
    </w:p>
    <w:p>
      <w:pPr>
        <w:sectPr>
          <w:pgSz w:w="11900" w:h="16838" w:orient="portrait"/>
          <w:cols w:equalWidth="0" w:num="1">
            <w:col w:w="11420"/>
          </w:cols>
          <w:pgMar w:left="240" w:top="125"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instruments and corporate records, as we have deemed necessary or appropriate for the purposes of this opinion letter. We have also obtained from officers and other representatives and agents of the Issuers and the Guarantors and from public officials, and have relied upon, such certificates, representations and assurances as we have deemed necessary and appropriate for the purpose of issuing this opinion letter.</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Without limiting the generality of the foregoing, in our examination, we have, with your permission, assumed without independent verification, that (i) the obligations of each party set forth in the Indenture, the Notes and the Note Guarantees are its valid and binding obligations, enforceable against such party in accordance with their respective terms; (ii) each document we reviewed has been duly executed and delivered by the parties thereto other than the Issuers and the Guarantors to the extent due execution and delivery are prerequisites to the effectiveness thereof; (iii) each natural person executing a document has sufficient legal capacity to do so; (iv) all documents submitted to us as originals are authentic, the signatures on all documents that we examined are genuine, and all documents submitted to us as certified, conformed, photostatic, electronic or facsimile copies conform to the original document; (v) all documents that we examined accurately describe and contain the mutual understanding of the parties thereto and there are no oral or written agreements or understandings, and there is no course of prior dealing, between or among any of the parties that would in any manner vary or supplement the terms and provisions of such documents, or of the relationships set forth therein, or which would constitute a waiver of any of the provisions thereof by the actions or conduct of the parties or otherwise, or which would have an effect on the opinion rendered herein; and (vi) all corporate and limited liability company records made available to us by the Issuers and the Guarantors, and all public records we have reviewed, are accurate and complete.</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qualified to practice law in the State of Nevada. The opinion set forth herein is expressly limited to the effect of the general corporate and limited liability company laws of the State of Nevada, and we do not purport to be experts on, or to express any opinion with respect to the applicability thereto, or to the effect thereon, of the laws of any other jurisdiction or as to matters of local law or the laws, rules or regulations of local governmental departments or agencies within the State of Nevada. We express no opinion herein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Based on the foregoing, and in reliance thereon, and having regard to legal considerations and other information that we deem relevant, we are of the opinion that the Securities have been duly authorized by the Issuers and the Guarantors, as applicable.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opinion expressed herein is based upon the applicable Nevada laws in effect and the facts in existence as of the date of this opinion letter. In delivering this opinion letter to you, we assume no obligation, and we advise you that we shall make no effort, to update the opinion set forth herein, to conduct any inquiry into the continued accuracy of such opinion, or to apprise any addressee hereof or its counsel or assignees of any facts, matters, transactions, events or occurrences taking place, and of which we may acquire knowledge, after the date of this letter, or of any change in any applicable Nevada law or any facts occurring after the date of this opinion letter, which may affect the opinion set forth herein. No opinions are offered or implied as to any matter, and no inference may be drawn, beyond the strict scope of the specific issues expressly addressed by the opinion herein.</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consent to your filing this opinion letter as an exhibit to the Registration Statement and to the reference therein to our firm contained under the heading “Legal Matters”. In giving these consents, we do not admit that we are within the category of persons whose consent is required under Section 7 of the Act or the rules and regulations of the Commission promulgated thereunder.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p>
      <w:pPr>
        <w:sectPr>
          <w:pgSz w:w="11900" w:h="16838" w:orient="portrait"/>
          <w:cols w:equalWidth="0" w:num="1">
            <w:col w:w="11420"/>
          </w:cols>
          <w:pgMar w:left="240" w:top="280" w:right="2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920" w:type="dxa"/>
            <w:vAlign w:val="bottom"/>
          </w:tcPr>
          <w:p>
            <w:pPr>
              <w:ind w:left="4900"/>
              <w:spacing w:after="0"/>
              <w:rPr>
                <w:sz w:val="20"/>
                <w:szCs w:val="20"/>
                <w:color w:val="auto"/>
              </w:rPr>
            </w:pPr>
            <w:r>
              <w:rPr>
                <w:rFonts w:ascii="Arial" w:cs="Arial" w:eastAsia="Arial" w:hAnsi="Arial"/>
                <w:sz w:val="18"/>
                <w:szCs w:val="18"/>
                <w:color w:val="auto"/>
              </w:rPr>
              <w:t>Wynn Las Vegas, LLC</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gridSpan w:val="4"/>
          </w:tcPr>
          <w:p>
            <w:pPr>
              <w:jc w:val="right"/>
              <w:ind w:right="400"/>
              <w:spacing w:after="0"/>
              <w:rPr>
                <w:sz w:val="20"/>
                <w:szCs w:val="20"/>
                <w:color w:val="auto"/>
              </w:rPr>
            </w:pPr>
            <w:r>
              <w:rPr>
                <w:rFonts w:ascii="Arial" w:cs="Arial" w:eastAsia="Arial" w:hAnsi="Arial"/>
                <w:sz w:val="18"/>
                <w:szCs w:val="18"/>
                <w:color w:val="auto"/>
              </w:rPr>
              <w:t>Calculation of Ratio of Earnings to Fixed Charges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Pretax income from continuing operations before adjustment for minority interests in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consolidated subsidiaries or income or loss from equity investees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(7,180)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(160,502)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(45,884)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123,423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92,348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125,608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40" w:type="dxa"/>
            <w:vAlign w:val="bottom"/>
            <w:gridSpan w:val="2"/>
          </w:tcPr>
          <w:p>
            <w:pPr>
              <w:spacing w:after="0"/>
              <w:rPr>
                <w:sz w:val="20"/>
                <w:szCs w:val="20"/>
                <w:color w:val="auto"/>
              </w:rPr>
            </w:pPr>
            <w:r>
              <w:rPr>
                <w:rFonts w:ascii="Arial" w:cs="Arial" w:eastAsia="Arial" w:hAnsi="Arial"/>
                <w:sz w:val="18"/>
                <w:szCs w:val="18"/>
                <w:color w:val="auto"/>
              </w:rPr>
              <w:t>Amortization of capitalized interest</w:t>
            </w:r>
          </w:p>
        </w:tc>
        <w:tc>
          <w:tcPr>
            <w:tcW w:w="10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9,272</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13,908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Distributed income of equity investees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Subtract:</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87,300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36,769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(2,132)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(160,502)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52,227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142,176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226,109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86,746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117,787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Interest capitalized</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87,300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36,769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Interest in rental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92,348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2"/>
              </w:rPr>
              <w:t>125,608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127,309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to Fixed Charges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1.12x</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b w:val="1"/>
                <w:bCs w:val="1"/>
                <w:color w:val="auto"/>
              </w:rPr>
              <w:t>Deficiency Amount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(94,480)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(275,502)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(73,381)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SUBSIDIARIES OF WYNN LAS VEGAS, LLC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Las Vegas Jet, LLC, a Nevada limited liability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Kevyn,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Completion Guarantor,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Golf,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 a Nevada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Show Performers, LLC, a Nevada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Sunrise, LLC, a Nevada limited liability company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wholly-owned by Wynn Las Vegas, LLC.</w:t>
      </w:r>
    </w:p>
    <w:p>
      <w:pPr>
        <w:sectPr>
          <w:pgSz w:w="11900" w:h="16838" w:orient="portrait"/>
          <w:cols w:equalWidth="0" w:num="1">
            <w:col w:w="11420"/>
          </w:cols>
          <w:pgMar w:left="240" w:top="12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 xml:space="preserve">We consent to the reference to our firm under the caption “Experts” and to the use of our report dated February 22, 2008, in the Registration Statement (Form S-4) and related Prospectus of Wynn Las Vegas, LLC for the offer to exchange $400 million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05, 2008</w:t>
      </w:r>
    </w:p>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use in this Registration Statement on Form S-4 of our report dated March 15, 2006 relating to the financial statements of Wynn Las Vegas, LLC and subsidiaries appearing in the Prospectus, which is part of this Registration Statement, and of our report dated March 15, 2006 relating to the financial statement schedule appearing elsewhere in this Registration 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5, 2008</w:t>
      </w:r>
    </w:p>
    <w:p>
      <w:pPr>
        <w:sectPr>
          <w:pgSz w:w="11900" w:h="16838" w:orient="portrait"/>
          <w:cols w:equalWidth="0" w:num="1">
            <w:col w:w="11420"/>
          </w:cols>
          <w:pgMar w:left="240" w:top="125"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143510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169545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184785</wp:posOffset>
            </wp:positionV>
            <wp:extent cx="151765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FORM T-1</w:t>
      </w:r>
    </w:p>
    <w:p>
      <w:pPr>
        <w:spacing w:after="0" w:line="172" w:lineRule="exact"/>
        <w:rPr>
          <w:sz w:val="20"/>
          <w:szCs w:val="20"/>
          <w:color w:val="auto"/>
        </w:rPr>
      </w:pPr>
    </w:p>
    <w:p>
      <w:pPr>
        <w:jc w:val="center"/>
        <w:ind w:right="1160"/>
        <w:spacing w:after="0" w:line="241" w:lineRule="auto"/>
        <w:rPr>
          <w:sz w:val="20"/>
          <w:szCs w:val="20"/>
          <w:color w:val="auto"/>
        </w:rPr>
      </w:pPr>
      <w:r>
        <w:rPr>
          <w:rFonts w:ascii="Arial" w:cs="Arial" w:eastAsia="Arial" w:hAnsi="Arial"/>
          <w:sz w:val="22"/>
          <w:szCs w:val="22"/>
          <w:b w:val="1"/>
          <w:bCs w:val="1"/>
          <w:color w:val="auto"/>
        </w:rPr>
        <w:t>STATEMENT OF ELIGIBILITY UNDER THE TRUST INDENTURE ACT OF 1939 OF A CORPORATION DESIGNATED TO ACT AS TRUSTEE</w:t>
      </w:r>
    </w:p>
    <w:p>
      <w:pPr>
        <w:jc w:val="center"/>
        <w:ind w:right="1180"/>
        <w:spacing w:after="0"/>
        <w:rPr>
          <w:sz w:val="20"/>
          <w:szCs w:val="20"/>
          <w:color w:val="auto"/>
        </w:rPr>
      </w:pPr>
      <w:r>
        <w:rPr>
          <w:rFonts w:ascii="Arial" w:cs="Arial" w:eastAsia="Arial" w:hAnsi="Arial"/>
          <w:sz w:val="18"/>
          <w:szCs w:val="18"/>
          <w:color w:val="auto"/>
        </w:rPr>
        <w:t>Check if an Application to Determine Eligibility of</w:t>
      </w:r>
    </w:p>
    <w:p>
      <w:pPr>
        <w:spacing w:after="0" w:line="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2120265</wp:posOffset>
            </wp:positionH>
            <wp:positionV relativeFrom="paragraph">
              <wp:posOffset>187325</wp:posOffset>
            </wp:positionV>
            <wp:extent cx="151765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43"/>
          <w:szCs w:val="43"/>
          <w:b w:val="1"/>
          <w:bCs w:val="1"/>
          <w:color w:val="auto"/>
        </w:rPr>
        <w:t>U.S. BANK NATIONAL ASSOCIATION</w:t>
      </w:r>
    </w:p>
    <w:p>
      <w:pPr>
        <w:spacing w:after="0" w:line="5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80" w:type="dxa"/>
            <w:vAlign w:val="bottom"/>
          </w:tcPr>
          <w:p>
            <w:pPr>
              <w:jc w:val="right"/>
              <w:ind w:right="1336"/>
              <w:spacing w:after="0"/>
              <w:rPr>
                <w:sz w:val="20"/>
                <w:szCs w:val="20"/>
                <w:color w:val="auto"/>
              </w:rPr>
            </w:pPr>
            <w:r>
              <w:rPr>
                <w:rFonts w:ascii="Arial" w:cs="Arial" w:eastAsia="Arial" w:hAnsi="Arial"/>
                <w:sz w:val="18"/>
                <w:szCs w:val="18"/>
                <w:b w:val="1"/>
                <w:bCs w:val="1"/>
                <w:color w:val="auto"/>
              </w:rPr>
              <w:t>31-0841368</w:t>
            </w:r>
          </w:p>
        </w:tc>
        <w:tc>
          <w:tcPr>
            <w:tcW w:w="2220" w:type="dxa"/>
            <w:vAlign w:val="bottom"/>
          </w:tcPr>
          <w:p>
            <w:pPr>
              <w:spacing w:after="0"/>
              <w:rPr>
                <w:sz w:val="18"/>
                <w:szCs w:val="18"/>
                <w:color w:val="auto"/>
              </w:rPr>
            </w:pPr>
          </w:p>
        </w:tc>
      </w:tr>
      <w:tr>
        <w:trPr>
          <w:trHeight w:val="174"/>
        </w:trPr>
        <w:tc>
          <w:tcPr>
            <w:tcW w:w="6380" w:type="dxa"/>
            <w:vAlign w:val="bottom"/>
          </w:tcPr>
          <w:p>
            <w:pPr>
              <w:jc w:val="center"/>
              <w:ind w:left="2596"/>
              <w:spacing w:after="0"/>
              <w:rPr>
                <w:sz w:val="20"/>
                <w:szCs w:val="20"/>
                <w:color w:val="auto"/>
              </w:rPr>
            </w:pPr>
            <w:r>
              <w:rPr>
                <w:rFonts w:ascii="Arial" w:cs="Arial" w:eastAsia="Arial" w:hAnsi="Arial"/>
                <w:sz w:val="14"/>
                <w:szCs w:val="14"/>
                <w:b w:val="1"/>
                <w:bCs w:val="1"/>
                <w:color w:val="auto"/>
                <w:w w:val="89"/>
              </w:rPr>
              <w:t>I.R.S. Employer Identification No.</w:t>
            </w:r>
          </w:p>
        </w:tc>
        <w:tc>
          <w:tcPr>
            <w:tcW w:w="2220" w:type="dxa"/>
            <w:vAlign w:val="bottom"/>
          </w:tcPr>
          <w:p>
            <w:pPr>
              <w:spacing w:after="0"/>
              <w:rPr>
                <w:sz w:val="15"/>
                <w:szCs w:val="15"/>
                <w:color w:val="auto"/>
              </w:rPr>
            </w:pPr>
          </w:p>
        </w:tc>
      </w:tr>
      <w:tr>
        <w:trPr>
          <w:trHeight w:val="391"/>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91"/>
              </w:rPr>
              <w:t>800 Nicollet Mall</w:t>
            </w:r>
          </w:p>
        </w:tc>
        <w:tc>
          <w:tcPr>
            <w:tcW w:w="2220" w:type="dxa"/>
            <w:vAlign w:val="bottom"/>
          </w:tcPr>
          <w:p>
            <w:pPr>
              <w:spacing w:after="0"/>
              <w:rPr>
                <w:sz w:val="24"/>
                <w:szCs w:val="24"/>
                <w:color w:val="auto"/>
              </w:rPr>
            </w:pPr>
          </w:p>
        </w:tc>
      </w:tr>
      <w:tr>
        <w:trPr>
          <w:trHeight w:val="231"/>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88"/>
              </w:rPr>
              <w:t>Minneapolis, Minnesota</w:t>
            </w:r>
          </w:p>
        </w:tc>
        <w:tc>
          <w:tcPr>
            <w:tcW w:w="2220" w:type="dxa"/>
            <w:vAlign w:val="bottom"/>
          </w:tcPr>
          <w:p>
            <w:pPr>
              <w:jc w:val="center"/>
              <w:ind w:left="62"/>
              <w:spacing w:after="0"/>
              <w:rPr>
                <w:sz w:val="20"/>
                <w:szCs w:val="20"/>
                <w:color w:val="auto"/>
              </w:rPr>
            </w:pPr>
            <w:r>
              <w:rPr>
                <w:rFonts w:ascii="Arial" w:cs="Arial" w:eastAsia="Arial" w:hAnsi="Arial"/>
                <w:sz w:val="18"/>
                <w:szCs w:val="18"/>
                <w:b w:val="1"/>
                <w:bCs w:val="1"/>
                <w:color w:val="auto"/>
                <w:w w:val="87"/>
              </w:rPr>
              <w:t>55402</w:t>
            </w:r>
          </w:p>
        </w:tc>
      </w:tr>
      <w:tr>
        <w:trPr>
          <w:trHeight w:val="174"/>
        </w:trPr>
        <w:tc>
          <w:tcPr>
            <w:tcW w:w="6380" w:type="dxa"/>
            <w:vAlign w:val="bottom"/>
          </w:tcPr>
          <w:p>
            <w:pPr>
              <w:jc w:val="center"/>
              <w:ind w:right="2816"/>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220" w:type="dxa"/>
            <w:vAlign w:val="bottom"/>
          </w:tcPr>
          <w:p>
            <w:pPr>
              <w:jc w:val="center"/>
              <w:ind w:left="62"/>
              <w:spacing w:after="0"/>
              <w:rPr>
                <w:sz w:val="20"/>
                <w:szCs w:val="20"/>
                <w:color w:val="auto"/>
              </w:rPr>
            </w:pPr>
            <w:r>
              <w:rPr>
                <w:rFonts w:ascii="Arial" w:cs="Arial" w:eastAsia="Arial" w:hAnsi="Arial"/>
                <w:sz w:val="14"/>
                <w:szCs w:val="14"/>
                <w:b w:val="1"/>
                <w:bCs w:val="1"/>
                <w:color w:val="auto"/>
                <w:w w:val="92"/>
              </w:rPr>
              <w:t>(Zip Code)</w:t>
            </w:r>
          </w:p>
        </w:tc>
      </w:tr>
      <w:tr>
        <w:trPr>
          <w:trHeight w:val="351"/>
        </w:trPr>
        <w:tc>
          <w:tcPr>
            <w:tcW w:w="6380" w:type="dxa"/>
            <w:vAlign w:val="bottom"/>
          </w:tcPr>
          <w:p>
            <w:pPr>
              <w:jc w:val="center"/>
              <w:ind w:left="2596"/>
              <w:spacing w:after="0"/>
              <w:rPr>
                <w:sz w:val="20"/>
                <w:szCs w:val="20"/>
                <w:color w:val="auto"/>
              </w:rPr>
            </w:pPr>
            <w:r>
              <w:rPr>
                <w:rFonts w:ascii="Arial" w:cs="Arial" w:eastAsia="Arial" w:hAnsi="Arial"/>
                <w:sz w:val="18"/>
                <w:szCs w:val="18"/>
                <w:b w:val="1"/>
                <w:bCs w:val="1"/>
                <w:color w:val="auto"/>
                <w:w w:val="88"/>
              </w:rPr>
              <w:t>Raymond S. Haverstock</w:t>
            </w:r>
          </w:p>
        </w:tc>
        <w:tc>
          <w:tcPr>
            <w:tcW w:w="2220" w:type="dxa"/>
            <w:vAlign w:val="bottom"/>
          </w:tcPr>
          <w:p>
            <w:pPr>
              <w:spacing w:after="0"/>
              <w:rPr>
                <w:sz w:val="24"/>
                <w:szCs w:val="24"/>
                <w:color w:val="auto"/>
              </w:rPr>
            </w:pPr>
          </w:p>
        </w:tc>
      </w:tr>
      <w:tr>
        <w:trPr>
          <w:trHeight w:val="216"/>
        </w:trPr>
        <w:tc>
          <w:tcPr>
            <w:tcW w:w="6380" w:type="dxa"/>
            <w:vAlign w:val="bottom"/>
          </w:tcPr>
          <w:p>
            <w:pPr>
              <w:jc w:val="center"/>
              <w:ind w:left="2596"/>
              <w:spacing w:after="0"/>
              <w:rPr>
                <w:sz w:val="20"/>
                <w:szCs w:val="20"/>
                <w:color w:val="auto"/>
              </w:rPr>
            </w:pPr>
            <w:r>
              <w:rPr>
                <w:rFonts w:ascii="Arial" w:cs="Arial" w:eastAsia="Arial" w:hAnsi="Arial"/>
                <w:sz w:val="18"/>
                <w:szCs w:val="18"/>
                <w:b w:val="1"/>
                <w:bCs w:val="1"/>
                <w:color w:val="auto"/>
                <w:w w:val="87"/>
              </w:rPr>
              <w:t>U.S. Bank National Association</w:t>
            </w:r>
          </w:p>
        </w:tc>
        <w:tc>
          <w:tcPr>
            <w:tcW w:w="2220" w:type="dxa"/>
            <w:vAlign w:val="bottom"/>
          </w:tcPr>
          <w:p>
            <w:pPr>
              <w:spacing w:after="0"/>
              <w:rPr>
                <w:sz w:val="18"/>
                <w:szCs w:val="18"/>
                <w:color w:val="auto"/>
              </w:rPr>
            </w:pPr>
          </w:p>
        </w:tc>
      </w:tr>
      <w:tr>
        <w:trPr>
          <w:trHeight w:val="216"/>
        </w:trPr>
        <w:tc>
          <w:tcPr>
            <w:tcW w:w="6380" w:type="dxa"/>
            <w:vAlign w:val="bottom"/>
          </w:tcPr>
          <w:p>
            <w:pPr>
              <w:jc w:val="center"/>
              <w:ind w:left="2596"/>
              <w:spacing w:after="0"/>
              <w:rPr>
                <w:sz w:val="20"/>
                <w:szCs w:val="20"/>
                <w:color w:val="auto"/>
              </w:rPr>
            </w:pPr>
            <w:r>
              <w:rPr>
                <w:rFonts w:ascii="Arial" w:cs="Arial" w:eastAsia="Arial" w:hAnsi="Arial"/>
                <w:sz w:val="18"/>
                <w:szCs w:val="18"/>
                <w:b w:val="1"/>
                <w:bCs w:val="1"/>
                <w:color w:val="auto"/>
                <w:w w:val="87"/>
              </w:rPr>
              <w:t>60 Livingston Avenue</w:t>
            </w:r>
          </w:p>
        </w:tc>
        <w:tc>
          <w:tcPr>
            <w:tcW w:w="2220" w:type="dxa"/>
            <w:vAlign w:val="bottom"/>
          </w:tcPr>
          <w:p>
            <w:pPr>
              <w:spacing w:after="0"/>
              <w:rPr>
                <w:sz w:val="18"/>
                <w:szCs w:val="18"/>
                <w:color w:val="auto"/>
              </w:rPr>
            </w:pPr>
          </w:p>
        </w:tc>
      </w:tr>
      <w:tr>
        <w:trPr>
          <w:trHeight w:val="216"/>
        </w:trPr>
        <w:tc>
          <w:tcPr>
            <w:tcW w:w="6380" w:type="dxa"/>
            <w:vAlign w:val="bottom"/>
          </w:tcPr>
          <w:p>
            <w:pPr>
              <w:jc w:val="center"/>
              <w:ind w:left="2596"/>
              <w:spacing w:after="0"/>
              <w:rPr>
                <w:sz w:val="20"/>
                <w:szCs w:val="20"/>
                <w:color w:val="auto"/>
              </w:rPr>
            </w:pPr>
            <w:r>
              <w:rPr>
                <w:rFonts w:ascii="Arial" w:cs="Arial" w:eastAsia="Arial" w:hAnsi="Arial"/>
                <w:sz w:val="18"/>
                <w:szCs w:val="18"/>
                <w:b w:val="1"/>
                <w:bCs w:val="1"/>
                <w:color w:val="auto"/>
                <w:w w:val="91"/>
              </w:rPr>
              <w:t>St. Paul, MN 55107</w:t>
            </w:r>
          </w:p>
        </w:tc>
        <w:tc>
          <w:tcPr>
            <w:tcW w:w="2220" w:type="dxa"/>
            <w:vAlign w:val="bottom"/>
          </w:tcPr>
          <w:p>
            <w:pPr>
              <w:spacing w:after="0"/>
              <w:rPr>
                <w:sz w:val="18"/>
                <w:szCs w:val="18"/>
                <w:color w:val="auto"/>
              </w:rPr>
            </w:pPr>
          </w:p>
        </w:tc>
      </w:tr>
      <w:tr>
        <w:trPr>
          <w:trHeight w:val="218"/>
        </w:trPr>
        <w:tc>
          <w:tcPr>
            <w:tcW w:w="6380" w:type="dxa"/>
            <w:vAlign w:val="bottom"/>
          </w:tcPr>
          <w:p>
            <w:pPr>
              <w:jc w:val="right"/>
              <w:ind w:right="1216"/>
              <w:spacing w:after="0"/>
              <w:rPr>
                <w:sz w:val="20"/>
                <w:szCs w:val="20"/>
                <w:color w:val="auto"/>
              </w:rPr>
            </w:pPr>
            <w:r>
              <w:rPr>
                <w:rFonts w:ascii="Arial" w:cs="Arial" w:eastAsia="Arial" w:hAnsi="Arial"/>
                <w:sz w:val="18"/>
                <w:szCs w:val="18"/>
                <w:b w:val="1"/>
                <w:bCs w:val="1"/>
                <w:color w:val="auto"/>
              </w:rPr>
              <w:t>(651) 495-3909</w:t>
            </w:r>
          </w:p>
        </w:tc>
        <w:tc>
          <w:tcPr>
            <w:tcW w:w="2220" w:type="dxa"/>
            <w:vAlign w:val="bottom"/>
          </w:tcPr>
          <w:p>
            <w:pPr>
              <w:spacing w:after="0"/>
              <w:rPr>
                <w:sz w:val="18"/>
                <w:szCs w:val="18"/>
                <w:color w:val="auto"/>
              </w:rPr>
            </w:pPr>
          </w:p>
        </w:tc>
      </w:tr>
      <w:tr>
        <w:trPr>
          <w:trHeight w:val="174"/>
        </w:trPr>
        <w:tc>
          <w:tcPr>
            <w:tcW w:w="6380" w:type="dxa"/>
            <w:vAlign w:val="bottom"/>
          </w:tcPr>
          <w:p>
            <w:pPr>
              <w:jc w:val="center"/>
              <w:ind w:left="2616"/>
              <w:spacing w:after="0"/>
              <w:rPr>
                <w:sz w:val="20"/>
                <w:szCs w:val="20"/>
                <w:color w:val="auto"/>
              </w:rPr>
            </w:pPr>
            <w:r>
              <w:rPr>
                <w:rFonts w:ascii="Arial" w:cs="Arial" w:eastAsia="Arial" w:hAnsi="Arial"/>
                <w:sz w:val="14"/>
                <w:szCs w:val="14"/>
                <w:b w:val="1"/>
                <w:bCs w:val="1"/>
                <w:color w:val="auto"/>
                <w:w w:val="85"/>
              </w:rPr>
              <w:t>(Name, address and telephone number of agent for service)</w:t>
            </w:r>
          </w:p>
        </w:tc>
        <w:tc>
          <w:tcPr>
            <w:tcW w:w="2220" w:type="dxa"/>
            <w:vAlign w:val="bottom"/>
          </w:tcPr>
          <w:p>
            <w:pPr>
              <w:spacing w:after="0"/>
              <w:rPr>
                <w:sz w:val="15"/>
                <w:szCs w:val="15"/>
                <w:color w:val="auto"/>
              </w:rPr>
            </w:pPr>
          </w:p>
        </w:tc>
      </w:tr>
      <w:tr>
        <w:trPr>
          <w:trHeight w:val="418"/>
        </w:trPr>
        <w:tc>
          <w:tcPr>
            <w:tcW w:w="6380" w:type="dxa"/>
            <w:vAlign w:val="bottom"/>
          </w:tcPr>
          <w:p>
            <w:pPr>
              <w:jc w:val="center"/>
              <w:ind w:left="2596"/>
              <w:spacing w:after="0"/>
              <w:rPr>
                <w:sz w:val="20"/>
                <w:szCs w:val="20"/>
                <w:color w:val="auto"/>
              </w:rPr>
            </w:pPr>
            <w:r>
              <w:rPr>
                <w:rFonts w:ascii="Arial" w:cs="Arial" w:eastAsia="Arial" w:hAnsi="Arial"/>
                <w:sz w:val="24"/>
                <w:szCs w:val="24"/>
                <w:b w:val="1"/>
                <w:bCs w:val="1"/>
                <w:color w:val="auto"/>
                <w:w w:val="93"/>
              </w:rPr>
              <w:t>Wynn Las Vegas, LLC</w:t>
            </w:r>
          </w:p>
        </w:tc>
        <w:tc>
          <w:tcPr>
            <w:tcW w:w="2220" w:type="dxa"/>
            <w:vAlign w:val="bottom"/>
          </w:tcPr>
          <w:p>
            <w:pPr>
              <w:spacing w:after="0"/>
              <w:rPr>
                <w:sz w:val="24"/>
                <w:szCs w:val="24"/>
                <w:color w:val="auto"/>
              </w:rPr>
            </w:pPr>
          </w:p>
        </w:tc>
      </w:tr>
      <w:tr>
        <w:trPr>
          <w:trHeight w:val="228"/>
        </w:trPr>
        <w:tc>
          <w:tcPr>
            <w:tcW w:w="6380" w:type="dxa"/>
            <w:vAlign w:val="bottom"/>
          </w:tcPr>
          <w:p>
            <w:pPr>
              <w:jc w:val="center"/>
              <w:ind w:left="2596"/>
              <w:spacing w:after="0"/>
              <w:rPr>
                <w:sz w:val="20"/>
                <w:szCs w:val="20"/>
                <w:color w:val="auto"/>
              </w:rPr>
            </w:pPr>
            <w:r>
              <w:rPr>
                <w:rFonts w:ascii="Arial" w:cs="Arial" w:eastAsia="Arial" w:hAnsi="Arial"/>
                <w:sz w:val="18"/>
                <w:szCs w:val="18"/>
                <w:b w:val="1"/>
                <w:bCs w:val="1"/>
                <w:color w:val="auto"/>
                <w:w w:val="86"/>
              </w:rPr>
              <w:t>(Issuer with respect to the Securities)</w:t>
            </w:r>
          </w:p>
        </w:tc>
        <w:tc>
          <w:tcPr>
            <w:tcW w:w="2220" w:type="dxa"/>
            <w:vAlign w:val="bottom"/>
          </w:tcPr>
          <w:p>
            <w:pPr>
              <w:spacing w:after="0"/>
              <w:rPr>
                <w:sz w:val="19"/>
                <w:szCs w:val="19"/>
                <w:color w:val="auto"/>
              </w:rPr>
            </w:pPr>
          </w:p>
        </w:tc>
      </w:tr>
      <w:tr>
        <w:trPr>
          <w:trHeight w:val="408"/>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87"/>
              </w:rPr>
              <w:t>Nevada</w:t>
            </w:r>
          </w:p>
        </w:tc>
        <w:tc>
          <w:tcPr>
            <w:tcW w:w="2220" w:type="dxa"/>
            <w:vAlign w:val="bottom"/>
          </w:tcPr>
          <w:p>
            <w:pPr>
              <w:jc w:val="center"/>
              <w:ind w:left="62"/>
              <w:spacing w:after="0"/>
              <w:rPr>
                <w:sz w:val="20"/>
                <w:szCs w:val="20"/>
                <w:color w:val="auto"/>
              </w:rPr>
            </w:pPr>
            <w:r>
              <w:rPr>
                <w:rFonts w:ascii="Arial" w:cs="Arial" w:eastAsia="Arial" w:hAnsi="Arial"/>
                <w:sz w:val="18"/>
                <w:szCs w:val="18"/>
                <w:b w:val="1"/>
                <w:bCs w:val="1"/>
                <w:color w:val="auto"/>
                <w:w w:val="87"/>
              </w:rPr>
              <w:t>88-0494875</w:t>
            </w:r>
          </w:p>
        </w:tc>
      </w:tr>
      <w:tr>
        <w:trPr>
          <w:trHeight w:val="174"/>
        </w:trPr>
        <w:tc>
          <w:tcPr>
            <w:tcW w:w="6380" w:type="dxa"/>
            <w:vAlign w:val="bottom"/>
          </w:tcPr>
          <w:p>
            <w:pPr>
              <w:jc w:val="center"/>
              <w:ind w:right="2816"/>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22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20"/>
        </w:trPr>
        <w:tc>
          <w:tcPr>
            <w:tcW w:w="6380" w:type="dxa"/>
            <w:vAlign w:val="bottom"/>
          </w:tcPr>
          <w:p>
            <w:pPr>
              <w:jc w:val="center"/>
              <w:ind w:left="2596"/>
              <w:spacing w:after="0"/>
              <w:rPr>
                <w:sz w:val="20"/>
                <w:szCs w:val="20"/>
                <w:color w:val="auto"/>
              </w:rPr>
            </w:pPr>
            <w:r>
              <w:rPr>
                <w:rFonts w:ascii="Arial" w:cs="Arial" w:eastAsia="Arial" w:hAnsi="Arial"/>
                <w:sz w:val="24"/>
                <w:szCs w:val="24"/>
                <w:b w:val="1"/>
                <w:bCs w:val="1"/>
                <w:color w:val="auto"/>
                <w:w w:val="92"/>
              </w:rPr>
              <w:t>Wynn Las Vegas Capital Corp.</w:t>
            </w:r>
          </w:p>
        </w:tc>
        <w:tc>
          <w:tcPr>
            <w:tcW w:w="2220" w:type="dxa"/>
            <w:vAlign w:val="bottom"/>
          </w:tcPr>
          <w:p>
            <w:pPr>
              <w:spacing w:after="0"/>
              <w:rPr>
                <w:sz w:val="24"/>
                <w:szCs w:val="24"/>
                <w:color w:val="auto"/>
              </w:rPr>
            </w:pPr>
          </w:p>
        </w:tc>
      </w:tr>
      <w:tr>
        <w:trPr>
          <w:trHeight w:val="174"/>
        </w:trPr>
        <w:tc>
          <w:tcPr>
            <w:tcW w:w="6380" w:type="dxa"/>
            <w:vAlign w:val="bottom"/>
          </w:tcPr>
          <w:p>
            <w:pPr>
              <w:jc w:val="center"/>
              <w:ind w:left="2596"/>
              <w:spacing w:after="0"/>
              <w:rPr>
                <w:sz w:val="20"/>
                <w:szCs w:val="20"/>
                <w:color w:val="auto"/>
              </w:rPr>
            </w:pPr>
            <w:r>
              <w:rPr>
                <w:rFonts w:ascii="Arial" w:cs="Arial" w:eastAsia="Arial" w:hAnsi="Arial"/>
                <w:sz w:val="14"/>
                <w:szCs w:val="14"/>
                <w:b w:val="1"/>
                <w:bCs w:val="1"/>
                <w:color w:val="auto"/>
                <w:w w:val="85"/>
              </w:rPr>
              <w:t>(Issuer with respect to the Securities)</w:t>
            </w:r>
          </w:p>
        </w:tc>
        <w:tc>
          <w:tcPr>
            <w:tcW w:w="2220" w:type="dxa"/>
            <w:vAlign w:val="bottom"/>
          </w:tcPr>
          <w:p>
            <w:pPr>
              <w:spacing w:after="0"/>
              <w:rPr>
                <w:sz w:val="15"/>
                <w:szCs w:val="15"/>
                <w:color w:val="auto"/>
              </w:rPr>
            </w:pPr>
          </w:p>
        </w:tc>
      </w:tr>
      <w:tr>
        <w:trPr>
          <w:trHeight w:val="393"/>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87"/>
              </w:rPr>
              <w:t>Nevada</w:t>
            </w:r>
          </w:p>
        </w:tc>
        <w:tc>
          <w:tcPr>
            <w:tcW w:w="2220" w:type="dxa"/>
            <w:vAlign w:val="bottom"/>
          </w:tcPr>
          <w:p>
            <w:pPr>
              <w:jc w:val="center"/>
              <w:ind w:left="62"/>
              <w:spacing w:after="0"/>
              <w:rPr>
                <w:sz w:val="20"/>
                <w:szCs w:val="20"/>
                <w:color w:val="auto"/>
              </w:rPr>
            </w:pPr>
            <w:r>
              <w:rPr>
                <w:rFonts w:ascii="Arial" w:cs="Arial" w:eastAsia="Arial" w:hAnsi="Arial"/>
                <w:sz w:val="18"/>
                <w:szCs w:val="18"/>
                <w:b w:val="1"/>
                <w:bCs w:val="1"/>
                <w:color w:val="auto"/>
                <w:w w:val="87"/>
              </w:rPr>
              <w:t>46-0484992</w:t>
            </w:r>
          </w:p>
        </w:tc>
      </w:tr>
      <w:tr>
        <w:trPr>
          <w:trHeight w:val="174"/>
        </w:trPr>
        <w:tc>
          <w:tcPr>
            <w:tcW w:w="6380" w:type="dxa"/>
            <w:vAlign w:val="bottom"/>
          </w:tcPr>
          <w:p>
            <w:pPr>
              <w:jc w:val="center"/>
              <w:ind w:right="2816"/>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2220" w:type="dxa"/>
            <w:vAlign w:val="bottom"/>
          </w:tcPr>
          <w:p>
            <w:pPr>
              <w:jc w:val="center"/>
              <w:ind w:left="6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391"/>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86"/>
              </w:rPr>
              <w:t>3131 Las Vegas Boulevard South</w:t>
            </w:r>
          </w:p>
        </w:tc>
        <w:tc>
          <w:tcPr>
            <w:tcW w:w="2220" w:type="dxa"/>
            <w:vAlign w:val="bottom"/>
          </w:tcPr>
          <w:p>
            <w:pPr>
              <w:spacing w:after="0"/>
              <w:rPr>
                <w:sz w:val="24"/>
                <w:szCs w:val="24"/>
                <w:color w:val="auto"/>
              </w:rPr>
            </w:pPr>
          </w:p>
        </w:tc>
      </w:tr>
      <w:tr>
        <w:trPr>
          <w:trHeight w:val="231"/>
        </w:trPr>
        <w:tc>
          <w:tcPr>
            <w:tcW w:w="6380" w:type="dxa"/>
            <w:vAlign w:val="bottom"/>
          </w:tcPr>
          <w:p>
            <w:pPr>
              <w:jc w:val="center"/>
              <w:ind w:right="2816"/>
              <w:spacing w:after="0"/>
              <w:rPr>
                <w:sz w:val="20"/>
                <w:szCs w:val="20"/>
                <w:color w:val="auto"/>
              </w:rPr>
            </w:pPr>
            <w:r>
              <w:rPr>
                <w:rFonts w:ascii="Arial" w:cs="Arial" w:eastAsia="Arial" w:hAnsi="Arial"/>
                <w:sz w:val="18"/>
                <w:szCs w:val="18"/>
                <w:b w:val="1"/>
                <w:bCs w:val="1"/>
                <w:color w:val="auto"/>
                <w:w w:val="85"/>
              </w:rPr>
              <w:t>Las Vegas, Nevada</w:t>
            </w:r>
          </w:p>
        </w:tc>
        <w:tc>
          <w:tcPr>
            <w:tcW w:w="2220" w:type="dxa"/>
            <w:vAlign w:val="bottom"/>
          </w:tcPr>
          <w:p>
            <w:pPr>
              <w:jc w:val="center"/>
              <w:ind w:left="62"/>
              <w:spacing w:after="0"/>
              <w:rPr>
                <w:sz w:val="20"/>
                <w:szCs w:val="20"/>
                <w:color w:val="auto"/>
              </w:rPr>
            </w:pPr>
            <w:r>
              <w:rPr>
                <w:rFonts w:ascii="Arial" w:cs="Arial" w:eastAsia="Arial" w:hAnsi="Arial"/>
                <w:sz w:val="18"/>
                <w:szCs w:val="18"/>
                <w:b w:val="1"/>
                <w:bCs w:val="1"/>
                <w:color w:val="auto"/>
                <w:w w:val="87"/>
              </w:rPr>
              <w:t>89109</w:t>
            </w:r>
          </w:p>
        </w:tc>
      </w:tr>
      <w:tr>
        <w:trPr>
          <w:trHeight w:val="174"/>
        </w:trPr>
        <w:tc>
          <w:tcPr>
            <w:tcW w:w="6380" w:type="dxa"/>
            <w:vAlign w:val="bottom"/>
          </w:tcPr>
          <w:p>
            <w:pPr>
              <w:jc w:val="center"/>
              <w:ind w:right="2816"/>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20" w:type="dxa"/>
            <w:vAlign w:val="bottom"/>
          </w:tcPr>
          <w:p>
            <w:pPr>
              <w:jc w:val="center"/>
              <w:ind w:left="62"/>
              <w:spacing w:after="0"/>
              <w:rPr>
                <w:sz w:val="20"/>
                <w:szCs w:val="20"/>
                <w:color w:val="auto"/>
              </w:rPr>
            </w:pPr>
            <w:r>
              <w:rPr>
                <w:rFonts w:ascii="Arial" w:cs="Arial" w:eastAsia="Arial" w:hAnsi="Arial"/>
                <w:sz w:val="14"/>
                <w:szCs w:val="14"/>
                <w:b w:val="1"/>
                <w:bCs w:val="1"/>
                <w:color w:val="auto"/>
                <w:w w:val="92"/>
              </w:rPr>
              <w:t>(Zip Code)</w:t>
            </w:r>
          </w:p>
        </w:tc>
      </w:tr>
    </w:tbl>
    <w:p>
      <w:pPr>
        <w:spacing w:after="0" w:line="12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6 5/8% First Mortgage Notes Due 2014</w:t>
      </w:r>
    </w:p>
    <w:p>
      <w:pPr>
        <w:spacing w:after="0" w:line="13"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Guarantees related to the 6 5/8% First Mortgage Notes Due 2014</w:t>
      </w:r>
    </w:p>
    <w:p>
      <w:pPr>
        <w:ind w:left="3280"/>
        <w:spacing w:after="0"/>
        <w:rPr>
          <w:sz w:val="20"/>
          <w:szCs w:val="20"/>
          <w:color w:val="auto"/>
        </w:rPr>
      </w:pPr>
      <w:r>
        <w:rPr>
          <w:rFonts w:ascii="Arial" w:cs="Arial" w:eastAsia="Arial" w:hAnsi="Arial"/>
          <w:sz w:val="18"/>
          <w:szCs w:val="18"/>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130810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156845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40"/>
          </w:cols>
          <w:pgMar w:left="1420" w:top="125" w:right="239" w:bottom="1440" w:gutter="0" w:footer="0" w:header="0"/>
        </w:sectPr>
      </w:pPr>
    </w:p>
    <w:bookmarkStart w:id="262" w:name="page263"/>
    <w:bookmarkEnd w:id="26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T-1</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GENERAL INFORMATION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Furnish the following information as to the Trustee.</w:t>
      </w:r>
    </w:p>
    <w:p>
      <w:pPr>
        <w:spacing w:after="0" w:line="96" w:lineRule="exact"/>
        <w:rPr>
          <w:sz w:val="20"/>
          <w:szCs w:val="20"/>
          <w:color w:val="auto"/>
        </w:rPr>
      </w:pPr>
    </w:p>
    <w:p>
      <w:pPr>
        <w:ind w:left="900" w:hanging="446"/>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40" w:right="6300" w:hanging="886"/>
        <w:spacing w:after="0" w:line="362" w:lineRule="auto"/>
        <w:tabs>
          <w:tab w:leader="none" w:pos="899"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Whether it is authorized to exercise corporate trust powers. </w:t>
      </w:r>
      <w:r>
        <w:rPr>
          <w:rFonts w:ascii="Arial" w:cs="Arial" w:eastAsia="Arial" w:hAnsi="Arial"/>
          <w:sz w:val="18"/>
          <w:szCs w:val="18"/>
          <w:color w:val="auto"/>
        </w:rPr>
        <w:t>Yes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 xml:space="preserve">AFFILIATIONS WITH OBLIGOR. </w:t>
      </w:r>
      <w:r>
        <w:rPr>
          <w:rFonts w:ascii="Arial" w:cs="Arial" w:eastAsia="Arial" w:hAnsi="Arial"/>
          <w:sz w:val="16"/>
          <w:szCs w:val="16"/>
          <w:i w:val="1"/>
          <w:iCs w:val="1"/>
          <w:color w:val="auto"/>
        </w:rPr>
        <w:t>If the obligor is an affiliate of the Trustee, describe each such affiliation.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1040" w:hanging="1025"/>
        <w:spacing w:after="0" w:line="268" w:lineRule="auto"/>
        <w:tabs>
          <w:tab w:leader="none" w:pos="102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 xml:space="preserve">LIST OF EXHIBITS: </w:t>
      </w:r>
      <w:r>
        <w:rPr>
          <w:rFonts w:ascii="Arial" w:cs="Arial" w:eastAsia="Arial" w:hAnsi="Arial"/>
          <w:sz w:val="16"/>
          <w:szCs w:val="16"/>
          <w:i w:val="1"/>
          <w:iCs w:val="1"/>
          <w:color w:val="auto"/>
        </w:rPr>
        <w:t>List below all exhibits filed as a part of this statement of eligibility and qualification.</w:t>
      </w:r>
    </w:p>
    <w:p>
      <w:pPr>
        <w:spacing w:after="0" w:line="96" w:lineRule="exact"/>
        <w:rPr>
          <w:sz w:val="20"/>
          <w:szCs w:val="20"/>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copy of the Articles of Association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commence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copy of the certificate of authority of the Trustee to exercise corporate trust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copy of the existing bylaws of the Trustee.**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consent of the Trustee required by Section 321(b) of the Trust Indenture Act of 1939, attached as Exhibit 6.</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Report of Condition of the Trustee as of September 30, 2007 published pursuant to law or the requirements of its supervising or examining authority, attached as Exhibit 7.</w:t>
      </w:r>
    </w:p>
    <w:p>
      <w:pPr>
        <w:spacing w:after="0" w:line="13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Incorporated by reference to Exhibit 25.1 to Amendment No. 2 to registration statement on S-4, Registration Number 333-128217 filed on November 15, 2005.</w:t>
      </w:r>
    </w:p>
    <w:p>
      <w:pPr>
        <w:spacing w:after="0" w:line="38" w:lineRule="exact"/>
        <w:rPr>
          <w:rFonts w:ascii="Arial" w:cs="Arial" w:eastAsia="Arial" w:hAnsi="Arial"/>
          <w:sz w:val="18"/>
          <w:szCs w:val="18"/>
          <w:color w:val="auto"/>
        </w:rPr>
      </w:pPr>
    </w:p>
    <w:p>
      <w:pPr>
        <w:ind w:left="220" w:hanging="212"/>
        <w:spacing w:after="0"/>
        <w:tabs>
          <w:tab w:leader="none" w:pos="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S-4, Registration Number 333-145601 filed on August 21,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63" w:name="page264"/>
    <w:bookmarkEnd w:id="263"/>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St. Paul, State of Minnesota on the 13th of February, 2008.</w:t>
      </w:r>
    </w:p>
    <w:p>
      <w:pPr>
        <w:spacing w:after="0" w:line="200" w:lineRule="exact"/>
        <w:rPr>
          <w:sz w:val="20"/>
          <w:szCs w:val="20"/>
          <w:color w:val="auto"/>
        </w:rPr>
      </w:pP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274" w:right="439" w:bottom="1440" w:gutter="0" w:footer="0" w:header="0"/>
        </w:sectPr>
      </w:pPr>
    </w:p>
    <w:bookmarkStart w:id="264" w:name="page265"/>
    <w:bookmarkEnd w:id="26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6</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CONSENT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200" w:lineRule="exact"/>
        <w:rPr>
          <w:sz w:val="20"/>
          <w:szCs w:val="20"/>
          <w:color w:val="auto"/>
        </w:rPr>
      </w:pPr>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Raymond S. Haverstock</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Richard Prokosch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Prokosch</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6520" w:type="dxa"/>
            <w:vAlign w:val="bottom"/>
            <w:gridSpan w:val="2"/>
          </w:tcPr>
          <w:p>
            <w:pPr>
              <w:jc w:val="center"/>
              <w:ind w:right="3040"/>
              <w:spacing w:after="0"/>
              <w:rPr>
                <w:sz w:val="20"/>
                <w:szCs w:val="20"/>
                <w:color w:val="auto"/>
              </w:rPr>
            </w:pPr>
            <w:r>
              <w:rPr>
                <w:rFonts w:ascii="Arial" w:cs="Arial" w:eastAsia="Arial" w:hAnsi="Arial"/>
                <w:sz w:val="18"/>
                <w:szCs w:val="18"/>
                <w:b w:val="1"/>
                <w:bCs w:val="1"/>
                <w:color w:val="auto"/>
                <w:w w:val="90"/>
              </w:rPr>
              <w:t>Exhibit 7</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652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87"/>
              </w:rPr>
              <w:t>U.S. Bank National Association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652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88"/>
              </w:rPr>
              <w:t>Statement of Financial Condition</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3980" w:type="dxa"/>
            <w:vAlign w:val="bottom"/>
          </w:tcPr>
          <w:p>
            <w:pPr>
              <w:spacing w:after="0"/>
              <w:rPr>
                <w:sz w:val="19"/>
                <w:szCs w:val="19"/>
                <w:color w:val="auto"/>
              </w:rPr>
            </w:pPr>
          </w:p>
        </w:tc>
        <w:tc>
          <w:tcPr>
            <w:tcW w:w="652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87"/>
              </w:rPr>
              <w:t>As of 9/30/2007</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3980" w:type="dxa"/>
            <w:vAlign w:val="bottom"/>
          </w:tcPr>
          <w:p>
            <w:pPr>
              <w:spacing w:after="0"/>
              <w:rPr>
                <w:sz w:val="24"/>
                <w:szCs w:val="24"/>
                <w:color w:val="auto"/>
              </w:rPr>
            </w:pPr>
          </w:p>
        </w:tc>
        <w:tc>
          <w:tcPr>
            <w:tcW w:w="6520" w:type="dxa"/>
            <w:vAlign w:val="bottom"/>
            <w:gridSpan w:val="2"/>
          </w:tcPr>
          <w:p>
            <w:pPr>
              <w:jc w:val="center"/>
              <w:ind w:right="3060"/>
              <w:spacing w:after="0"/>
              <w:rPr>
                <w:sz w:val="20"/>
                <w:szCs w:val="20"/>
                <w:color w:val="auto"/>
              </w:rPr>
            </w:pPr>
            <w:r>
              <w:rPr>
                <w:rFonts w:ascii="Arial" w:cs="Arial" w:eastAsia="Arial" w:hAnsi="Arial"/>
                <w:sz w:val="18"/>
                <w:szCs w:val="18"/>
                <w:b w:val="1"/>
                <w:bCs w:val="1"/>
                <w:color w:val="auto"/>
                <w:w w:val="86"/>
              </w:rPr>
              <w:t>($000’s)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0"/>
        </w:trPr>
        <w:tc>
          <w:tcPr>
            <w:tcW w:w="39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9/30/2007</w:t>
            </w:r>
          </w:p>
        </w:tc>
        <w:tc>
          <w:tcPr>
            <w:tcW w:w="20" w:type="dxa"/>
            <w:vAlign w:val="bottom"/>
          </w:tcPr>
          <w:p>
            <w:pPr>
              <w:spacing w:after="0"/>
              <w:rPr>
                <w:sz w:val="24"/>
                <w:szCs w:val="24"/>
                <w:color w:val="auto"/>
              </w:rPr>
            </w:pPr>
          </w:p>
        </w:tc>
      </w:tr>
      <w:tr>
        <w:trPr>
          <w:trHeight w:val="211"/>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Cash and Due From Depository Institutions</w:t>
            </w:r>
          </w:p>
        </w:tc>
        <w:tc>
          <w:tcPr>
            <w:tcW w:w="6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6,710,248</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39,854,938</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Federal Funds</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3,917,791</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&amp; Lease Financing Receivables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147,446,753</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Fixed Assets</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2,385,656</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11,966,716</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13,693,927</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6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225,976,029</w:t>
            </w:r>
          </w:p>
        </w:tc>
        <w:tc>
          <w:tcPr>
            <w:tcW w:w="20" w:type="dxa"/>
            <w:vAlign w:val="bottom"/>
          </w:tcPr>
          <w:p>
            <w:pPr>
              <w:spacing w:after="0"/>
              <w:rPr>
                <w:sz w:val="18"/>
                <w:szCs w:val="18"/>
                <w:color w:val="auto"/>
              </w:rPr>
            </w:pPr>
          </w:p>
        </w:tc>
      </w:tr>
      <w:tr>
        <w:trPr>
          <w:trHeight w:val="322"/>
        </w:trPr>
        <w:tc>
          <w:tcPr>
            <w:tcW w:w="3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6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133,188,625</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Fed Funds</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12,571,367</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Treasury Demand Notes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Trading Liabilities</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234,272</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Borrowed Money</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41,979,138</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Acceptances</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Subordinated Notes and Debentures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7,697,466</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Other Liabilities</w:t>
            </w:r>
          </w:p>
        </w:tc>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8,035,934</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Liabilities</w:t>
            </w:r>
          </w:p>
        </w:tc>
        <w:tc>
          <w:tcPr>
            <w:tcW w:w="6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203,706,802</w:t>
            </w:r>
          </w:p>
        </w:tc>
        <w:tc>
          <w:tcPr>
            <w:tcW w:w="20" w:type="dxa"/>
            <w:vAlign w:val="bottom"/>
          </w:tcPr>
          <w:p>
            <w:pPr>
              <w:spacing w:after="0"/>
              <w:rPr>
                <w:sz w:val="18"/>
                <w:szCs w:val="18"/>
                <w:color w:val="auto"/>
              </w:rPr>
            </w:pPr>
          </w:p>
        </w:tc>
      </w:tr>
      <w:tr>
        <w:trPr>
          <w:trHeight w:val="322"/>
        </w:trPr>
        <w:tc>
          <w:tcPr>
            <w:tcW w:w="39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in Subsidiaries</w:t>
            </w:r>
          </w:p>
        </w:tc>
        <w:tc>
          <w:tcPr>
            <w:tcW w:w="6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1,542,042</w:t>
            </w:r>
          </w:p>
        </w:tc>
        <w:tc>
          <w:tcPr>
            <w:tcW w:w="20" w:type="dxa"/>
            <w:vAlign w:val="bottom"/>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Common and Preferred Stock</w:t>
            </w:r>
          </w:p>
        </w:tc>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18,200</w:t>
            </w:r>
          </w:p>
        </w:tc>
        <w:tc>
          <w:tcPr>
            <w:tcW w:w="2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Surplus</w:t>
            </w:r>
          </w:p>
        </w:tc>
        <w:tc>
          <w:tcPr>
            <w:tcW w:w="6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12,057,531</w:t>
            </w:r>
          </w:p>
        </w:tc>
        <w:tc>
          <w:tcPr>
            <w:tcW w:w="20" w:type="dxa"/>
            <w:vAlign w:val="bottom"/>
          </w:tcPr>
          <w:p>
            <w:pPr>
              <w:spacing w:after="0"/>
              <w:rPr>
                <w:sz w:val="18"/>
                <w:szCs w:val="18"/>
                <w:color w:val="auto"/>
              </w:rPr>
            </w:pPr>
          </w:p>
        </w:tc>
      </w:tr>
      <w:tr>
        <w:trPr>
          <w:trHeight w:val="223"/>
        </w:trPr>
        <w:tc>
          <w:tcPr>
            <w:tcW w:w="3980" w:type="dxa"/>
            <w:vAlign w:val="bottom"/>
          </w:tcPr>
          <w:p>
            <w:pPr>
              <w:ind w:left="440"/>
              <w:spacing w:after="0"/>
              <w:rPr>
                <w:sz w:val="20"/>
                <w:szCs w:val="20"/>
                <w:color w:val="auto"/>
              </w:rPr>
            </w:pPr>
            <w:r>
              <w:rPr>
                <w:rFonts w:ascii="Arial" w:cs="Arial" w:eastAsia="Arial" w:hAnsi="Arial"/>
                <w:sz w:val="18"/>
                <w:szCs w:val="18"/>
                <w:color w:val="auto"/>
              </w:rPr>
              <w:t>Undivided Profits</w:t>
            </w:r>
          </w:p>
        </w:tc>
        <w:tc>
          <w:tcPr>
            <w:tcW w:w="6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8,651,454</w:t>
            </w:r>
          </w:p>
        </w:tc>
        <w:tc>
          <w:tcPr>
            <w:tcW w:w="20" w:type="dxa"/>
            <w:vAlign w:val="bottom"/>
          </w:tcPr>
          <w:p>
            <w:pPr>
              <w:spacing w:after="0"/>
              <w:rPr>
                <w:sz w:val="19"/>
                <w:szCs w:val="19"/>
                <w:color w:val="auto"/>
              </w:rPr>
            </w:pPr>
          </w:p>
        </w:tc>
      </w:tr>
      <w:tr>
        <w:trPr>
          <w:trHeight w:val="216"/>
        </w:trPr>
        <w:tc>
          <w:tcPr>
            <w:tcW w:w="39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 Equity Capital</w:t>
            </w:r>
          </w:p>
        </w:tc>
        <w:tc>
          <w:tcPr>
            <w:tcW w:w="6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22,269,227</w:t>
            </w:r>
          </w:p>
        </w:tc>
        <w:tc>
          <w:tcPr>
            <w:tcW w:w="20" w:type="dxa"/>
            <w:vAlign w:val="bottom"/>
          </w:tcPr>
          <w:p>
            <w:pPr>
              <w:spacing w:after="0"/>
              <w:rPr>
                <w:sz w:val="18"/>
                <w:szCs w:val="18"/>
                <w:color w:val="auto"/>
              </w:rPr>
            </w:pPr>
          </w:p>
        </w:tc>
      </w:tr>
      <w:tr>
        <w:trPr>
          <w:trHeight w:val="322"/>
        </w:trPr>
        <w:tc>
          <w:tcPr>
            <w:tcW w:w="398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6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9"/>
              </w:rPr>
              <w:t>225,976,029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 the best of the undersigned’s determination, as of the date hereof, the above financial information is true and correct.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Bank National Association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Vice President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w:t>
      </w:r>
      <w:r>
        <w:rPr>
          <w:rFonts w:ascii="Arial" w:cs="Arial" w:eastAsia="Arial" w:hAnsi="Arial"/>
          <w:sz w:val="22"/>
          <w:szCs w:val="22"/>
          <w:color w:val="auto"/>
          <w:vertAlign w:val="superscript"/>
        </w:rPr>
        <w:t>th</w:t>
      </w:r>
      <w:r>
        <w:rPr>
          <w:rFonts w:ascii="Arial" w:cs="Arial" w:eastAsia="Arial" w:hAnsi="Arial"/>
          <w:sz w:val="18"/>
          <w:szCs w:val="18"/>
          <w:color w:val="auto"/>
        </w:rPr>
        <w:t>, 2008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LETTER OF TRANSMITTAL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Offer to Exchange all Outstanding</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on November 6,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2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That Have Been Registered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as Amended,</w:t>
      </w:r>
    </w:p>
    <w:p>
      <w:pPr>
        <w:sectPr>
          <w:pgSz w:w="11900" w:h="16838" w:orient="portrait"/>
          <w:cols w:equalWidth="0" w:num="1">
            <w:col w:w="11420"/>
          </w:cols>
          <w:pgMar w:left="240" w:top="125" w:right="239" w:bottom="1440" w:gutter="0" w:footer="0" w:header="0"/>
        </w:sectPr>
      </w:pPr>
    </w:p>
    <w:p>
      <w:pPr>
        <w:spacing w:after="0" w:line="9"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2008</w:t>
      </w:r>
    </w:p>
    <w:p>
      <w:pPr>
        <w:spacing w:after="0" w:line="200"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spacing w:after="0" w:line="34" w:lineRule="exact"/>
        <w:rPr>
          <w:sz w:val="20"/>
          <w:szCs w:val="20"/>
          <w:color w:val="auto"/>
        </w:rPr>
      </w:pPr>
    </w:p>
    <w:p>
      <w:pPr>
        <w:ind w:left="120" w:right="740"/>
        <w:spacing w:after="0" w:line="262" w:lineRule="auto"/>
        <w:rPr>
          <w:sz w:val="20"/>
          <w:szCs w:val="20"/>
          <w:color w:val="auto"/>
        </w:rPr>
      </w:pPr>
      <w:r>
        <w:rPr>
          <w:rFonts w:ascii="Arial" w:cs="Arial" w:eastAsia="Arial" w:hAnsi="Arial"/>
          <w:sz w:val="18"/>
          <w:szCs w:val="18"/>
          <w:b w:val="1"/>
          <w:bCs w:val="1"/>
          <w:color w:val="auto"/>
        </w:rPr>
        <w:t>THE EXCHANGE OFFER WILL EXPIRE AT 5:00 P.M. NEW YORK CITY TIME, ON , 2008, UNLESS EXTENDED BY THE ISSUERS (THE “EXPIRATION DATE”). TENDERS MAY BE WITHDRAWN PRIOR TO 5:00 P.M., NEW YORK CITY TIME, ON THE EXPIRATION DATE.</w:t>
      </w:r>
    </w:p>
    <w:p>
      <w:pPr>
        <w:sectPr>
          <w:pgSz w:w="11900" w:h="16838" w:orient="portrait"/>
          <w:cols w:equalWidth="0" w:num="1">
            <w:col w:w="11420"/>
          </w:cols>
          <w:pgMar w:left="240" w:top="125" w:right="239" w:bottom="1440" w:gutter="0" w:footer="0" w:header="0"/>
          <w:type w:val="continuous"/>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Hand, Overnight Delivery or by Mail: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Minnesota 55107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Specialized Finance Dept.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Facsimile Transmission: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651-495-8158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800-934-6802</w:t>
      </w:r>
    </w:p>
    <w:p>
      <w:pPr>
        <w:spacing w:after="0" w:line="165" w:lineRule="exact"/>
        <w:rPr>
          <w:sz w:val="20"/>
          <w:szCs w:val="20"/>
          <w:color w:val="auto"/>
        </w:rPr>
      </w:pPr>
    </w:p>
    <w:p>
      <w:pPr>
        <w:ind w:right="1360" w:firstLine="456"/>
        <w:spacing w:after="0" w:line="339" w:lineRule="auto"/>
        <w:rPr>
          <w:sz w:val="20"/>
          <w:szCs w:val="20"/>
          <w:color w:val="auto"/>
        </w:rPr>
      </w:pPr>
      <w:r>
        <w:rPr>
          <w:rFonts w:ascii="Arial" w:cs="Arial" w:eastAsia="Arial" w:hAnsi="Arial"/>
          <w:sz w:val="16"/>
          <w:szCs w:val="16"/>
          <w:b w:val="1"/>
          <w:bCs w:val="1"/>
          <w:color w:val="auto"/>
        </w:rPr>
        <w:t>DELIVERY OF THIS INSTRUMENT TO AN ADDRESS OTHER THAN AS SET FORTH ABOVE, OR TRANSMISSION OF INSTRUCTIONS VIA FACSIMILE OTHER THAN AS SET FORTH ABOVE, WILL NOT CONSTITUTE A VALID DELIVERY.</w:t>
      </w:r>
    </w:p>
    <w:p>
      <w:pPr>
        <w:spacing w:after="0" w:line="80" w:lineRule="exact"/>
        <w:rPr>
          <w:sz w:val="20"/>
          <w:szCs w:val="20"/>
          <w:color w:val="auto"/>
        </w:rPr>
      </w:pPr>
    </w:p>
    <w:p>
      <w:pPr>
        <w:ind w:right="20" w:firstLine="456"/>
        <w:spacing w:after="0" w:line="281" w:lineRule="auto"/>
        <w:rPr>
          <w:sz w:val="20"/>
          <w:szCs w:val="20"/>
          <w:color w:val="auto"/>
        </w:rPr>
      </w:pPr>
      <w:r>
        <w:rPr>
          <w:rFonts w:ascii="Arial" w:cs="Arial" w:eastAsia="Arial" w:hAnsi="Arial"/>
          <w:sz w:val="16"/>
          <w:szCs w:val="16"/>
          <w:color w:val="auto"/>
        </w:rPr>
        <w:t>The undersigned acknowledges that he or she has received the Prospectus, dated , 2008 (the “Prospectus”), of Wynn Las Vegas, LLC, a Nevada limited liability company, and Wynn Las Vegas Capital Corp., a Nevada corporation (together, the “Issuers”), and this Letter of Transmittal (the “Letter”),</w:t>
      </w:r>
    </w:p>
    <w:p>
      <w:pPr>
        <w:spacing w:after="0" w:line="1"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color w:val="auto"/>
        </w:rPr>
        <w:t xml:space="preserve">which together constitute the Issuers’ offer (the “Exchange Offer”) to exchange an aggregate principal amount of up to $400,000,000 of the Issuers’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2014 that have been registered under the Securities Act of 1933, as amended (the “Securities Act” and, such notes, the “New Notes”), for a like principal amount of the Issuers’ issued and outstanding 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First Mortgage Notes due 2014 issued on November 6, 2007 (the “Old Notes”) from the registered holders thereof (the “Holders”).</w:t>
      </w:r>
    </w:p>
    <w:p>
      <w:pPr>
        <w:spacing w:after="0" w:line="1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each Old Note accepted for exchange, the Holder of such Old Note will receive a New Note having a principal amount equal to that of the surrendered Old Note. The New Notes will bear interest from the most recent date to which interest has been paid on the Old Notes. Accordingly, registered Holders of New Notes on the relevant record date for the first interest payment date following the consummation of the Exchange Offer will receive interest accruing from the most recent date to which interest has been paid. Old Notes accepted for</w:t>
      </w:r>
    </w:p>
    <w:p>
      <w:pPr>
        <w:sectPr>
          <w:pgSz w:w="11900" w:h="16838" w:orient="portrait"/>
          <w:cols w:equalWidth="0" w:num="1">
            <w:col w:w="11420"/>
          </w:cols>
          <w:pgMar w:left="240" w:top="125" w:right="239" w:bottom="1440" w:gutter="0" w:footer="0" w:header="0"/>
          <w:type w:val="continuous"/>
        </w:sectPr>
      </w:pPr>
    </w:p>
    <w:bookmarkStart w:id="267" w:name="page268"/>
    <w:bookmarkEnd w:id="26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will cease to accrue interest from and after the date of consummation of the Exchange Offer. Holders of Old Notes whose Old Notes are accepted for exchange will not receive any payment in respect of accrued interest on such Old Notes otherwise payable on any interest payment date the record date for which occurs on or after consummation of the Exchange Offer.</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This Letter is to be completed by a holder of Old Notes either if certificates are to be forwarded herewith or if a tender of Old Notes is to be made by book-entry transfer to the account maintained by the Exchange Agent at The Depository Trust Company (the “Book-Entry Transfer Facility”) pursuant to the procedures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(as defined below), which states that the Book-Entry Transfer Facility has received an express acknowledgment from the tendering participant, which acknowledgment states that such participant has received and agrees to be bound by this Letter and that the Issuers may enforce this Letter against such participant. Holders of Old Notes whose certificates are not immediately available, or who are unable to deliver their certificates or confirmation of the book-entry tender of their Old Notes into the Exchange Agent’s account at the Book-Entry Transfer Facility (a “Book-Entry Confirmation”) and all other documents required by this Letter to the Exchange Agent prior to the Expiration Date, must tender their Old Notes according to the guaranteed delivery procedures set forth in “The Exchange Offer—Guaranteed Delivery Procedures” section of the Prospectus. See Instruction 1.</w:t>
      </w:r>
    </w:p>
    <w:p>
      <w:pPr>
        <w:spacing w:after="0" w:line="121" w:lineRule="exact"/>
        <w:rPr>
          <w:sz w:val="20"/>
          <w:szCs w:val="20"/>
          <w:color w:val="auto"/>
        </w:rPr>
      </w:pPr>
    </w:p>
    <w:p>
      <w:pPr>
        <w:ind w:right="920" w:firstLine="456"/>
        <w:spacing w:after="0" w:line="275" w:lineRule="auto"/>
        <w:rPr>
          <w:sz w:val="20"/>
          <w:szCs w:val="20"/>
          <w:color w:val="auto"/>
        </w:rPr>
      </w:pPr>
      <w:r>
        <w:rPr>
          <w:rFonts w:ascii="Arial" w:cs="Arial" w:eastAsia="Arial" w:hAnsi="Arial"/>
          <w:sz w:val="18"/>
          <w:szCs w:val="18"/>
          <w:b w:val="1"/>
          <w:bCs w:val="1"/>
          <w:color w:val="auto"/>
        </w:rPr>
        <w:t>DELIVERY OF DOCUMENTS TO THE BOOK-ENTRY TRANSFER FACILITY DOES NOT CONSTITUTE DELIVERY TO THE EXCHANGE AGENT.</w:t>
      </w:r>
    </w:p>
    <w:p>
      <w:pPr>
        <w:spacing w:after="0" w:line="4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undersigned has completed the appropriate boxes below and signed this Letter to indicate the action the undersigned desires to take with respect to the Exchange Offer.</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List below the Old Notes to which this Letter relates. If the space provided below is inadequate, the certificate numbers, if applicable, and principal amount of Old Notes should be listed on a separate signed schedule affixed hereto.</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980" w:type="dxa"/>
            <w:vAlign w:val="bottom"/>
            <w:tcBorders>
              <w:top w:val="single" w:sz="8" w:color="auto"/>
              <w:left w:val="single" w:sz="8" w:color="auto"/>
              <w:bottom w:val="single" w:sz="8" w:color="auto"/>
              <w:right w:val="single" w:sz="8" w:color="auto"/>
            </w:tcBorders>
          </w:tcPr>
          <w:p>
            <w:pPr>
              <w:jc w:val="center"/>
              <w:ind w:left="46"/>
              <w:spacing w:after="0"/>
              <w:rPr>
                <w:sz w:val="20"/>
                <w:szCs w:val="20"/>
                <w:color w:val="auto"/>
              </w:rPr>
            </w:pPr>
            <w:r>
              <w:rPr>
                <w:rFonts w:ascii="Arial" w:cs="Arial" w:eastAsia="Arial" w:hAnsi="Arial"/>
                <w:sz w:val="18"/>
                <w:szCs w:val="18"/>
                <w:b w:val="1"/>
                <w:bCs w:val="1"/>
                <w:color w:val="auto"/>
                <w:w w:val="98"/>
              </w:rPr>
              <w:t>DESCRIPTION OF OLD NOTES</w:t>
            </w: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113"/>
        </w:trPr>
        <w:tc>
          <w:tcPr>
            <w:tcW w:w="6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4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Aggregate</w:t>
            </w:r>
          </w:p>
        </w:tc>
        <w:tc>
          <w:tcPr>
            <w:tcW w:w="1460" w:type="dxa"/>
            <w:vAlign w:val="bottom"/>
          </w:tcPr>
          <w:p>
            <w:pPr>
              <w:spacing w:after="0"/>
              <w:rPr>
                <w:sz w:val="9"/>
                <w:szCs w:val="9"/>
                <w:color w:val="auto"/>
              </w:rPr>
            </w:pPr>
          </w:p>
        </w:tc>
      </w:tr>
      <w:tr>
        <w:trPr>
          <w:trHeight w:val="149"/>
        </w:trPr>
        <w:tc>
          <w:tcPr>
            <w:tcW w:w="6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r>
      <w:tr>
        <w:trPr>
          <w:trHeight w:val="149"/>
        </w:trPr>
        <w:tc>
          <w:tcPr>
            <w:tcW w:w="6980" w:type="dxa"/>
            <w:vAlign w:val="bottom"/>
          </w:tcPr>
          <w:p>
            <w:pPr>
              <w:jc w:val="center"/>
              <w:ind w:left="46"/>
              <w:spacing w:after="0" w:line="149" w:lineRule="exact"/>
              <w:rPr>
                <w:sz w:val="20"/>
                <w:szCs w:val="20"/>
                <w:color w:val="auto"/>
              </w:rPr>
            </w:pPr>
            <w:r>
              <w:rPr>
                <w:rFonts w:ascii="Arial" w:cs="Arial" w:eastAsia="Arial" w:hAnsi="Arial"/>
                <w:sz w:val="14"/>
                <w:szCs w:val="14"/>
                <w:b w:val="1"/>
                <w:bCs w:val="1"/>
                <w:color w:val="auto"/>
                <w:w w:val="86"/>
              </w:rPr>
              <w:t>Name(s) and Address(es) of Registered Holder(s)</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Certificate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r>
      <w:tr>
        <w:trPr>
          <w:trHeight w:val="174"/>
        </w:trPr>
        <w:tc>
          <w:tcPr>
            <w:tcW w:w="6980" w:type="dxa"/>
            <w:vAlign w:val="bottom"/>
          </w:tcPr>
          <w:p>
            <w:pPr>
              <w:jc w:val="center"/>
              <w:ind w:left="46"/>
              <w:spacing w:after="0"/>
              <w:rPr>
                <w:sz w:val="20"/>
                <w:szCs w:val="20"/>
                <w:color w:val="auto"/>
              </w:rPr>
            </w:pPr>
            <w:r>
              <w:rPr>
                <w:rFonts w:ascii="Arial" w:cs="Arial" w:eastAsia="Arial" w:hAnsi="Arial"/>
                <w:sz w:val="14"/>
                <w:szCs w:val="14"/>
                <w:b w:val="1"/>
                <w:bCs w:val="1"/>
                <w:color w:val="auto"/>
                <w:w w:val="88"/>
              </w:rPr>
              <w:t>(Please fill in, if blank)</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Number(s)*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Old Note(s)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Tendered**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15690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56908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Total</w:t>
      </w:r>
    </w:p>
    <w:p>
      <w:pPr>
        <w:spacing w:after="0" w:line="29" w:lineRule="exact"/>
        <w:rPr>
          <w:sz w:val="20"/>
          <w:szCs w:val="20"/>
          <w:color w:val="auto"/>
        </w:rPr>
      </w:pPr>
    </w:p>
    <w:p>
      <w:pPr>
        <w:ind w:left="520" w:hanging="390"/>
        <w:spacing w:after="0"/>
        <w:tabs>
          <w:tab w:leader="none" w:pos="5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15" w:lineRule="exact"/>
        <w:rPr>
          <w:sz w:val="20"/>
          <w:szCs w:val="20"/>
          <w:color w:val="auto"/>
        </w:rPr>
      </w:pPr>
    </w:p>
    <w:p>
      <w:pPr>
        <w:jc w:val="both"/>
        <w:ind w:left="560" w:right="360" w:hanging="430"/>
        <w:spacing w:after="0" w:line="255" w:lineRule="auto"/>
        <w:tabs>
          <w:tab w:leader="none" w:pos="52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Old Notes tendered hereby must be in denominations of principal amount of $1,000 or any integral multiple thereof. See Instruction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68" w:name="page269"/>
    <w:bookmarkEnd w:id="268"/>
    <w:p>
      <w:pPr>
        <w:ind w:left="460" w:right="180" w:hanging="452"/>
        <w:spacing w:after="0" w:line="356" w:lineRule="auto"/>
        <w:tabs>
          <w:tab w:leader="none" w:pos="460" w:val="left"/>
        </w:tabs>
        <w:numPr>
          <w:ilvl w:val="0"/>
          <w:numId w:val="224"/>
        </w:numPr>
        <w:rPr>
          <w:rFonts w:ascii="MS PGothic" w:cs="MS PGothic" w:eastAsia="MS PGothic" w:hAnsi="MS PGothic"/>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CHECK HERE IF TENDERED OLD NOTES ARE BEING DELIVERED BY BOOK-ENTRY TRANSFER MADE TO THE ACCOUNT MAINTAINED BY THE EXCHANGE AGENT WITH THE BOOK-ENTRY TRANSFER FACILITY AND COMPLETE THE FOLLOWING: </w:t>
      </w: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-86360</wp:posOffset>
            </wp:positionV>
            <wp:extent cx="42087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37"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By crediting the Old Notes to the Exchange Agent’s account at the Book-Entry Transfer Facility’s Automated Tender Offer Program (“ATOP”) and by complying with applicable ATOP procedures with respect to the Exchange Offer, including transmitting to the Exchange Agent a computer-generated Agent’s Message in which the holder of the Old Notes acknowledges and agrees to be bound by the terms of, and makes the representations and warranties contained in, this Letter, the participant in the Book-Entry Transfer Facility confirms on behalf of itself and the beneficial owners of such Old Notes all provisions of this Letter (including all representations and warranties) applicable to it and such beneficial owner as fully as if it had completed the information required herein and executed and transmitted this Letter to the Exchange Agent.</w:t>
      </w:r>
    </w:p>
    <w:p>
      <w:pPr>
        <w:spacing w:after="0" w:line="260" w:lineRule="exact"/>
        <w:rPr>
          <w:sz w:val="20"/>
          <w:szCs w:val="20"/>
          <w:color w:val="auto"/>
        </w:rPr>
      </w:pPr>
    </w:p>
    <w:p>
      <w:pPr>
        <w:ind w:left="460" w:right="600" w:hanging="452"/>
        <w:spacing w:after="0" w:line="275" w:lineRule="auto"/>
        <w:tabs>
          <w:tab w:leader="none" w:pos="460" w:val="left"/>
        </w:tabs>
        <w:numPr>
          <w:ilvl w:val="0"/>
          <w:numId w:val="225"/>
        </w:numPr>
        <w:rPr>
          <w:rFonts w:ascii="MS PGothic" w:cs="MS PGothic" w:eastAsia="MS PGothic" w:hAnsi="MS PGothic"/>
          <w:sz w:val="18"/>
          <w:szCs w:val="18"/>
          <w:color w:val="auto"/>
        </w:rPr>
      </w:pPr>
      <w:r>
        <w:rPr>
          <w:rFonts w:ascii="Arial" w:cs="Arial" w:eastAsia="Arial" w:hAnsi="Arial"/>
          <w:sz w:val="18"/>
          <w:szCs w:val="18"/>
          <w:b w:val="1"/>
          <w:bCs w:val="1"/>
          <w:color w:val="auto"/>
        </w:rPr>
        <w:t>CHECK HERE IF TENDERED OLD NOTES ARE BEING DELIVERED PURSUANT TO A NOTICE OF GUARANTEED DELIVERY PREVIOUSLY SENT TO THE EXCHANGE AGENT AND COMPLETE THE FOLLOWING:</w:t>
      </w:r>
    </w:p>
    <w:p>
      <w:pPr>
        <w:spacing w:after="0" w:line="125" w:lineRule="exact"/>
        <w:rPr>
          <w:rFonts w:ascii="MS PGothic" w:cs="MS PGothic" w:eastAsia="MS PGothic" w:hAnsi="MS PGothic"/>
          <w:sz w:val="18"/>
          <w:szCs w:val="18"/>
          <w:color w:val="auto"/>
        </w:rPr>
      </w:pPr>
    </w:p>
    <w:p>
      <w:pPr>
        <w:jc w:val="both"/>
        <w:ind w:left="460" w:right="86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Name(s) of Registered Holder(s) Window Ticket Number (if any)</w:t>
      </w: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Date of Execution of Notice of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-494030</wp:posOffset>
            </wp:positionV>
            <wp:extent cx="41249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124960" cy="8890"/>
                    </a:xfrm>
                    <a:prstGeom prst="rect">
                      <a:avLst/>
                    </a:prstGeom>
                    <a:noFill/>
                  </pic:spPr>
                </pic:pic>
              </a:graphicData>
            </a:graphic>
          </wp:anchor>
        </w:drawing>
        <w:drawing>
          <wp:anchor simplePos="0" relativeHeight="251657728" behindDoc="1" locked="0" layoutInCell="0" allowOverlap="1">
            <wp:simplePos x="0" y="0"/>
            <wp:positionH relativeFrom="column">
              <wp:posOffset>1763395</wp:posOffset>
            </wp:positionH>
            <wp:positionV relativeFrom="paragraph">
              <wp:posOffset>-254000</wp:posOffset>
            </wp:positionV>
            <wp:extent cx="40970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097020" cy="8890"/>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-13970</wp:posOffset>
            </wp:positionV>
            <wp:extent cx="30099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Institution Which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-13970</wp:posOffset>
            </wp:positionV>
            <wp:extent cx="32327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Delivered by Book-Entry Transfer, Complete the Following:</w:t>
      </w:r>
    </w:p>
    <w:p>
      <w:pPr>
        <w:spacing w:after="0" w:line="177" w:lineRule="exact"/>
        <w:rPr>
          <w:sz w:val="20"/>
          <w:szCs w:val="20"/>
          <w:color w:val="auto"/>
        </w:rPr>
      </w:pPr>
    </w:p>
    <w:p>
      <w:pPr>
        <w:ind w:left="460"/>
        <w:spacing w:after="0"/>
        <w:tabs>
          <w:tab w:leader="none" w:pos="4420" w:val="left"/>
        </w:tabs>
        <w:rPr>
          <w:sz w:val="20"/>
          <w:szCs w:val="20"/>
          <w:color w:val="auto"/>
        </w:rPr>
      </w:pPr>
      <w:r>
        <w:rPr>
          <w:rFonts w:ascii="Arial" w:cs="Arial" w:eastAsia="Arial" w:hAnsi="Arial"/>
          <w:sz w:val="18"/>
          <w:szCs w:val="18"/>
          <w:color w:val="auto"/>
        </w:rPr>
        <w:t>Account Number</w:t>
      </w:r>
      <w:r>
        <w:rPr>
          <w:sz w:val="20"/>
          <w:szCs w:val="20"/>
          <w:color w:val="auto"/>
        </w:rPr>
        <w:tab/>
      </w:r>
      <w:r>
        <w:rPr>
          <w:rFonts w:ascii="Arial" w:cs="Arial" w:eastAsia="Arial" w:hAnsi="Arial"/>
          <w:sz w:val="15"/>
          <w:szCs w:val="15"/>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-13970</wp:posOffset>
            </wp:positionV>
            <wp:extent cx="169989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699895" cy="8890"/>
                    </a:xfrm>
                    <a:prstGeom prst="rect">
                      <a:avLst/>
                    </a:prstGeom>
                    <a:noFill/>
                  </pic:spPr>
                </pic:pic>
              </a:graphicData>
            </a:graphic>
          </wp:anchor>
        </w:drawing>
        <w:drawing>
          <wp:anchor simplePos="0" relativeHeight="251657728" behindDoc="1" locked="0" layoutInCell="0" allowOverlap="1">
            <wp:simplePos x="0" y="0"/>
            <wp:positionH relativeFrom="column">
              <wp:posOffset>4027805</wp:posOffset>
            </wp:positionH>
            <wp:positionV relativeFrom="paragraph">
              <wp:posOffset>-13970</wp:posOffset>
            </wp:positionV>
            <wp:extent cx="16998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69989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-13970</wp:posOffset>
            </wp:positionV>
            <wp:extent cx="55187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1878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-13970</wp:posOffset>
            </wp:positionV>
            <wp:extent cx="53790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79085"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225425</wp:posOffset>
            </wp:positionV>
            <wp:extent cx="59366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93661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undersigned represents that it is not an “affiliate” of the Issuers as defined in Rule 405 under the Securities Act, that it acquired the New Notes in the ordinary course of its business, and that at the time of the commencement of the Exchange Offer, neither the undersigned nor, to the knowledge of the undersigned, anyone receiving New Notes from the undersigned, has any arrangement or understanding with any person to participate in the distribution, as defined in the Securities Act, of the New Notes in violation of the Securities Act. If the undersigned is not a broker-dealer, the undersigned represents that it is not engaged in, and does not intend to engage in, a distribution of the New Notes and it has no arrangements or understandings with any person to participate in a distribution of the New Notes, as defined in the Securities Act. If the undersigned is a broker-dealer, it represents that it will receive the New Notes for its own account in exchange for the Old Notes that were acquired by it as a result of its market-making or other trading activities and it will deliver a prospectus in connection with any resale of such New Notes; however, by so acknowledging and by delivering a prospectus, the undersigned will not be deemed to admit that it is an “underwriter” within the meaning of the Securities Act.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69" w:name="page270"/>
    <w:bookmarkEnd w:id="2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READ THE ACCOMPANYING INSTRUCTIONS CAREFULLY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Upon the terms and subject to the conditions of the Exchange Offer, the undersigned hereby tenders to the Issuers the aggregate principal amount of Old Notes indicated above. Subject to, and effective upon, the acceptance for exchange of the Old Notes tendered hereby, the undersigned hereby sells, assigns and transfers to, or upon the order of, the Issuers all right, title and interest in and to such Old Notes as are being tendered hereby.</w:t>
      </w:r>
    </w:p>
    <w:p>
      <w:pPr>
        <w:spacing w:after="0" w:line="107"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undersigned hereby irrevocably constitutes and appoints the Exchange Agent as the undersigned’s true and lawful agent and attorney-in-fact with respect to such tendered Old Notes, with full power of substitution, among other things, to cause the Old Notes to be assigned, transferred and exchanged. The undersigned hereby represents and warrants that the undersigned has full power and authority to tender, sell, assign and transfer the Old Notes, and to acquire New Notes issuable upon the exchange of such tendered Old Notes, and that, when the same are accepted for exchange, the Issuers will acquire good and unencumbered title thereto, free and clear of all liens, restrictions, charges and encumbrances and not subject to any adverse claim when the same are accepted by the Issuers. The undersigned hereby further represents that: (i) any New Notes received by the undersigned will be received in the ordinary course of business,</w:t>
      </w:r>
    </w:p>
    <w:p>
      <w:pPr>
        <w:spacing w:after="0" w:line="1" w:lineRule="exact"/>
        <w:rPr>
          <w:sz w:val="20"/>
          <w:szCs w:val="20"/>
          <w:color w:val="auto"/>
        </w:rPr>
      </w:pPr>
    </w:p>
    <w:p>
      <w:pPr>
        <w:ind w:right="40" w:firstLine="8"/>
        <w:spacing w:after="0" w:line="290" w:lineRule="auto"/>
        <w:tabs>
          <w:tab w:leader="none" w:pos="25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undersigned will have no arrangement or understanding with any person to participate in the distribution of the Old Notes or the New Notes within the meaning of the Securities Act, (iii) the undersigned is not an “affiliate” (as such term is defined in Rule 501(b) of Regulation D of the Securities Act) of the Issuers or the guarantors, or if the undersigned is an affiliate, then the undersigned will comply with the registration and prospectus delivery requirements of the Securities Act to the extent applicable, (iv) if the undersigned is not a broker-dealer, then it is not engaged in, and does not intend to engage in, the distribution of the New Notes, and (v) if the undersigned is a broker-dealer, then it will receive the New Notes for its own account in exchange for the Old Notes that were acquired as a result of market-making activities or other trading activities and that it will deliver a prospectus in connection with any resale of the New Notes.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undersigned acknowledges that this Exchange Offer is being made in reliance on interpretations by the staff of the Securities and Exchange Commission (the “SEC”), as set forth in no-action letters issued to third parties, that the New Notes issued pursuant to the Exchange Offer in exchange for the Old Notes may be offered for resale, resold and otherwise transferred by Holders thereof (other than any such Holder that is an “affiliate” of the Issuers or the guarantors within the meaning of Rule 501(b) of Regulation D of the Securities Act), without compliance with the registration and prospectus delivery provisions of the Securities Act, provided that such New Notes are acquired in the ordinary course of such Holders’ business and such Holders have no arrangement with any person to participate in the distribution of such New Notes. However, the SEC has not considered the Exchange Offer in the context of a no-action letter and there can be no assurance that the staff of the SEC would make a similar determination with respect to the Exchange Offer as in other circumstances. If the undersigned is not a broker-dealer, the undersigned represents that it is not engaged in, and does not intend to engage in, a distribution of New Notes and has no arrangement or understanding to participate in a distribution of New Notes. If any Holder is an affiliate of the Issuers or is engaged in or intends to engage in or has any arrangement or understanding with respect to the distribution of the New Notes to be acquired pursuant to the Exchange Offer, such Holder (i) could not rely on the applicable interpretations of the staff of the SEC and (ii) must comply with the registration and prospectus delivery requirements of the Securities Act in connection with any resale transaction. If the undersigned is a broker-dealer that will receive New Notes for its own account in exchange for Old Notes, it represents that the Old Notes to be exchanged for the New Notes were acquired by it as a result of market-making activities or other trading activities and acknowledges that it will deliver a prospectus meeting the requirements of the Securities Act in connection with any resale of such New Notes; however, by so acknowledging and by delivering a prospectus, the undersigned will not be deemed to admit that it is an “underwriter” within the meaning of the Securities Act.</w:t>
      </w:r>
    </w:p>
    <w:p>
      <w:pPr>
        <w:spacing w:after="0" w:line="12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undersigned will, upon request, execute and deliver any additional documents deemed by the Issuers to be necessary or desirable to complete the sale, assignment and transfer of the Old Notes tendered hereby. 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270" w:name="page271"/>
    <w:bookmarkEnd w:id="27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conferred or agreed to be conferred in this Letter and every obligation of the undersigned hereunder shall be binding upon the successors, assigns, heirs, executors, administrators, trustees in bankruptcy and legal representatives of the undersigned and shall not be affected by, and shall survive, the death or incapacity of the undersigned. The Exchange Offer may be withdrawn in accordance with the procedures set forth in “The Exchange Offer—Withdrawal Rights” section of the Prospectus.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Unless otherwise indicated herein in the box entitled “Special Issuance Instructions” below, please deliver the New Notes (and, if applicable, substitute certificates representing Old Notes for any Old Notes not exchanged) in the name of the undersigned or, in the case of a book-entry delivery of Old Notes, please credit the account indicated above maintained at the Book-Entry Transfer Facility. Similarly, unless otherwise indicated under the box entitled “Special Delivery Instructions” below, please send the New Notes (and, if applicable, substitute certificates representing Old Notes for any Old Notes not exchanged) to the undersigned at the address shown above in the box entitled “Description of Old Notes.”</w:t>
      </w:r>
    </w:p>
    <w:p>
      <w:pPr>
        <w:spacing w:after="0" w:line="110"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THE UNDERSIGNED, BY COMPLETING THE BOX ENTITLED “DESCRIPTION OF OLD NOTES” ABOVE AND SIGNING THIS LETTER, WILL BE DEEMED TO HAVE TENDERED THE OLD NOTES AS SET FORTH IN SUCH BOX ABOVE.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71" w:name="page272"/>
    <w:bookmarkEnd w:id="271"/>
    <w:p>
      <w:pPr>
        <w:jc w:val="center"/>
        <w:ind w:lef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473450" cy="41421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73450" cy="4142105"/>
                    </a:xfrm>
                    <a:prstGeom prst="rect">
                      <a:avLst/>
                    </a:prstGeom>
                    <a:noFill/>
                  </pic:spPr>
                </pic:pic>
              </a:graphicData>
            </a:graphic>
          </wp:anchor>
        </w:drawing>
        <w:t>SPECIAL ISSUANCE INSTRUCTIONS</w:t>
      </w:r>
    </w:p>
    <w:p>
      <w:pPr>
        <w:spacing w:after="0" w:line="21" w:lineRule="exact"/>
        <w:rPr>
          <w:sz w:val="20"/>
          <w:szCs w:val="20"/>
          <w:color w:val="auto"/>
        </w:rPr>
      </w:pPr>
    </w:p>
    <w:p>
      <w:pPr>
        <w:jc w:val="center"/>
        <w:ind w:left="40"/>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To be completed ONLY if certificates for Old Notes not exchanged and/or New Notes are to be issued in the name of and sent to someone other than the person or persons whose signature(s) appear(s) on this Letter below, or if Old Notes delivered by book-entry transfer which are not accepted for exchange are to be returned by credit to an account maintained at the Book-Entry Transfer Facility other than the account indicated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Issue New Notes and/or Old Notes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355"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(Zip Code)</w:t>
      </w:r>
    </w:p>
    <w:p>
      <w:pPr>
        <w:spacing w:after="0" w:line="231" w:lineRule="exact"/>
        <w:rPr>
          <w:sz w:val="20"/>
          <w:szCs w:val="20"/>
          <w:color w:val="auto"/>
        </w:rPr>
      </w:pPr>
    </w:p>
    <w:p>
      <w:pPr>
        <w:ind w:left="1520"/>
        <w:spacing w:after="0"/>
        <w:rPr>
          <w:sz w:val="20"/>
          <w:szCs w:val="20"/>
          <w:color w:val="auto"/>
        </w:rPr>
      </w:pPr>
      <w:r>
        <w:rPr>
          <w:rFonts w:ascii="Arial" w:cs="Arial" w:eastAsia="Arial" w:hAnsi="Arial"/>
          <w:sz w:val="14"/>
          <w:szCs w:val="14"/>
          <w:b w:val="1"/>
          <w:bCs w:val="1"/>
          <w:color w:val="auto"/>
        </w:rPr>
        <w:t>(Complete Substitute Form W-9)</w:t>
      </w:r>
    </w:p>
    <w:p>
      <w:pPr>
        <w:spacing w:after="0" w:line="235" w:lineRule="exact"/>
        <w:rPr>
          <w:sz w:val="20"/>
          <w:szCs w:val="20"/>
          <w:color w:val="auto"/>
        </w:rPr>
      </w:pPr>
    </w:p>
    <w:p>
      <w:pPr>
        <w:ind w:left="440" w:right="160" w:hanging="431"/>
        <w:spacing w:after="0" w:line="259" w:lineRule="auto"/>
        <w:tabs>
          <w:tab w:leader="none" w:pos="521" w:val="left"/>
        </w:tabs>
        <w:numPr>
          <w:ilvl w:val="0"/>
          <w:numId w:val="227"/>
        </w:numPr>
        <w:rPr>
          <w:rFonts w:ascii="MS PGothic" w:cs="MS PGothic" w:eastAsia="MS PGothic" w:hAnsi="MS PGothic"/>
          <w:sz w:val="18"/>
          <w:szCs w:val="18"/>
          <w:color w:val="auto"/>
        </w:rPr>
      </w:pPr>
      <w:r>
        <w:rPr>
          <w:rFonts w:ascii="Arial" w:cs="Arial" w:eastAsia="Arial" w:hAnsi="Arial"/>
          <w:sz w:val="18"/>
          <w:szCs w:val="18"/>
          <w:color w:val="auto"/>
        </w:rPr>
        <w:t>Credit unexchanged Old Notes delivered by book-entry transfer to the Book-Entry Transfer Facility account set forth below.</w:t>
      </w:r>
    </w:p>
    <w:p>
      <w:pPr>
        <w:spacing w:after="0" w:line="230"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(Book-Entry Transfer Facility</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Account Number, if applicable)</w:t>
      </w:r>
    </w:p>
    <w:p>
      <w:pPr>
        <w:spacing w:after="0" w:line="20" w:lineRule="exact"/>
        <w:rPr>
          <w:sz w:val="20"/>
          <w:szCs w:val="20"/>
          <w:color w:val="auto"/>
        </w:rPr>
      </w:pPr>
      <w:r>
        <w:rPr>
          <w:sz w:val="20"/>
          <w:szCs w:val="20"/>
          <w:color w:val="auto"/>
        </w:rPr>
        <w:br w:type="column"/>
      </w:r>
    </w:p>
    <w:p>
      <w:pPr>
        <w:jc w:val="center"/>
        <w:ind w:right="-499"/>
        <w:spacing w:after="0"/>
        <w:rPr>
          <w:sz w:val="20"/>
          <w:szCs w:val="20"/>
          <w:color w:val="auto"/>
        </w:rPr>
      </w:pPr>
      <w:r>
        <w:rPr>
          <w:rFonts w:ascii="Arial" w:cs="Arial" w:eastAsia="Arial" w:hAnsi="Arial"/>
          <w:sz w:val="18"/>
          <w:szCs w:val="18"/>
          <w:b w:val="1"/>
          <w:bCs w:val="1"/>
          <w:color w:val="auto"/>
        </w:rPr>
        <w:t>SPECIAL DELIVERY ISSUANCE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-276225</wp:posOffset>
            </wp:positionV>
            <wp:extent cx="7267575" cy="40303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4030345"/>
                    </a:xfrm>
                    <a:prstGeom prst="rect">
                      <a:avLst/>
                    </a:prstGeom>
                    <a:noFill/>
                  </pic:spPr>
                </pic:pic>
              </a:graphicData>
            </a:graphic>
          </wp:anchor>
        </w:drawing>
      </w:r>
    </w:p>
    <w:p>
      <w:pPr>
        <w:spacing w:after="0" w:line="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(See Instructions 3 and 4)</w:t>
      </w:r>
    </w:p>
    <w:p>
      <w:pPr>
        <w:spacing w:after="0" w:line="84" w:lineRule="exact"/>
        <w:rPr>
          <w:sz w:val="20"/>
          <w:szCs w:val="20"/>
          <w:color w:val="auto"/>
        </w:rPr>
      </w:pPr>
    </w:p>
    <w:p>
      <w:pPr>
        <w:ind w:left="440" w:firstLine="432"/>
        <w:spacing w:after="0" w:line="294" w:lineRule="auto"/>
        <w:rPr>
          <w:sz w:val="20"/>
          <w:szCs w:val="20"/>
          <w:color w:val="auto"/>
        </w:rPr>
      </w:pPr>
      <w:r>
        <w:rPr>
          <w:rFonts w:ascii="Arial" w:cs="Arial" w:eastAsia="Arial" w:hAnsi="Arial"/>
          <w:sz w:val="16"/>
          <w:szCs w:val="16"/>
          <w:color w:val="auto"/>
        </w:rPr>
        <w:t>To be completed ONLY if certificates for Old Notes not exchanged and/or New Notes are to be sent to someone other than the person or persons whose signature(s) appear(s) on this Letter below or to such person or persons at an address other than shown in the box entitled “Description of Old Notes” on this Letter above.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Mail New Notes and/or Old Notes to:</w:t>
      </w:r>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(Please Type or Print)</w:t>
      </w:r>
    </w:p>
    <w:p>
      <w:pPr>
        <w:spacing w:after="0" w:line="139"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(Please Type or Print)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(Address)</w:t>
      </w:r>
    </w:p>
    <w:p>
      <w:pPr>
        <w:spacing w:after="0" w:line="393" w:lineRule="exact"/>
        <w:rPr>
          <w:sz w:val="20"/>
          <w:szCs w:val="20"/>
          <w:color w:val="auto"/>
        </w:rPr>
      </w:pPr>
    </w:p>
    <w:p>
      <w:pPr>
        <w:ind w:left="2580"/>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880" w:space="500"/>
            <w:col w:w="5280"/>
          </w:cols>
          <w:pgMar w:left="540" w:top="368" w:right="699" w:bottom="1440" w:gutter="0" w:footer="0" w:header="0"/>
        </w:sectPr>
      </w:pPr>
    </w:p>
    <w:bookmarkStart w:id="272" w:name="page273"/>
    <w:bookmarkEnd w:id="272"/>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IMPORTANT: THIS LETTER OR A FACSIMILE HEREOF OR AN AGENT’S MESSAGE IN LIEU HEREOF (TOGETHER WITH THE CERTIFICATES FOR OLD NOTES OR A BOOK-ENTRY CONFIRMATION AND ALL OTHER REQUIRED DOCUMENTS OR THE NOTICE OF GUARANTEED DELIVERY) MUST BE RECEIVED BY THE EXCHANGE AGENT PRIOR TO 5:00 P.M., NEW YORK CITY TIME, ON THE EXPIRATION DATE.</w:t>
      </w:r>
    </w:p>
    <w:p>
      <w:pPr>
        <w:spacing w:after="0" w:line="29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PLEASE READ THIS ENTIRE LETTER OF TRANSMITTAL</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CAREFULLY BEFORE COMPLETING ANY BOX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5471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547116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HERE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COMPLETED BY ALL TENDERING 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(Complete Accompanying Substitute Form W-9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 2008</w:t>
            </w:r>
          </w:p>
        </w:tc>
        <w:tc>
          <w:tcPr>
            <w:tcW w:w="0" w:type="dxa"/>
            <w:vAlign w:val="bottom"/>
          </w:tcPr>
          <w:p>
            <w:pPr>
              <w:spacing w:after="0"/>
              <w:rPr>
                <w:sz w:val="1"/>
                <w:szCs w:val="1"/>
                <w:color w:val="auto"/>
              </w:rPr>
            </w:pPr>
          </w:p>
        </w:tc>
      </w:tr>
      <w:tr>
        <w:trPr>
          <w:trHeight w:val="439"/>
        </w:trPr>
        <w:tc>
          <w:tcPr>
            <w:tcW w:w="180" w:type="dxa"/>
            <w:vAlign w:val="bottom"/>
          </w:tcPr>
          <w:p>
            <w:pPr>
              <w:spacing w:after="0"/>
              <w:rPr>
                <w:sz w:val="20"/>
                <w:szCs w:val="20"/>
                <w:color w:val="auto"/>
              </w:rPr>
            </w:pPr>
            <w:r>
              <w:rPr>
                <w:rFonts w:ascii="Arial" w:cs="Arial" w:eastAsia="Arial" w:hAnsi="Arial"/>
                <w:sz w:val="18"/>
                <w:szCs w:val="18"/>
                <w:color w:val="auto"/>
              </w:rPr>
              <w:t>X</w:t>
            </w:r>
          </w:p>
        </w:tc>
        <w:tc>
          <w:tcPr>
            <w:tcW w:w="4040" w:type="dxa"/>
            <w:vAlign w:val="bottom"/>
            <w:tcBorders>
              <w:top w:val="single" w:sz="8" w:color="auto"/>
              <w:bottom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3"/>
              </w:rPr>
              <w:t>, 2008</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4040" w:type="dxa"/>
            <w:vAlign w:val="bottom"/>
          </w:tcPr>
          <w:p>
            <w:pPr>
              <w:ind w:left="1600"/>
              <w:spacing w:after="0" w:line="129" w:lineRule="exact"/>
              <w:rPr>
                <w:sz w:val="20"/>
                <w:szCs w:val="20"/>
                <w:color w:val="auto"/>
              </w:rPr>
            </w:pPr>
            <w:r>
              <w:rPr>
                <w:rFonts w:ascii="Arial" w:cs="Arial" w:eastAsia="Arial" w:hAnsi="Arial"/>
                <w:sz w:val="14"/>
                <w:szCs w:val="14"/>
                <w:b w:val="1"/>
                <w:bCs w:val="1"/>
                <w:color w:val="auto"/>
              </w:rPr>
              <w:t>(Signature(s) of Owner)</w:t>
            </w:r>
          </w:p>
        </w:tc>
        <w:tc>
          <w:tcPr>
            <w:tcW w:w="2700" w:type="dxa"/>
            <w:vAlign w:val="bottom"/>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Area Code and Telephone Number</w:t>
      </w:r>
    </w:p>
    <w:p>
      <w:pPr>
        <w:spacing w:after="0" w:line="252" w:lineRule="exact"/>
        <w:rPr>
          <w:sz w:val="20"/>
          <w:szCs w:val="20"/>
          <w:color w:val="auto"/>
        </w:rPr>
      </w:pPr>
    </w:p>
    <w:p>
      <w:pPr>
        <w:ind w:left="120" w:right="400" w:firstLine="432"/>
        <w:spacing w:after="0" w:line="335" w:lineRule="auto"/>
        <w:rPr>
          <w:sz w:val="20"/>
          <w:szCs w:val="20"/>
          <w:color w:val="auto"/>
        </w:rPr>
      </w:pPr>
      <w:r>
        <w:rPr>
          <w:rFonts w:ascii="Arial" w:cs="Arial" w:eastAsia="Arial" w:hAnsi="Arial"/>
          <w:sz w:val="15"/>
          <w:szCs w:val="15"/>
          <w:color w:val="auto"/>
        </w:rPr>
        <w:t>If a holder is tendering any Old Notes, this Letter must be signed by the registered holder(s) as the name(s) appear(s) on the certificate(s) for the Old Notes or by any person(s) authorized to become registered holder(s) by endorsements and documents transmitted herewith. If signature is by a trustee, executor, administrator, guardian, officer or other person acting in a fiduciary or representative capacity, please set forth full title. See Instruction 3.</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(Please Type or Print)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Capacity:</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(Including Zip Code)</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Identification No.:</w:t>
      </w:r>
    </w:p>
    <w:p>
      <w:pPr>
        <w:spacing w:after="0" w:line="2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SIGNATURE GUARANTEE</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(If required by Instruction 3)</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Signature(s) Guaranteed by</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Eligible Institution: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(Authorized Signature)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(Name and Firm)</w:t>
      </w:r>
    </w:p>
    <w:p>
      <w:pPr>
        <w:spacing w:after="0" w:line="172"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w w:val="94"/>
              </w:rPr>
              <w:t>Dated:</w:t>
            </w:r>
          </w:p>
        </w:tc>
        <w:tc>
          <w:tcPr>
            <w:tcW w:w="8280" w:type="dxa"/>
            <w:vAlign w:val="bottom"/>
            <w:gridSpan w:val="2"/>
          </w:tcPr>
          <w:p>
            <w:pPr>
              <w:jc w:val="right"/>
              <w:spacing w:after="0"/>
              <w:rPr>
                <w:sz w:val="20"/>
                <w:szCs w:val="20"/>
                <w:color w:val="auto"/>
              </w:rPr>
            </w:pPr>
            <w:r>
              <w:rPr>
                <w:rFonts w:ascii="Arial" w:cs="Arial" w:eastAsia="Arial" w:hAnsi="Arial"/>
                <w:sz w:val="18"/>
                <w:szCs w:val="18"/>
                <w:color w:val="auto"/>
              </w:rPr>
              <w:t>, 2008</w:t>
            </w:r>
          </w:p>
        </w:tc>
      </w:tr>
      <w:tr>
        <w:trPr>
          <w:trHeight w:val="20"/>
        </w:trPr>
        <w:tc>
          <w:tcPr>
            <w:tcW w:w="520" w:type="dxa"/>
            <w:vAlign w:val="bottom"/>
          </w:tcPr>
          <w:p>
            <w:pPr>
              <w:spacing w:after="0" w:line="20" w:lineRule="exact"/>
              <w:rPr>
                <w:sz w:val="1"/>
                <w:szCs w:val="1"/>
                <w:color w:val="auto"/>
              </w:rPr>
            </w:pPr>
          </w:p>
        </w:tc>
        <w:tc>
          <w:tcPr>
            <w:tcW w:w="7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Forming Part of the Terms and Conditions of the Exchange Offer for the</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 Issued on November 6, 2007 of</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Wynn Las Vegas Capital Corp.</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Exchange for the</w:t>
      </w:r>
    </w:p>
    <w:p>
      <w:pPr>
        <w:spacing w:after="0" w:line="24"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 of Wynn Las Vegas, LLC</w:t>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and Wynn Las Vegas Capital Corp. That Have Been</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Registered Under the Securities Act of 1933, as Amended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Delivery of this Letter and Notes; Guaranteed Delivery Procedures.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Letter is to be completed by holders of Old Notes either if certificates are to be forwarded herewith or if tenders are to be made pursuant to the procedures for delivery by book-entry transfer set forth in “The Exchange Offer—Book-Entry Transfers” section of the Prospectus and an Agent’s Message is not delivered. Tenders by book-entry transfer may also be made by delivering an Agent’s Message in lieu of this Letter. The term “Agent’s Message” means a message, transmitted by the Book-Entry Transfer Facility to and received by the Exchange Agent and forming a part of a Book-Entry Confirmation, which states that the Book-Entry Transfer Facility has received an express acknowledgment from the tendering participant, which acknowledgment states that such participant has received and agrees to be bound by the Letter of Transmittal and that the Issuers may enforce the Letter of Transmittal against such participant. Certificates for all physically tendered Old Notes, or Book-Entry Confirmation, as the case may be, as well as a properly completed and duly executed Letter (or manually signed facsimile hereof or Agent’s Message in lieu thereof) and any other documents required by this Letter, must be received by the Exchange Agent at the address set forth herein prior to the Expiration Date, or the tendering holder must comply with the guaranteed delivery procedures referred to below and set forth in “The Exchange Offer—Guaranteed Delivery Procedures” section of the Prospectus. Old Notes tendered hereby must be in denominations of principal amount of $1,000 or any integral multiple thereof.</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Holders whose certificates for Old Notes are not immediately available or who cannot deliver their certificates and all other required documents to the Exchange Agent prior to the Expiration Date, or who cannot complete the procedure for book-entry transfer on a timely basis, may tender their Old Notes pursuant to the guaranteed delivery procedures set forth in “The Exchange Offer—Guaranteed Delivery Procedures” section of the Prospectus. Pursuant to such procedures, (i) such tender must be made through an Eligible Institution, (ii) prior to 5:00 p.m., New York City time, on the Expiration Date, the Exchange Agent must receive from such Eligible Institution a properly completed and duly executed Notice of Guaranteed Delivery, substantially in the form provided by the Issuers (by telegram, facsimile transmission, mail or hand delivery), setting forth the name and address of the holder of Old Notes and the amount of Old Notes tendered, stating that the tender is being made thereby and guaranteeing that within three New York Stock Exchange (“NYSE”) trading days after the date of execution of the Notice of Guaranteed Delivery,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any other documents required by this Letter will be deposited by the Eligible Institution with the Exchange Agent, and (iii) the certificates for all physically tendered Old Notes, in proper form for transfer, or a Book-Entry Confirmation, as the case may be, together with this Letter properly completed and duly executed (or facsimile hereof or Agent’s Message in lieu hereof) with any required signature guarantees and all other documents required by this Letter, are received by the Exchange Agent within three NYSE trading days after the date of execution of the Notice of Guaranteed Delivery.</w:t>
      </w:r>
    </w:p>
    <w:p>
      <w:pPr>
        <w:spacing w:after="0" w:line="12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method of delivery of this Letter, the Old Notes and all other required documents is at the election and risk of the tendering holders, but the delivery will be deemed made only when actually received or confirmed by the Exchange Agent. If Old Notes are sent by mail, it is suggested that the mailing be registered mail, properly insured, with return receipt requested, made sufficiently in advance of the Expiration Date to permit delivery to the Exchange Agent prior to 5:00 p.m., New York City time, on the Expiration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Exchange Offer” section of the Prospectus.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Partial Tenders (not applicable to noteholders who tender by book-entry transfer).</w:t>
      </w:r>
    </w:p>
    <w:p>
      <w:pPr>
        <w:spacing w:after="0" w:line="9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If less than all of the Old Notes evidenced by a submitted certificate are to be tendered, the tendering holder(s) should fill in the aggregate principal amount of Old Notes to be tendered in the box above entitled “Description of Old Notes—Principal Amount Tendered.” A reissued certificate representing the balance of nontendered Old Notes will be sent to such tendering holder, unless otherwise provided in the appropriate box on this Letter, promptly after the Expiration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of the Old Notes delivered to the Exchange Agent will be deemed to have been tendered unless otherwise indicated.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Signatures on this Letter; Bond Powers and Endorsements; Guarantee of 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this Letter is signed by the registered holder of the Old Notes tendered hereby, the signature must correspond exactly with the name as written on the face of the certificates without any change whatsoever.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tendered Old Notes are owned of record by two or more joint owners, all of such owners must sign this Letter.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tendered Old Notes are registered in different names on several certificates, it will be necessary to complete, sign and submit as many separate copies of this Letter as there are different registrations of certificates.</w:t>
      </w:r>
    </w:p>
    <w:p>
      <w:pPr>
        <w:spacing w:after="0" w:line="132"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When this Letter is signed by the registered holder or holders of the Old Notes specified herein and tendered hereby, no endorsements of certificates or separate bond powers are required. If, however, the New Notes are to be issued, or any untendered Old Notes are to be reissued, to a person other than the registered holder, then endorsements of any certificates transmitted hereby or separate bond powers are required. Signatures on such certificate(s) must be guaranteed by an Eligible Institution.</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this Letter is signed by a person other than the registered holder or holders of any certificate(s) specified herein, such certificate(s) must be endorsed or accompanied by appropriate bond powers, in either case signed exactly as the name or names of the registered holder or holders appear(s) on the certificate(s) and signatures on such certificate(s) must be guaranteed by an Eligible Institution.</w:t>
      </w:r>
    </w:p>
    <w:p>
      <w:pPr>
        <w:spacing w:after="0" w:line="14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If this Letter or any certificates or bond powers are signed by trustees, executors, administrators, guardians, attorneys-in-fact, officers of corporations or others acting in a fiduciary or representative capacity, such persons should so indicate when signing, and, unless waived by the Issuers, proper evidence satisfactory to the Issuers of their authority to so act must be submitted.</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Endorsements on certificates for Old Notes or signatures on bond powers required by this Instruction 3 must be guaranteed by a firm that is a financial institution (including most banks, savings and loan associations and brokerage houses) that is a participant in the Securities Transfer Agents Medallion Program, the New York Stock Exchange Medallion Signature Program or the Stock Exchanges Medallion Program (each an “Eligible Institution”).</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Signatures on this Letter need not be guaranteed by an Eligible Institution, provided the Old Notes are tendered: (i) by a registered holder (which term, for purposes of the Exchange Offer, includes any participant in the Book-Entry Transfer Facility system whose name appears on a security position listing as the holder of such Old Notes) who has not completed the box entitled “Special Issuance Instructions” or “Special Delivery Instructions” on this Letter, or (ii) for the account of an Eligible Institution.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Special Issuance and Delivery Instructions.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Tendering holders of Old Notes should indicate in the applicable box the name and address to which New Notes issued pursuant to the Exchange Offer and/or substitute certificates evidencing Old Notes not exchanged are to be issued or sent, if different from the name or address of the person signing this Letter. In the case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issuance in a different name, the employer identification or social security number of the person named must also be indicated. Noteholders tendering Old Notes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by book-entry transfer may request that Old Notes not exchanged be credited to such account maintained at the Book-Entry Transfer Facility as such noteholder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designate hereon. If no such instructions are given, such Old Notes not exchanged will be returned to the name and address of the person signing this Letter.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Taxpayer Identification Number and Certification of Foreign Status.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Federal income tax law generally requires that a tendering holder whose Old Notes are accepted for exchange must provide the Issuers (as payors) with such holder’s correct Taxpayer Identification Number (“TIN”) on the Substitute Form W-9 below, which generally is such holder’s social security number or employee identification number, or otherwise establish an exemption. If the Issuers are not provided with the current TIN or an adequate basis for an exemption from backup withholding, such tendering holder may be subject to a $50 penalty imposed by the Internal Revenue Service (the “IRS”) and backup withholding at the then applicable rate on the amount of any reportable payments made after the exchange to such tendering holder of New Notes. If withholding results in an overpayment of taxes, a refund may be obtained provided that the required information is timely furnished to the IRS.</w:t>
      </w:r>
    </w:p>
    <w:p>
      <w:pPr>
        <w:spacing w:after="0" w:line="12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Exempt holders of Old Notes (including, among others, all corporations and certain foreign individuals) are not subject to these backup withholding and reporting requirements. To prevent possible backup withholding an exempt holder that is a U.S. person should write “Exempt” in Part 3 of Substitute Form W-9. See the enclosed Guidelines of Certification of Taxpayer Identification Number on Substitute Form W-9 (the “W-9 Guidelines”) for additional instructions.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prevent backup withholding, each tendering holder of Old Notes must provide its correct TIN by completing the Substitute Form W-9 set forth below, certifying, under penalties of perjury, that (A) the TIN provided is correct (or that such holder is awaiting a TIN), (B) the holder is a U.S. person, and (C) (i) the holder is exempt from backup withholding, (ii) the holder has not been notified by the IRS that such holder is subject to backup withholding as a result of a failure to report all interest or dividends or (iii) the IRS has notified the holder that such holder is no longer subject to backup withholding.</w:t>
      </w:r>
    </w:p>
    <w:p>
      <w:pPr>
        <w:spacing w:after="0" w:line="113" w:lineRule="exact"/>
        <w:rPr>
          <w:sz w:val="20"/>
          <w:szCs w:val="20"/>
          <w:color w:val="auto"/>
        </w:rPr>
      </w:pPr>
    </w:p>
    <w:p>
      <w:pPr>
        <w:jc w:val="both"/>
        <w:ind w:right="120" w:firstLine="456"/>
        <w:spacing w:after="0" w:line="294" w:lineRule="auto"/>
        <w:rPr>
          <w:sz w:val="20"/>
          <w:szCs w:val="20"/>
          <w:color w:val="auto"/>
        </w:rPr>
      </w:pPr>
      <w:r>
        <w:rPr>
          <w:rFonts w:ascii="Arial" w:cs="Arial" w:eastAsia="Arial" w:hAnsi="Arial"/>
          <w:sz w:val="16"/>
          <w:szCs w:val="16"/>
          <w:color w:val="auto"/>
        </w:rPr>
        <w:t>If a holder that is a U.S. person does not have a TIN, such holder should consult the W-9 Guidelines for instructions on applying for a TIN, check the box in Part 2 of the Substitute Form W-9 and write “applied for” in the space for the TIN in Part 3 of the Substitute Form W-9. Note: Checking this box and writing “applied for” on the form means that such holder has already applied for a TIN or that such holder intends to apply for one in the near future. If the box in Part 2 of the Substitute Form W-9 is checked, and the Exchange Agent is not provided with a TIN by the time of payment, the Exchange Agent may withhold a portion of all reportable payments to the holder thereafter until such holder furnishes its TIN to the Exchange Agent.</w:t>
      </w:r>
    </w:p>
    <w:p>
      <w:pPr>
        <w:spacing w:after="0" w:line="1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the tendering holder of Old Notes is a nonresident alien or foreign entity not subject to backup withholding, such holder must give the Exchange Agent a completed Form W-8BEN, Certificate of Foreign Status. These forms may be obtained from the Exchange Agent. If the Old Notes are in more than one name or are not in the name of the actual owner, such holder should consult the W-9 Guidelines for information on which TIN to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Transfer Taxes.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Issuers will pay all transfer taxes, if any, applicable to the transfer of Old Notes to them or their order pursuant to the Exchange Offer. If, however, New Notes to be delivered to, or are to be registered or issued in the name of, any person other than the registered holder of the Old Notes tendered hereby, or if tendered Old Notes are registered in the name of any person other than the person signing this Letter, or if a transfer tax is imposed for any reason other than the transfer of Old Notes to the Issuers or their order pursuant to the Exchange Offer,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76" w:name="page277"/>
    <w:bookmarkEnd w:id="27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amount of any such transfer taxes (whether imposed on the registered holder or any other persons) will be payable by the tendering holder. If satisfactory evidence of payment of such taxes or exemption therefrom is not submitted herewith, the amount of such transfer taxes will be billed directly to such tendering holder.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provided in this Instruction 6, it will not be necessary for transfer tax stamps to be affixed to the Old Notes specified in this letter.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Waiver of 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Issuers reserve the absolute right to waive satisfaction of any or all conditions enumerated in the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Conditional Tenders.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 alternative, conditional, irregular or contingent tenders will be accepted. All tendering holders of Old Notes, by execution of this Letter, shall waive any right to receive notice of the acceptance of their Old Notes for exchange.</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None of the Issuers, the Exchange Agent nor any other person is obligated to give notice of any defect or irregularity with respect to any tender of Old Notes nor shall any of them incur any liability for failure to give any such notice.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Mutilated, Lost, Stolen or Destroyed Old Notes.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holder whose Old Notes have been mutilated, lost, stolen or destroyed should contact the Exchange Agent at the address indicated above for further instructions.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Withdrawal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For a withdrawal of a tender of Old Notes to be effective, a written notice of withdrawal must be received by the Exchange Agent at the address set forth above prior to 5:00 p.m., New York City time, on the Expiration Date. Any such notice of withdrawal must (i) specify the name of the person having tendered the Old Notes to be withdrawn (the “Depositor”), (ii) identify the Old Notes to be withdrawn (including certificate number or numbers, if certificated, and the name and number of the account at the Book-Entry Transfer Facility to be credited with the withdrawn Old Notes, if tendered pursuant to the procedure for book-entry transfer, and the principal amount of such Old Notes), (iii) contain a statement that such holder is withdrawing its election to have such Old Notes exchanged,</w:t>
      </w:r>
    </w:p>
    <w:p>
      <w:pPr>
        <w:spacing w:after="0" w:line="2" w:lineRule="exact"/>
        <w:rPr>
          <w:sz w:val="20"/>
          <w:szCs w:val="20"/>
          <w:color w:val="auto"/>
        </w:rPr>
      </w:pPr>
    </w:p>
    <w:p>
      <w:pPr>
        <w:ind w:firstLine="8"/>
        <w:spacing w:after="0" w:line="287" w:lineRule="auto"/>
        <w:tabs>
          <w:tab w:leader="none" w:pos="29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be signed by the holder in the same manner as the original signature on the Letter by which such Old Notes were tendered (including any required signature guarantees) or be accompanied by documents of transfer to have the Trustee with respect to the Old Notes register the transfer of such Old Notes in the name of the person withdrawing the tender and (v) specify the name in which such Old Notes are registered, if different from that of the Depositor. If Old Notes have been tendered pursuant to the procedure for book-entry transfer set forth in “The Exchange Offer—Book-Entry Transfers” section of the Prospectus, any notice of withdrawal must specify the name and number of the account at the Book-Entry Transfer Facility to be credited with the withdrawn Old Notes and otherwise comply with the procedures of such facility. All questions as to the validity, form and eligibility (including time of receipt) of such notices will be determined by the Issuers, whose determination shall be final and binding on all parties. Any Old Notes so withdrawn will be deemed not to have been validly tendered for exchange for purposes of the Exchange Offer and no New Notes will be issued with respect thereto unless the Old Notes so withdrawn are validly retendered prior to the Expiration Date. Any Old Notes that have been tendered for exchange but which are not exchanged for any reason will be returned to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277" w:name="page278"/>
    <w:bookmarkEnd w:id="27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 thereof without cost to such Holder (or, in the case of Old Notes tendered by book-entry transfer into the Exchange Agent’s account at the Book-Entry Transfer Facility pursuant to the book-entry transfer procedures set forth in “The Exchange Offer—Book-Entry Transfers” section of the Prospectus, such Old Notes will be credited to an account maintained with the Book-Entry Transfer Facility for the Old Notes) as soon as practicable after withdrawal, rejection of tender or termination of the Exchange Offer. Properly withdrawn Old Notes may be retendered by following the procedures described above at any time prior to 5:00 p.m., New York City time, on the Expiration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Requests for Assistance or Additional Copies.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Questions relating to the procedure for tendering, as well as requests for additional copies of the Prospectus and this Letter, and requests for Notices of Guaranteed Delivery and other related documents may be directed to the Exchange Agent, at the address and telephone number indicated above.</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240" w:top="280" w:right="39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COMPLETED BY ALL TENDERING 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Instruction 5)</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PAYOR’S NAME: U.S. BANK NATIONAL ASSOCIATION</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368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Arial" w:cs="Arial" w:eastAsia="Arial" w:hAnsi="Arial"/>
                <w:sz w:val="18"/>
                <w:szCs w:val="18"/>
                <w:b w:val="1"/>
                <w:bCs w:val="1"/>
                <w:color w:val="auto"/>
              </w:rPr>
              <w:t>SUBSTITUTE</w:t>
            </w:r>
          </w:p>
        </w:tc>
        <w:tc>
          <w:tcPr>
            <w:tcW w:w="3660" w:type="dxa"/>
            <w:vAlign w:val="bottom"/>
            <w:tcBorders>
              <w:top w:val="single" w:sz="8" w:color="auto"/>
              <w:right w:val="single" w:sz="8" w:color="auto"/>
            </w:tcBorders>
            <w:gridSpan w:val="3"/>
          </w:tcPr>
          <w:p>
            <w:pPr>
              <w:ind w:left="440"/>
              <w:spacing w:after="0" w:line="192" w:lineRule="exact"/>
              <w:rPr>
                <w:sz w:val="20"/>
                <w:szCs w:val="20"/>
                <w:color w:val="auto"/>
              </w:rPr>
            </w:pPr>
            <w:r>
              <w:rPr>
                <w:rFonts w:ascii="Arial" w:cs="Arial" w:eastAsia="Arial" w:hAnsi="Arial"/>
                <w:sz w:val="18"/>
                <w:szCs w:val="18"/>
                <w:b w:val="1"/>
                <w:bCs w:val="1"/>
                <w:color w:val="auto"/>
              </w:rPr>
              <w:t>Part 1</w:t>
            </w:r>
            <w:r>
              <w:rPr>
                <w:rFonts w:ascii="Arial" w:cs="Arial" w:eastAsia="Arial" w:hAnsi="Arial"/>
                <w:sz w:val="18"/>
                <w:szCs w:val="18"/>
                <w:color w:val="auto"/>
              </w:rPr>
              <w:t>—PLEASE PROVIDE YOUR TIN</w:t>
            </w:r>
          </w:p>
        </w:tc>
        <w:tc>
          <w:tcPr>
            <w:tcW w:w="4080" w:type="dxa"/>
            <w:vAlign w:val="bottom"/>
            <w:tcBorders>
              <w:top w:val="single" w:sz="8" w:color="auto"/>
            </w:tcBorders>
            <w:gridSpan w:val="5"/>
          </w:tcPr>
          <w:p>
            <w:pPr>
              <w:ind w:left="560"/>
              <w:spacing w:after="0" w:line="192" w:lineRule="exact"/>
              <w:rPr>
                <w:sz w:val="20"/>
                <w:szCs w:val="20"/>
                <w:color w:val="auto"/>
              </w:rPr>
            </w:pPr>
            <w:r>
              <w:rPr>
                <w:rFonts w:ascii="Arial" w:cs="Arial" w:eastAsia="Arial" w:hAnsi="Arial"/>
                <w:sz w:val="18"/>
                <w:szCs w:val="18"/>
                <w:b w:val="1"/>
                <w:bCs w:val="1"/>
                <w:color w:val="auto"/>
              </w:rPr>
              <w:t>TIN:</w:t>
            </w:r>
          </w:p>
        </w:tc>
        <w:tc>
          <w:tcPr>
            <w:tcW w:w="0" w:type="dxa"/>
            <w:vAlign w:val="bottom"/>
          </w:tcPr>
          <w:p>
            <w:pPr>
              <w:spacing w:after="0"/>
              <w:rPr>
                <w:sz w:val="1"/>
                <w:szCs w:val="1"/>
                <w:color w:val="auto"/>
              </w:rPr>
            </w:pPr>
          </w:p>
        </w:tc>
      </w:tr>
      <w:tr>
        <w:trPr>
          <w:trHeight w:val="222"/>
        </w:trPr>
        <w:tc>
          <w:tcPr>
            <w:tcW w:w="36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b w:val="1"/>
                <w:bCs w:val="1"/>
                <w:color w:val="auto"/>
              </w:rPr>
              <w:t>Form W-9</w:t>
            </w:r>
          </w:p>
        </w:tc>
        <w:tc>
          <w:tcPr>
            <w:tcW w:w="366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IN THE BOX AT RIGHT AND CERTIFY</w:t>
            </w:r>
          </w:p>
        </w:tc>
        <w:tc>
          <w:tcPr>
            <w:tcW w:w="920" w:type="dxa"/>
            <w:vAlign w:val="bottom"/>
          </w:tcPr>
          <w:p>
            <w:pPr>
              <w:spacing w:after="0"/>
              <w:rPr>
                <w:sz w:val="19"/>
                <w:szCs w:val="19"/>
                <w:color w:val="auto"/>
              </w:rPr>
            </w:pPr>
          </w:p>
        </w:tc>
        <w:tc>
          <w:tcPr>
            <w:tcW w:w="2560" w:type="dxa"/>
            <w:vAlign w:val="bottom"/>
            <w:tcBorders>
              <w:top w:val="single" w:sz="8" w:color="auto"/>
            </w:tcBorders>
            <w:gridSpan w:val="3"/>
          </w:tcPr>
          <w:p>
            <w:pPr>
              <w:jc w:val="center"/>
              <w:ind w:left="32"/>
              <w:spacing w:after="0"/>
              <w:rPr>
                <w:sz w:val="20"/>
                <w:szCs w:val="20"/>
                <w:color w:val="auto"/>
              </w:rPr>
            </w:pPr>
            <w:r>
              <w:rPr>
                <w:rFonts w:ascii="Arial" w:cs="Arial" w:eastAsia="Arial" w:hAnsi="Arial"/>
                <w:sz w:val="18"/>
                <w:szCs w:val="18"/>
                <w:b w:val="1"/>
                <w:bCs w:val="1"/>
                <w:color w:val="auto"/>
                <w:w w:val="88"/>
              </w:rPr>
              <w:t>Social Security Number or</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vMerge w:val="continue"/>
          </w:tcPr>
          <w:p>
            <w:pPr>
              <w:spacing w:after="0"/>
              <w:rPr>
                <w:sz w:val="19"/>
                <w:szCs w:val="19"/>
                <w:color w:val="auto"/>
              </w:rPr>
            </w:pPr>
          </w:p>
        </w:tc>
        <w:tc>
          <w:tcPr>
            <w:tcW w:w="366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BY SIGNING AND DATING BELOW.</w:t>
            </w:r>
          </w:p>
        </w:tc>
        <w:tc>
          <w:tcPr>
            <w:tcW w:w="920" w:type="dxa"/>
            <w:vAlign w:val="bottom"/>
          </w:tcPr>
          <w:p>
            <w:pPr>
              <w:spacing w:after="0"/>
              <w:rPr>
                <w:sz w:val="19"/>
                <w:szCs w:val="19"/>
                <w:color w:val="auto"/>
              </w:rPr>
            </w:pPr>
          </w:p>
        </w:tc>
        <w:tc>
          <w:tcPr>
            <w:tcW w:w="316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1"/>
              </w:rPr>
              <w:t>Employer Identification Number</w:t>
            </w:r>
          </w:p>
        </w:tc>
        <w:tc>
          <w:tcPr>
            <w:tcW w:w="0" w:type="dxa"/>
            <w:vAlign w:val="bottom"/>
          </w:tcPr>
          <w:p>
            <w:pPr>
              <w:spacing w:after="0"/>
              <w:rPr>
                <w:sz w:val="1"/>
                <w:szCs w:val="1"/>
                <w:color w:val="auto"/>
              </w:rPr>
            </w:pPr>
          </w:p>
        </w:tc>
      </w:tr>
      <w:tr>
        <w:trPr>
          <w:trHeight w:val="339"/>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Department of the Treasury</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Internal Revenue Service</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Payor’s Request for Taxpayer Identification</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(“TIN”) and Certification</w:t>
            </w:r>
          </w:p>
        </w:tc>
        <w:tc>
          <w:tcPr>
            <w:tcW w:w="1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3"/>
          </w:tcPr>
          <w:p>
            <w:pPr>
              <w:ind w:left="440"/>
              <w:spacing w:after="0" w:line="207" w:lineRule="exact"/>
              <w:rPr>
                <w:sz w:val="20"/>
                <w:szCs w:val="20"/>
                <w:color w:val="auto"/>
              </w:rPr>
            </w:pPr>
            <w:r>
              <w:rPr>
                <w:rFonts w:ascii="Arial" w:cs="Arial" w:eastAsia="Arial" w:hAnsi="Arial"/>
                <w:sz w:val="18"/>
                <w:szCs w:val="18"/>
                <w:b w:val="1"/>
                <w:bCs w:val="1"/>
                <w:color w:val="auto"/>
              </w:rPr>
              <w:t>Part 2</w:t>
            </w:r>
            <w:r>
              <w:rPr>
                <w:rFonts w:ascii="Arial" w:cs="Arial" w:eastAsia="Arial" w:hAnsi="Arial"/>
                <w:sz w:val="18"/>
                <w:szCs w:val="18"/>
                <w:color w:val="auto"/>
              </w:rPr>
              <w:t>—</w:t>
            </w:r>
            <w:r>
              <w:rPr>
                <w:rFonts w:ascii="Arial" w:cs="Arial" w:eastAsia="Arial" w:hAnsi="Arial"/>
                <w:sz w:val="18"/>
                <w:szCs w:val="18"/>
                <w:b w:val="1"/>
                <w:bCs w:val="1"/>
                <w:color w:val="auto"/>
              </w:rPr>
              <w:t xml:space="preserve">Awaiting TIN </w:t>
            </w:r>
            <w:r>
              <w:rPr>
                <w:rFonts w:ascii="MS PGothic" w:cs="MS PGothic" w:eastAsia="MS PGothic" w:hAnsi="MS PGothic"/>
                <w:sz w:val="18"/>
                <w:szCs w:val="18"/>
                <w:color w:val="auto"/>
              </w:rPr>
              <w:t>☐</w:t>
            </w:r>
          </w:p>
        </w:tc>
        <w:tc>
          <w:tcPr>
            <w:tcW w:w="9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3680" w:type="dxa"/>
            <w:vAlign w:val="bottom"/>
          </w:tcPr>
          <w:p>
            <w:pPr>
              <w:spacing w:after="0"/>
              <w:rPr>
                <w:sz w:val="24"/>
                <w:szCs w:val="24"/>
                <w:color w:val="auto"/>
              </w:rPr>
            </w:pPr>
          </w:p>
        </w:tc>
        <w:tc>
          <w:tcPr>
            <w:tcW w:w="7740" w:type="dxa"/>
            <w:vAlign w:val="bottom"/>
            <w:gridSpan w:val="8"/>
          </w:tcPr>
          <w:p>
            <w:pPr>
              <w:ind w:left="440"/>
              <w:spacing w:after="0"/>
              <w:rPr>
                <w:sz w:val="20"/>
                <w:szCs w:val="20"/>
                <w:color w:val="auto"/>
              </w:rPr>
            </w:pPr>
            <w:r>
              <w:rPr>
                <w:rFonts w:ascii="Arial" w:cs="Arial" w:eastAsia="Arial" w:hAnsi="Arial"/>
                <w:sz w:val="18"/>
                <w:szCs w:val="18"/>
                <w:b w:val="1"/>
                <w:bCs w:val="1"/>
                <w:color w:val="auto"/>
              </w:rPr>
              <w:t>Part 3</w:t>
            </w:r>
            <w:r>
              <w:rPr>
                <w:rFonts w:ascii="Arial" w:cs="Arial" w:eastAsia="Arial" w:hAnsi="Arial"/>
                <w:sz w:val="18"/>
                <w:szCs w:val="18"/>
                <w:color w:val="auto"/>
              </w:rPr>
              <w:t>—CERTIFICATION: UNDER THE PENALTIES OF PERJURY, I CERTIFY THAT:</w:t>
            </w: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7740" w:type="dxa"/>
            <w:vAlign w:val="bottom"/>
            <w:gridSpan w:val="8"/>
          </w:tcPr>
          <w:p>
            <w:pPr>
              <w:ind w:left="440"/>
              <w:spacing w:after="0"/>
              <w:rPr>
                <w:sz w:val="20"/>
                <w:szCs w:val="20"/>
                <w:color w:val="auto"/>
              </w:rPr>
            </w:pPr>
            <w:r>
              <w:rPr>
                <w:rFonts w:ascii="Arial" w:cs="Arial" w:eastAsia="Arial" w:hAnsi="Arial"/>
                <w:sz w:val="18"/>
                <w:szCs w:val="18"/>
                <w:color w:val="auto"/>
                <w:w w:val="93"/>
              </w:rPr>
              <w:t>(1)  the number shown on this form is my correct TIN (or I am waiting for a number to be issued to</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3660" w:type="dxa"/>
            <w:vAlign w:val="bottom"/>
            <w:gridSpan w:val="3"/>
          </w:tcPr>
          <w:p>
            <w:pPr>
              <w:ind w:left="880"/>
              <w:spacing w:after="0"/>
              <w:rPr>
                <w:sz w:val="20"/>
                <w:szCs w:val="20"/>
                <w:color w:val="auto"/>
              </w:rPr>
            </w:pPr>
            <w:r>
              <w:rPr>
                <w:rFonts w:ascii="Arial" w:cs="Arial" w:eastAsia="Arial" w:hAnsi="Arial"/>
                <w:sz w:val="18"/>
                <w:szCs w:val="18"/>
                <w:color w:val="auto"/>
              </w:rPr>
              <w:t>me),</w:t>
            </w:r>
          </w:p>
        </w:tc>
        <w:tc>
          <w:tcPr>
            <w:tcW w:w="9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8"/>
          </w:tcPr>
          <w:p>
            <w:pPr>
              <w:ind w:left="440"/>
              <w:spacing w:after="0"/>
              <w:rPr>
                <w:sz w:val="20"/>
                <w:szCs w:val="20"/>
                <w:color w:val="auto"/>
              </w:rPr>
            </w:pPr>
            <w:r>
              <w:rPr>
                <w:rFonts w:ascii="Arial" w:cs="Arial" w:eastAsia="Arial" w:hAnsi="Arial"/>
                <w:sz w:val="18"/>
                <w:szCs w:val="18"/>
                <w:color w:val="auto"/>
              </w:rPr>
              <w:t>(2)  I am not subject to backup withholding either because: (a) I am exempt from backup</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8"/>
          </w:tcPr>
          <w:p>
            <w:pPr>
              <w:ind w:left="880"/>
              <w:spacing w:after="0"/>
              <w:rPr>
                <w:sz w:val="20"/>
                <w:szCs w:val="20"/>
                <w:color w:val="auto"/>
              </w:rPr>
            </w:pPr>
            <w:r>
              <w:rPr>
                <w:rFonts w:ascii="Arial" w:cs="Arial" w:eastAsia="Arial" w:hAnsi="Arial"/>
                <w:sz w:val="18"/>
                <w:szCs w:val="18"/>
                <w:color w:val="auto"/>
                <w:w w:val="93"/>
              </w:rPr>
              <w:t>withholding, or (b) I have not been notified by the Internal Revenue Service (the “IRS”) that I</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8"/>
          </w:tcPr>
          <w:p>
            <w:pPr>
              <w:ind w:left="880"/>
              <w:spacing w:after="0"/>
              <w:rPr>
                <w:sz w:val="20"/>
                <w:szCs w:val="20"/>
                <w:color w:val="auto"/>
              </w:rPr>
            </w:pPr>
            <w:r>
              <w:rPr>
                <w:rFonts w:ascii="Arial" w:cs="Arial" w:eastAsia="Arial" w:hAnsi="Arial"/>
                <w:sz w:val="18"/>
                <w:szCs w:val="18"/>
                <w:color w:val="auto"/>
                <w:w w:val="93"/>
              </w:rPr>
              <w:t>am subject to backup withholding as a result of a failure to report all interest or dividends, or</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7740" w:type="dxa"/>
            <w:vAlign w:val="bottom"/>
            <w:gridSpan w:val="8"/>
          </w:tcPr>
          <w:p>
            <w:pPr>
              <w:ind w:left="880"/>
              <w:spacing w:after="0"/>
              <w:rPr>
                <w:sz w:val="20"/>
                <w:szCs w:val="20"/>
                <w:color w:val="auto"/>
              </w:rPr>
            </w:pPr>
            <w:r>
              <w:rPr>
                <w:rFonts w:ascii="Arial" w:cs="Arial" w:eastAsia="Arial" w:hAnsi="Arial"/>
                <w:sz w:val="18"/>
                <w:szCs w:val="18"/>
                <w:color w:val="auto"/>
              </w:rPr>
              <w:t>(c) the IRS has notified me that I am no longer subject to backup withholding, and</w:t>
            </w:r>
          </w:p>
        </w:tc>
        <w:tc>
          <w:tcPr>
            <w:tcW w:w="0" w:type="dxa"/>
            <w:vAlign w:val="bottom"/>
          </w:tcPr>
          <w:p>
            <w:pPr>
              <w:spacing w:after="0"/>
              <w:rPr>
                <w:sz w:val="1"/>
                <w:szCs w:val="1"/>
                <w:color w:val="auto"/>
              </w:rPr>
            </w:pPr>
          </w:p>
        </w:tc>
      </w:tr>
      <w:tr>
        <w:trPr>
          <w:trHeight w:val="222"/>
        </w:trPr>
        <w:tc>
          <w:tcPr>
            <w:tcW w:w="3680" w:type="dxa"/>
            <w:vAlign w:val="bottom"/>
          </w:tcPr>
          <w:p>
            <w:pPr>
              <w:spacing w:after="0"/>
              <w:rPr>
                <w:sz w:val="19"/>
                <w:szCs w:val="19"/>
                <w:color w:val="auto"/>
              </w:rPr>
            </w:pPr>
          </w:p>
        </w:tc>
        <w:tc>
          <w:tcPr>
            <w:tcW w:w="7740" w:type="dxa"/>
            <w:vAlign w:val="bottom"/>
            <w:gridSpan w:val="8"/>
          </w:tcPr>
          <w:p>
            <w:pPr>
              <w:ind w:left="440"/>
              <w:spacing w:after="0"/>
              <w:rPr>
                <w:sz w:val="20"/>
                <w:szCs w:val="20"/>
                <w:color w:val="auto"/>
              </w:rPr>
            </w:pPr>
            <w:r>
              <w:rPr>
                <w:rFonts w:ascii="Arial" w:cs="Arial" w:eastAsia="Arial" w:hAnsi="Arial"/>
                <w:sz w:val="18"/>
                <w:szCs w:val="18"/>
                <w:color w:val="auto"/>
              </w:rPr>
              <w:t>(3)  I am a U.S. person (including a U.S. resident alien).</w:t>
            </w:r>
          </w:p>
        </w:tc>
        <w:tc>
          <w:tcPr>
            <w:tcW w:w="0" w:type="dxa"/>
            <w:vAlign w:val="bottom"/>
          </w:tcPr>
          <w:p>
            <w:pPr>
              <w:spacing w:after="0"/>
              <w:rPr>
                <w:sz w:val="1"/>
                <w:szCs w:val="1"/>
                <w:color w:val="auto"/>
              </w:rPr>
            </w:pPr>
          </w:p>
        </w:tc>
      </w:tr>
      <w:tr>
        <w:trPr>
          <w:trHeight w:val="291"/>
        </w:trPr>
        <w:tc>
          <w:tcPr>
            <w:tcW w:w="3680" w:type="dxa"/>
            <w:vAlign w:val="bottom"/>
          </w:tcPr>
          <w:p>
            <w:pPr>
              <w:spacing w:after="0"/>
              <w:rPr>
                <w:sz w:val="24"/>
                <w:szCs w:val="24"/>
                <w:color w:val="auto"/>
              </w:rPr>
            </w:pPr>
          </w:p>
        </w:tc>
        <w:tc>
          <w:tcPr>
            <w:tcW w:w="7740" w:type="dxa"/>
            <w:vAlign w:val="bottom"/>
            <w:gridSpan w:val="8"/>
          </w:tcPr>
          <w:p>
            <w:pPr>
              <w:ind w:left="440"/>
              <w:spacing w:after="0"/>
              <w:rPr>
                <w:sz w:val="20"/>
                <w:szCs w:val="20"/>
                <w:color w:val="auto"/>
              </w:rPr>
            </w:pPr>
            <w:r>
              <w:rPr>
                <w:rFonts w:ascii="Arial" w:cs="Arial" w:eastAsia="Arial" w:hAnsi="Arial"/>
                <w:sz w:val="18"/>
                <w:szCs w:val="18"/>
                <w:color w:val="auto"/>
              </w:rPr>
              <w:t>For U.S. Payees Exempt from Backup Withholding (write “Exempt” in</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5"/>
                <w:szCs w:val="15"/>
                <w:color w:val="auto"/>
              </w:rPr>
            </w:pPr>
          </w:p>
        </w:tc>
        <w:tc>
          <w:tcPr>
            <w:tcW w:w="1280" w:type="dxa"/>
            <w:vAlign w:val="bottom"/>
          </w:tcPr>
          <w:p>
            <w:pPr>
              <w:ind w:left="440"/>
              <w:spacing w:after="0" w:line="184" w:lineRule="exact"/>
              <w:rPr>
                <w:sz w:val="20"/>
                <w:szCs w:val="20"/>
                <w:color w:val="auto"/>
              </w:rPr>
            </w:pPr>
            <w:r>
              <w:rPr>
                <w:rFonts w:ascii="Arial" w:cs="Arial" w:eastAsia="Arial" w:hAnsi="Arial"/>
                <w:sz w:val="18"/>
                <w:szCs w:val="18"/>
                <w:color w:val="auto"/>
                <w:w w:val="89"/>
              </w:rPr>
              <w:t>this space):</w:t>
            </w:r>
          </w:p>
        </w:tc>
        <w:tc>
          <w:tcPr>
            <w:tcW w:w="2380" w:type="dxa"/>
            <w:vAlign w:val="bottom"/>
            <w:tcBorders>
              <w:bottom w:val="single" w:sz="8" w:color="auto"/>
            </w:tcBorders>
            <w:gridSpan w:val="2"/>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680" w:type="dxa"/>
            <w:vAlign w:val="bottom"/>
          </w:tcPr>
          <w:p>
            <w:pPr>
              <w:spacing w:after="0"/>
              <w:rPr>
                <w:sz w:val="24"/>
                <w:szCs w:val="24"/>
                <w:color w:val="auto"/>
              </w:rPr>
            </w:pPr>
          </w:p>
        </w:tc>
        <w:tc>
          <w:tcPr>
            <w:tcW w:w="2800" w:type="dxa"/>
            <w:vAlign w:val="bottom"/>
            <w:gridSpan w:val="2"/>
          </w:tcPr>
          <w:p>
            <w:pPr>
              <w:ind w:left="440"/>
              <w:spacing w:after="0"/>
              <w:rPr>
                <w:sz w:val="20"/>
                <w:szCs w:val="20"/>
                <w:color w:val="auto"/>
              </w:rPr>
            </w:pPr>
            <w:r>
              <w:rPr>
                <w:rFonts w:ascii="Arial" w:cs="Arial" w:eastAsia="Arial" w:hAnsi="Arial"/>
                <w:sz w:val="18"/>
                <w:szCs w:val="18"/>
                <w:color w:val="auto"/>
                <w:w w:val="91"/>
              </w:rPr>
              <w:t>SIGNATURE OF U.S. PERSON</w:t>
            </w: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-3258185</wp:posOffset>
            </wp:positionV>
            <wp:extent cx="7246620" cy="38931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3893185"/>
                    </a:xfrm>
                    <a:prstGeom prst="rect">
                      <a:avLst/>
                    </a:prstGeom>
                    <a:noFill/>
                  </pic:spPr>
                </pic:pic>
              </a:graphicData>
            </a:graphic>
          </wp:anchor>
        </w:drawing>
      </w:r>
    </w:p>
    <w:p>
      <w:pPr>
        <w:spacing w:after="0" w:line="6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w:t>
      </w:r>
    </w:p>
    <w:p>
      <w:pPr>
        <w:spacing w:after="0" w:line="36" w:lineRule="exact"/>
        <w:rPr>
          <w:sz w:val="20"/>
          <w:szCs w:val="20"/>
          <w:color w:val="auto"/>
        </w:rPr>
      </w:pPr>
    </w:p>
    <w:p>
      <w:pPr>
        <w:ind w:left="120" w:right="460"/>
        <w:spacing w:after="0" w:line="306" w:lineRule="auto"/>
        <w:rPr>
          <w:sz w:val="20"/>
          <w:szCs w:val="20"/>
          <w:color w:val="auto"/>
        </w:rPr>
      </w:pPr>
      <w:r>
        <w:rPr>
          <w:rFonts w:ascii="Arial" w:cs="Arial" w:eastAsia="Arial" w:hAnsi="Arial"/>
          <w:sz w:val="16"/>
          <w:szCs w:val="16"/>
          <w:color w:val="auto"/>
        </w:rPr>
        <w:t>You must cross out item (2) of the above certification if you have been notified by the IRS that you are subject to backup with holding because of underreporting of interest or dividends on your tax return and you have not been notified by the IRS that you are no longer subject to backup withholding. (Also see instructions in the enclosed Guidelines for Certification of Taxpayer Identification Number on Substitute Form W-9).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 MUST COMPLETE THE FOLLOWING CERTIFICATE IF YOU CHECKED THE BOX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PART 2 OF SUBSTITUTE FORM W-9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AWAITING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250430" cy="11277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1127760"/>
                    </a:xfrm>
                    <a:prstGeom prst="rect">
                      <a:avLst/>
                    </a:prstGeom>
                    <a:noFill/>
                  </pic:spPr>
                </pic:pic>
              </a:graphicData>
            </a:graphic>
          </wp:anchor>
        </w:drawing>
      </w:r>
    </w:p>
    <w:p>
      <w:pPr>
        <w:spacing w:after="0" w:line="192" w:lineRule="exact"/>
        <w:rPr>
          <w:sz w:val="20"/>
          <w:szCs w:val="20"/>
          <w:color w:val="auto"/>
        </w:rPr>
      </w:pPr>
    </w:p>
    <w:p>
      <w:pPr>
        <w:ind w:left="120" w:right="260" w:firstLine="432"/>
        <w:spacing w:after="0" w:line="298" w:lineRule="auto"/>
        <w:rPr>
          <w:sz w:val="20"/>
          <w:szCs w:val="20"/>
          <w:color w:val="auto"/>
        </w:rPr>
      </w:pPr>
      <w:r>
        <w:rPr>
          <w:rFonts w:ascii="Arial" w:cs="Arial" w:eastAsia="Arial" w:hAnsi="Arial"/>
          <w:sz w:val="16"/>
          <w:szCs w:val="16"/>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by the time of the exchange, an amount equal to the then applicable backup withholding rate on all reportable payments made to me thereafter will be withheld until I provide a number.</w:t>
      </w:r>
    </w:p>
    <w:p>
      <w:pPr>
        <w:spacing w:after="0" w:line="147" w:lineRule="exact"/>
        <w:rPr>
          <w:sz w:val="20"/>
          <w:szCs w:val="20"/>
          <w:color w:val="auto"/>
        </w:rPr>
      </w:pPr>
    </w:p>
    <w:p>
      <w:pPr>
        <w:ind w:left="560"/>
        <w:spacing w:after="0"/>
        <w:tabs>
          <w:tab w:leader="none" w:pos="54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ectPr>
          <w:pgSz w:w="11900" w:h="16838" w:orient="portrait"/>
          <w:cols w:equalWidth="0" w:num="1">
            <w:col w:w="11420"/>
          </w:cols>
          <w:pgMar w:left="240" w:top="274" w:right="23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 IDENTIFICATION NUMBER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SUBSTITUTE FORM W-9</w:t>
      </w:r>
    </w:p>
    <w:p>
      <w:pPr>
        <w:spacing w:after="0" w:line="159"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b w:val="1"/>
          <w:bCs w:val="1"/>
          <w:color w:val="auto"/>
        </w:rPr>
        <w:t>GUIDELINES FOR DETERMINING THE PROPER IDENTIFICATION NUMBER TO GIVE THE PAYOR</w:t>
      </w:r>
      <w:r>
        <w:rPr>
          <w:rFonts w:ascii="Arial" w:cs="Arial" w:eastAsia="Arial" w:hAnsi="Arial"/>
          <w:sz w:val="18"/>
          <w:szCs w:val="18"/>
          <w:color w:val="auto"/>
        </w:rPr>
        <w:t>—Social security numbers have nine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digits separated by two hyphens, </w:t>
      </w:r>
      <w:r>
        <w:rPr>
          <w:rFonts w:ascii="Arial" w:cs="Arial" w:eastAsia="Arial" w:hAnsi="Arial"/>
          <w:sz w:val="18"/>
          <w:szCs w:val="18"/>
          <w:i w:val="1"/>
          <w:iCs w:val="1"/>
          <w:color w:val="auto"/>
        </w:rPr>
        <w:t>e.g</w:t>
      </w:r>
      <w:r>
        <w:rPr>
          <w:rFonts w:ascii="Arial" w:cs="Arial" w:eastAsia="Arial" w:hAnsi="Arial"/>
          <w:sz w:val="18"/>
          <w:szCs w:val="18"/>
          <w:color w:val="auto"/>
        </w:rPr>
        <w:t xml:space="preserve">., 000-00-0000. Employer identification numbers have nine digits separated by only one hyphen, </w:t>
      </w:r>
      <w:r>
        <w:rPr>
          <w:rFonts w:ascii="Arial" w:cs="Arial" w:eastAsia="Arial" w:hAnsi="Arial"/>
          <w:sz w:val="18"/>
          <w:szCs w:val="18"/>
          <w:i w:val="1"/>
          <w:iCs w:val="1"/>
          <w:color w:val="auto"/>
        </w:rPr>
        <w:t>e.g</w:t>
      </w:r>
      <w:r>
        <w:rPr>
          <w:rFonts w:ascii="Arial" w:cs="Arial" w:eastAsia="Arial" w:hAnsi="Arial"/>
          <w:sz w:val="18"/>
          <w:szCs w:val="18"/>
          <w:color w:val="auto"/>
        </w:rPr>
        <w:t>., 00-0000000. The table below will help determine the number to give the payor.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vMerge w:val="restart"/>
          </w:tcPr>
          <w:p>
            <w:pPr>
              <w:ind w:left="400"/>
              <w:spacing w:after="0"/>
              <w:rPr>
                <w:sz w:val="20"/>
                <w:szCs w:val="20"/>
                <w:color w:val="auto"/>
              </w:rPr>
            </w:pPr>
            <w:r>
              <w:rPr>
                <w:rFonts w:ascii="Arial" w:cs="Arial" w:eastAsia="Arial" w:hAnsi="Arial"/>
                <w:sz w:val="14"/>
                <w:szCs w:val="14"/>
                <w:b w:val="1"/>
                <w:bCs w:val="1"/>
                <w:color w:val="auto"/>
              </w:rPr>
              <w:t>Give the name* and</w:t>
            </w:r>
          </w:p>
        </w:tc>
        <w:tc>
          <w:tcPr>
            <w:tcW w:w="368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tcPr>
          <w:p>
            <w:pPr>
              <w:ind w:left="1160"/>
              <w:spacing w:after="0" w:line="149" w:lineRule="exact"/>
              <w:rPr>
                <w:sz w:val="20"/>
                <w:szCs w:val="20"/>
                <w:color w:val="auto"/>
              </w:rPr>
            </w:pPr>
            <w:r>
              <w:rPr>
                <w:rFonts w:ascii="Arial" w:cs="Arial" w:eastAsia="Arial" w:hAnsi="Arial"/>
                <w:sz w:val="14"/>
                <w:szCs w:val="14"/>
                <w:b w:val="1"/>
                <w:bCs w:val="1"/>
                <w:color w:val="auto"/>
              </w:rPr>
              <w:t>Give the name and</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720" w:type="dxa"/>
            <w:vAlign w:val="bottom"/>
            <w:vMerge w:val="continue"/>
          </w:tcPr>
          <w:p>
            <w:pPr>
              <w:spacing w:after="0"/>
              <w:rPr>
                <w:sz w:val="11"/>
                <w:szCs w:val="11"/>
                <w:color w:val="auto"/>
              </w:rPr>
            </w:pPr>
          </w:p>
        </w:tc>
        <w:tc>
          <w:tcPr>
            <w:tcW w:w="3680" w:type="dxa"/>
            <w:vAlign w:val="bottom"/>
          </w:tcPr>
          <w:p>
            <w:pPr>
              <w:spacing w:after="0"/>
              <w:rPr>
                <w:sz w:val="11"/>
                <w:szCs w:val="11"/>
                <w:color w:val="auto"/>
              </w:rPr>
            </w:pPr>
          </w:p>
        </w:tc>
        <w:tc>
          <w:tcPr>
            <w:tcW w:w="3220" w:type="dxa"/>
            <w:vAlign w:val="bottom"/>
          </w:tcPr>
          <w:p>
            <w:pPr>
              <w:ind w:left="1160"/>
              <w:spacing w:after="0" w:line="135" w:lineRule="exact"/>
              <w:rPr>
                <w:sz w:val="20"/>
                <w:szCs w:val="20"/>
                <w:color w:val="auto"/>
              </w:rPr>
            </w:pPr>
            <w:r>
              <w:rPr>
                <w:rFonts w:ascii="Arial" w:cs="Arial" w:eastAsia="Arial" w:hAnsi="Arial"/>
                <w:sz w:val="14"/>
                <w:szCs w:val="14"/>
                <w:b w:val="1"/>
                <w:bCs w:val="1"/>
                <w:color w:val="auto"/>
              </w:rPr>
              <w:t>EMPLOYER</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72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SOCIAL SECURITY</w:t>
            </w:r>
          </w:p>
        </w:tc>
        <w:tc>
          <w:tcPr>
            <w:tcW w:w="3680" w:type="dxa"/>
            <w:vAlign w:val="bottom"/>
          </w:tcPr>
          <w:p>
            <w:pPr>
              <w:spacing w:after="0"/>
              <w:rPr>
                <w:sz w:val="12"/>
                <w:szCs w:val="12"/>
                <w:color w:val="auto"/>
              </w:rPr>
            </w:pPr>
          </w:p>
        </w:tc>
        <w:tc>
          <w:tcPr>
            <w:tcW w:w="3220" w:type="dxa"/>
            <w:vAlign w:val="bottom"/>
          </w:tcPr>
          <w:p>
            <w:pPr>
              <w:ind w:left="1160"/>
              <w:spacing w:after="0" w:line="149" w:lineRule="exact"/>
              <w:rPr>
                <w:sz w:val="20"/>
                <w:szCs w:val="20"/>
                <w:color w:val="auto"/>
              </w:rPr>
            </w:pPr>
            <w:r>
              <w:rPr>
                <w:rFonts w:ascii="Arial" w:cs="Arial" w:eastAsia="Arial" w:hAnsi="Arial"/>
                <w:sz w:val="14"/>
                <w:szCs w:val="14"/>
                <w:b w:val="1"/>
                <w:bCs w:val="1"/>
                <w:color w:val="auto"/>
              </w:rPr>
              <w:t>IDENTIFICATION</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20"/>
                <w:szCs w:val="20"/>
                <w:color w:val="auto"/>
              </w:rPr>
            </w:pPr>
            <w:r>
              <w:rPr>
                <w:rFonts w:ascii="Arial" w:cs="Arial" w:eastAsia="Arial" w:hAnsi="Arial"/>
                <w:sz w:val="14"/>
                <w:szCs w:val="14"/>
                <w:b w:val="1"/>
                <w:bCs w:val="1"/>
                <w:color w:val="auto"/>
              </w:rPr>
              <w:t>For this type of account:</w:t>
            </w:r>
          </w:p>
        </w:tc>
        <w:tc>
          <w:tcPr>
            <w:tcW w:w="2720" w:type="dxa"/>
            <w:vAlign w:val="bottom"/>
          </w:tcPr>
          <w:p>
            <w:pPr>
              <w:ind w:left="400"/>
              <w:spacing w:after="0"/>
              <w:rPr>
                <w:sz w:val="20"/>
                <w:szCs w:val="20"/>
                <w:color w:val="auto"/>
              </w:rPr>
            </w:pPr>
            <w:r>
              <w:rPr>
                <w:rFonts w:ascii="Arial" w:cs="Arial" w:eastAsia="Arial" w:hAnsi="Arial"/>
                <w:sz w:val="14"/>
                <w:szCs w:val="14"/>
                <w:b w:val="1"/>
                <w:bCs w:val="1"/>
                <w:color w:val="auto"/>
              </w:rPr>
              <w:t>number of—</w:t>
            </w:r>
          </w:p>
        </w:tc>
        <w:tc>
          <w:tcPr>
            <w:tcW w:w="3680" w:type="dxa"/>
            <w:vAlign w:val="bottom"/>
          </w:tcPr>
          <w:p>
            <w:pPr>
              <w:ind w:left="1100"/>
              <w:spacing w:after="0"/>
              <w:rPr>
                <w:sz w:val="20"/>
                <w:szCs w:val="20"/>
                <w:color w:val="auto"/>
              </w:rPr>
            </w:pPr>
            <w:r>
              <w:rPr>
                <w:rFonts w:ascii="Arial" w:cs="Arial" w:eastAsia="Arial" w:hAnsi="Arial"/>
                <w:sz w:val="14"/>
                <w:szCs w:val="14"/>
                <w:b w:val="1"/>
                <w:bCs w:val="1"/>
                <w:color w:val="auto"/>
              </w:rPr>
              <w:t>For this type of account:</w:t>
            </w:r>
          </w:p>
        </w:tc>
        <w:tc>
          <w:tcPr>
            <w:tcW w:w="3220" w:type="dxa"/>
            <w:vAlign w:val="bottom"/>
          </w:tcPr>
          <w:p>
            <w:pPr>
              <w:ind w:left="11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ind w:left="260" w:hanging="252"/>
        <w:spacing w:after="0"/>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Individual</w:t>
      </w:r>
    </w:p>
    <w:p>
      <w:pPr>
        <w:spacing w:after="0" w:line="68" w:lineRule="exact"/>
        <w:rPr>
          <w:rFonts w:ascii="Arial" w:cs="Arial" w:eastAsia="Arial" w:hAnsi="Arial"/>
          <w:sz w:val="18"/>
          <w:szCs w:val="18"/>
          <w:color w:val="auto"/>
        </w:rPr>
      </w:pPr>
    </w:p>
    <w:p>
      <w:pPr>
        <w:ind w:left="260" w:hanging="252"/>
        <w:spacing w:after="0" w:line="332" w:lineRule="auto"/>
        <w:tabs>
          <w:tab w:leader="none" w:pos="2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Two or more individuals (joint account)</w:t>
      </w:r>
    </w:p>
    <w:p>
      <w:pPr>
        <w:spacing w:after="0" w:line="206" w:lineRule="exact"/>
        <w:rPr>
          <w:rFonts w:ascii="Arial" w:cs="Arial" w:eastAsia="Arial" w:hAnsi="Arial"/>
          <w:sz w:val="16"/>
          <w:szCs w:val="16"/>
          <w:color w:val="auto"/>
        </w:rPr>
      </w:pPr>
    </w:p>
    <w:p>
      <w:pPr>
        <w:jc w:val="both"/>
        <w:ind w:left="260" w:right="100" w:hanging="252"/>
        <w:spacing w:after="0" w:line="259" w:lineRule="auto"/>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Custodian account of a minor (Uniform Gift to Minors Act)</w:t>
      </w:r>
    </w:p>
    <w:p>
      <w:pPr>
        <w:spacing w:after="0" w:line="45" w:lineRule="exact"/>
        <w:rPr>
          <w:rFonts w:ascii="Arial" w:cs="Arial" w:eastAsia="Arial" w:hAnsi="Arial"/>
          <w:sz w:val="18"/>
          <w:szCs w:val="18"/>
          <w:color w:val="auto"/>
        </w:rPr>
      </w:pPr>
    </w:p>
    <w:p>
      <w:pPr>
        <w:ind w:left="500" w:hanging="492"/>
        <w:spacing w:after="0" w:line="331" w:lineRule="auto"/>
        <w:tabs>
          <w:tab w:leader="none" w:pos="257"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 The usual revocable savings trust (grantor is also trustee)</w:t>
      </w:r>
    </w:p>
    <w:p>
      <w:pPr>
        <w:spacing w:after="0" w:line="2" w:lineRule="exact"/>
        <w:rPr>
          <w:rFonts w:ascii="Arial" w:cs="Arial" w:eastAsia="Arial" w:hAnsi="Arial"/>
          <w:sz w:val="15"/>
          <w:szCs w:val="15"/>
          <w:color w:val="auto"/>
        </w:rPr>
      </w:pPr>
    </w:p>
    <w:p>
      <w:pPr>
        <w:ind w:left="500" w:right="80" w:hanging="249"/>
        <w:spacing w:after="0" w:line="298" w:lineRule="auto"/>
        <w:tabs>
          <w:tab w:leader="none" w:pos="50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So-called “trust” account that is not a legal or valid trust under state law</w:t>
      </w:r>
    </w:p>
    <w:p>
      <w:pPr>
        <w:spacing w:after="0" w:line="18" w:lineRule="exact"/>
        <w:rPr>
          <w:rFonts w:ascii="Arial" w:cs="Arial" w:eastAsia="Arial" w:hAnsi="Arial"/>
          <w:sz w:val="16"/>
          <w:szCs w:val="16"/>
          <w:color w:val="auto"/>
        </w:rPr>
      </w:pPr>
    </w:p>
    <w:p>
      <w:pPr>
        <w:ind w:left="260" w:right="180" w:hanging="252"/>
        <w:spacing w:after="0" w:line="325" w:lineRule="auto"/>
        <w:tabs>
          <w:tab w:leader="none" w:pos="2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Sole proprietorship or single-owner LLC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The individual</w:t>
            </w:r>
          </w:p>
        </w:tc>
        <w:tc>
          <w:tcPr>
            <w:tcW w:w="500" w:type="dxa"/>
            <w:vAlign w:val="bottom"/>
          </w:tcPr>
          <w:p>
            <w:pPr>
              <w:ind w:left="220"/>
              <w:spacing w:after="0"/>
              <w:rPr>
                <w:sz w:val="20"/>
                <w:szCs w:val="20"/>
                <w:color w:val="auto"/>
              </w:rPr>
            </w:pPr>
            <w:r>
              <w:rPr>
                <w:rFonts w:ascii="Arial" w:cs="Arial" w:eastAsia="Arial" w:hAnsi="Arial"/>
                <w:sz w:val="18"/>
                <w:szCs w:val="18"/>
                <w:color w:val="auto"/>
              </w:rPr>
              <w:t>6.</w:t>
            </w:r>
          </w:p>
        </w:tc>
        <w:tc>
          <w:tcPr>
            <w:tcW w:w="3380" w:type="dxa"/>
            <w:vAlign w:val="bottom"/>
          </w:tcPr>
          <w:p>
            <w:pPr>
              <w:ind w:left="60"/>
              <w:spacing w:after="0"/>
              <w:rPr>
                <w:sz w:val="20"/>
                <w:szCs w:val="20"/>
                <w:color w:val="auto"/>
              </w:rPr>
            </w:pPr>
            <w:r>
              <w:rPr>
                <w:rFonts w:ascii="Arial" w:cs="Arial" w:eastAsia="Arial" w:hAnsi="Arial"/>
                <w:sz w:val="18"/>
                <w:szCs w:val="18"/>
                <w:color w:val="auto"/>
              </w:rPr>
              <w:t>Sole proprietorship or single-owner LLC</w:t>
            </w:r>
          </w:p>
        </w:tc>
        <w:tc>
          <w:tcPr>
            <w:tcW w:w="1700" w:type="dxa"/>
            <w:vAlign w:val="bottom"/>
          </w:tcPr>
          <w:p>
            <w:pPr>
              <w:ind w:left="80"/>
              <w:spacing w:after="0"/>
              <w:rPr>
                <w:sz w:val="20"/>
                <w:szCs w:val="20"/>
                <w:color w:val="auto"/>
              </w:rPr>
            </w:pPr>
            <w:r>
              <w:rPr>
                <w:rFonts w:ascii="Arial" w:cs="Arial" w:eastAsia="Arial" w:hAnsi="Arial"/>
                <w:sz w:val="18"/>
                <w:szCs w:val="18"/>
                <w:color w:val="auto"/>
              </w:rPr>
              <w:t>The owner(3)</w:t>
            </w:r>
          </w:p>
        </w:tc>
      </w:tr>
      <w:tr>
        <w:trPr>
          <w:trHeight w:val="269"/>
        </w:trPr>
        <w:tc>
          <w:tcPr>
            <w:tcW w:w="3200" w:type="dxa"/>
            <w:vAlign w:val="bottom"/>
          </w:tcPr>
          <w:p>
            <w:pPr>
              <w:spacing w:after="0"/>
              <w:rPr>
                <w:sz w:val="20"/>
                <w:szCs w:val="20"/>
                <w:color w:val="auto"/>
              </w:rPr>
            </w:pPr>
            <w:r>
              <w:rPr>
                <w:rFonts w:ascii="Arial" w:cs="Arial" w:eastAsia="Arial" w:hAnsi="Arial"/>
                <w:sz w:val="18"/>
                <w:szCs w:val="18"/>
                <w:color w:val="auto"/>
              </w:rPr>
              <w:t>The actual owner of the account or, if</w:t>
            </w:r>
          </w:p>
        </w:tc>
        <w:tc>
          <w:tcPr>
            <w:tcW w:w="500" w:type="dxa"/>
            <w:vAlign w:val="bottom"/>
          </w:tcPr>
          <w:p>
            <w:pPr>
              <w:ind w:left="220"/>
              <w:spacing w:after="0"/>
              <w:rPr>
                <w:sz w:val="20"/>
                <w:szCs w:val="20"/>
                <w:color w:val="auto"/>
              </w:rPr>
            </w:pPr>
            <w:r>
              <w:rPr>
                <w:rFonts w:ascii="Arial" w:cs="Arial" w:eastAsia="Arial" w:hAnsi="Arial"/>
                <w:sz w:val="18"/>
                <w:szCs w:val="18"/>
                <w:color w:val="auto"/>
              </w:rPr>
              <w:t>7.</w:t>
            </w:r>
          </w:p>
        </w:tc>
        <w:tc>
          <w:tcPr>
            <w:tcW w:w="3380" w:type="dxa"/>
            <w:vAlign w:val="bottom"/>
          </w:tcPr>
          <w:p>
            <w:pPr>
              <w:ind w:left="60"/>
              <w:spacing w:after="0"/>
              <w:rPr>
                <w:sz w:val="20"/>
                <w:szCs w:val="20"/>
                <w:color w:val="auto"/>
              </w:rPr>
            </w:pPr>
            <w:r>
              <w:rPr>
                <w:rFonts w:ascii="Arial" w:cs="Arial" w:eastAsia="Arial" w:hAnsi="Arial"/>
                <w:sz w:val="18"/>
                <w:szCs w:val="18"/>
                <w:color w:val="auto"/>
              </w:rPr>
              <w:t>A valid trust, estate, or pension trust</w:t>
            </w:r>
          </w:p>
        </w:tc>
        <w:tc>
          <w:tcPr>
            <w:tcW w:w="1700" w:type="dxa"/>
            <w:vAlign w:val="bottom"/>
          </w:tcPr>
          <w:p>
            <w:pPr>
              <w:ind w:left="80"/>
              <w:spacing w:after="0"/>
              <w:rPr>
                <w:sz w:val="20"/>
                <w:szCs w:val="20"/>
                <w:color w:val="auto"/>
              </w:rPr>
            </w:pPr>
            <w:r>
              <w:rPr>
                <w:rFonts w:ascii="Arial" w:cs="Arial" w:eastAsia="Arial" w:hAnsi="Arial"/>
                <w:sz w:val="18"/>
                <w:szCs w:val="18"/>
                <w:color w:val="auto"/>
              </w:rPr>
              <w:t>Legal entity(4)</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w w:val="96"/>
              </w:rPr>
              <w:t>combined funds, the first individual on the</w:t>
            </w:r>
          </w:p>
        </w:tc>
        <w:tc>
          <w:tcPr>
            <w:tcW w:w="5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account(1)</w:t>
            </w:r>
          </w:p>
        </w:tc>
        <w:tc>
          <w:tcPr>
            <w:tcW w:w="5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7"/>
        </w:trPr>
        <w:tc>
          <w:tcPr>
            <w:tcW w:w="3200" w:type="dxa"/>
            <w:vAlign w:val="bottom"/>
          </w:tcPr>
          <w:p>
            <w:pPr>
              <w:spacing w:after="0"/>
              <w:rPr>
                <w:sz w:val="20"/>
                <w:szCs w:val="20"/>
                <w:color w:val="auto"/>
              </w:rPr>
            </w:pPr>
            <w:r>
              <w:rPr>
                <w:rFonts w:ascii="Arial" w:cs="Arial" w:eastAsia="Arial" w:hAnsi="Arial"/>
                <w:sz w:val="18"/>
                <w:szCs w:val="18"/>
                <w:color w:val="auto"/>
              </w:rPr>
              <w:t>The minor(2)</w:t>
            </w:r>
          </w:p>
        </w:tc>
        <w:tc>
          <w:tcPr>
            <w:tcW w:w="500" w:type="dxa"/>
            <w:vAlign w:val="bottom"/>
          </w:tcPr>
          <w:p>
            <w:pPr>
              <w:ind w:left="220"/>
              <w:spacing w:after="0"/>
              <w:rPr>
                <w:sz w:val="20"/>
                <w:szCs w:val="20"/>
                <w:color w:val="auto"/>
              </w:rPr>
            </w:pPr>
            <w:r>
              <w:rPr>
                <w:rFonts w:ascii="Arial" w:cs="Arial" w:eastAsia="Arial" w:hAnsi="Arial"/>
                <w:sz w:val="18"/>
                <w:szCs w:val="18"/>
                <w:color w:val="auto"/>
              </w:rPr>
              <w:t>8.</w:t>
            </w:r>
          </w:p>
        </w:tc>
        <w:tc>
          <w:tcPr>
            <w:tcW w:w="3380" w:type="dxa"/>
            <w:vAlign w:val="bottom"/>
          </w:tcPr>
          <w:p>
            <w:pPr>
              <w:ind w:left="60"/>
              <w:spacing w:after="0"/>
              <w:rPr>
                <w:sz w:val="20"/>
                <w:szCs w:val="20"/>
                <w:color w:val="auto"/>
              </w:rPr>
            </w:pPr>
            <w:r>
              <w:rPr>
                <w:rFonts w:ascii="Arial" w:cs="Arial" w:eastAsia="Arial" w:hAnsi="Arial"/>
                <w:sz w:val="18"/>
                <w:szCs w:val="18"/>
                <w:color w:val="auto"/>
                <w:w w:val="90"/>
              </w:rPr>
              <w:t>Corporate or LLC electing corporate status on</w:t>
            </w:r>
          </w:p>
        </w:tc>
        <w:tc>
          <w:tcPr>
            <w:tcW w:w="1700" w:type="dxa"/>
            <w:vAlign w:val="bottom"/>
          </w:tcPr>
          <w:p>
            <w:pPr>
              <w:ind w:left="80"/>
              <w:spacing w:after="0"/>
              <w:rPr>
                <w:sz w:val="20"/>
                <w:szCs w:val="20"/>
                <w:color w:val="auto"/>
              </w:rPr>
            </w:pPr>
            <w:r>
              <w:rPr>
                <w:rFonts w:ascii="Arial" w:cs="Arial" w:eastAsia="Arial" w:hAnsi="Arial"/>
                <w:sz w:val="18"/>
                <w:szCs w:val="18"/>
                <w:color w:val="auto"/>
              </w:rPr>
              <w:t>The corporation</w:t>
            </w:r>
          </w:p>
        </w:tc>
      </w:tr>
      <w:tr>
        <w:trPr>
          <w:trHeight w:val="222"/>
        </w:trPr>
        <w:tc>
          <w:tcPr>
            <w:tcW w:w="3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ind w:left="60"/>
              <w:spacing w:after="0"/>
              <w:rPr>
                <w:sz w:val="20"/>
                <w:szCs w:val="20"/>
                <w:color w:val="auto"/>
              </w:rPr>
            </w:pPr>
            <w:r>
              <w:rPr>
                <w:rFonts w:ascii="Arial" w:cs="Arial" w:eastAsia="Arial" w:hAnsi="Arial"/>
                <w:sz w:val="18"/>
                <w:szCs w:val="18"/>
                <w:color w:val="auto"/>
              </w:rPr>
              <w:t>Form 8832</w:t>
            </w:r>
          </w:p>
        </w:tc>
        <w:tc>
          <w:tcPr>
            <w:tcW w:w="1700" w:type="dxa"/>
            <w:vAlign w:val="bottom"/>
          </w:tcPr>
          <w:p>
            <w:pPr>
              <w:spacing w:after="0"/>
              <w:rPr>
                <w:sz w:val="19"/>
                <w:szCs w:val="19"/>
                <w:color w:val="auto"/>
              </w:rPr>
            </w:pPr>
          </w:p>
        </w:tc>
      </w:tr>
      <w:tr>
        <w:trPr>
          <w:trHeight w:val="493"/>
        </w:trPr>
        <w:tc>
          <w:tcPr>
            <w:tcW w:w="3200" w:type="dxa"/>
            <w:vAlign w:val="bottom"/>
          </w:tcPr>
          <w:p>
            <w:pPr>
              <w:spacing w:after="0"/>
              <w:rPr>
                <w:sz w:val="20"/>
                <w:szCs w:val="20"/>
                <w:color w:val="auto"/>
              </w:rPr>
            </w:pPr>
            <w:r>
              <w:rPr>
                <w:rFonts w:ascii="Arial" w:cs="Arial" w:eastAsia="Arial" w:hAnsi="Arial"/>
                <w:sz w:val="18"/>
                <w:szCs w:val="18"/>
                <w:color w:val="auto"/>
              </w:rPr>
              <w:t>The grantor-trustee(1)</w:t>
            </w:r>
          </w:p>
        </w:tc>
        <w:tc>
          <w:tcPr>
            <w:tcW w:w="500" w:type="dxa"/>
            <w:vAlign w:val="bottom"/>
          </w:tcPr>
          <w:p>
            <w:pPr>
              <w:ind w:left="220"/>
              <w:spacing w:after="0"/>
              <w:rPr>
                <w:sz w:val="20"/>
                <w:szCs w:val="20"/>
                <w:color w:val="auto"/>
              </w:rPr>
            </w:pPr>
            <w:r>
              <w:rPr>
                <w:rFonts w:ascii="Arial" w:cs="Arial" w:eastAsia="Arial" w:hAnsi="Arial"/>
                <w:sz w:val="18"/>
                <w:szCs w:val="18"/>
                <w:color w:val="auto"/>
              </w:rPr>
              <w:t>9.</w:t>
            </w:r>
          </w:p>
        </w:tc>
        <w:tc>
          <w:tcPr>
            <w:tcW w:w="3380" w:type="dxa"/>
            <w:vAlign w:val="bottom"/>
          </w:tcPr>
          <w:p>
            <w:pPr>
              <w:ind w:left="60"/>
              <w:spacing w:after="0"/>
              <w:rPr>
                <w:sz w:val="20"/>
                <w:szCs w:val="20"/>
                <w:color w:val="auto"/>
              </w:rPr>
            </w:pPr>
            <w:r>
              <w:rPr>
                <w:rFonts w:ascii="Arial" w:cs="Arial" w:eastAsia="Arial" w:hAnsi="Arial"/>
                <w:sz w:val="18"/>
                <w:szCs w:val="18"/>
                <w:color w:val="auto"/>
              </w:rPr>
              <w:t>Association, club, religious, charitable,</w:t>
            </w:r>
          </w:p>
        </w:tc>
        <w:tc>
          <w:tcPr>
            <w:tcW w:w="1700" w:type="dxa"/>
            <w:vAlign w:val="bottom"/>
          </w:tcPr>
          <w:p>
            <w:pPr>
              <w:ind w:left="80"/>
              <w:spacing w:after="0"/>
              <w:rPr>
                <w:sz w:val="20"/>
                <w:szCs w:val="20"/>
                <w:color w:val="auto"/>
              </w:rPr>
            </w:pPr>
            <w:r>
              <w:rPr>
                <w:rFonts w:ascii="Arial" w:cs="Arial" w:eastAsia="Arial" w:hAnsi="Arial"/>
                <w:sz w:val="18"/>
                <w:szCs w:val="18"/>
                <w:color w:val="auto"/>
              </w:rPr>
              <w:t>The organization</w:t>
            </w:r>
          </w:p>
        </w:tc>
      </w:tr>
      <w:tr>
        <w:trPr>
          <w:trHeight w:val="222"/>
        </w:trPr>
        <w:tc>
          <w:tcPr>
            <w:tcW w:w="3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ind w:left="60"/>
              <w:spacing w:after="0"/>
              <w:rPr>
                <w:sz w:val="20"/>
                <w:szCs w:val="20"/>
                <w:color w:val="auto"/>
              </w:rPr>
            </w:pPr>
            <w:r>
              <w:rPr>
                <w:rFonts w:ascii="Arial" w:cs="Arial" w:eastAsia="Arial" w:hAnsi="Arial"/>
                <w:sz w:val="18"/>
                <w:szCs w:val="18"/>
                <w:color w:val="auto"/>
                <w:w w:val="92"/>
              </w:rPr>
              <w:t>educational or other tax-exempt organization</w:t>
            </w:r>
          </w:p>
        </w:tc>
        <w:tc>
          <w:tcPr>
            <w:tcW w:w="1700" w:type="dxa"/>
            <w:vAlign w:val="bottom"/>
          </w:tcPr>
          <w:p>
            <w:pPr>
              <w:spacing w:after="0"/>
              <w:rPr>
                <w:sz w:val="19"/>
                <w:szCs w:val="19"/>
                <w:color w:val="auto"/>
              </w:rPr>
            </w:pPr>
          </w:p>
        </w:tc>
      </w:tr>
      <w:tr>
        <w:trPr>
          <w:trHeight w:val="500"/>
        </w:trPr>
        <w:tc>
          <w:tcPr>
            <w:tcW w:w="3200" w:type="dxa"/>
            <w:vAlign w:val="bottom"/>
          </w:tcPr>
          <w:p>
            <w:pPr>
              <w:spacing w:after="0"/>
              <w:rPr>
                <w:sz w:val="20"/>
                <w:szCs w:val="20"/>
                <w:color w:val="auto"/>
              </w:rPr>
            </w:pPr>
            <w:r>
              <w:rPr>
                <w:rFonts w:ascii="Arial" w:cs="Arial" w:eastAsia="Arial" w:hAnsi="Arial"/>
                <w:sz w:val="18"/>
                <w:szCs w:val="18"/>
                <w:color w:val="auto"/>
              </w:rPr>
              <w:t>The actual owner(1)</w:t>
            </w:r>
          </w:p>
        </w:tc>
        <w:tc>
          <w:tcPr>
            <w:tcW w:w="500" w:type="dxa"/>
            <w:vAlign w:val="bottom"/>
          </w:tcPr>
          <w:p>
            <w:pPr>
              <w:ind w:left="220"/>
              <w:spacing w:after="0"/>
              <w:rPr>
                <w:sz w:val="20"/>
                <w:szCs w:val="20"/>
                <w:color w:val="auto"/>
              </w:rPr>
            </w:pPr>
            <w:r>
              <w:rPr>
                <w:rFonts w:ascii="Arial" w:cs="Arial" w:eastAsia="Arial" w:hAnsi="Arial"/>
                <w:sz w:val="18"/>
                <w:szCs w:val="18"/>
                <w:color w:val="auto"/>
              </w:rPr>
              <w:t>10.</w:t>
            </w:r>
          </w:p>
        </w:tc>
        <w:tc>
          <w:tcPr>
            <w:tcW w:w="3380" w:type="dxa"/>
            <w:vAlign w:val="bottom"/>
          </w:tcPr>
          <w:p>
            <w:pPr>
              <w:ind w:left="60"/>
              <w:spacing w:after="0"/>
              <w:rPr>
                <w:sz w:val="20"/>
                <w:szCs w:val="20"/>
                <w:color w:val="auto"/>
              </w:rPr>
            </w:pPr>
            <w:r>
              <w:rPr>
                <w:rFonts w:ascii="Arial" w:cs="Arial" w:eastAsia="Arial" w:hAnsi="Arial"/>
                <w:sz w:val="18"/>
                <w:szCs w:val="18"/>
                <w:color w:val="auto"/>
              </w:rPr>
              <w:t>Partnership or Multi-Member LLC</w:t>
            </w:r>
          </w:p>
        </w:tc>
        <w:tc>
          <w:tcPr>
            <w:tcW w:w="1700" w:type="dxa"/>
            <w:vAlign w:val="bottom"/>
          </w:tcPr>
          <w:p>
            <w:pPr>
              <w:ind w:left="80"/>
              <w:spacing w:after="0"/>
              <w:rPr>
                <w:sz w:val="20"/>
                <w:szCs w:val="20"/>
                <w:color w:val="auto"/>
              </w:rPr>
            </w:pPr>
            <w:r>
              <w:rPr>
                <w:rFonts w:ascii="Arial" w:cs="Arial" w:eastAsia="Arial" w:hAnsi="Arial"/>
                <w:sz w:val="18"/>
                <w:szCs w:val="18"/>
                <w:color w:val="auto"/>
              </w:rPr>
              <w:t>The partnership</w:t>
            </w:r>
          </w:p>
        </w:tc>
      </w:tr>
      <w:tr>
        <w:trPr>
          <w:trHeight w:val="932"/>
        </w:trPr>
        <w:tc>
          <w:tcPr>
            <w:tcW w:w="3200" w:type="dxa"/>
            <w:vAlign w:val="bottom"/>
          </w:tcPr>
          <w:p>
            <w:pPr>
              <w:spacing w:after="0"/>
              <w:rPr>
                <w:sz w:val="20"/>
                <w:szCs w:val="20"/>
                <w:color w:val="auto"/>
              </w:rPr>
            </w:pPr>
            <w:r>
              <w:rPr>
                <w:rFonts w:ascii="Arial" w:cs="Arial" w:eastAsia="Arial" w:hAnsi="Arial"/>
                <w:sz w:val="18"/>
                <w:szCs w:val="18"/>
                <w:color w:val="auto"/>
              </w:rPr>
              <w:t>The owner(3)</w:t>
            </w:r>
          </w:p>
        </w:tc>
        <w:tc>
          <w:tcPr>
            <w:tcW w:w="500" w:type="dxa"/>
            <w:vAlign w:val="bottom"/>
          </w:tcPr>
          <w:p>
            <w:pPr>
              <w:ind w:left="220"/>
              <w:spacing w:after="0"/>
              <w:rPr>
                <w:sz w:val="20"/>
                <w:szCs w:val="20"/>
                <w:color w:val="auto"/>
              </w:rPr>
            </w:pPr>
            <w:r>
              <w:rPr>
                <w:rFonts w:ascii="Arial" w:cs="Arial" w:eastAsia="Arial" w:hAnsi="Arial"/>
                <w:sz w:val="18"/>
                <w:szCs w:val="18"/>
                <w:color w:val="auto"/>
              </w:rPr>
              <w:t>11.</w:t>
            </w:r>
          </w:p>
        </w:tc>
        <w:tc>
          <w:tcPr>
            <w:tcW w:w="3380" w:type="dxa"/>
            <w:vAlign w:val="bottom"/>
          </w:tcPr>
          <w:p>
            <w:pPr>
              <w:ind w:left="60"/>
              <w:spacing w:after="0"/>
              <w:rPr>
                <w:sz w:val="20"/>
                <w:szCs w:val="20"/>
                <w:color w:val="auto"/>
              </w:rPr>
            </w:pPr>
            <w:r>
              <w:rPr>
                <w:rFonts w:ascii="Arial" w:cs="Arial" w:eastAsia="Arial" w:hAnsi="Arial"/>
                <w:sz w:val="18"/>
                <w:szCs w:val="18"/>
                <w:color w:val="auto"/>
              </w:rPr>
              <w:t>A broker or registered nominee</w:t>
            </w:r>
          </w:p>
        </w:tc>
        <w:tc>
          <w:tcPr>
            <w:tcW w:w="1700" w:type="dxa"/>
            <w:vAlign w:val="bottom"/>
          </w:tcPr>
          <w:p>
            <w:pPr>
              <w:ind w:left="80"/>
              <w:spacing w:after="0"/>
              <w:rPr>
                <w:sz w:val="20"/>
                <w:szCs w:val="20"/>
                <w:color w:val="auto"/>
              </w:rPr>
            </w:pPr>
            <w:r>
              <w:rPr>
                <w:rFonts w:ascii="Arial" w:cs="Arial" w:eastAsia="Arial" w:hAnsi="Arial"/>
                <w:sz w:val="18"/>
                <w:szCs w:val="18"/>
                <w:color w:val="auto"/>
                <w:w w:val="87"/>
              </w:rPr>
              <w:t>The broker or nominee</w:t>
            </w:r>
          </w:p>
        </w:tc>
      </w:tr>
    </w:tbl>
    <w:p>
      <w:pPr>
        <w:spacing w:after="0" w:line="276" w:lineRule="exact"/>
        <w:rPr>
          <w:sz w:val="20"/>
          <w:szCs w:val="20"/>
          <w:color w:val="auto"/>
        </w:rPr>
      </w:pPr>
    </w:p>
    <w:p>
      <w:pPr>
        <w:sectPr>
          <w:pgSz w:w="11900" w:h="16838" w:orient="portrait"/>
          <w:cols w:equalWidth="0" w:num="2">
            <w:col w:w="1980" w:space="220"/>
            <w:col w:w="9220"/>
          </w:cols>
          <w:pgMar w:left="240" w:top="274" w:right="239" w:bottom="1440" w:gutter="0" w:footer="0" w:header="0"/>
          <w:type w:val="continuous"/>
        </w:sectPr>
      </w:pPr>
    </w:p>
    <w:p>
      <w:pPr>
        <w:ind w:left="5620"/>
        <w:spacing w:after="0"/>
        <w:rPr>
          <w:sz w:val="20"/>
          <w:szCs w:val="20"/>
          <w:color w:val="auto"/>
        </w:rPr>
      </w:pPr>
      <w:r>
        <w:rPr>
          <w:rFonts w:ascii="Arial" w:cs="Arial" w:eastAsia="Arial" w:hAnsi="Arial"/>
          <w:sz w:val="18"/>
          <w:szCs w:val="18"/>
          <w:color w:val="auto"/>
        </w:rPr>
        <w:t>12.  Account with the Department of Agriculture in The public entity</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name of a public entity (such as a state 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local government, school district, or prison)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that receives agricultural program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ind w:left="460" w:right="60" w:hanging="364"/>
        <w:spacing w:after="0" w:line="259" w:lineRule="auto"/>
        <w:tabs>
          <w:tab w:leader="none" w:pos="4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If you are an individual, you must generally enter the name shown on your social security card. However, if you have changed your last name, for instance, due to marriage, without informing the Social Security Administration of the name change, enter your first name, the last name shown on your social security card, and your new last name.</w:t>
      </w:r>
    </w:p>
    <w:p>
      <w:pPr>
        <w:spacing w:after="0" w:line="59" w:lineRule="exact"/>
        <w:rPr>
          <w:sz w:val="20"/>
          <w:szCs w:val="20"/>
          <w:color w:val="auto"/>
        </w:rPr>
      </w:pPr>
    </w:p>
    <w:p>
      <w:pPr>
        <w:ind w:left="460" w:right="400" w:hanging="452"/>
        <w:spacing w:after="0" w:line="268"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List first and circle the name of the person whose number you furnish. If only one person on a joint account has a social security number, that person’s number must be furnished.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Circle the minor’s name and furnish the minor’s social security number.</w:t>
      </w:r>
    </w:p>
    <w:p>
      <w:pPr>
        <w:spacing w:after="0" w:line="9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You must show your individual name and you may also enter your business or “DBA” name on the second name line. You may use either your social security number or employer identification number (if you have one). If you are a sole proprietor, the Internal Revenue Service encourages you to use your social security number.</w:t>
      </w:r>
    </w:p>
    <w:p>
      <w:pPr>
        <w:spacing w:after="0" w:line="59" w:lineRule="exact"/>
        <w:rPr>
          <w:rFonts w:ascii="Arial" w:cs="Arial" w:eastAsia="Arial" w:hAnsi="Arial"/>
          <w:sz w:val="18"/>
          <w:szCs w:val="18"/>
          <w:color w:val="auto"/>
        </w:rPr>
      </w:pPr>
    </w:p>
    <w:p>
      <w:pPr>
        <w:ind w:left="460" w:right="420" w:hanging="452"/>
        <w:spacing w:after="0" w:line="268"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List first and circle the name of the legal trust, estate or pension trust. (Do not furnish the TIN of the personal representative or trustee unless the legal entity itself is not designated in the account title.)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Note: If no name is circled when more than one name is listed, the number will be considered to be that of the first name listed.</w:t>
      </w:r>
    </w:p>
    <w:p>
      <w:pPr>
        <w:sectPr>
          <w:pgSz w:w="11900" w:h="16838" w:orient="portrait"/>
          <w:cols w:equalWidth="0" w:num="1">
            <w:col w:w="11420"/>
          </w:cols>
          <w:pgMar w:left="240" w:top="274" w:right="239" w:bottom="1440" w:gutter="0" w:footer="0" w:header="0"/>
          <w:type w:val="continuous"/>
        </w:sectPr>
      </w:pPr>
    </w:p>
    <w:bookmarkStart w:id="280" w:name="page281"/>
    <w:bookmarkEnd w:id="28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GUIDELINES FOR CERTIFICATION OF TAXPAYER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NUMBER ON SUBSTITUTE FORM W-9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a TIN</w:t>
      </w:r>
    </w:p>
    <w:p>
      <w:pPr>
        <w:spacing w:after="0" w:line="90"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color w:val="auto"/>
        </w:rPr>
        <w:t xml:space="preserve">If you do not have a TIN or you do not know your number, obtain </w:t>
      </w:r>
      <w:r>
        <w:rPr>
          <w:rFonts w:ascii="Arial" w:cs="Arial" w:eastAsia="Arial" w:hAnsi="Arial"/>
          <w:sz w:val="16"/>
          <w:szCs w:val="16"/>
          <w:b w:val="1"/>
          <w:bCs w:val="1"/>
          <w:color w:val="auto"/>
        </w:rPr>
        <w:t>Form SS-5</w:t>
      </w:r>
      <w:r>
        <w:rPr>
          <w:rFonts w:ascii="Arial" w:cs="Arial" w:eastAsia="Arial" w:hAnsi="Arial"/>
          <w:sz w:val="16"/>
          <w:szCs w:val="16"/>
          <w:color w:val="auto"/>
        </w:rPr>
        <w:t xml:space="preserve">, Application for a Social Security Card (for resident individuals), </w:t>
      </w:r>
      <w:r>
        <w:rPr>
          <w:rFonts w:ascii="Arial" w:cs="Arial" w:eastAsia="Arial" w:hAnsi="Arial"/>
          <w:sz w:val="16"/>
          <w:szCs w:val="16"/>
          <w:b w:val="1"/>
          <w:bCs w:val="1"/>
          <w:color w:val="auto"/>
        </w:rPr>
        <w:t>Form SS-4</w:t>
      </w:r>
      <w:r>
        <w:rPr>
          <w:rFonts w:ascii="Arial" w:cs="Arial" w:eastAsia="Arial" w:hAnsi="Arial"/>
          <w:sz w:val="16"/>
          <w:szCs w:val="16"/>
          <w:color w:val="auto"/>
        </w:rPr>
        <w:t>, Application for Employer Identification Number (for businesses and all other entities),</w:t>
      </w:r>
      <w:r>
        <w:rPr>
          <w:rFonts w:ascii="Arial" w:cs="Arial" w:eastAsia="Arial" w:hAnsi="Arial"/>
          <w:sz w:val="16"/>
          <w:szCs w:val="16"/>
          <w:b w:val="1"/>
          <w:bCs w:val="1"/>
          <w:color w:val="auto"/>
        </w:rPr>
        <w:t xml:space="preserve"> Form W-7</w:t>
      </w:r>
      <w:r>
        <w:rPr>
          <w:rFonts w:ascii="Arial" w:cs="Arial" w:eastAsia="Arial" w:hAnsi="Arial"/>
          <w:sz w:val="16"/>
          <w:szCs w:val="16"/>
          <w:color w:val="auto"/>
        </w:rPr>
        <w:t>, Application for IRS Individual Taxpayer Identification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Number (for resident alien individuals required to file U.S. tax returns). You may obtain Form SS-5 from your local Social Security Administration Office and Forms SS-4 and W-7 from the IRS by calling 1-800-TAX-FORM (1-800-829-3676) or from the IRS’s Internet Web Site at </w:t>
      </w:r>
      <w:r>
        <w:rPr>
          <w:rFonts w:ascii="Arial" w:cs="Arial" w:eastAsia="Arial" w:hAnsi="Arial"/>
          <w:sz w:val="16"/>
          <w:szCs w:val="16"/>
          <w:i w:val="1"/>
          <w:iCs w:val="1"/>
          <w:color w:val="auto"/>
        </w:rPr>
        <w:t>www.irs.gov.</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To complete Substitute Form W-9 if you do not have a TIN, write “Applied For” in the space for the TIN in Part 1, sign and date the form, and give it to the payor. Generally, you will then have 60 days to obtain a TIN and furnish it to the payor. If the payor does not receive your TIN within 60 days, backup withholding, if applicable, will begin and will continue until you furnish your TIN to the payor. </w:t>
      </w:r>
      <w:r>
        <w:rPr>
          <w:rFonts w:ascii="Arial" w:cs="Arial" w:eastAsia="Arial" w:hAnsi="Arial"/>
          <w:sz w:val="18"/>
          <w:szCs w:val="18"/>
          <w:b w:val="1"/>
          <w:b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Writing “Applied For” means that you have already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applied for a TIN </w:t>
      </w:r>
      <w:r>
        <w:rPr>
          <w:rFonts w:ascii="Arial" w:cs="Arial" w:eastAsia="Arial" w:hAnsi="Arial"/>
          <w:sz w:val="18"/>
          <w:szCs w:val="18"/>
          <w:b w:val="1"/>
          <w:bCs w:val="1"/>
          <w:i w:val="1"/>
          <w:iCs w:val="1"/>
          <w:color w:val="auto"/>
        </w:rPr>
        <w:t>OR</w:t>
      </w:r>
      <w:r>
        <w:rPr>
          <w:rFonts w:ascii="Arial" w:cs="Arial" w:eastAsia="Arial" w:hAnsi="Arial"/>
          <w:sz w:val="18"/>
          <w:szCs w:val="18"/>
          <w:i w:val="1"/>
          <w:iCs w:val="1"/>
          <w:color w:val="auto"/>
        </w:rPr>
        <w:t xml:space="preserve"> that you intend to apply for one soon.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Payees Exempt from Backup Withholding</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Unless otherwise noted herein, all references below to section numbers or to regulations are references to the Internal Revenue Code of 1986, as amended, and the regulations promulgated thereunder.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Payees specifically exempted from backup withholding on ALL payments include the following:</w:t>
      </w:r>
    </w:p>
    <w:p>
      <w:pPr>
        <w:spacing w:after="0" w:line="90" w:lineRule="exact"/>
        <w:rPr>
          <w:sz w:val="20"/>
          <w:szCs w:val="20"/>
          <w:color w:val="auto"/>
        </w:rPr>
      </w:pPr>
    </w:p>
    <w:p>
      <w:pPr>
        <w:ind w:left="780" w:hanging="326"/>
        <w:spacing w:after="0"/>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corporation.</w:t>
      </w:r>
    </w:p>
    <w:p>
      <w:pPr>
        <w:spacing w:after="0" w:line="90" w:lineRule="exact"/>
        <w:rPr>
          <w:rFonts w:ascii="Arial" w:cs="Arial" w:eastAsia="Arial" w:hAnsi="Arial"/>
          <w:sz w:val="18"/>
          <w:szCs w:val="18"/>
          <w:color w:val="auto"/>
        </w:rPr>
      </w:pPr>
    </w:p>
    <w:p>
      <w:pPr>
        <w:ind w:left="780" w:right="940" w:hanging="326"/>
        <w:spacing w:after="0" w:line="268" w:lineRule="auto"/>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 organization exempt from tax under section 501(a), any IRA, or a custodial account under section 403(b)(7) if the account satisfies the requirements of section 401(f)(2).</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United States or any of its agencies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state, the District of Columbia, a possession of the United States, or any of their political subdivisions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 foreign government or any of its political subdivisions, agencies or instrumentalities.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 international organization or any of its agencies or instrumentalities.</w:t>
      </w:r>
    </w:p>
    <w:p>
      <w:pPr>
        <w:spacing w:after="0" w:line="165"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Exempt payees described above should file a Substitute Form W-9 to avoid possible backup withholding. FURNISH YOUR TIN IN PART 1, WRITE “EXEMPT” IN PART 3, SIGN AND DATE THE FORM AND RETURN IT TO THE PAYOR.</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payments not subject to information reporting also are not subject to backup withholding. For details, see sections 6041, 6041A(a), 6042, 6044, 6045, 6049, 6050A, and 6050N, and their regulations.</w:t>
      </w:r>
    </w:p>
    <w:p>
      <w:pPr>
        <w:spacing w:after="0" w:line="126" w:lineRule="exact"/>
        <w:rPr>
          <w:sz w:val="20"/>
          <w:szCs w:val="20"/>
          <w:color w:val="auto"/>
        </w:rPr>
      </w:pPr>
    </w:p>
    <w:p>
      <w:pPr>
        <w:ind w:right="120" w:firstLine="456"/>
        <w:spacing w:after="0" w:line="339" w:lineRule="auto"/>
        <w:rPr>
          <w:sz w:val="20"/>
          <w:szCs w:val="20"/>
          <w:color w:val="auto"/>
        </w:rPr>
      </w:pPr>
      <w:r>
        <w:rPr>
          <w:rFonts w:ascii="Arial" w:cs="Arial" w:eastAsia="Arial" w:hAnsi="Arial"/>
          <w:sz w:val="15"/>
          <w:szCs w:val="15"/>
          <w:b w:val="1"/>
          <w:bCs w:val="1"/>
          <w:color w:val="auto"/>
        </w:rPr>
        <w:t>Privacy Act Notice</w:t>
      </w:r>
      <w:r>
        <w:rPr>
          <w:rFonts w:ascii="Arial" w:cs="Arial" w:eastAsia="Arial" w:hAnsi="Arial"/>
          <w:sz w:val="15"/>
          <w:szCs w:val="15"/>
          <w:color w:val="auto"/>
        </w:rPr>
        <w:t>. Section 6109 requires you to give your correct TIN to persons who must file information returns with the IRS to report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and certain other payments. The IRS uses the numbers for identification purposes and to help verify the accuracy of your tax return. The IRS also may provide this information to the Department of Justice for civil and criminal litigation, and to cities, states and the District of Columbia to carry out their tax laws.</w:t>
      </w:r>
    </w:p>
    <w:p>
      <w:pPr>
        <w:spacing w:after="0" w:line="79"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You must provide your TIN to the payor whether or not you are required to file a tax return</w:t>
      </w:r>
      <w:r>
        <w:rPr>
          <w:rFonts w:ascii="Arial" w:cs="Arial" w:eastAsia="Arial" w:hAnsi="Arial"/>
          <w:sz w:val="16"/>
          <w:szCs w:val="16"/>
          <w:color w:val="auto"/>
        </w:rPr>
        <w:t>. Payors must generally withhold 28% of taxable</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dividends, and certain other payments to a payee who does not give a TIN to a payor. Certain penalties also may apply.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Penalties</w:t>
      </w:r>
    </w:p>
    <w:p>
      <w:pPr>
        <w:spacing w:after="0" w:line="90" w:lineRule="exact"/>
        <w:rPr>
          <w:sz w:val="20"/>
          <w:szCs w:val="20"/>
          <w:color w:val="auto"/>
        </w:rPr>
      </w:pPr>
    </w:p>
    <w:p>
      <w:pPr>
        <w:ind w:right="100" w:firstLine="464"/>
        <w:spacing w:after="0" w:line="275"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Penalty for Failure to Furnish a TIN</w:t>
      </w:r>
      <w:r>
        <w:rPr>
          <w:rFonts w:ascii="Arial" w:cs="Arial" w:eastAsia="Arial" w:hAnsi="Arial"/>
          <w:sz w:val="18"/>
          <w:szCs w:val="18"/>
          <w:color w:val="auto"/>
        </w:rPr>
        <w:t>—If you fail to furnish your TIN to a payor, you are subject to a penalty of $50 for each such failure unless your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is due to reasonable cause and not to willful neglect.</w:t>
      </w:r>
    </w:p>
    <w:p>
      <w:pPr>
        <w:spacing w:after="0" w:line="119" w:lineRule="exact"/>
        <w:rPr>
          <w:rFonts w:ascii="Arial" w:cs="Arial" w:eastAsia="Arial" w:hAnsi="Arial"/>
          <w:sz w:val="18"/>
          <w:szCs w:val="18"/>
          <w:color w:val="auto"/>
        </w:rPr>
      </w:pPr>
    </w:p>
    <w:p>
      <w:pPr>
        <w:ind w:right="560" w:firstLine="464"/>
        <w:spacing w:after="0" w:line="275"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Civil Penalty for False Statements With Respect to Withholding</w:t>
      </w:r>
      <w:r>
        <w:rPr>
          <w:rFonts w:ascii="Arial" w:cs="Arial" w:eastAsia="Arial" w:hAnsi="Arial"/>
          <w:sz w:val="18"/>
          <w:szCs w:val="18"/>
          <w:color w:val="auto"/>
        </w:rPr>
        <w:t>—If you make a false statement with no reasonable basis which results in no</w:t>
      </w:r>
      <w:r>
        <w:rPr>
          <w:rFonts w:ascii="Arial" w:cs="Arial" w:eastAsia="Arial" w:hAnsi="Arial"/>
          <w:sz w:val="18"/>
          <w:szCs w:val="18"/>
          <w:b w:val="1"/>
          <w:bCs w:val="1"/>
          <w:color w:val="auto"/>
        </w:rPr>
        <w:t xml:space="preserve"> </w:t>
      </w:r>
      <w:r>
        <w:rPr>
          <w:rFonts w:ascii="Arial" w:cs="Arial" w:eastAsia="Arial" w:hAnsi="Arial"/>
          <w:sz w:val="18"/>
          <w:szCs w:val="18"/>
          <w:color w:val="auto"/>
        </w:rPr>
        <w:t>imposition of backup withholding, you are subject to a $500 penalty.</w:t>
      </w:r>
    </w:p>
    <w:p>
      <w:pPr>
        <w:spacing w:after="0" w:line="119" w:lineRule="exact"/>
        <w:rPr>
          <w:rFonts w:ascii="Arial" w:cs="Arial" w:eastAsia="Arial" w:hAnsi="Arial"/>
          <w:sz w:val="18"/>
          <w:szCs w:val="18"/>
          <w:color w:val="auto"/>
        </w:rPr>
      </w:pPr>
    </w:p>
    <w:p>
      <w:pPr>
        <w:ind w:right="60" w:firstLine="464"/>
        <w:spacing w:after="0" w:line="275"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Criminal Penalty for Falsifying Information</w:t>
      </w:r>
      <w:r>
        <w:rPr>
          <w:rFonts w:ascii="Arial" w:cs="Arial" w:eastAsia="Arial" w:hAnsi="Arial"/>
          <w:sz w:val="18"/>
          <w:szCs w:val="18"/>
          <w:color w:val="auto"/>
        </w:rPr>
        <w:t>—Willfully falsifying certifications or affirmations may subject you to criminal penalties including fines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imprisonment.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ADDITIONAL INFORMATION CONTACT YOUR TAX CONSULTANT OR THE INTERNAL REVENUE SERVICE.</w:t>
      </w:r>
    </w:p>
    <w:p>
      <w:pPr>
        <w:sectPr>
          <w:pgSz w:w="11900" w:h="16838" w:orient="portrait"/>
          <w:cols w:equalWidth="0" w:num="1">
            <w:col w:w="11420"/>
          </w:cols>
          <w:pgMar w:left="240" w:top="274"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GUARANTEED DELIVERY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Offer to Exchange all Outstanding</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on November 6, 2007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2008</w:t>
      </w:r>
    </w:p>
    <w:p>
      <w:pPr>
        <w:spacing w:after="0" w:line="245"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ind w:left="120" w:right="740"/>
        <w:spacing w:after="0" w:line="262" w:lineRule="auto"/>
        <w:rPr>
          <w:sz w:val="20"/>
          <w:szCs w:val="20"/>
          <w:color w:val="auto"/>
        </w:rPr>
      </w:pPr>
      <w:r>
        <w:rPr>
          <w:rFonts w:ascii="Arial" w:cs="Arial" w:eastAsia="Arial" w:hAnsi="Arial"/>
          <w:sz w:val="18"/>
          <w:szCs w:val="18"/>
          <w:b w:val="1"/>
          <w:bCs w:val="1"/>
          <w:color w:val="auto"/>
        </w:rPr>
        <w:t>THE EXCHANGE OFFER WILL EXPIRE AT 5:00 P.M. NEW YORK CITY TIME, ON , 2008, UNLESS EXTENDED BY THE ISSUERS (THE “EXPIRATION DATE”). TENDERS MAY BE WITHDRAWN PRIOR TO 5:00 P.M., NEW YORK CITY TIME, ON THE EXPIRATION DATE.</w:t>
      </w:r>
    </w:p>
    <w:p>
      <w:pPr>
        <w:sectPr>
          <w:pgSz w:w="11900" w:h="16838" w:orient="portrait"/>
          <w:cols w:equalWidth="0" w:num="1">
            <w:col w:w="11420"/>
          </w:cols>
          <w:pgMar w:left="240" w:top="125" w:right="239" w:bottom="1440" w:gutter="0" w:footer="0" w:header="0"/>
          <w:type w:val="continuous"/>
        </w:sectPr>
      </w:pPr>
    </w:p>
    <w:p>
      <w:pPr>
        <w:spacing w:after="0" w:line="138" w:lineRule="exact"/>
        <w:rPr>
          <w:sz w:val="20"/>
          <w:szCs w:val="20"/>
          <w:color w:val="auto"/>
        </w:rPr>
      </w:pPr>
    </w:p>
    <w:p>
      <w:pPr>
        <w:jc w:val="both"/>
        <w:ind w:right="260" w:firstLine="456"/>
        <w:spacing w:after="0" w:line="299" w:lineRule="auto"/>
        <w:rPr>
          <w:sz w:val="20"/>
          <w:szCs w:val="20"/>
          <w:color w:val="auto"/>
        </w:rPr>
      </w:pPr>
      <w:r>
        <w:rPr>
          <w:rFonts w:ascii="Arial" w:cs="Arial" w:eastAsia="Arial" w:hAnsi="Arial"/>
          <w:sz w:val="15"/>
          <w:szCs w:val="15"/>
          <w:color w:val="auto"/>
        </w:rPr>
        <w:t xml:space="preserve">This form or one substantially equivalent hereto must be used to accept the offer (the “Exchange Offer”) of Wynn Las Vegas, LLC and Wynn Las Vegas Capital Corp. (together, the “Issuers”) to exchange all outstanding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due 2014 of the Issuers issued on November 6, 2007 (the “Old Notes”) for 6 </w:t>
      </w:r>
      <w:r>
        <w:rPr>
          <w:rFonts w:ascii="Arial" w:cs="Arial" w:eastAsia="Arial" w:hAnsi="Arial"/>
          <w:sz w:val="19"/>
          <w:szCs w:val="19"/>
          <w:color w:val="auto"/>
          <w:vertAlign w:val="superscript"/>
        </w:rPr>
        <w:t>5</w:t>
      </w:r>
      <w:r>
        <w:rPr>
          <w:rFonts w:ascii="Arial" w:cs="Arial" w:eastAsia="Arial" w:hAnsi="Arial"/>
          <w:sz w:val="15"/>
          <w:szCs w:val="15"/>
          <w:color w:val="auto"/>
        </w:rPr>
        <w:t xml:space="preserve">/ </w:t>
      </w:r>
      <w:r>
        <w:rPr>
          <w:rFonts w:ascii="Arial" w:cs="Arial" w:eastAsia="Arial" w:hAnsi="Arial"/>
          <w:sz w:val="12"/>
          <w:szCs w:val="12"/>
          <w:color w:val="auto"/>
        </w:rPr>
        <w:t>8</w:t>
      </w:r>
      <w:r>
        <w:rPr>
          <w:rFonts w:ascii="Arial" w:cs="Arial" w:eastAsia="Arial" w:hAnsi="Arial"/>
          <w:sz w:val="15"/>
          <w:szCs w:val="15"/>
          <w:color w:val="auto"/>
        </w:rPr>
        <w:t>% First Mortgage Notes due 2014 of the Issuers that have been registered under the Securities Act of 1933, as amended, upon the terms and</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subject to the conditions set forth in the Prospectus, dated , 2008 (the “Prospectus”) and the related Letter of Transmittal (the “Letter of Transmittal”), if certificates for the Old Notes are not immediately available or if the procedure for book-entry transfer cannot be completed on a timely basis or time will not permit all required documents to reach U.S. Bank National Association, as exchange agent (the “Exchange Agent”), prior to 5:00 p.m., New York City time, on the Expiration Date. Such form may be delivered or transmitted by facsimile transmission, mail or hand delivery to the Exchange Agent as set forth below. In addition, in order to utilize the guaranteed delivery procedure to tender Old Notes pursuant to the Exchange Offer, a completed, signed and dated Letter of Transmittal, or facsimile thereof or Agent’s Message in lieu thereof, must also be received by the Exchange Agent prior to 5:00 p.m., New York City time, on the Expiration Date. Capitalized terms not defined herein shall have the respective meanings set forth in the Prospectus.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Delivery To: </w:t>
      </w:r>
      <w:r>
        <w:rPr>
          <w:rFonts w:ascii="Arial" w:cs="Arial" w:eastAsia="Arial" w:hAnsi="Arial"/>
          <w:sz w:val="18"/>
          <w:szCs w:val="18"/>
          <w:b w:val="1"/>
          <w:bCs w:val="1"/>
          <w:color w:val="auto"/>
        </w:rPr>
        <w:t>U.S. Bank National Association,</w:t>
      </w:r>
      <w:r>
        <w:rPr>
          <w:rFonts w:ascii="Arial" w:cs="Arial" w:eastAsia="Arial" w:hAnsi="Arial"/>
          <w:sz w:val="18"/>
          <w:szCs w:val="18"/>
          <w:b w:val="1"/>
          <w:bCs w:val="1"/>
          <w:i w:val="1"/>
          <w:iCs w:val="1"/>
          <w:color w:val="auto"/>
        </w:rPr>
        <w:t xml:space="preserve"> Exchange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Hand, Overnight Delivery or by Mail: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 Livingston Avenue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 Paul, Minnesota 55107-2292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Specialized Finance Dept.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Facsimile Transmission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Eligible Institutions only):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651-495-8158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Confirm by Telephone: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800-934-6802</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DELIVERY OF THIS INSTRUMENT TO AN ADDRESS OTHER THAN AS SET FORTH ABOVE, OR TRANSMISSION OF THIS INSTRUMENT VIA FACSIMILE OTHER THAN AS SET FORTH ABOVE, WILL NOT CONSTITUTE A VALID DELIVERY.</w:t>
      </w:r>
    </w:p>
    <w:p>
      <w:pPr>
        <w:spacing w:after="0" w:line="1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This Notice is not to be used to guarantee signatures. If a signature on a Letter of Transmittal is required to be guaranteed by a “Medallion Signature</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Guarantor” under the instructions thereto, such signature guarantee must appear in the applicable space provided in the signature box on the Letter of Transmittal.</w:t>
      </w:r>
    </w:p>
    <w:p>
      <w:pPr>
        <w:sectPr>
          <w:pgSz w:w="11900" w:h="16838" w:orient="portrait"/>
          <w:cols w:equalWidth="0" w:num="1">
            <w:col w:w="11420"/>
          </w:cols>
          <w:pgMar w:left="240" w:top="125" w:right="239" w:bottom="1440" w:gutter="0" w:footer="0" w:header="0"/>
          <w:type w:val="continuous"/>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Ladies and Gentlemen: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Upon the terms and conditions set forth in the Prospectus and the accompanying Letter of Transmittal, receipt of which the undersigned hereby acknowledges, the undersigned hereby tenders to the Issuers the aggregate principal amount of Old Notes set forth below pursuant to the guaranteed delivery procedures described in “The Exchange Offer—Guaranteed Delivery Procedures” section of the Prospectus.</w:t>
      </w:r>
    </w:p>
    <w:p>
      <w:pPr>
        <w:sectPr>
          <w:pgSz w:w="11900" w:h="16838" w:orient="portrait"/>
          <w:cols w:equalWidth="0" w:num="1">
            <w:col w:w="11200"/>
          </w:cols>
          <w:pgMar w:left="240" w:top="280" w:right="45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260" w:right="360"/>
        <w:spacing w:after="0" w:line="268" w:lineRule="auto"/>
        <w:rPr>
          <w:sz w:val="20"/>
          <w:szCs w:val="20"/>
          <w:color w:val="auto"/>
        </w:rPr>
      </w:pPr>
      <w:r>
        <w:rPr>
          <w:rFonts w:ascii="Arial" w:cs="Arial" w:eastAsia="Arial" w:hAnsi="Arial"/>
          <w:sz w:val="18"/>
          <w:szCs w:val="18"/>
          <w:color w:val="auto"/>
        </w:rPr>
        <w:t>Aggregate Principal Amount of Old Notes Tendered (must be in integral multiples of $1,000)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3267075" cy="57886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267075" cy="578866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Name(s) of 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60" w:right="240"/>
        <w:spacing w:after="0" w:line="259" w:lineRule="auto"/>
        <w:rPr>
          <w:sz w:val="20"/>
          <w:szCs w:val="20"/>
          <w:color w:val="auto"/>
        </w:rPr>
      </w:pPr>
      <w:r>
        <w:rPr>
          <w:rFonts w:ascii="Arial" w:cs="Arial" w:eastAsia="Arial" w:hAnsi="Arial"/>
          <w:sz w:val="18"/>
          <w:szCs w:val="18"/>
          <w:color w:val="auto"/>
        </w:rPr>
        <w:t>Name of Eligible Guarantor Institution Guaranteeing Delivery Provide the following information for Old Notes certificates to be delivered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of Tendering Institution</w:t>
      </w:r>
    </w:p>
    <w:p>
      <w:pPr>
        <w:spacing w:after="0" w:line="200" w:lineRule="exact"/>
        <w:rPr>
          <w:sz w:val="20"/>
          <w:szCs w:val="20"/>
          <w:color w:val="auto"/>
        </w:rPr>
      </w:pP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DTC Account Number</w:t>
      </w:r>
    </w:p>
    <w:p>
      <w:pPr>
        <w:spacing w:after="0" w:line="20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b w:val="1"/>
          <w:bCs w:val="1"/>
          <w:color w:val="auto"/>
        </w:rPr>
        <w:t>ALL AUTHORITY HEREIN CONFERRED OR AGREED TO BE CONFERRED SHALL SURVIVE THE DEATH OR INCAPACITY OF THE UNDERSIGNED AND EVERY OBLIGATION OF THE UNDERSIGNED HEREUNDER SHALL BE BINDING UPON THE HEIRS, PERSONAL REPRESENTATIVES, SUCCESSORS AND ASSIGNS OF THE UNDERSIGNED.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600" w:type="dxa"/>
        <w:tblCellMar>
          <w:top w:w="0" w:type="dxa"/>
          <w:left w:w="0" w:type="dxa"/>
          <w:bottom w:w="0" w:type="dxa"/>
          <w:right w:w="0" w:type="dxa"/>
        </w:tblCellMar>
      </w:tblPr>
      <w:tr>
        <w:trPr>
          <w:trHeight w:val="228"/>
        </w:trPr>
        <w:tc>
          <w:tcPr>
            <w:tcW w:w="2540" w:type="dxa"/>
            <w:vAlign w:val="bottom"/>
          </w:tcPr>
          <w:p>
            <w:pPr>
              <w:spacing w:after="0"/>
              <w:rPr>
                <w:sz w:val="20"/>
                <w:szCs w:val="20"/>
                <w:color w:val="auto"/>
              </w:rPr>
            </w:pPr>
            <w:r>
              <w:rPr>
                <w:rFonts w:ascii="Arial" w:cs="Arial" w:eastAsia="Arial" w:hAnsi="Arial"/>
                <w:sz w:val="18"/>
                <w:szCs w:val="18"/>
                <w:b w:val="1"/>
                <w:bCs w:val="1"/>
                <w:color w:val="auto"/>
              </w:rPr>
              <w:t>PLEASE SIGN HERE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623"/>
        </w:trPr>
        <w:tc>
          <w:tcPr>
            <w:tcW w:w="254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Date</w:t>
            </w:r>
          </w:p>
        </w:tc>
      </w:tr>
      <w:tr>
        <w:trPr>
          <w:trHeight w:val="20"/>
        </w:trPr>
        <w:tc>
          <w:tcPr>
            <w:tcW w:w="2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439"/>
        </w:trPr>
        <w:tc>
          <w:tcPr>
            <w:tcW w:w="2540" w:type="dxa"/>
            <w:vAlign w:val="bottom"/>
          </w:tcPr>
          <w:p>
            <w:pPr>
              <w:ind w:left="100"/>
              <w:spacing w:after="0"/>
              <w:rPr>
                <w:sz w:val="20"/>
                <w:szCs w:val="20"/>
                <w:color w:val="auto"/>
              </w:rPr>
            </w:pPr>
            <w:r>
              <w:rPr>
                <w:rFonts w:ascii="Arial" w:cs="Arial" w:eastAsia="Arial" w:hAnsi="Arial"/>
                <w:sz w:val="18"/>
                <w:szCs w:val="18"/>
                <w:color w:val="auto"/>
              </w:rPr>
              <w:t>X</w:t>
            </w: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Date</w:t>
            </w:r>
          </w:p>
        </w:tc>
      </w:tr>
      <w:tr>
        <w:trPr>
          <w:trHeight w:val="228"/>
        </w:trPr>
        <w:tc>
          <w:tcPr>
            <w:tcW w:w="2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Signature(s) of Owner(s)</w:t>
            </w: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2"/>
        </w:trPr>
        <w:tc>
          <w:tcPr>
            <w:tcW w:w="2540" w:type="dxa"/>
            <w:vAlign w:val="bottom"/>
          </w:tcPr>
          <w:p>
            <w:pPr>
              <w:ind w:left="100"/>
              <w:spacing w:after="0"/>
              <w:rPr>
                <w:sz w:val="20"/>
                <w:szCs w:val="20"/>
                <w:color w:val="auto"/>
              </w:rPr>
            </w:pPr>
            <w:r>
              <w:rPr>
                <w:rFonts w:ascii="Arial" w:cs="Arial" w:eastAsia="Arial" w:hAnsi="Arial"/>
                <w:sz w:val="18"/>
                <w:szCs w:val="18"/>
                <w:color w:val="auto"/>
              </w:rPr>
              <w:t>or Authorized Signatory</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-1130300</wp:posOffset>
            </wp:positionV>
            <wp:extent cx="3395980" cy="57886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95980" cy="578866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Area Code and Telephone Number</w:t>
      </w:r>
    </w:p>
    <w:p>
      <w:pPr>
        <w:spacing w:after="0" w:line="90"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auto"/>
        </w:rPr>
        <w:t>The Notice of Guaranteed Delivery must be signed by the registered holder(s) of the Old Notes certificate(s),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If signature is by a trustee, executor, administrator, guardian, attorney-in-fact, officer of a corporation or other person acting in a fiduciary or representative capacity, such person must set forth his or her full title below and, unless waived by the Issuers, submit proper evidence satisfactory to the Issuers of such person’s authority to so act. Please print name(s) and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Name(s)</w:t>
      </w:r>
    </w:p>
    <w:p>
      <w:pPr>
        <w:spacing w:after="0" w:line="200" w:lineRule="exact"/>
        <w:rPr>
          <w:sz w:val="20"/>
          <w:szCs w:val="20"/>
          <w:color w:val="auto"/>
        </w:rPr>
      </w:pPr>
    </w:p>
    <w:p>
      <w:pPr>
        <w:spacing w:after="0" w:line="28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120" w:space="560"/>
            <w:col w:w="5520"/>
          </w:cols>
          <w:pgMar w:left="240" w:top="280" w:right="459" w:bottom="1440" w:gutter="0" w:footer="0" w:header="0"/>
          <w:type w:val="continuous"/>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 to be Used for Signature Guarantees)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undersigned, a financial institution (including most banks, savings and loan associations and brokerage houses) that is a participant in the Securities Transfer Agents Medallion Program, the New York Stock Exchange Medallion Signature Program or the Stock Exchange Medallion Program, hereby guarantees that the certificates representing the principal amount of Old Notes tendered hereby in proper form for transfer, or timely confirmation of the book-entry transfer of such Old Notes into the Exchange Agent’s account at The Depository Trust Company pursuant to the procedures set forth in “The Exchange Offer— Guaranteed Delivery Procedures” section of the Prospectus, together with one or more properly and duly executed Letters of Transmittal, or facsimile thereof or Agent’s Message in lieu thereof, and any required signature guarantee and any other documents required by the Letter of Transmittal, will be received by the Exchange Agent at the address set forth above, no later than three New York Stock Exchange trading days after the Expiration Date.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3940" w:type="dxa"/>
            <w:vAlign w:val="bottom"/>
            <w:tcBorders>
              <w:top w:val="single" w:sz="8" w:color="auto"/>
            </w:tcBorders>
            <w:gridSpan w:val="2"/>
          </w:tcPr>
          <w:p>
            <w:pPr>
              <w:jc w:val="center"/>
              <w:ind w:right="1680"/>
              <w:spacing w:after="0"/>
              <w:rPr>
                <w:sz w:val="20"/>
                <w:szCs w:val="20"/>
                <w:color w:val="auto"/>
              </w:rPr>
            </w:pPr>
            <w:r>
              <w:rPr>
                <w:rFonts w:ascii="Arial" w:cs="Arial" w:eastAsia="Arial" w:hAnsi="Arial"/>
                <w:sz w:val="18"/>
                <w:szCs w:val="18"/>
                <w:color w:val="auto"/>
                <w:w w:val="89"/>
              </w:rPr>
              <w:t>Name of Firm</w:t>
            </w:r>
          </w:p>
        </w:tc>
        <w:tc>
          <w:tcPr>
            <w:tcW w:w="4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9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Authorized Signature</w:t>
            </w:r>
          </w:p>
        </w:tc>
        <w:tc>
          <w:tcPr>
            <w:tcW w:w="0" w:type="dxa"/>
            <w:vAlign w:val="bottom"/>
          </w:tcPr>
          <w:p>
            <w:pPr>
              <w:spacing w:after="0"/>
              <w:rPr>
                <w:sz w:val="1"/>
                <w:szCs w:val="1"/>
                <w:color w:val="auto"/>
              </w:rPr>
            </w:pPr>
          </w:p>
        </w:tc>
      </w:tr>
      <w:tr>
        <w:trPr>
          <w:trHeight w:val="439"/>
        </w:trPr>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3940" w:type="dxa"/>
            <w:vAlign w:val="bottom"/>
            <w:gridSpan w:val="2"/>
            <w:vMerge w:val="restart"/>
          </w:tcPr>
          <w:p>
            <w:pPr>
              <w:jc w:val="center"/>
              <w:ind w:right="1680"/>
              <w:spacing w:after="0"/>
              <w:rPr>
                <w:sz w:val="20"/>
                <w:szCs w:val="20"/>
                <w:color w:val="auto"/>
              </w:rPr>
            </w:pPr>
            <w:r>
              <w:rPr>
                <w:rFonts w:ascii="Arial" w:cs="Arial" w:eastAsia="Arial" w:hAnsi="Arial"/>
                <w:sz w:val="18"/>
                <w:szCs w:val="18"/>
                <w:color w:val="auto"/>
                <w:w w:val="87"/>
              </w:rPr>
              <w:t>Address</w:t>
            </w: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39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00" w:type="dxa"/>
            <w:vAlign w:val="bottom"/>
            <w:gridSpan w:val="2"/>
          </w:tcPr>
          <w:p>
            <w:pPr>
              <w:jc w:val="center"/>
              <w:ind w:right="460"/>
              <w:spacing w:after="0" w:line="203" w:lineRule="exact"/>
              <w:rPr>
                <w:sz w:val="20"/>
                <w:szCs w:val="20"/>
                <w:color w:val="auto"/>
              </w:rPr>
            </w:pPr>
            <w:r>
              <w:rPr>
                <w:rFonts w:ascii="Arial" w:cs="Arial" w:eastAsia="Arial" w:hAnsi="Arial"/>
                <w:sz w:val="18"/>
                <w:szCs w:val="18"/>
                <w:color w:val="auto"/>
                <w:w w:val="93"/>
              </w:rPr>
              <w:t>Title</w:t>
            </w:r>
          </w:p>
        </w:tc>
        <w:tc>
          <w:tcPr>
            <w:tcW w:w="0" w:type="dxa"/>
            <w:vAlign w:val="bottom"/>
          </w:tcPr>
          <w:p>
            <w:pPr>
              <w:spacing w:after="0"/>
              <w:rPr>
                <w:sz w:val="1"/>
                <w:szCs w:val="1"/>
                <w:color w:val="auto"/>
              </w:rPr>
            </w:pPr>
          </w:p>
        </w:tc>
      </w:tr>
      <w:tr>
        <w:trPr>
          <w:trHeight w:val="446"/>
        </w:trPr>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gridSpan w:val="2"/>
          </w:tcPr>
          <w:p>
            <w:pPr>
              <w:jc w:val="center"/>
              <w:ind w:right="1680"/>
              <w:spacing w:after="0"/>
              <w:rPr>
                <w:sz w:val="20"/>
                <w:szCs w:val="20"/>
                <w:color w:val="auto"/>
              </w:rPr>
            </w:pPr>
            <w:r>
              <w:rPr>
                <w:rFonts w:ascii="Arial" w:cs="Arial" w:eastAsia="Arial" w:hAnsi="Arial"/>
                <w:sz w:val="18"/>
                <w:szCs w:val="18"/>
                <w:color w:val="auto"/>
                <w:w w:val="90"/>
              </w:rPr>
              <w:t>Zip Code</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80" w:type="dxa"/>
            <w:vAlign w:val="bottom"/>
            <w:tcBorders>
              <w:top w:val="single" w:sz="8" w:color="auto"/>
            </w:tcBorders>
          </w:tcPr>
          <w:p>
            <w:pPr>
              <w:jc w:val="center"/>
              <w:ind w:left="272"/>
              <w:spacing w:after="0"/>
              <w:rPr>
                <w:sz w:val="20"/>
                <w:szCs w:val="20"/>
                <w:color w:val="auto"/>
              </w:rPr>
            </w:pPr>
            <w:r>
              <w:rPr>
                <w:rFonts w:ascii="Arial" w:cs="Arial" w:eastAsia="Arial" w:hAnsi="Arial"/>
                <w:sz w:val="18"/>
                <w:szCs w:val="18"/>
                <w:color w:val="auto"/>
                <w:w w:val="87"/>
              </w:rPr>
              <w:t>(Please Type of Print)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680" w:type="dxa"/>
            <w:vAlign w:val="bottom"/>
            <w:gridSpan w:val="2"/>
          </w:tcPr>
          <w:p>
            <w:pPr>
              <w:spacing w:after="0"/>
              <w:rPr>
                <w:sz w:val="20"/>
                <w:szCs w:val="20"/>
                <w:color w:val="auto"/>
              </w:rPr>
            </w:pPr>
            <w:r>
              <w:rPr>
                <w:rFonts w:ascii="Arial" w:cs="Arial" w:eastAsia="Arial" w:hAnsi="Arial"/>
                <w:sz w:val="18"/>
                <w:szCs w:val="18"/>
                <w:color w:val="auto"/>
                <w:w w:val="87"/>
              </w:rPr>
              <w:t>Area Code and Tel. No:</w:t>
            </w:r>
          </w:p>
        </w:tc>
        <w:tc>
          <w:tcPr>
            <w:tcW w:w="2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920" w:right="840" w:hanging="919"/>
        <w:spacing w:after="0" w:line="262" w:lineRule="auto"/>
        <w:tabs>
          <w:tab w:leader="none" w:pos="9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b w:val="1"/>
          <w:bCs w:val="1"/>
          <w:color w:val="auto"/>
        </w:rPr>
        <w:t>DO NOT SEND THE PHYSICAL CERTIFICATES REPRESENTING OLD NOTES WITH THIS NOTICE. SUCH PHYSICAL CERTIFICATES SHOULD BE SENT TO THE EXCHANGE AGENT, TOGETHER WITH A COPY OF YOUR PREVIOUSLY EXECUTED LETTER OF TRANSMITTAL.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99.3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5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Offer to Exchange all Outstanding</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on November 6, 2007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1"/>
          <w:szCs w:val="11"/>
          <w:b w:val="1"/>
          <w:bCs w:val="1"/>
          <w:color w:val="auto"/>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420"/>
        <w:spacing w:after="0"/>
        <w:rPr>
          <w:sz w:val="20"/>
          <w:szCs w:val="20"/>
          <w:color w:val="auto"/>
        </w:rPr>
      </w:pPr>
      <w:r>
        <w:rPr>
          <w:rFonts w:ascii="Arial" w:cs="Arial" w:eastAsia="Arial" w:hAnsi="Arial"/>
          <w:sz w:val="16"/>
          <w:szCs w:val="16"/>
          <w:b w:val="1"/>
          <w:bCs w:val="1"/>
          <w:color w:val="auto"/>
        </w:rPr>
        <w:t>That Have Been Registered Under</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the Securities Act of 1933, as Amended,</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2008</w:t>
      </w:r>
    </w:p>
    <w:p>
      <w:pPr>
        <w:spacing w:after="0" w:line="205" w:lineRule="exact"/>
        <w:rPr>
          <w:sz w:val="20"/>
          <w:szCs w:val="20"/>
          <w:color w:val="auto"/>
        </w:rPr>
      </w:pPr>
    </w:p>
    <w:p>
      <w:pPr>
        <w:sectPr>
          <w:pgSz w:w="11900" w:h="16838" w:orient="portrait"/>
          <w:cols w:equalWidth="0" w:num="2">
            <w:col w:w="7200" w:space="20"/>
            <w:col w:w="420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To Our Clients:</w:t>
      </w:r>
    </w:p>
    <w:p>
      <w:pPr>
        <w:spacing w:after="0" w:line="96" w:lineRule="exact"/>
        <w:rPr>
          <w:sz w:val="20"/>
          <w:szCs w:val="20"/>
          <w:color w:val="auto"/>
        </w:rPr>
      </w:pPr>
    </w:p>
    <w:p>
      <w:pPr>
        <w:ind w:left="460"/>
        <w:spacing w:after="0"/>
        <w:tabs>
          <w:tab w:leader="none" w:pos="5160" w:val="left"/>
        </w:tabs>
        <w:rPr>
          <w:sz w:val="20"/>
          <w:szCs w:val="20"/>
          <w:color w:val="auto"/>
        </w:rPr>
      </w:pPr>
      <w:r>
        <w:rPr>
          <w:rFonts w:ascii="Arial" w:cs="Arial" w:eastAsia="Arial" w:hAnsi="Arial"/>
          <w:sz w:val="18"/>
          <w:szCs w:val="18"/>
          <w:color w:val="auto"/>
        </w:rPr>
        <w:t>Enclosed for your consideration is a Prospectus, dated</w:t>
      </w:r>
      <w:r>
        <w:rPr>
          <w:sz w:val="20"/>
          <w:szCs w:val="20"/>
          <w:color w:val="auto"/>
        </w:rPr>
        <w:tab/>
      </w:r>
      <w:r>
        <w:rPr>
          <w:rFonts w:ascii="Arial" w:cs="Arial" w:eastAsia="Arial" w:hAnsi="Arial"/>
          <w:sz w:val="16"/>
          <w:szCs w:val="16"/>
          <w:color w:val="auto"/>
        </w:rPr>
        <w:t>, 2008 (the “Prospectus”), and the related Letter of Transmittal (the “Letter of</w:t>
      </w:r>
    </w:p>
    <w:p>
      <w:pPr>
        <w:sectPr>
          <w:pgSz w:w="11900" w:h="16838" w:orient="portrait"/>
          <w:cols w:equalWidth="0" w:num="1">
            <w:col w:w="11420"/>
          </w:cols>
          <w:pgMar w:left="240" w:top="125" w:right="239" w:bottom="1440" w:gutter="0" w:footer="0" w:header="0"/>
          <w:type w:val="continuous"/>
        </w:sectPr>
      </w:pPr>
    </w:p>
    <w:p>
      <w:pPr>
        <w:spacing w:after="0" w:line="1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 xml:space="preserve">Transmittal”), relating to the offer (the “Exchange Offer”) of Wynn Las Vegas, LLC and Wynn Las Vegas Capital Corp. (together, the “Issuers”) to exchange all outstanding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of the Issuers issued on November 6, 2007 (the “Old Notes”) for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of the Issuers that have been registered under the Securities Act of 1933, as amended (the “New Notes”), upon the terms and subject to the conditions set forth in the Prospectus and the Letter of Transmittal. The Exchange Offer is being made to satisfy certain obligations of the Issuers contained in the Registration Rights Agreement, dated November 6, 2007, by and among the Issuers, the guarantors referred to therein and the initial purchasers referred to therein.</w:t>
      </w:r>
    </w:p>
    <w:p>
      <w:pPr>
        <w:spacing w:after="0" w:line="16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This material is being forwarded to you as the beneficial owner of the Old Notes held by us for your account but not registered in your name. A TENDER OF SUCH OLD NOTES MAY ONLY BE MADE BY US AS THE HOLDER OF RECORD AND PURSUANT TO YOUR INSTRUCTIONS.</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Accordingly, we request instructions as to whether you wish us to tender on your behalf the Old Notes held by us for your account, pursuant to the terms and conditions set forth in the enclosed Prospectus and Letter of Transmittal.</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Your instructions should be forwarded to us as promptly as possible in order to permit us to tender the Old Notes on your behalf in accordance with the provisions of the Exchange Offer. The Exchange Offer will expire at 5:00 p.m., New York City time, on , 2008, unless extended by the Issuers. Any Old Notes tendered pursuant to the Exchange Offer may be withdrawn at any time before the Expiration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attention is directed to the following:</w:t>
      </w:r>
    </w:p>
    <w:p>
      <w:pPr>
        <w:spacing w:after="0" w:line="90" w:lineRule="exact"/>
        <w:rPr>
          <w:sz w:val="20"/>
          <w:szCs w:val="20"/>
          <w:color w:val="auto"/>
        </w:rPr>
      </w:pPr>
    </w:p>
    <w:p>
      <w:pPr>
        <w:ind w:left="1080" w:hanging="177"/>
        <w:spacing w:after="0"/>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Exchange Offer is for any and all Old Notes.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07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Exchange Offer is subject to certain conditions set forth in the Prospectus in the section captioned “The Exchange Offer—Conditions to the Exchange Offer.”</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07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transfer taxes incident to the transfer of Old Notes from the holder to the Issuers will be paid by the Issuers, except as otherwise provided in the Instructions in the Letter of Transmittal.</w:t>
      </w:r>
    </w:p>
    <w:p>
      <w:pPr>
        <w:spacing w:after="0" w:line="51" w:lineRule="exact"/>
        <w:rPr>
          <w:sz w:val="20"/>
          <w:szCs w:val="20"/>
          <w:color w:val="auto"/>
        </w:rPr>
      </w:pPr>
    </w:p>
    <w:p>
      <w:pPr>
        <w:ind w:left="900"/>
        <w:spacing w:after="0"/>
        <w:tabs>
          <w:tab w:leader="none" w:pos="6620" w:val="left"/>
        </w:tabs>
        <w:rPr>
          <w:sz w:val="20"/>
          <w:szCs w:val="20"/>
          <w:color w:val="auto"/>
        </w:rPr>
      </w:pPr>
      <w:r>
        <w:rPr>
          <w:rFonts w:ascii="Arial" w:cs="Arial" w:eastAsia="Arial" w:hAnsi="Arial"/>
          <w:sz w:val="18"/>
          <w:szCs w:val="18"/>
          <w:color w:val="auto"/>
        </w:rPr>
        <w:t>4. The Exchange Offer expires at 5:00 p.m., New York City time, on</w:t>
      </w:r>
      <w:r>
        <w:rPr>
          <w:sz w:val="20"/>
          <w:szCs w:val="20"/>
          <w:color w:val="auto"/>
        </w:rPr>
        <w:tab/>
      </w:r>
      <w:r>
        <w:rPr>
          <w:rFonts w:ascii="Arial" w:cs="Arial" w:eastAsia="Arial" w:hAnsi="Arial"/>
          <w:sz w:val="15"/>
          <w:szCs w:val="15"/>
          <w:color w:val="auto"/>
        </w:rPr>
        <w:t>, 2008, unless extended by the Issuers.</w:t>
      </w:r>
    </w:p>
    <w:p>
      <w:pPr>
        <w:spacing w:after="0" w:line="171"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you wish to have us tender your Old Notes, please so instruct us by completing, executing and returning to us the instruction form on the back of this letter. THE LETTER OF TRANSMITTAL IS FURNISHED TO YOU FOR INFORMATION ONLY AND MAY NOT BE USED DIRECTLY BY YOU TO TENDER OLD NOTES.</w:t>
      </w:r>
    </w:p>
    <w:p>
      <w:pPr>
        <w:sectPr>
          <w:pgSz w:w="11900" w:h="16838" w:orient="portrait"/>
          <w:cols w:equalWidth="0" w:num="1">
            <w:col w:w="11420"/>
          </w:cols>
          <w:pgMar w:left="240" w:top="125" w:right="239" w:bottom="1440" w:gutter="0" w:footer="0" w:header="0"/>
          <w:type w:val="continuous"/>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INSTRUCTIONS WITH RESPECT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EXCHANGE OFFER</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undersigned acknowledge(s) receipt of your letter and the enclosed material referred to therein relating to the Exchange Offer made by Wynn Las Vegas, LLC and Wynn Las Vegas Capital Corp. with respect to the Old Notes.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This will instruct you to tender the Old Notes held by you for the account of the undersigned, upon the terms and subject to the conditions set forth in the Prospectus and the related Letter of Transmittal.</w:t>
      </w:r>
    </w:p>
    <w:p>
      <w:pPr>
        <w:spacing w:after="0" w:line="132"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tender, sell, assign and transfer all right, title and interest in the Old Notes and to acquire the New Notes, issuable upon the exchange of such Old Notes, and that, when such validly tendered Old Notes are accepted by the Issuers for exchange, the Issuers will acquire good and unencumbered title thereto, free and clear of all liens, restrictions, charges and encumbrances and not subject to any adverse claim.</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By completing, executing and delivering these Instructions, the undersigned hereby (i) makes the acknowledgments, representations and warranties referred to above, (ii) instructs you to tender the Old Notes held by you for the account of the undersigned, upon the terms and subject to the conditions set forth in the Prospectus and Letter of Transmittal and (iii) expressly agrees to be bound by the Letter of Transmittal and that such Letter of Transmittal may be enforced against the undersigned.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tender the Old Notes held by you for my account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15030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150304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tbl>
      <w:tblPr>
        <w:tblLayout w:type="fixed"/>
        <w:tblInd w:w="0" w:type="dxa"/>
        <w:tblCellMar>
          <w:top w:w="0" w:type="dxa"/>
          <w:left w:w="0" w:type="dxa"/>
          <w:bottom w:w="0" w:type="dxa"/>
          <w:right w:w="0" w:type="dxa"/>
        </w:tblCellMar>
      </w:tblPr>
      <w:tr>
        <w:trPr>
          <w:trHeight w:val="147"/>
        </w:trPr>
        <w:tc>
          <w:tcPr>
            <w:tcW w:w="3820" w:type="dxa"/>
            <w:vAlign w:val="bottom"/>
            <w:tcBorders>
              <w:top w:val="single" w:sz="8" w:color="auto"/>
            </w:tcBorders>
          </w:tcPr>
          <w:p>
            <w:pPr>
              <w:ind w:left="1260"/>
              <w:spacing w:after="0" w:line="147" w:lineRule="exact"/>
              <w:rPr>
                <w:sz w:val="20"/>
                <w:szCs w:val="20"/>
                <w:color w:val="auto"/>
              </w:rPr>
            </w:pPr>
            <w:r>
              <w:rPr>
                <w:rFonts w:ascii="Arial" w:cs="Arial" w:eastAsia="Arial" w:hAnsi="Arial"/>
                <w:sz w:val="14"/>
                <w:szCs w:val="14"/>
                <w:b w:val="1"/>
                <w:bCs w:val="1"/>
                <w:color w:val="auto"/>
              </w:rPr>
              <w:t>Certificate Numbers*</w:t>
            </w:r>
          </w:p>
        </w:tc>
        <w:tc>
          <w:tcPr>
            <w:tcW w:w="3900" w:type="dxa"/>
            <w:vAlign w:val="bottom"/>
            <w:tcBorders>
              <w:top w:val="single" w:sz="8" w:color="auto"/>
            </w:tcBorders>
          </w:tcPr>
          <w:p>
            <w:pPr>
              <w:ind w:left="1320"/>
              <w:spacing w:after="0" w:line="147" w:lineRule="exact"/>
              <w:rPr>
                <w:sz w:val="20"/>
                <w:szCs w:val="20"/>
                <w:color w:val="auto"/>
              </w:rPr>
            </w:pPr>
            <w:r>
              <w:rPr>
                <w:rFonts w:ascii="Arial" w:cs="Arial" w:eastAsia="Arial" w:hAnsi="Arial"/>
                <w:sz w:val="14"/>
                <w:szCs w:val="14"/>
                <w:b w:val="1"/>
                <w:bCs w:val="1"/>
                <w:color w:val="auto"/>
              </w:rPr>
              <w:t>Principal Amount**</w:t>
            </w:r>
          </w:p>
        </w:tc>
        <w:tc>
          <w:tcPr>
            <w:tcW w:w="3700" w:type="dxa"/>
            <w:vAlign w:val="bottom"/>
            <w:tcBorders>
              <w:top w:val="single" w:sz="8" w:color="auto"/>
            </w:tcBorders>
          </w:tcPr>
          <w:p>
            <w:pPr>
              <w:ind w:left="1420"/>
              <w:spacing w:after="0" w:line="147" w:lineRule="exact"/>
              <w:rPr>
                <w:sz w:val="20"/>
                <w:szCs w:val="20"/>
                <w:color w:val="auto"/>
              </w:rPr>
            </w:pPr>
            <w:r>
              <w:rPr>
                <w:rFonts w:ascii="Arial" w:cs="Arial" w:eastAsia="Arial" w:hAnsi="Arial"/>
                <w:sz w:val="14"/>
                <w:szCs w:val="14"/>
                <w:b w:val="1"/>
                <w:bCs w:val="1"/>
                <w:color w:val="auto"/>
              </w:rPr>
              <w:t>Old Notes are</w:t>
            </w:r>
          </w:p>
        </w:tc>
      </w:tr>
    </w:tbl>
    <w:p>
      <w:pPr>
        <w:jc w:val="center"/>
        <w:ind w:left="7640"/>
        <w:spacing w:after="0" w:line="221" w:lineRule="auto"/>
        <w:rPr>
          <w:sz w:val="20"/>
          <w:szCs w:val="20"/>
          <w:color w:val="auto"/>
        </w:rPr>
      </w:pPr>
      <w:r>
        <w:rPr>
          <w:rFonts w:ascii="Arial" w:cs="Arial" w:eastAsia="Arial" w:hAnsi="Arial"/>
          <w:sz w:val="14"/>
          <w:szCs w:val="14"/>
          <w:b w:val="1"/>
          <w:bCs w:val="1"/>
          <w:color w:val="auto"/>
        </w:rPr>
        <w:t>to be Tendered</w:t>
      </w:r>
    </w:p>
    <w:p>
      <w:pPr>
        <w:jc w:val="center"/>
        <w:ind w:left="7640"/>
        <w:spacing w:after="0"/>
        <w:rPr>
          <w:sz w:val="20"/>
          <w:szCs w:val="20"/>
          <w:color w:val="auto"/>
        </w:rPr>
      </w:pPr>
      <w:r>
        <w:rPr>
          <w:rFonts w:ascii="Arial" w:cs="Arial" w:eastAsia="Arial" w:hAnsi="Arial"/>
          <w:sz w:val="14"/>
          <w:szCs w:val="14"/>
          <w:b w:val="1"/>
          <w:bCs w:val="1"/>
          <w:color w:val="auto"/>
        </w:rPr>
        <w:t>(“Yes” or “No”)***</w:t>
      </w:r>
    </w:p>
    <w:p>
      <w:pPr>
        <w:spacing w:after="0" w:line="200" w:lineRule="exact"/>
        <w:rPr>
          <w:sz w:val="20"/>
          <w:szCs w:val="20"/>
          <w:color w:val="auto"/>
        </w:rPr>
      </w:pPr>
    </w:p>
    <w:p>
      <w:pPr>
        <w:spacing w:after="0" w:line="346" w:lineRule="exact"/>
        <w:rPr>
          <w:sz w:val="20"/>
          <w:szCs w:val="20"/>
          <w:color w:val="auto"/>
        </w:rPr>
      </w:pPr>
    </w:p>
    <w:p>
      <w:pPr>
        <w:ind w:left="520" w:hanging="390"/>
        <w:spacing w:after="0"/>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Need not be completed if Old Notes are being tendered by book-entry transfer.</w:t>
      </w:r>
    </w:p>
    <w:p>
      <w:pPr>
        <w:spacing w:after="0" w:line="15" w:lineRule="exact"/>
        <w:rPr>
          <w:sz w:val="20"/>
          <w:szCs w:val="20"/>
          <w:color w:val="auto"/>
        </w:rPr>
      </w:pPr>
    </w:p>
    <w:p>
      <w:pPr>
        <w:ind w:left="560" w:right="420" w:hanging="430"/>
        <w:spacing w:after="0" w:line="250" w:lineRule="auto"/>
        <w:tabs>
          <w:tab w:leader="none" w:pos="523" w:val="left"/>
        </w:tabs>
        <w:numPr>
          <w:ilvl w:val="0"/>
          <w:numId w:val="236"/>
        </w:numPr>
        <w:rPr>
          <w:rFonts w:ascii="Arial" w:cs="Arial" w:eastAsia="Arial" w:hAnsi="Arial"/>
          <w:sz w:val="18"/>
          <w:szCs w:val="18"/>
          <w:color w:val="auto"/>
        </w:rPr>
      </w:pPr>
      <w:r>
        <w:rPr>
          <w:rFonts w:ascii="Arial" w:cs="Arial" w:eastAsia="Arial" w:hAnsi="Arial"/>
          <w:sz w:val="18"/>
          <w:szCs w:val="18"/>
          <w:color w:val="auto"/>
        </w:rPr>
        <w:t>Unless otherwise indicated in this column, a holder will be deemed to have tendered ALL of the Old Notes represented by the Old Notes indicated in column 2. See Instruction 2 of the Letter of Transmittal. Old Notes tendered hereby must be in denominations of principal amount of $1,000 or any integral multiple thereof. See Instruction 1 of the Letter of Transmittal.</w:t>
      </w:r>
    </w:p>
    <w:p>
      <w:pPr>
        <w:spacing w:after="0" w:line="1" w:lineRule="exact"/>
        <w:rPr>
          <w:rFonts w:ascii="Arial" w:cs="Arial" w:eastAsia="Arial" w:hAnsi="Arial"/>
          <w:sz w:val="18"/>
          <w:szCs w:val="18"/>
          <w:color w:val="auto"/>
        </w:rPr>
      </w:pPr>
    </w:p>
    <w:p>
      <w:pPr>
        <w:ind w:left="480" w:hanging="350"/>
        <w:spacing w:after="0"/>
        <w:tabs>
          <w:tab w:leader="none" w:pos="4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Unless otherwise indicated, “yes” will be assumed.</w:t>
      </w:r>
    </w:p>
    <w:p>
      <w:pPr>
        <w:spacing w:after="0" w:line="232" w:lineRule="exact"/>
        <w:rPr>
          <w:sz w:val="20"/>
          <w:szCs w:val="20"/>
          <w:color w:val="auto"/>
        </w:rPr>
      </w:pPr>
    </w:p>
    <w:p>
      <w:pPr>
        <w:ind w:left="1480" w:hanging="567"/>
        <w:spacing w:after="0"/>
        <w:tabs>
          <w:tab w:leader="none" w:pos="1480" w:val="left"/>
        </w:tabs>
        <w:numPr>
          <w:ilvl w:val="0"/>
          <w:numId w:val="238"/>
        </w:numPr>
        <w:rPr>
          <w:rFonts w:ascii="MS PGothic" w:cs="MS PGothic" w:eastAsia="MS PGothic" w:hAnsi="MS PGothic"/>
          <w:sz w:val="18"/>
          <w:szCs w:val="18"/>
          <w:color w:val="auto"/>
        </w:rPr>
      </w:pPr>
      <w:r>
        <w:rPr>
          <w:rFonts w:ascii="Arial" w:cs="Arial" w:eastAsia="Arial" w:hAnsi="Arial"/>
          <w:sz w:val="18"/>
          <w:szCs w:val="18"/>
          <w:color w:val="auto"/>
        </w:rPr>
        <w:t>Please do not tender any Old Notes held by you for my account.</w:t>
      </w:r>
    </w:p>
    <w:p>
      <w:pPr>
        <w:spacing w:after="0" w:line="17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Signature(s):</w:t>
      </w:r>
    </w:p>
    <w:p>
      <w:pPr>
        <w:spacing w:after="0" w:line="171" w:lineRule="exact"/>
        <w:rPr>
          <w:rFonts w:ascii="MS PGothic" w:cs="MS PGothic" w:eastAsia="MS PGothic" w:hAnsi="MS PGothic"/>
          <w:sz w:val="18"/>
          <w:szCs w:val="18"/>
          <w:color w:val="auto"/>
        </w:rPr>
      </w:pPr>
    </w:p>
    <w:p>
      <w:pPr>
        <w:ind w:right="10020"/>
        <w:spacing w:after="0" w:line="493" w:lineRule="auto"/>
        <w:rPr>
          <w:rFonts w:ascii="MS PGothic" w:cs="MS PGothic" w:eastAsia="MS PGothic" w:hAnsi="MS PGothic"/>
          <w:sz w:val="18"/>
          <w:szCs w:val="18"/>
          <w:color w:val="auto"/>
        </w:rPr>
      </w:pPr>
      <w:r>
        <w:rPr>
          <w:rFonts w:ascii="Arial" w:cs="Arial" w:eastAsia="Arial" w:hAnsi="Arial"/>
          <w:sz w:val="16"/>
          <w:szCs w:val="16"/>
          <w:color w:val="auto"/>
        </w:rPr>
        <w:t>Print Name(s) here: Print Address(es):</w:t>
      </w:r>
    </w:p>
    <w:p>
      <w:pPr>
        <w:spacing w:after="0"/>
        <w:rPr>
          <w:rFonts w:ascii="MS PGothic" w:cs="MS PGothic" w:eastAsia="MS PGothic" w:hAnsi="MS PGothic"/>
          <w:sz w:val="18"/>
          <w:szCs w:val="18"/>
          <w:color w:val="auto"/>
        </w:rPr>
      </w:pPr>
      <w:r>
        <w:rPr>
          <w:rFonts w:ascii="Arial" w:cs="Arial" w:eastAsia="Arial" w:hAnsi="Arial"/>
          <w:sz w:val="18"/>
          <w:szCs w:val="18"/>
          <w:color w:val="auto"/>
        </w:rPr>
        <w:t>Area Code and Telephone Number(s):</w:t>
      </w:r>
    </w:p>
    <w:p>
      <w:pPr>
        <w:spacing w:after="0" w:line="171" w:lineRule="exact"/>
        <w:rPr>
          <w:rFonts w:ascii="MS PGothic" w:cs="MS PGothic" w:eastAsia="MS PGothic" w:hAnsi="MS PGothic"/>
          <w:sz w:val="18"/>
          <w:szCs w:val="18"/>
          <w:color w:val="auto"/>
        </w:rPr>
      </w:pPr>
    </w:p>
    <w:p>
      <w:pPr>
        <w:ind w:right="8000"/>
        <w:spacing w:after="0" w:line="438" w:lineRule="auto"/>
        <w:rPr>
          <w:rFonts w:ascii="MS PGothic" w:cs="MS PGothic" w:eastAsia="MS PGothic" w:hAnsi="MS PGothic"/>
          <w:sz w:val="18"/>
          <w:szCs w:val="18"/>
          <w:color w:val="auto"/>
        </w:rPr>
      </w:pPr>
      <w:r>
        <w:rPr>
          <w:rFonts w:ascii="Arial" w:cs="Arial" w:eastAsia="Arial" w:hAnsi="Arial"/>
          <w:sz w:val="18"/>
          <w:szCs w:val="18"/>
          <w:color w:val="auto"/>
        </w:rPr>
        <w:t>Tax Identification or Social Security Number(s): My Account Number With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-1322705</wp:posOffset>
            </wp:positionV>
            <wp:extent cx="543496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434965"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-1082675</wp:posOffset>
            </wp:positionV>
            <wp:extent cx="50723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0723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-842645</wp:posOffset>
            </wp:positionV>
            <wp:extent cx="51562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56200" cy="8890"/>
                    </a:xfrm>
                    <a:prstGeom prst="rect">
                      <a:avLst/>
                    </a:prstGeom>
                    <a:noFill/>
                  </pic:spPr>
                </pic:pic>
              </a:graphicData>
            </a:graphic>
          </wp:anchor>
        </w:drawing>
        <w:drawing>
          <wp:anchor simplePos="0" relativeHeight="251657728" behindDoc="1" locked="0" layoutInCell="0" allowOverlap="1">
            <wp:simplePos x="0" y="0"/>
            <wp:positionH relativeFrom="column">
              <wp:posOffset>1731645</wp:posOffset>
            </wp:positionH>
            <wp:positionV relativeFrom="paragraph">
              <wp:posOffset>-602615</wp:posOffset>
            </wp:positionV>
            <wp:extent cx="406908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069080" cy="8890"/>
                    </a:xfrm>
                    <a:prstGeom prst="rect">
                      <a:avLst/>
                    </a:prstGeom>
                    <a:noFill/>
                  </pic:spPr>
                </pic:pic>
              </a:graphicData>
            </a:graphic>
          </wp:anchor>
        </w:drawing>
        <w:drawing>
          <wp:anchor simplePos="0" relativeHeight="251657728" behindDoc="1" locked="0" layoutInCell="0" allowOverlap="1">
            <wp:simplePos x="0" y="0"/>
            <wp:positionH relativeFrom="column">
              <wp:posOffset>2195195</wp:posOffset>
            </wp:positionH>
            <wp:positionV relativeFrom="paragraph">
              <wp:posOffset>-362585</wp:posOffset>
            </wp:positionV>
            <wp:extent cx="351155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511550" cy="889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-121920</wp:posOffset>
            </wp:positionV>
            <wp:extent cx="384619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46195" cy="8890"/>
                    </a:xfrm>
                    <a:prstGeom prst="rect">
                      <a:avLst/>
                    </a:prstGeom>
                    <a:noFill/>
                  </pic:spPr>
                </pic:pic>
              </a:graphicData>
            </a:graphic>
          </wp:anchor>
        </w:drawing>
      </w:r>
    </w:p>
    <w:p>
      <w:pPr>
        <w:spacing w:after="0"/>
        <w:tabs>
          <w:tab w:leader="none" w:pos="1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86" w:name="page287"/>
    <w:bookmarkEnd w:id="28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(Must be signed by the registered holder(s) of the Old Notes, or if signed by a person other than the registered holder(s) of any certificate(s), such certificate(s) must be endorsed or accompanied by appropriate bond powers, in either case, signed exactly as its (their) name(s) appear(s) on certificate(s) or on a security position listing, and such certificate(s) must be guaranteed by an Eligible Institution (as defined in the Letter of Transmittal). If signature is by a trustee, executor, administrator, guardian, attorney-in-fact, officer of a corporation or other person acting in a fiduciary or representative capacity, such person must set forth his or her full title next to his or her name above and, unless waived by the Issuers, submit proper evidence satisfactory to the Issuers of such person’s authority to so act. See Instruction 3 to the Letter of Transmittal.)</w:t>
      </w:r>
    </w:p>
    <w:p>
      <w:pPr>
        <w:spacing w:after="0" w:line="120" w:lineRule="exact"/>
        <w:rPr>
          <w:sz w:val="20"/>
          <w:szCs w:val="20"/>
          <w:color w:val="auto"/>
        </w:rPr>
      </w:pPr>
    </w:p>
    <w:p>
      <w:pPr>
        <w:jc w:val="both"/>
        <w:ind w:right="240" w:firstLine="456"/>
        <w:spacing w:after="0" w:line="370" w:lineRule="auto"/>
        <w:rPr>
          <w:sz w:val="20"/>
          <w:szCs w:val="20"/>
          <w:color w:val="auto"/>
        </w:rPr>
      </w:pPr>
      <w:r>
        <w:rPr>
          <w:rFonts w:ascii="Arial" w:cs="Arial" w:eastAsia="Arial" w:hAnsi="Arial"/>
          <w:sz w:val="15"/>
          <w:szCs w:val="15"/>
          <w:color w:val="auto"/>
        </w:rPr>
        <w:t>None of the Old Notes held by us for your account will be tendered unless we receive written instructions from you to do so. Unless a specific contrary instruction is given in the space provided, your signature(s) hereon shall constitute an instruction to us to tender all the Old Notes held by us for your account.</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99.4</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LLC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WYNN LAS VEGAS CAPITAL CORP.</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Offer to Exchange all Outstanding</w:t>
      </w:r>
    </w:p>
    <w:p>
      <w:pPr>
        <w:spacing w:after="0" w:line="3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on November 6, 2007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4"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22"/>
          <w:szCs w:val="22"/>
          <w:b w:val="1"/>
          <w:bCs w:val="1"/>
          <w:color w:val="auto"/>
          <w:vertAlign w:val="superscript"/>
        </w:rPr>
        <w:t>5</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First Mortgage Notes due 2014</w:t>
      </w:r>
    </w:p>
    <w:p>
      <w:pPr>
        <w:spacing w:after="0" w:line="2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That Have Been Registered Under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as Amended,</w:t>
      </w:r>
    </w:p>
    <w:p>
      <w:pPr>
        <w:sectPr>
          <w:pgSz w:w="11900" w:h="16838" w:orient="portrait"/>
          <w:cols w:equalWidth="0" w:num="1">
            <w:col w:w="11420"/>
          </w:cols>
          <w:pgMar w:left="240" w:top="125" w:right="239" w:bottom="1440" w:gutter="0" w:footer="0" w:header="0"/>
        </w:sectPr>
      </w:pPr>
    </w:p>
    <w:p>
      <w:pPr>
        <w:spacing w:after="0" w:line="159"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Pursuant to the Prospectus, dated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2008</w:t>
      </w:r>
    </w:p>
    <w:p>
      <w:pPr>
        <w:spacing w:after="0" w:line="200" w:lineRule="exact"/>
        <w:rPr>
          <w:sz w:val="20"/>
          <w:szCs w:val="20"/>
          <w:color w:val="auto"/>
        </w:rPr>
      </w:pPr>
    </w:p>
    <w:p>
      <w:pPr>
        <w:sectPr>
          <w:pgSz w:w="11900" w:h="16838" w:orient="portrait"/>
          <w:cols w:equalWidth="0" w:num="2">
            <w:col w:w="6500" w:space="720"/>
            <w:col w:w="4200"/>
          </w:cols>
          <w:pgMar w:left="240" w:top="125" w:right="239" w:bottom="1440" w:gutter="0" w:footer="0" w:header="0"/>
          <w:type w:val="continuous"/>
        </w:sectPr>
      </w:pPr>
    </w:p>
    <w:p>
      <w:pPr>
        <w:spacing w:after="0" w:line="46" w:lineRule="exact"/>
        <w:rPr>
          <w:sz w:val="20"/>
          <w:szCs w:val="20"/>
          <w:color w:val="auto"/>
        </w:rPr>
      </w:pPr>
    </w:p>
    <w:p>
      <w:pPr>
        <w:ind w:left="240"/>
        <w:spacing w:after="0"/>
        <w:tabs>
          <w:tab w:leader="none" w:pos="7840" w:val="left"/>
        </w:tabs>
        <w:rPr>
          <w:sz w:val="20"/>
          <w:szCs w:val="20"/>
          <w:color w:val="auto"/>
        </w:rPr>
      </w:pPr>
      <w:r>
        <w:rPr>
          <w:rFonts w:ascii="Arial" w:cs="Arial" w:eastAsia="Arial" w:hAnsi="Arial"/>
          <w:sz w:val="18"/>
          <w:szCs w:val="18"/>
          <w:b w:val="1"/>
          <w:bCs w:val="1"/>
          <w:color w:val="auto"/>
        </w:rPr>
        <w:t>THE EXCHANGE OFFER WILL EXPIRE AT 5:00 P.M. NEW YORK CITY TIME, ON</w:t>
      </w:r>
      <w:r>
        <w:rPr>
          <w:sz w:val="20"/>
          <w:szCs w:val="20"/>
          <w:color w:val="auto"/>
        </w:rPr>
        <w:tab/>
      </w:r>
      <w:r>
        <w:rPr>
          <w:rFonts w:ascii="Arial" w:cs="Arial" w:eastAsia="Arial" w:hAnsi="Arial"/>
          <w:sz w:val="16"/>
          <w:szCs w:val="16"/>
          <w:b w:val="1"/>
          <w:bCs w:val="1"/>
          <w:color w:val="auto"/>
        </w:rPr>
        <w:t>, 2008, UNLESS EXTENDED BY THE</w:t>
      </w:r>
    </w:p>
    <w:p>
      <w:pPr>
        <w:sectPr>
          <w:pgSz w:w="11900" w:h="16838" w:orient="portrait"/>
          <w:cols w:equalWidth="0" w:num="1">
            <w:col w:w="11420"/>
          </w:cols>
          <w:pgMar w:left="240" w:top="125" w:right="239" w:bottom="1440" w:gutter="0" w:footer="0" w:header="0"/>
          <w:type w:val="continuous"/>
        </w:sectPr>
      </w:pPr>
    </w:p>
    <w:p>
      <w:pPr>
        <w:spacing w:after="0" w:line="21" w:lineRule="exact"/>
        <w:rPr>
          <w:sz w:val="20"/>
          <w:szCs w:val="20"/>
          <w:color w:val="auto"/>
        </w:rPr>
      </w:pPr>
    </w:p>
    <w:p>
      <w:pPr>
        <w:ind w:left="240" w:right="740"/>
        <w:spacing w:after="0" w:line="261" w:lineRule="auto"/>
        <w:rPr>
          <w:sz w:val="20"/>
          <w:szCs w:val="20"/>
          <w:color w:val="auto"/>
        </w:rPr>
      </w:pPr>
      <w:r>
        <w:rPr>
          <w:rFonts w:ascii="Arial" w:cs="Arial" w:eastAsia="Arial" w:hAnsi="Arial"/>
          <w:sz w:val="18"/>
          <w:szCs w:val="18"/>
          <w:b w:val="1"/>
          <w:bCs w:val="1"/>
          <w:color w:val="auto"/>
        </w:rPr>
        <w:t>ISSUERS (THE “EXPIRATION DATE”). TENDERS MAY BE WITHDRAWN PRIOR TO 5:00 P.M., NEW YORK CITY TIME, ON THE EXPIRATION DATE.</w:t>
      </w:r>
    </w:p>
    <w:p>
      <w:pPr>
        <w:spacing w:after="0" w:line="1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BROKERS, DEALERS, COMMERCIAL BANKS, TRUST COMPANIES AND OTHER NOMINEES: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5"/>
          <w:szCs w:val="15"/>
          <w:color w:val="auto"/>
        </w:rPr>
        <w:t xml:space="preserve">Wynn Las Vegas, LLC and Wynn Las Vegas Capital Corp. (together, the “Issuers”) are offering to exchange all outstanding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First Mortgage Notes due 2014 of the Issuers issued on November 6, 2007 (the “Old Notes”) for 6 </w:t>
      </w:r>
      <w:r>
        <w:rPr>
          <w:rFonts w:ascii="Arial" w:cs="Arial" w:eastAsia="Arial" w:hAnsi="Arial"/>
          <w:sz w:val="19"/>
          <w:szCs w:val="19"/>
          <w:color w:val="auto"/>
          <w:vertAlign w:val="superscript"/>
        </w:rPr>
        <w:t>5</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First Mortgage Notes due 2014 of the Issuers that have been registered under</w:t>
      </w:r>
    </w:p>
    <w:p>
      <w:pPr>
        <w:spacing w:after="0" w:line="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Securities Act of 1933, as amended, upon the terms and subject to the conditions set forth in the Prospectus, dated , 2008 (the “Prospectus”) and the enclosed Letter of Transmittal (the “Letter of Transmittal”). The Exchange Offer is being made to satisfy certain obligations of the Issuers contained in the Registration Rights Agreement, dated November 6, 2007, by and among the Issuers, the guarantors referred to therein and the initial purchasers referred to therein.</w:t>
      </w:r>
    </w:p>
    <w:p>
      <w:pPr>
        <w:spacing w:after="0" w:line="1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requesting that you contact your clients for whom you hold Old Notes regarding the Exchange Offer. For your information and for forwarding to your clients for whom you hold Old Notes registered in your name or in the name of your nominee, or who hold Old Notes registered in their own names, we are enclosing the following documents:</w:t>
      </w:r>
    </w:p>
    <w:p>
      <w:pPr>
        <w:spacing w:after="0" w:line="59"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1820" w:type="dxa"/>
            <w:vAlign w:val="bottom"/>
          </w:tcPr>
          <w:p>
            <w:pPr>
              <w:spacing w:after="0"/>
              <w:rPr>
                <w:sz w:val="20"/>
                <w:szCs w:val="20"/>
                <w:color w:val="auto"/>
              </w:rPr>
            </w:pPr>
            <w:r>
              <w:rPr>
                <w:rFonts w:ascii="Arial" w:cs="Arial" w:eastAsia="Arial" w:hAnsi="Arial"/>
                <w:sz w:val="18"/>
                <w:szCs w:val="18"/>
                <w:color w:val="auto"/>
              </w:rPr>
              <w:t>1. Prospectus dated</w:t>
            </w:r>
          </w:p>
        </w:tc>
        <w:tc>
          <w:tcPr>
            <w:tcW w:w="960" w:type="dxa"/>
            <w:vAlign w:val="bottom"/>
          </w:tcPr>
          <w:p>
            <w:pPr>
              <w:jc w:val="right"/>
              <w:spacing w:after="0"/>
              <w:rPr>
                <w:sz w:val="20"/>
                <w:szCs w:val="20"/>
                <w:color w:val="auto"/>
              </w:rPr>
            </w:pPr>
            <w:r>
              <w:rPr>
                <w:rFonts w:ascii="Arial" w:cs="Arial" w:eastAsia="Arial" w:hAnsi="Arial"/>
                <w:sz w:val="18"/>
                <w:szCs w:val="18"/>
                <w:color w:val="auto"/>
              </w:rPr>
              <w:t>, 2008;</w:t>
            </w:r>
          </w:p>
        </w:tc>
      </w:tr>
    </w:tbl>
    <w:p>
      <w:pPr>
        <w:spacing w:after="0" w:line="75" w:lineRule="exact"/>
        <w:rPr>
          <w:sz w:val="20"/>
          <w:szCs w:val="20"/>
          <w:color w:val="auto"/>
        </w:rPr>
      </w:pPr>
    </w:p>
    <w:p>
      <w:pPr>
        <w:ind w:left="1080" w:hanging="177"/>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Letter of Transmittal for your use and for the information of your clients;</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0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Notice of Guaranteed Delivery to be used to accept the Exchange Offer if certificates for Old Notes are not immediately available or time will not permit all required documents to reach the Exchange Agent prior to the Expiration Date or if the procedure for book-entry transfer cannot be completed on a timely basis;</w:t>
      </w:r>
    </w:p>
    <w:p>
      <w:pPr>
        <w:spacing w:after="0" w:line="59" w:lineRule="exact"/>
        <w:rPr>
          <w:rFonts w:ascii="Arial" w:cs="Arial" w:eastAsia="Arial" w:hAnsi="Arial"/>
          <w:sz w:val="18"/>
          <w:szCs w:val="18"/>
          <w:color w:val="auto"/>
        </w:rPr>
      </w:pPr>
    </w:p>
    <w:p>
      <w:pPr>
        <w:ind w:left="460" w:right="240" w:firstLine="443"/>
        <w:spacing w:after="0" w:line="268" w:lineRule="auto"/>
        <w:tabs>
          <w:tab w:leader="none" w:pos="107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form of letter which may be sent to your clients for whose account you hold Old Notes registered in your name or the name of your nominee, with space provided for obtaining such clients’ instructions with regard to the Exchange Offer;</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Return envelopes addressed to U.S. Bank National Association, the Exchange Agent for the Exchange Offer.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PROMPT ACTION IS REQUESTED. THE EXCHANGE OFFER WILL EXPIRE AT 5:00 P.M., NEW YORK CITY TIME,</w:t>
      </w:r>
    </w:p>
    <w:p>
      <w:pPr>
        <w:spacing w:after="0" w:line="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ON , 2008, UNLESS EXTENDED BY THE ISSUERS. OLD NOTES TENDERED PURSUANT TO THE EXCHANGE OFFER MAY BE WITHDRAWN AT ANY TIME BEFORE THE EXPIRATION DATE.</w:t>
      </w:r>
    </w:p>
    <w:p>
      <w:pPr>
        <w:sectPr>
          <w:pgSz w:w="11900" w:h="16838" w:orient="portrait"/>
          <w:cols w:equalWidth="0" w:num="1">
            <w:col w:w="11420"/>
          </w:cols>
          <w:pgMar w:left="240" w:top="125" w:right="239" w:bottom="1440" w:gutter="0" w:footer="0" w:header="0"/>
          <w:type w:val="continuous"/>
        </w:sectPr>
      </w:pPr>
    </w:p>
    <w:bookmarkStart w:id="288" w:name="page289"/>
    <w:bookmarkEnd w:id="288"/>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participate in the Exchange Offer, a duly executed and properly completed Letter of Transmittal (or facsimile thereof or Agent’s Message (as defined in the Letter of Transmittal) in lieu thereof), with any required signature guarantees and any other required documents, should be sent to the Exchange Agent and certificates representing the Old Notes should be delivered to the Exchange Agent, all in accordance with the instructions set forth in the Letter of Transmittal and the Prospectus.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a registered holder of Old Notes desires to tender Old Notes, but such Old Notes are not immediately available, or time will not permit such holder’s Old Notes or other required documents to reach the Exchange Agent before the Expiration Date, or the procedure for book-entry transfer cannot be completed on a timely basis, a tender may be effected by following the guaranteed delivery procedures described in the Prospectus under the caption “The Exchange Offer— Guaranteed Delivery Procedures.”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Issuers will, upon request, reimburse brokers, dealers, commercial banks and trust companies for reasonable and necessary costs and expenses incurred by them in forwarding the Prospectus and the related documents to the beneficial owners of Old Notes held by them as nominee or in a fiduciary capacity. The Issuers will pay or cause to be paid all stock transfer taxes applicable to the exchange of Old Notes pursuant to the Exchange Offer, except as set forth in Instruction 6 of the Letter of Transmittal.</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Any inquiries you may have with respect to the procedure for tendering Old Notes pursuant to the Exchange Offer, or requests for additional copies of the enclosed materials, should be directed to U.S. Bank National Association, the Exchange Agent for the Exchange Offer, at its address and telephone number set forth on the front of the Letter of Transmittal.</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WYNN LAS VEGAS CAPITAL CORP.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NOTHING HEREIN OR IN THE ENCLOSED DOCUMENTS SHALL CONSTITUTE YOU OR ANY PERSON AS AN AGENT OF THE ISSUERS OR THE EXCHANGE AGENT, OR AUTHORIZE YOU OR ANY OTHER PERSON TO USE ANY DOCUMENT OR MAKE ANY STATEMENTS ON BEHALF OF ANY OF THEM WITH RESPECT TO THE EXCHANGE OFFER, EXCEPT FOR STATEMENTS EXPRESSLY MADE IN THE PROSPECTUS OR THE LETTER OF TRANSMITTAL.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213"/>
    </w:lvl>
  </w:abstractNum>
  <w:abstractNum w:abstractNumId="1">
    <w:nsid w:val="5675FF36"/>
    <w:multiLevelType w:val="hybridMultilevel"/>
    <w:lvl w:ilvl="0">
      <w:lvlJc w:val="left"/>
      <w:lvlText w:val="(%1)"/>
      <w:numFmt w:val="decimal"/>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lvl w:ilvl="1">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
      <w:numFmt w:val="bullet"/>
      <w:start w:val="1"/>
    </w:lvl>
  </w:abstractNum>
  <w:abstractNum w:abstractNumId="11">
    <w:nsid w:val="56438D15"/>
    <w:multiLevelType w:val="hybridMultilevel"/>
    <w:lvl w:ilvl="0">
      <w:lvlJc w:val="left"/>
      <w:lvlText w:val="•"/>
      <w:numFmt w:val="bullet"/>
      <w:start w:val="1"/>
    </w:lvl>
  </w:abstractNum>
  <w:abstractNum w:abstractNumId="12">
    <w:nsid w:val="519E3149"/>
    <w:multiLevelType w:val="hybridMultilevel"/>
    <w:lvl w:ilvl="0">
      <w:lvlJc w:val="left"/>
      <w:lvlText w:val="•"/>
      <w:numFmt w:val="bullet"/>
      <w:start w:val="1"/>
    </w:lvl>
  </w:abstractNum>
  <w:abstractNum w:abstractNumId="13">
    <w:nsid w:val="2C6E4AFD"/>
    <w:multiLevelType w:val="hybridMultilevel"/>
    <w:lvl w:ilvl="0">
      <w:lvlJc w:val="left"/>
      <w:lvlText w:val="•"/>
      <w:numFmt w:val="bullet"/>
      <w:start w:val="1"/>
    </w:lvl>
  </w:abstractNum>
  <w:abstractNum w:abstractNumId="14">
    <w:nsid w:val="17A1B582"/>
    <w:multiLevelType w:val="hybridMultilevel"/>
    <w:lvl w:ilvl="0">
      <w:lvlJc w:val="left"/>
      <w:lvlText w:val="•"/>
      <w:numFmt w:val="bullet"/>
      <w:start w:val="1"/>
    </w:lvl>
    <w:lvl w:ilvl="1">
      <w:lvlJc w:val="left"/>
      <w:lvlText w:val="•"/>
      <w:numFmt w:val="bullet"/>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lvl w:ilvl="1">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1)"/>
      <w:numFmt w:val="decimal"/>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1)"/>
      <w:numFmt w:val="lowerRoman"/>
      <w:start w:val="2"/>
    </w:lvl>
  </w:abstractNum>
  <w:abstractNum w:abstractNumId="29">
    <w:nsid w:val="57D2F10E"/>
    <w:multiLevelType w:val="hybridMultilevel"/>
    <w:lvl w:ilvl="0">
      <w:lvlJc w:val="left"/>
      <w:lvlText w:val="(%1)"/>
      <w:numFmt w:val="decimal"/>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
      <w:numFmt w:val="bullet"/>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
      <w:numFmt w:val="bullet"/>
      <w:start w:val="1"/>
    </w:lvl>
  </w:abstractNum>
  <w:abstractNum w:abstractNumId="38">
    <w:nsid w:val="24E99DD7"/>
    <w:multiLevelType w:val="hybridMultilevel"/>
    <w:lvl w:ilvl="0">
      <w:lvlJc w:val="left"/>
      <w:lvlText w:val="•"/>
      <w:numFmt w:val="bullet"/>
      <w:start w:val="1"/>
    </w:lvl>
  </w:abstractNum>
  <w:abstractNum w:abstractNumId="39">
    <w:nsid w:val="2A31B62D"/>
    <w:multiLevelType w:val="hybridMultilevel"/>
    <w:lvl w:ilvl="0">
      <w:lvlJc w:val="left"/>
      <w:lvlText w:val="(%1)"/>
      <w:numFmt w:val="decimal"/>
      <w:start w:val="1"/>
    </w:lvl>
  </w:abstractNum>
  <w:abstractNum w:abstractNumId="40">
    <w:nsid w:val="1849C29B"/>
    <w:multiLevelType w:val="hybridMultilevel"/>
    <w:lvl w:ilvl="0">
      <w:lvlJc w:val="left"/>
      <w:lvlText w:val="(%1)"/>
      <w:numFmt w:val="lowerLetter"/>
      <w:start w:val="4"/>
    </w:lvl>
  </w:abstractNum>
  <w:abstractNum w:abstractNumId="41">
    <w:nsid w:val="7DFF9D09"/>
    <w:multiLevelType w:val="hybridMultilevel"/>
    <w:lvl w:ilvl="0">
      <w:lvlJc w:val="left"/>
      <w:lvlText w:val="(%1)"/>
      <w:numFmt w:val="decimal"/>
      <w:start w:val="1"/>
    </w:lvl>
    <w:lvl w:ilvl="1">
      <w:lvlJc w:val="left"/>
      <w:lvlText w:val="(%2)"/>
      <w:numFmt w:val="lowerRoman"/>
      <w:start w:val="1"/>
    </w:lvl>
  </w:abstractNum>
  <w:abstractNum w:abstractNumId="42">
    <w:nsid w:val="754342"/>
    <w:multiLevelType w:val="hybridMultilevel"/>
    <w:lvl w:ilvl="0">
      <w:lvlJc w:val="left"/>
      <w:lvlText w:val="(%1)"/>
      <w:numFmt w:val="lowerRoman"/>
      <w:start w:val="1"/>
    </w:lvl>
  </w:abstractNum>
  <w:abstractNum w:abstractNumId="43">
    <w:nsid w:val="69E7F3E5"/>
    <w:multiLevelType w:val="hybridMultilevel"/>
    <w:lvl w:ilvl="0">
      <w:lvlJc w:val="left"/>
      <w:lvlText w:val="(%1)"/>
      <w:numFmt w:val="lowerRoman"/>
      <w:start w:val="1"/>
    </w:lvl>
  </w:abstractNum>
  <w:abstractNum w:abstractNumId="44">
    <w:nsid w:val="2A6DE806"/>
    <w:multiLevelType w:val="hybridMultilevel"/>
    <w:lvl w:ilvl="0">
      <w:lvlJc w:val="left"/>
      <w:lvlText w:val="(%1)"/>
      <w:numFmt w:val="lowerRoman"/>
      <w:start w:val="1"/>
    </w:lvl>
  </w:abstractNum>
  <w:abstractNum w:abstractNumId="45">
    <w:nsid w:val="1816F8C4"/>
    <w:multiLevelType w:val="hybridMultilevel"/>
    <w:lvl w:ilvl="0">
      <w:lvlJc w:val="left"/>
      <w:lvlText w:val="(%1)"/>
      <w:numFmt w:val="lowerRoman"/>
      <w:start w:val="1"/>
    </w:lvl>
  </w:abstractNum>
  <w:abstractNum w:abstractNumId="46">
    <w:nsid w:val="37DF2233"/>
    <w:multiLevelType w:val="hybridMultilevel"/>
    <w:lvl w:ilvl="0">
      <w:lvlJc w:val="left"/>
      <w:lvlText w:val="(%1)"/>
      <w:numFmt w:val="decimal"/>
      <w:start w:val="1"/>
    </w:lvl>
    <w:lvl w:ilvl="1">
      <w:lvlJc w:val="left"/>
      <w:lvlText w:val="%2."/>
      <w:numFmt w:val="lowerLetter"/>
      <w:start w:val="1"/>
    </w:lvl>
  </w:abstractNum>
  <w:abstractNum w:abstractNumId="47">
    <w:nsid w:val="7AB49DAF"/>
    <w:multiLevelType w:val="hybridMultilevel"/>
    <w:lvl w:ilvl="0">
      <w:lvlJc w:val="left"/>
      <w:lvlText w:val="(%1)"/>
      <w:numFmt w:val="decimal"/>
      <w:start w:val="1"/>
    </w:lvl>
  </w:abstractNum>
  <w:abstractNum w:abstractNumId="48">
    <w:nsid w:val="759F82CD"/>
    <w:multiLevelType w:val="hybridMultilevel"/>
    <w:lvl w:ilvl="0">
      <w:lvlJc w:val="left"/>
      <w:lvlText w:val="(%1)"/>
      <w:numFmt w:val="decimal"/>
      <w:start w:val="1"/>
    </w:lvl>
  </w:abstractNum>
  <w:abstractNum w:abstractNumId="49">
    <w:nsid w:val="61E74EA3"/>
    <w:multiLevelType w:val="hybridMultilevel"/>
    <w:lvl w:ilvl="0">
      <w:lvlJc w:val="left"/>
      <w:lvlText w:val="(%1)"/>
      <w:numFmt w:val="decimal"/>
      <w:start w:val="1"/>
    </w:lvl>
  </w:abstractNum>
  <w:abstractNum w:abstractNumId="50">
    <w:nsid w:val="597B4D84"/>
    <w:multiLevelType w:val="hybridMultilevel"/>
    <w:lvl w:ilvl="0">
      <w:lvlJc w:val="left"/>
      <w:lvlText w:val="(%1)"/>
      <w:numFmt w:val="decimal"/>
      <w:start w:val="1"/>
    </w:lvl>
  </w:abstractNum>
  <w:abstractNum w:abstractNumId="51">
    <w:nsid w:val="F819E7F"/>
    <w:multiLevelType w:val="hybridMultilevel"/>
    <w:lvl w:ilvl="0">
      <w:lvlJc w:val="left"/>
      <w:lvlText w:val="(%1)"/>
      <w:numFmt w:val="decimal"/>
      <w:start w:val="1"/>
    </w:lvl>
  </w:abstractNum>
  <w:abstractNum w:abstractNumId="52">
    <w:nsid w:val="57C7D42D"/>
    <w:multiLevelType w:val="hybridMultilevel"/>
    <w:lvl w:ilvl="0">
      <w:lvlJc w:val="left"/>
      <w:lvlText w:val="(%1)"/>
      <w:numFmt w:val="decimal"/>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1)"/>
      <w:numFmt w:val="decimal"/>
      <w:start w:val="1"/>
    </w:lvl>
  </w:abstractNum>
  <w:abstractNum w:abstractNumId="55">
    <w:nsid w:val="78B5E776"/>
    <w:multiLevelType w:val="hybridMultilevel"/>
    <w:lvl w:ilvl="0">
      <w:lvlJc w:val="left"/>
      <w:lvlText w:val="(%1)"/>
      <w:numFmt w:val="decimal"/>
      <w:start w:val="4"/>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
      <w:numFmt w:val="bullet"/>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abstractNum>
  <w:abstractNum w:abstractNumId="63">
    <w:nsid w:val="746F2E30"/>
    <w:multiLevelType w:val="hybridMultilevel"/>
    <w:lvl w:ilvl="0">
      <w:lvlJc w:val="left"/>
      <w:lvlText w:val="•"/>
      <w:numFmt w:val="bullet"/>
      <w:start w:val="1"/>
    </w:lvl>
  </w:abstractNum>
  <w:abstractNum w:abstractNumId="64">
    <w:nsid w:val="6FDE8AF6"/>
    <w:multiLevelType w:val="hybridMultilevel"/>
    <w:lvl w:ilvl="0">
      <w:lvlJc w:val="left"/>
      <w:lvlText w:val="•"/>
      <w:numFmt w:val="bullet"/>
      <w:start w:val="1"/>
    </w:lvl>
  </w:abstractNum>
  <w:abstractNum w:abstractNumId="65">
    <w:nsid w:val="3FC32E20"/>
    <w:multiLevelType w:val="hybridMultilevel"/>
    <w:lvl w:ilvl="0">
      <w:lvlJc w:val="left"/>
      <w:lvlText w:val="•"/>
      <w:numFmt w:val="bullet"/>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
      <w:numFmt w:val="bullet"/>
      <w:start w:val="1"/>
    </w:lvl>
  </w:abstractNum>
  <w:abstractNum w:abstractNumId="69">
    <w:nsid w:val="6EAA85FB"/>
    <w:multiLevelType w:val="hybridMultilevel"/>
    <w:lvl w:ilvl="0">
      <w:lvlJc w:val="left"/>
      <w:lvlText w:val="(%1)"/>
      <w:numFmt w:val="decimal"/>
      <w:start w:val="1"/>
    </w:lvl>
    <w:lvl w:ilvl="1">
      <w:lvlJc w:val="left"/>
      <w:lvlText w:val="(%2)"/>
      <w:numFmt w:val="lowerLetter"/>
      <w:start w:val="1"/>
    </w:lvl>
  </w:abstractNum>
  <w:abstractNum w:abstractNumId="70">
    <w:nsid w:val="3F06ECB2"/>
    <w:multiLevelType w:val="hybridMultilevel"/>
    <w:lvl w:ilvl="0">
      <w:lvlJc w:val="left"/>
      <w:lvlText w:val="(%1)"/>
      <w:numFmt w:val="decimal"/>
      <w:start w:val="1"/>
    </w:lvl>
  </w:abstractNum>
  <w:abstractNum w:abstractNumId="71">
    <w:nsid w:val="3B594807"/>
    <w:multiLevelType w:val="hybridMultilevel"/>
    <w:lvl w:ilvl="0">
      <w:lvlJc w:val="left"/>
      <w:lvlText w:val="(%1)"/>
      <w:numFmt w:val="decimal"/>
      <w:start w:val="1"/>
    </w:lvl>
  </w:abstractNum>
  <w:abstractNum w:abstractNumId="72">
    <w:nsid w:val="6CAA2304"/>
    <w:multiLevelType w:val="hybridMultilevel"/>
    <w:lvl w:ilvl="0">
      <w:lvlJc w:val="left"/>
      <w:lvlText w:val="(%1)"/>
      <w:numFmt w:val="decimal"/>
      <w:start w:val="3"/>
    </w:lvl>
  </w:abstractNum>
  <w:abstractNum w:abstractNumId="73">
    <w:nsid w:val="3F7C2FF4"/>
    <w:multiLevelType w:val="hybridMultilevel"/>
    <w:lvl w:ilvl="0">
      <w:lvlJc w:val="left"/>
      <w:lvlText w:val="(%1)"/>
      <w:numFmt w:val="decimal"/>
      <w:start w:val="1"/>
    </w:lvl>
  </w:abstractNum>
  <w:abstractNum w:abstractNumId="74">
    <w:nsid w:val="25413BEC"/>
    <w:multiLevelType w:val="hybridMultilevel"/>
    <w:lvl w:ilvl="0">
      <w:lvlJc w:val="left"/>
      <w:lvlText w:val="(%1)"/>
      <w:numFmt w:val="decimal"/>
      <w:start w:val="1"/>
    </w:lvl>
  </w:abstractNum>
  <w:abstractNum w:abstractNumId="75">
    <w:nsid w:val="17180B0B"/>
    <w:multiLevelType w:val="hybridMultilevel"/>
    <w:lvl w:ilvl="0">
      <w:lvlJc w:val="left"/>
      <w:lvlText w:val="(%1)"/>
      <w:numFmt w:val="decimal"/>
      <w:start w:val="1"/>
    </w:lvl>
  </w:abstractNum>
  <w:abstractNum w:abstractNumId="76">
    <w:nsid w:val="579328B9"/>
    <w:multiLevelType w:val="hybridMultilevel"/>
    <w:lvl w:ilvl="0">
      <w:lvlJc w:val="left"/>
      <w:lvlText w:val="%1"/>
      <w:numFmt w:val="upperLetter"/>
      <w:start w:val="1"/>
    </w:lvl>
    <w:lvl w:ilvl="1">
      <w:lvlJc w:val="left"/>
      <w:lvlText w:val="(%2)"/>
      <w:numFmt w:val="decimal"/>
      <w:start w:val="1"/>
    </w:lvl>
  </w:abstractNum>
  <w:abstractNum w:abstractNumId="77">
    <w:nsid w:val="5D205E20"/>
    <w:multiLevelType w:val="hybridMultilevel"/>
    <w:lvl w:ilvl="0">
      <w:lvlJc w:val="left"/>
      <w:lvlText w:val="(%1)"/>
      <w:numFmt w:val="upperLetter"/>
      <w:start w:val="1"/>
    </w:lvl>
    <w:lvl w:ilvl="1">
      <w:lvlJc w:val="left"/>
      <w:lvlText w:val="%2"/>
      <w:numFmt w:val="decimal"/>
      <w:start w:val="1"/>
    </w:lvl>
  </w:abstractNum>
  <w:abstractNum w:abstractNumId="78">
    <w:nsid w:val="11CCA8BA"/>
    <w:multiLevelType w:val="hybridMultilevel"/>
    <w:lvl w:ilvl="0">
      <w:lvlJc w:val="left"/>
      <w:lvlText w:val="%1"/>
      <w:numFmt w:val="decimal"/>
      <w:start w:val="1"/>
    </w:lvl>
    <w:lvl w:ilvl="1">
      <w:lvlJc w:val="left"/>
      <w:lvlText w:val="(%2)"/>
      <w:numFmt w:val="decimal"/>
      <w:start w:val="7"/>
    </w:lvl>
  </w:abstractNum>
  <w:abstractNum w:abstractNumId="79">
    <w:nsid w:val="4D32AB86"/>
    <w:multiLevelType w:val="hybridMultilevel"/>
    <w:lvl w:ilvl="0">
      <w:lvlJc w:val="left"/>
      <w:lvlText w:val="(%1)"/>
      <w:numFmt w:val="decimal"/>
      <w:start w:val="6"/>
    </w:lvl>
    <w:lvl w:ilvl="1">
      <w:lvlJc w:val="left"/>
      <w:lvlText w:val="(%2)"/>
      <w:numFmt w:val="decimal"/>
      <w:start w:val="8"/>
    </w:lvl>
  </w:abstractNum>
  <w:abstractNum w:abstractNumId="80">
    <w:nsid w:val="3F07ACC3"/>
    <w:multiLevelType w:val="hybridMultilevel"/>
    <w:lvl w:ilvl="0">
      <w:lvlJc w:val="left"/>
      <w:lvlText w:val="(%1)"/>
      <w:numFmt w:val="decimal"/>
      <w:start w:val="6"/>
    </w:lvl>
    <w:lvl w:ilvl="1">
      <w:lvlJc w:val="left"/>
      <w:lvlText w:val="%2"/>
      <w:numFmt w:val="decimal"/>
      <w:start w:val="1"/>
    </w:lvl>
  </w:abstractNum>
  <w:abstractNum w:abstractNumId="81">
    <w:nsid w:val="6B47F6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2">
    <w:nsid w:val="5CB44A05"/>
    <w:multiLevelType w:val="hybridMultilevel"/>
    <w:lvl w:ilvl="0">
      <w:lvlJc w:val="left"/>
      <w:lvlText w:val="(%1)"/>
      <w:numFmt w:val="decimal"/>
      <w:start w:val="1"/>
    </w:lvl>
  </w:abstractNum>
  <w:abstractNum w:abstractNumId="83">
    <w:nsid w:val="16CF80F1"/>
    <w:multiLevelType w:val="hybridMultilevel"/>
    <w:lvl w:ilvl="0">
      <w:lvlJc w:val="left"/>
      <w:lvlText w:val="(%1)"/>
      <w:numFmt w:val="decimal"/>
      <w:start w:val="1"/>
    </w:lvl>
  </w:abstractNum>
  <w:abstractNum w:abstractNumId="84">
    <w:nsid w:val="1C695DEC"/>
    <w:multiLevelType w:val="hybridMultilevel"/>
    <w:lvl w:ilvl="0">
      <w:lvlJc w:val="left"/>
      <w:lvlText w:val="(%1)"/>
      <w:numFmt w:val="decimal"/>
      <w:start w:val="3"/>
    </w:lvl>
  </w:abstractNum>
  <w:abstractNum w:abstractNumId="85">
    <w:nsid w:val="3FCFAED9"/>
    <w:multiLevelType w:val="hybridMultilevel"/>
    <w:lvl w:ilvl="0">
      <w:lvlJc w:val="left"/>
      <w:lvlText w:val="(%1)"/>
      <w:numFmt w:val="decimal"/>
      <w:start w:val="1"/>
    </w:lvl>
    <w:lvl w:ilvl="1">
      <w:lvlJc w:val="left"/>
      <w:lvlText w:val="(%2)"/>
      <w:numFmt w:val="lowerLetter"/>
      <w:start w:val="1"/>
    </w:lvl>
  </w:abstractNum>
  <w:abstractNum w:abstractNumId="86">
    <w:nsid w:val="F856867"/>
    <w:multiLevelType w:val="hybridMultilevel"/>
    <w:lvl w:ilvl="0">
      <w:lvlJc w:val="left"/>
      <w:lvlText w:val="(%1)"/>
      <w:numFmt w:val="decimal"/>
      <w:start w:val="1"/>
    </w:lvl>
  </w:abstractNum>
  <w:abstractNum w:abstractNumId="87">
    <w:nsid w:val="11B1CC33"/>
    <w:multiLevelType w:val="hybridMultilevel"/>
    <w:lvl w:ilvl="0">
      <w:lvlJc w:val="left"/>
      <w:lvlText w:val="(%1)"/>
      <w:numFmt w:val="decimal"/>
      <w:start w:val="2"/>
    </w:lvl>
  </w:abstractNum>
  <w:abstractNum w:abstractNumId="88">
    <w:nsid w:val="2E22FBB7"/>
    <w:multiLevelType w:val="hybridMultilevel"/>
    <w:lvl w:ilvl="0">
      <w:lvlJc w:val="left"/>
      <w:lvlText w:val="(%1)"/>
      <w:numFmt w:val="decimal"/>
      <w:start w:val="1"/>
    </w:lvl>
  </w:abstractNum>
  <w:abstractNum w:abstractNumId="89">
    <w:nsid w:val="29934699"/>
    <w:multiLevelType w:val="hybridMultilevel"/>
    <w:lvl w:ilvl="0">
      <w:lvlJc w:val="left"/>
      <w:lvlText w:val="%1"/>
      <w:numFmt w:val="lowerLetter"/>
      <w:start w:val="1"/>
    </w:lvl>
    <w:lvl w:ilvl="1">
      <w:lvlJc w:val="left"/>
      <w:lvlText w:val="(%2)"/>
      <w:numFmt w:val="decimal"/>
      <w:start w:val="1"/>
    </w:lvl>
  </w:abstractNum>
  <w:abstractNum w:abstractNumId="90">
    <w:nsid w:val="77485850"/>
    <w:multiLevelType w:val="hybridMultilevel"/>
    <w:lvl w:ilvl="0">
      <w:lvlJc w:val="left"/>
      <w:lvlText w:val="(%1)"/>
      <w:numFmt w:val="lowerLetter"/>
      <w:start w:val="2"/>
    </w:lvl>
    <w:lvl w:ilvl="1">
      <w:lvlJc w:val="left"/>
      <w:lvlText w:val="(%2)"/>
      <w:numFmt w:val="decimal"/>
      <w:start w:val="2"/>
    </w:lvl>
  </w:abstractNum>
  <w:abstractNum w:abstractNumId="91">
    <w:nsid w:val="744939A3"/>
    <w:multiLevelType w:val="hybridMultilevel"/>
    <w:lvl w:ilvl="0">
      <w:lvlJc w:val="left"/>
      <w:lvlText w:val="(%1)"/>
      <w:numFmt w:val="decimal"/>
      <w:start w:val="1"/>
    </w:lvl>
  </w:abstractNum>
  <w:abstractNum w:abstractNumId="92">
    <w:nsid w:val="4FA0D2E3"/>
    <w:multiLevelType w:val="hybridMultilevel"/>
    <w:lvl w:ilvl="0">
      <w:lvlJc w:val="left"/>
      <w:lvlText w:val="(%1)"/>
      <w:numFmt w:val="decimal"/>
      <w:start w:val="3"/>
    </w:lvl>
    <w:lvl w:ilvl="1">
      <w:lvlJc w:val="left"/>
      <w:lvlText w:val="(%2)"/>
      <w:numFmt w:val="lowerLetter"/>
      <w:start w:val="1"/>
    </w:lvl>
  </w:abstractNum>
  <w:abstractNum w:abstractNumId="93">
    <w:nsid w:val="6B1D2C14"/>
    <w:multiLevelType w:val="hybridMultilevel"/>
    <w:lvl w:ilvl="0">
      <w:lvlJc w:val="left"/>
      <w:lvlText w:val="(%1)"/>
      <w:numFmt w:val="decimal"/>
      <w:start w:val="1"/>
    </w:lvl>
  </w:abstractNum>
  <w:abstractNum w:abstractNumId="94">
    <w:nsid w:val="68B867D3"/>
    <w:multiLevelType w:val="hybridMultilevel"/>
    <w:lvl w:ilvl="0">
      <w:lvlJc w:val="left"/>
      <w:lvlText w:val="(%1)"/>
      <w:numFmt w:val="decimal"/>
      <w:start w:val="2"/>
    </w:lvl>
  </w:abstractNum>
  <w:abstractNum w:abstractNumId="95">
    <w:nsid w:val="3F7F5DD9"/>
    <w:multiLevelType w:val="hybridMultilevel"/>
    <w:lvl w:ilvl="0">
      <w:lvlJc w:val="left"/>
      <w:lvlText w:val="(%1)"/>
      <w:numFmt w:val="decimal"/>
      <w:start w:val="2"/>
    </w:lvl>
  </w:abstractNum>
  <w:abstractNum w:abstractNumId="96">
    <w:nsid w:val="2AE05A3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7">
    <w:nsid w:val="32794FF7"/>
    <w:multiLevelType w:val="hybridMultilevel"/>
    <w:lvl w:ilvl="0">
      <w:lvlJc w:val="left"/>
      <w:lvlText w:val="(%1)"/>
      <w:numFmt w:val="lowerLetter"/>
      <w:start w:val="35"/>
    </w:lvl>
    <w:lvl w:ilvl="1">
      <w:lvlJc w:val="left"/>
      <w:lvlText w:val="(%2)"/>
      <w:numFmt w:val="decimal"/>
      <w:start w:val="2"/>
    </w:lvl>
    <w:lvl w:ilvl="2">
      <w:lvlJc w:val="left"/>
      <w:lvlText w:val="(%3)"/>
      <w:numFmt w:val="lowerLetter"/>
      <w:start w:val="1"/>
    </w:lvl>
  </w:abstractNum>
  <w:abstractNum w:abstractNumId="98">
    <w:nsid w:val="5454945E"/>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99">
    <w:nsid w:val="4DEFDFA0"/>
    <w:multiLevelType w:val="hybridMultilevel"/>
    <w:lvl w:ilvl="0">
      <w:lvlJc w:val="left"/>
      <w:lvlText w:val="(%1)"/>
      <w:numFmt w:val="decimal"/>
      <w:start w:val="13"/>
    </w:lvl>
  </w:abstractNum>
  <w:abstractNum w:abstractNumId="100">
    <w:nsid w:val="2123D5F2"/>
    <w:multiLevelType w:val="hybridMultilevel"/>
    <w:lvl w:ilvl="0">
      <w:lvlJc w:val="left"/>
      <w:lvlText w:val="(%1)"/>
      <w:numFmt w:val="decimal"/>
      <w:start w:val="1"/>
    </w:lvl>
    <w:lvl w:ilvl="1">
      <w:lvlJc w:val="left"/>
      <w:lvlText w:val="(%2)"/>
      <w:numFmt w:val="lowerLetter"/>
      <w:start w:val="1"/>
    </w:lvl>
  </w:abstractNum>
  <w:abstractNum w:abstractNumId="101">
    <w:nsid w:val="135B8110"/>
    <w:multiLevelType w:val="hybridMultilevel"/>
    <w:lvl w:ilvl="0">
      <w:lvlJc w:val="left"/>
      <w:lvlText w:val="(%1)"/>
      <w:numFmt w:val="decimal"/>
      <w:start w:val="1"/>
    </w:lvl>
  </w:abstractNum>
  <w:abstractNum w:abstractNumId="102">
    <w:nsid w:val="94927A8"/>
    <w:multiLevelType w:val="hybridMultilevel"/>
    <w:lvl w:ilvl="0">
      <w:lvlJc w:val="left"/>
      <w:lvlText w:val="(%1)"/>
      <w:numFmt w:val="decimal"/>
      <w:start w:val="1"/>
    </w:lvl>
  </w:abstractNum>
  <w:abstractNum w:abstractNumId="103">
    <w:nsid w:val="DCDF8F6"/>
    <w:multiLevelType w:val="hybridMultilevel"/>
    <w:lvl w:ilvl="0">
      <w:lvlJc w:val="left"/>
      <w:lvlText w:val="(%1)"/>
      <w:numFmt w:val="decimal"/>
      <w:start w:val="1"/>
    </w:lvl>
    <w:lvl w:ilvl="1">
      <w:lvlJc w:val="left"/>
      <w:lvlText w:val="(%2)"/>
      <w:numFmt w:val="lowerLetter"/>
      <w:start w:val="1"/>
    </w:lvl>
  </w:abstractNum>
  <w:abstractNum w:abstractNumId="104">
    <w:nsid w:val="52D7B105"/>
    <w:multiLevelType w:val="hybridMultilevel"/>
    <w:lvl w:ilvl="0">
      <w:lvlJc w:val="left"/>
      <w:lvlText w:val="(%1)"/>
      <w:numFmt w:val="decimal"/>
      <w:start w:val="1"/>
    </w:lvl>
    <w:lvl w:ilvl="1">
      <w:lvlJc w:val="left"/>
      <w:lvlText w:val="(%2)"/>
      <w:numFmt w:val="lowerLetter"/>
      <w:start w:val="1"/>
    </w:lvl>
  </w:abstractNum>
  <w:abstractNum w:abstractNumId="105">
    <w:nsid w:val="2E8A6394"/>
    <w:multiLevelType w:val="hybridMultilevel"/>
    <w:lvl w:ilvl="0">
      <w:lvlJc w:val="left"/>
      <w:lvlText w:val="(%1)"/>
      <w:numFmt w:val="decimal"/>
      <w:start w:val="1"/>
    </w:lvl>
  </w:abstractNum>
  <w:abstractNum w:abstractNumId="106">
    <w:nsid w:val="24E60401"/>
    <w:multiLevelType w:val="hybridMultilevel"/>
    <w:lvl w:ilvl="0">
      <w:lvlJc w:val="left"/>
      <w:lvlText w:val="(%1)"/>
      <w:numFmt w:val="decimal"/>
      <w:start w:val="1"/>
    </w:lvl>
  </w:abstractNum>
  <w:abstractNum w:abstractNumId="107">
    <w:nsid w:val="2A6AD9BE"/>
    <w:multiLevelType w:val="hybridMultilevel"/>
    <w:lvl w:ilvl="0">
      <w:lvlJc w:val="left"/>
      <w:lvlText w:val="(%1)"/>
      <w:numFmt w:val="decimal"/>
      <w:start w:val="1"/>
    </w:lvl>
  </w:abstractNum>
  <w:abstractNum w:abstractNumId="108">
    <w:nsid w:val="BAAC1B4"/>
    <w:multiLevelType w:val="hybridMultilevel"/>
    <w:lvl w:ilvl="0">
      <w:lvlJc w:val="left"/>
      <w:lvlText w:val="(%1)"/>
      <w:numFmt w:val="decimal"/>
      <w:start w:val="1"/>
    </w:lvl>
  </w:abstractNum>
  <w:abstractNum w:abstractNumId="109">
    <w:nsid w:val="36B2ACBC"/>
    <w:multiLevelType w:val="hybridMultilevel"/>
    <w:lvl w:ilvl="0">
      <w:lvlJc w:val="left"/>
      <w:lvlText w:val="(%1)"/>
      <w:numFmt w:val="decimal"/>
      <w:start w:val="1"/>
    </w:lvl>
    <w:lvl w:ilvl="1">
      <w:lvlJc w:val="left"/>
      <w:lvlText w:val="(%2)"/>
      <w:numFmt w:val="lowerLetter"/>
      <w:start w:val="1"/>
    </w:lvl>
  </w:abstractNum>
  <w:abstractNum w:abstractNumId="110">
    <w:nsid w:val="779D8544"/>
    <w:multiLevelType w:val="hybridMultilevel"/>
    <w:lvl w:ilvl="0">
      <w:lvlJc w:val="left"/>
      <w:lvlText w:val="(%1)"/>
      <w:numFmt w:val="decimal"/>
      <w:start w:val="1"/>
    </w:lvl>
  </w:abstractNum>
  <w:abstractNum w:abstractNumId="111">
    <w:nsid w:val="4AB26E78"/>
    <w:multiLevelType w:val="hybridMultilevel"/>
    <w:lvl w:ilvl="0">
      <w:lvlJc w:val="left"/>
      <w:lvlText w:val="(%1)"/>
      <w:numFmt w:val="decimal"/>
      <w:start w:val="1"/>
    </w:lvl>
  </w:abstractNum>
  <w:abstractNum w:abstractNumId="112">
    <w:nsid w:val="21FAA2FA"/>
    <w:multiLevelType w:val="hybridMultilevel"/>
    <w:lvl w:ilvl="0">
      <w:lvlJc w:val="left"/>
      <w:lvlText w:val="(%1)"/>
      <w:numFmt w:val="decimal"/>
      <w:start w:val="1"/>
    </w:lvl>
  </w:abstractNum>
  <w:abstractNum w:abstractNumId="113">
    <w:nsid w:val="5451CF49"/>
    <w:multiLevelType w:val="hybridMultilevel"/>
    <w:lvl w:ilvl="0">
      <w:lvlJc w:val="left"/>
      <w:lvlText w:val="(%1)"/>
      <w:numFmt w:val="decimal"/>
      <w:start w:val="1"/>
    </w:lvl>
    <w:lvl w:ilvl="1">
      <w:lvlJc w:val="left"/>
      <w:lvlText w:val="(%2)"/>
      <w:numFmt w:val="lowerLetter"/>
      <w:start w:val="2"/>
    </w:lvl>
  </w:abstractNum>
  <w:abstractNum w:abstractNumId="114">
    <w:nsid w:val="6181EF69"/>
    <w:multiLevelType w:val="hybridMultilevel"/>
    <w:lvl w:ilvl="0">
      <w:lvlJc w:val="left"/>
      <w:lvlText w:val="%1"/>
      <w:numFmt w:val="decimal"/>
      <w:start w:val="1"/>
    </w:lvl>
    <w:lvl w:ilvl="1">
      <w:lvlJc w:val="left"/>
      <w:lvlText w:val="(%2)"/>
      <w:numFmt w:val="lowerLetter"/>
      <w:start w:val="1"/>
    </w:lvl>
  </w:abstractNum>
  <w:abstractNum w:abstractNumId="115">
    <w:nsid w:val="3E6400E6"/>
    <w:multiLevelType w:val="hybridMultilevel"/>
    <w:lvl w:ilvl="0">
      <w:lvlJc w:val="left"/>
      <w:lvlText w:val="%1"/>
      <w:numFmt w:val="decimal"/>
      <w:start w:val="1"/>
    </w:lvl>
    <w:lvl w:ilvl="1">
      <w:lvlJc w:val="left"/>
      <w:lvlText w:val="(%2)"/>
      <w:numFmt w:val="lowerLetter"/>
      <w:start w:val="2"/>
    </w:lvl>
  </w:abstractNum>
  <w:abstractNum w:abstractNumId="116">
    <w:nsid w:val="14217E23"/>
    <w:multiLevelType w:val="hybridMultilevel"/>
    <w:lvl w:ilvl="0">
      <w:lvlJc w:val="left"/>
      <w:lvlText w:val="(%1)"/>
      <w:numFmt w:val="decimal"/>
      <w:start w:val="3"/>
    </w:lvl>
    <w:lvl w:ilvl="1">
      <w:lvlJc w:val="left"/>
      <w:lvlText w:val="(%2)"/>
      <w:numFmt w:val="lowerLetter"/>
      <w:start w:val="1"/>
    </w:lvl>
  </w:abstractNum>
  <w:abstractNum w:abstractNumId="117">
    <w:nsid w:val="710757D0"/>
    <w:multiLevelType w:val="hybridMultilevel"/>
    <w:lvl w:ilvl="0">
      <w:lvlJc w:val="left"/>
      <w:lvlText w:val="(%1)"/>
      <w:numFmt w:val="decimal"/>
      <w:start w:val="1"/>
    </w:lvl>
    <w:lvl w:ilvl="1">
      <w:lvlJc w:val="left"/>
      <w:lvlText w:val="(%2)"/>
      <w:numFmt w:val="lowerLetter"/>
      <w:start w:val="1"/>
    </w:lvl>
  </w:abstractNum>
  <w:abstractNum w:abstractNumId="118">
    <w:nsid w:val="5015CD1A"/>
    <w:multiLevelType w:val="hybridMultilevel"/>
    <w:lvl w:ilvl="0">
      <w:lvlJc w:val="left"/>
      <w:lvlText w:val="(%1)"/>
      <w:numFmt w:val="decimal"/>
      <w:start w:val="3"/>
    </w:lvl>
  </w:abstractNum>
  <w:abstractNum w:abstractNumId="119">
    <w:nsid w:val="424479DA"/>
    <w:multiLevelType w:val="hybridMultilevel"/>
    <w:lvl w:ilvl="0">
      <w:lvlJc w:val="left"/>
      <w:lvlText w:val="(%1)"/>
      <w:numFmt w:val="decimal"/>
      <w:start w:val="1"/>
    </w:lvl>
  </w:abstractNum>
  <w:abstractNum w:abstractNumId="120">
    <w:nsid w:val="1A9A9E69"/>
    <w:multiLevelType w:val="hybridMultilevel"/>
    <w:lvl w:ilvl="0">
      <w:lvlJc w:val="left"/>
      <w:lvlText w:val="(%1)"/>
      <w:numFmt w:val="decimal"/>
      <w:start w:val="1"/>
    </w:lvl>
  </w:abstractNum>
  <w:abstractNum w:abstractNumId="121">
    <w:nsid w:val="475E256A"/>
    <w:multiLevelType w:val="hybridMultilevel"/>
    <w:lvl w:ilvl="0">
      <w:lvlJc w:val="left"/>
      <w:lvlText w:val="(%1)"/>
      <w:numFmt w:val="decimal"/>
      <w:start w:val="1"/>
    </w:lvl>
    <w:lvl w:ilvl="1">
      <w:lvlJc w:val="left"/>
      <w:lvlText w:val="(%2)"/>
      <w:numFmt w:val="lowerLetter"/>
      <w:start w:val="1"/>
    </w:lvl>
  </w:abstractNum>
  <w:abstractNum w:abstractNumId="122">
    <w:nsid w:val="368DB37E"/>
    <w:multiLevelType w:val="hybridMultilevel"/>
    <w:lvl w:ilvl="0">
      <w:lvlJc w:val="left"/>
      <w:lvlText w:val="(%1)"/>
      <w:numFmt w:val="decimal"/>
      <w:start w:val="4"/>
    </w:lvl>
    <w:lvl w:ilvl="1">
      <w:lvlJc w:val="left"/>
      <w:lvlText w:val="(%2)"/>
      <w:numFmt w:val="lowerLetter"/>
      <w:start w:val="1"/>
    </w:lvl>
  </w:abstractNum>
  <w:abstractNum w:abstractNumId="123">
    <w:nsid w:val="6A3B714C"/>
    <w:multiLevelType w:val="hybridMultilevel"/>
    <w:lvl w:ilvl="0">
      <w:lvlJc w:val="left"/>
      <w:lvlText w:val="(%1)"/>
      <w:numFmt w:val="decimal"/>
      <w:start w:val="12"/>
    </w:lvl>
  </w:abstractNum>
  <w:abstractNum w:abstractNumId="124">
    <w:nsid w:val="327B517E"/>
    <w:multiLevelType w:val="hybridMultilevel"/>
    <w:lvl w:ilvl="0">
      <w:lvlJc w:val="left"/>
      <w:lvlText w:val="(%1)"/>
      <w:numFmt w:val="decimal"/>
      <w:start w:val="1"/>
    </w:lvl>
  </w:abstractNum>
  <w:abstractNum w:abstractNumId="125">
    <w:nsid w:val="1F461B51"/>
    <w:multiLevelType w:val="hybridMultilevel"/>
    <w:lvl w:ilvl="0">
      <w:lvlJc w:val="left"/>
      <w:lvlText w:val="(%1)"/>
      <w:numFmt w:val="decimal"/>
      <w:start w:val="1"/>
    </w:lvl>
  </w:abstractNum>
  <w:abstractNum w:abstractNumId="126">
    <w:nsid w:val="29BACF25"/>
    <w:multiLevelType w:val="hybridMultilevel"/>
    <w:lvl w:ilvl="0">
      <w:lvlJc w:val="left"/>
      <w:lvlText w:val="(%1)"/>
      <w:numFmt w:val="decimal"/>
      <w:start w:val="1"/>
    </w:lvl>
  </w:abstractNum>
  <w:abstractNum w:abstractNumId="127">
    <w:nsid w:val="5D5BABB3"/>
    <w:multiLevelType w:val="hybridMultilevel"/>
    <w:lvl w:ilvl="0">
      <w:lvlJc w:val="left"/>
      <w:lvlText w:val="(%1)"/>
      <w:numFmt w:val="decimal"/>
      <w:start w:val="2"/>
    </w:lvl>
  </w:abstractNum>
  <w:abstractNum w:abstractNumId="128">
    <w:nsid w:val="51BF6B48"/>
    <w:multiLevelType w:val="hybridMultilevel"/>
    <w:lvl w:ilvl="0">
      <w:lvlJc w:val="left"/>
      <w:lvlText w:val="%1"/>
      <w:numFmt w:val="lowerLetter"/>
      <w:start w:val="1"/>
    </w:lvl>
    <w:lvl w:ilvl="1">
      <w:lvlJc w:val="left"/>
      <w:lvlText w:val="(%2)"/>
      <w:numFmt w:val="decimal"/>
      <w:start w:val="1"/>
    </w:lvl>
  </w:abstractNum>
  <w:abstractNum w:abstractNumId="129">
    <w:nsid w:val="7E0F6384"/>
    <w:multiLevelType w:val="hybridMultilevel"/>
    <w:lvl w:ilvl="0">
      <w:lvlJc w:val="left"/>
      <w:lvlText w:val="(%1)"/>
      <w:numFmt w:val="lowerLetter"/>
      <w:start w:val="1"/>
    </w:lvl>
    <w:lvl w:ilvl="1">
      <w:lvlJc w:val="left"/>
      <w:lvlText w:val="(%2)"/>
      <w:numFmt w:val="decimal"/>
      <w:start w:val="3"/>
    </w:lvl>
  </w:abstractNum>
  <w:abstractNum w:abstractNumId="130">
    <w:nsid w:val="2B4B8B53"/>
    <w:multiLevelType w:val="hybridMultilevel"/>
    <w:lvl w:ilvl="0">
      <w:lvlJc w:val="left"/>
      <w:lvlText w:val="(%1)"/>
      <w:numFmt w:val="decimal"/>
      <w:start w:val="7"/>
    </w:lvl>
  </w:abstractNum>
  <w:abstractNum w:abstractNumId="131">
    <w:nsid w:val="72E3413A"/>
    <w:multiLevelType w:val="hybridMultilevel"/>
    <w:lvl w:ilvl="0">
      <w:lvlJc w:val="left"/>
      <w:lvlText w:val="(%1)"/>
      <w:numFmt w:val="decimal"/>
      <w:start w:val="1"/>
    </w:lvl>
  </w:abstractNum>
  <w:abstractNum w:abstractNumId="132">
    <w:nsid w:val="116AE494"/>
    <w:multiLevelType w:val="hybridMultilevel"/>
    <w:lvl w:ilvl="0">
      <w:lvlJc w:val="left"/>
      <w:lvlText w:val="(%1)"/>
      <w:numFmt w:val="decimal"/>
      <w:start w:val="9"/>
    </w:lvl>
  </w:abstractNum>
  <w:abstractNum w:abstractNumId="133">
    <w:nsid w:val="3494B2FB"/>
    <w:multiLevelType w:val="hybridMultilevel"/>
    <w:lvl w:ilvl="0">
      <w:lvlJc w:val="left"/>
      <w:lvlText w:val="(%1)"/>
      <w:numFmt w:val="decimal"/>
      <w:start w:val="1"/>
    </w:lvl>
  </w:abstractNum>
  <w:abstractNum w:abstractNumId="134">
    <w:nsid w:val="B13A31"/>
    <w:multiLevelType w:val="hybridMultilevel"/>
    <w:lvl w:ilvl="0">
      <w:lvlJc w:val="left"/>
      <w:lvlText w:val="%1"/>
      <w:numFmt w:val="lowerLetter"/>
      <w:start w:val="1"/>
    </w:lvl>
    <w:lvl w:ilvl="1">
      <w:lvlJc w:val="left"/>
      <w:lvlText w:val="(%2)"/>
      <w:numFmt w:val="decimal"/>
      <w:start w:val="6"/>
    </w:lvl>
  </w:abstractNum>
  <w:abstractNum w:abstractNumId="135">
    <w:nsid w:val="64429599"/>
    <w:multiLevelType w:val="hybridMultilevel"/>
    <w:lvl w:ilvl="0">
      <w:lvlJc w:val="left"/>
      <w:lvlText w:val="(%1)"/>
      <w:numFmt w:val="lowerLetter"/>
      <w:start w:val="1"/>
    </w:lvl>
    <w:lvl w:ilvl="1">
      <w:lvlJc w:val="left"/>
      <w:lvlText w:val="(%2)"/>
      <w:numFmt w:val="decimal"/>
      <w:start w:val="10"/>
    </w:lvl>
  </w:abstractNum>
  <w:abstractNum w:abstractNumId="136">
    <w:nsid w:val="631F1690"/>
    <w:multiLevelType w:val="hybridMultilevel"/>
    <w:lvl w:ilvl="0">
      <w:lvlJc w:val="left"/>
      <w:lvlText w:val="(%1)"/>
      <w:numFmt w:val="decimal"/>
      <w:start w:val="1"/>
    </w:lvl>
  </w:abstractNum>
  <w:abstractNum w:abstractNumId="137">
    <w:nsid w:val="25973E32"/>
    <w:multiLevelType w:val="hybridMultilevel"/>
    <w:lvl w:ilvl="0">
      <w:lvlJc w:val="left"/>
      <w:lvlText w:val="(%1)"/>
      <w:numFmt w:val="decimal"/>
      <w:start w:val="1"/>
    </w:lvl>
    <w:lvl w:ilvl="1">
      <w:lvlJc w:val="left"/>
      <w:lvlText w:val="(%2)"/>
      <w:numFmt w:val="lowerLetter"/>
      <w:start w:val="1"/>
    </w:lvl>
  </w:abstractNum>
  <w:abstractNum w:abstractNumId="138">
    <w:nsid w:val="EAD6F57"/>
    <w:multiLevelType w:val="hybridMultilevel"/>
    <w:lvl w:ilvl="0">
      <w:lvlJc w:val="left"/>
      <w:lvlText w:val="(%1)"/>
      <w:numFmt w:val="decimal"/>
      <w:start w:val="2"/>
    </w:lvl>
  </w:abstractNum>
  <w:abstractNum w:abstractNumId="139">
    <w:nsid w:val="6EC9D844"/>
    <w:multiLevelType w:val="hybridMultilevel"/>
    <w:lvl w:ilvl="0">
      <w:lvlJc w:val="left"/>
      <w:lvlText w:val="(%1)"/>
      <w:numFmt w:val="decimal"/>
      <w:start w:val="1"/>
    </w:lvl>
  </w:abstractNum>
  <w:abstractNum w:abstractNumId="140">
    <w:nsid w:val="5C49EAEE"/>
    <w:multiLevelType w:val="hybridMultilevel"/>
    <w:lvl w:ilvl="0">
      <w:lvlJc w:val="left"/>
      <w:lvlText w:val="(%1)"/>
      <w:numFmt w:val="decimal"/>
      <w:start w:val="1"/>
    </w:lvl>
  </w:abstractNum>
  <w:abstractNum w:abstractNumId="141">
    <w:nsid w:val="64AF49B"/>
    <w:multiLevelType w:val="hybridMultilevel"/>
    <w:lvl w:ilvl="0">
      <w:lvlJc w:val="left"/>
      <w:lvlText w:val="(%1)"/>
      <w:numFmt w:val="decimal"/>
      <w:start w:val="1"/>
    </w:lvl>
  </w:abstractNum>
  <w:abstractNum w:abstractNumId="142">
    <w:nsid w:val="397C46BC"/>
    <w:multiLevelType w:val="hybridMultilevel"/>
    <w:lvl w:ilvl="0">
      <w:lvlJc w:val="left"/>
      <w:lvlText w:val="(%1)"/>
      <w:numFmt w:val="decimal"/>
      <w:start w:val="1"/>
    </w:lvl>
  </w:abstractNum>
  <w:abstractNum w:abstractNumId="143">
    <w:nsid w:val="7E448DE9"/>
    <w:multiLevelType w:val="hybridMultilevel"/>
    <w:lvl w:ilvl="0">
      <w:lvlJc w:val="left"/>
      <w:lvlText w:val="(%1)"/>
      <w:numFmt w:val="decimal"/>
      <w:start w:val="1"/>
    </w:lvl>
  </w:abstractNum>
  <w:abstractNum w:abstractNumId="144">
    <w:nsid w:val="5A9CC3E5"/>
    <w:multiLevelType w:val="hybridMultilevel"/>
    <w:lvl w:ilvl="0">
      <w:lvlJc w:val="left"/>
      <w:lvlText w:val="(%1)"/>
      <w:numFmt w:val="decimal"/>
      <w:start w:val="1"/>
    </w:lvl>
  </w:abstractNum>
  <w:abstractNum w:abstractNumId="145">
    <w:nsid w:val="1AFE3625"/>
    <w:multiLevelType w:val="hybridMultilevel"/>
    <w:lvl w:ilvl="0">
      <w:lvlJc w:val="left"/>
      <w:lvlText w:val="(%1)"/>
      <w:numFmt w:val="decimal"/>
      <w:start w:val="1"/>
    </w:lvl>
    <w:lvl w:ilvl="1">
      <w:lvlJc w:val="left"/>
      <w:lvlText w:val="(%2)"/>
      <w:numFmt w:val="lowerLetter"/>
      <w:start w:val="1"/>
    </w:lvl>
  </w:abstractNum>
  <w:abstractNum w:abstractNumId="146">
    <w:nsid w:val="3CA88E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47">
    <w:nsid w:val="6EBE420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48">
    <w:nsid w:val="C058DF5"/>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abstractNum>
  <w:abstractNum w:abstractNumId="149">
    <w:nsid w:val="CBE5BE9"/>
    <w:multiLevelType w:val="hybridMultilevel"/>
    <w:lvl w:ilvl="0">
      <w:lvlJc w:val="left"/>
      <w:lvlText w:val="(%1)"/>
      <w:numFmt w:val="decimal"/>
      <w:start w:val="1"/>
    </w:lvl>
  </w:abstractNum>
  <w:abstractNum w:abstractNumId="150">
    <w:nsid w:val="3102BBE2"/>
    <w:multiLevelType w:val="hybridMultilevel"/>
    <w:lvl w:ilvl="0">
      <w:lvlJc w:val="left"/>
      <w:lvlText w:val="(%1)"/>
      <w:numFmt w:val="decimal"/>
      <w:start w:val="1"/>
    </w:lvl>
  </w:abstractNum>
  <w:abstractNum w:abstractNumId="151">
    <w:nsid w:val="26A02C5E"/>
    <w:multiLevelType w:val="hybridMultilevel"/>
    <w:lvl w:ilvl="0">
      <w:lvlJc w:val="left"/>
      <w:lvlText w:val="(%1)"/>
      <w:numFmt w:val="decimal"/>
      <w:start w:val="1"/>
    </w:lvl>
  </w:abstractNum>
  <w:abstractNum w:abstractNumId="152">
    <w:nsid w:val="541C8153"/>
    <w:multiLevelType w:val="hybridMultilevel"/>
    <w:lvl w:ilvl="0">
      <w:lvlJc w:val="left"/>
      <w:lvlText w:val="(%1)"/>
      <w:numFmt w:val="decimal"/>
      <w:start w:val="3"/>
    </w:lvl>
  </w:abstractNum>
  <w:abstractNum w:abstractNumId="153">
    <w:nsid w:val="67906F60"/>
    <w:multiLevelType w:val="hybridMultilevel"/>
    <w:lvl w:ilvl="0">
      <w:lvlJc w:val="left"/>
      <w:lvlText w:val="(%1)"/>
      <w:numFmt w:val="decimal"/>
      <w:start w:val="1"/>
    </w:lvl>
    <w:lvl w:ilvl="1">
      <w:lvlJc w:val="left"/>
      <w:lvlText w:val="(%2)"/>
      <w:numFmt w:val="lowerLetter"/>
      <w:start w:val="1"/>
    </w:lvl>
  </w:abstractNum>
  <w:abstractNum w:abstractNumId="154">
    <w:nsid w:val="10DB9DAA"/>
    <w:multiLevelType w:val="hybridMultilevel"/>
    <w:lvl w:ilvl="0">
      <w:lvlJc w:val="left"/>
      <w:lvlText w:val="(%1)"/>
      <w:numFmt w:val="decimal"/>
      <w:start w:val="4"/>
    </w:lvl>
  </w:abstractNum>
  <w:abstractNum w:abstractNumId="155">
    <w:nsid w:val="697D2D2"/>
    <w:multiLevelType w:val="hybridMultilevel"/>
    <w:lvl w:ilvl="0">
      <w:lvlJc w:val="left"/>
      <w:lvlText w:val="(%1)"/>
      <w:numFmt w:val="decimal"/>
      <w:start w:val="1"/>
    </w:lvl>
  </w:abstractNum>
  <w:abstractNum w:abstractNumId="156">
    <w:nsid w:val="6D68AB2"/>
    <w:multiLevelType w:val="hybridMultilevel"/>
    <w:lvl w:ilvl="0">
      <w:lvlJc w:val="left"/>
      <w:lvlText w:val="(%1)"/>
      <w:numFmt w:val="decimal"/>
      <w:start w:val="1"/>
    </w:lvl>
  </w:abstractNum>
  <w:abstractNum w:abstractNumId="157">
    <w:nsid w:val="3A966CD0"/>
    <w:multiLevelType w:val="hybridMultilevel"/>
    <w:lvl w:ilvl="0">
      <w:lvlJc w:val="left"/>
      <w:lvlText w:val="(%1)"/>
      <w:numFmt w:val="lowerLetter"/>
      <w:start w:val="1"/>
    </w:lvl>
  </w:abstractNum>
  <w:abstractNum w:abstractNumId="158">
    <w:nsid w:val="63F37E85"/>
    <w:multiLevelType w:val="hybridMultilevel"/>
    <w:lvl w:ilvl="0">
      <w:lvlJc w:val="left"/>
      <w:lvlText w:val="(%1)"/>
      <w:numFmt w:val="decimal"/>
      <w:start w:val="1"/>
    </w:lvl>
  </w:abstractNum>
  <w:abstractNum w:abstractNumId="159">
    <w:nsid w:val="5895F5FA"/>
    <w:multiLevelType w:val="hybridMultilevel"/>
    <w:lvl w:ilvl="0">
      <w:lvlJc w:val="left"/>
      <w:lvlText w:val="(%1)"/>
      <w:numFmt w:val="decimal"/>
      <w:start w:val="1"/>
    </w:lvl>
  </w:abstractNum>
  <w:abstractNum w:abstractNumId="160">
    <w:nsid w:val="38A5D054"/>
    <w:multiLevelType w:val="hybridMultilevel"/>
    <w:lvl w:ilvl="0">
      <w:lvlJc w:val="left"/>
      <w:lvlText w:val="(%1)"/>
      <w:numFmt w:val="decimal"/>
      <w:start w:val="1"/>
    </w:lvl>
  </w:abstractNum>
  <w:abstractNum w:abstractNumId="161">
    <w:nsid w:val="F3F09D8"/>
    <w:multiLevelType w:val="hybridMultilevel"/>
    <w:lvl w:ilvl="0">
      <w:lvlJc w:val="left"/>
      <w:lvlText w:val="(%1)"/>
      <w:numFmt w:val="decimal"/>
      <w:start w:val="2"/>
    </w:lvl>
  </w:abstractNum>
  <w:abstractNum w:abstractNumId="162">
    <w:nsid w:val="4B793735"/>
    <w:multiLevelType w:val="hybridMultilevel"/>
    <w:lvl w:ilvl="0">
      <w:lvlJc w:val="left"/>
      <w:lvlText w:val="(%1)"/>
      <w:numFmt w:val="decimal"/>
      <w:start w:val="2"/>
    </w:lvl>
  </w:abstractNum>
  <w:abstractNum w:abstractNumId="163">
    <w:nsid w:val="4A10B4E8"/>
    <w:multiLevelType w:val="hybridMultilevel"/>
    <w:lvl w:ilvl="0">
      <w:lvlJc w:val="left"/>
      <w:lvlText w:val="(%1)"/>
      <w:numFmt w:val="decimal"/>
      <w:start w:val="1"/>
    </w:lvl>
  </w:abstractNum>
  <w:abstractNum w:abstractNumId="164">
    <w:nsid w:val="43D3BCD4"/>
    <w:multiLevelType w:val="hybridMultilevel"/>
    <w:lvl w:ilvl="0">
      <w:lvlJc w:val="left"/>
      <w:lvlText w:val="(%1)"/>
      <w:numFmt w:val="decimal"/>
      <w:start w:val="6"/>
    </w:lvl>
  </w:abstractNum>
  <w:abstractNum w:abstractNumId="165">
    <w:nsid w:val="4C2A7166"/>
    <w:multiLevelType w:val="hybridMultilevel"/>
    <w:lvl w:ilvl="0">
      <w:lvlJc w:val="left"/>
      <w:lvlText w:val="(%1)"/>
      <w:numFmt w:val="decimal"/>
      <w:start w:val="1"/>
    </w:lvl>
  </w:abstractNum>
  <w:abstractNum w:abstractNumId="166">
    <w:nsid w:val="2E534A82"/>
    <w:multiLevelType w:val="hybridMultilevel"/>
    <w:lvl w:ilvl="0">
      <w:lvlJc w:val="left"/>
      <w:lvlText w:val="(%1)"/>
      <w:numFmt w:val="decimal"/>
      <w:start w:val="1"/>
    </w:lvl>
  </w:abstractNum>
  <w:abstractNum w:abstractNumId="167">
    <w:nsid w:val="26F2D364"/>
    <w:multiLevelType w:val="hybridMultilevel"/>
    <w:lvl w:ilvl="0">
      <w:lvlJc w:val="left"/>
      <w:lvlText w:val="(%1)"/>
      <w:numFmt w:val="decimal"/>
      <w:start w:val="1"/>
    </w:lvl>
  </w:abstractNum>
  <w:abstractNum w:abstractNumId="168">
    <w:nsid w:val="71C1AF98"/>
    <w:multiLevelType w:val="hybridMultilevel"/>
    <w:lvl w:ilvl="0">
      <w:lvlJc w:val="left"/>
      <w:lvlText w:val="(%1)"/>
      <w:numFmt w:val="decimal"/>
      <w:start w:val="1"/>
    </w:lvl>
  </w:abstractNum>
  <w:abstractNum w:abstractNumId="169">
    <w:nsid w:val="3D00B9D9"/>
    <w:multiLevelType w:val="hybridMultilevel"/>
    <w:lvl w:ilvl="0">
      <w:lvlJc w:val="left"/>
      <w:lvlText w:val="(%1)"/>
      <w:numFmt w:val="decimal"/>
      <w:start w:val="1"/>
    </w:lvl>
  </w:abstractNum>
  <w:abstractNum w:abstractNumId="170">
    <w:nsid w:val="15BCABA8"/>
    <w:multiLevelType w:val="hybridMultilevel"/>
    <w:lvl w:ilvl="0">
      <w:lvlJc w:val="left"/>
      <w:lvlText w:val="(%1)"/>
      <w:numFmt w:val="decimal"/>
      <w:start w:val="1"/>
    </w:lvl>
  </w:abstractNum>
  <w:abstractNum w:abstractNumId="171">
    <w:nsid w:val="4E0B9A87"/>
    <w:multiLevelType w:val="hybridMultilevel"/>
    <w:lvl w:ilvl="0">
      <w:lvlJc w:val="left"/>
      <w:lvlText w:val="(%1)"/>
      <w:numFmt w:val="decimal"/>
      <w:start w:val="1"/>
    </w:lvl>
    <w:lvl w:ilvl="1">
      <w:lvlJc w:val="left"/>
      <w:lvlText w:val="(%2)"/>
      <w:numFmt w:val="lowerLetter"/>
      <w:start w:val="1"/>
    </w:lvl>
  </w:abstractNum>
  <w:abstractNum w:abstractNumId="172">
    <w:nsid w:val="434BAE75"/>
    <w:multiLevelType w:val="hybridMultilevel"/>
    <w:lvl w:ilvl="0">
      <w:lvlJc w:val="left"/>
      <w:lvlText w:val="(%1)"/>
      <w:numFmt w:val="decimal"/>
      <w:start w:val="1"/>
    </w:lvl>
  </w:abstractNum>
  <w:abstractNum w:abstractNumId="173">
    <w:nsid w:val="4F38F265"/>
    <w:multiLevelType w:val="hybridMultilevel"/>
    <w:lvl w:ilvl="0">
      <w:lvlJc w:val="left"/>
      <w:lvlText w:val="(%1)"/>
      <w:numFmt w:val="decimal"/>
      <w:start w:val="1"/>
    </w:lvl>
  </w:abstractNum>
  <w:abstractNum w:abstractNumId="174">
    <w:nsid w:val="4C502870"/>
    <w:multiLevelType w:val="hybridMultilevel"/>
    <w:lvl w:ilvl="0">
      <w:lvlJc w:val="left"/>
      <w:lvlText w:val="(%1)"/>
      <w:numFmt w:val="decimal"/>
      <w:start w:val="1"/>
    </w:lvl>
  </w:abstractNum>
  <w:abstractNum w:abstractNumId="175">
    <w:nsid w:val="1DE8725A"/>
    <w:multiLevelType w:val="hybridMultilevel"/>
    <w:lvl w:ilvl="0">
      <w:lvlJc w:val="left"/>
      <w:lvlText w:val="(%1)"/>
      <w:numFmt w:val="decimal"/>
      <w:start w:val="1"/>
    </w:lvl>
  </w:abstractNum>
  <w:abstractNum w:abstractNumId="176">
    <w:nsid w:val="6A37288A"/>
    <w:multiLevelType w:val="hybridMultilevel"/>
    <w:lvl w:ilvl="0">
      <w:lvlJc w:val="left"/>
      <w:lvlText w:val="(%1)"/>
      <w:numFmt w:val="decimal"/>
      <w:start w:val="3"/>
    </w:lvl>
  </w:abstractNum>
  <w:abstractNum w:abstractNumId="177">
    <w:nsid w:val="8F8B73F"/>
    <w:multiLevelType w:val="hybridMultilevel"/>
    <w:lvl w:ilvl="0">
      <w:lvlJc w:val="left"/>
      <w:lvlText w:val="%1"/>
      <w:numFmt w:val="lowerRoman"/>
      <w:start w:val="1"/>
    </w:lvl>
    <w:lvl w:ilvl="1">
      <w:lvlJc w:val="left"/>
      <w:lvlText w:val="(%2)"/>
      <w:numFmt w:val="decimal"/>
      <w:start w:val="1"/>
    </w:lvl>
  </w:abstractNum>
  <w:abstractNum w:abstractNumId="178">
    <w:nsid w:val="CA6B462"/>
    <w:multiLevelType w:val="hybridMultilevel"/>
    <w:lvl w:ilvl="0">
      <w:lvlJc w:val="left"/>
      <w:lvlText w:val="(%1)"/>
      <w:numFmt w:val="lowerRoman"/>
      <w:start w:val="2"/>
    </w:lvl>
    <w:lvl w:ilvl="1">
      <w:lvlJc w:val="left"/>
      <w:lvlText w:val="(%2)"/>
      <w:numFmt w:val="decimal"/>
      <w:start w:val="4"/>
    </w:lvl>
  </w:abstractNum>
  <w:abstractNum w:abstractNumId="179">
    <w:nsid w:val="763CB680"/>
    <w:multiLevelType w:val="hybridMultilevel"/>
    <w:lvl w:ilvl="0">
      <w:lvlJc w:val="left"/>
      <w:lvlText w:val="(%1)"/>
      <w:numFmt w:val="decimal"/>
      <w:start w:val="1"/>
    </w:lvl>
  </w:abstractNum>
  <w:abstractNum w:abstractNumId="180">
    <w:nsid w:val="15B71329"/>
    <w:multiLevelType w:val="hybridMultilevel"/>
    <w:lvl w:ilvl="0">
      <w:lvlJc w:val="left"/>
      <w:lvlText w:val="%1"/>
      <w:numFmt w:val="lowerLetter"/>
      <w:start w:val="1"/>
    </w:lvl>
    <w:lvl w:ilvl="1">
      <w:lvlJc w:val="left"/>
      <w:lvlText w:val="(%2)"/>
      <w:numFmt w:val="decimal"/>
      <w:start w:val="2"/>
    </w:lvl>
  </w:abstractNum>
  <w:abstractNum w:abstractNumId="181">
    <w:nsid w:val="3DA97044"/>
    <w:multiLevelType w:val="hybridMultilevel"/>
    <w:lvl w:ilvl="0">
      <w:lvlJc w:val="left"/>
      <w:lvlText w:val="(%1)"/>
      <w:numFmt w:val="lowerLetter"/>
      <w:start w:val="1"/>
    </w:lvl>
    <w:lvl w:ilvl="1">
      <w:lvlJc w:val="left"/>
      <w:lvlText w:val="(%2)"/>
      <w:numFmt w:val="decimal"/>
      <w:start w:val="3"/>
    </w:lvl>
  </w:abstractNum>
  <w:abstractNum w:abstractNumId="182">
    <w:nsid w:val="1CDCE2DE"/>
    <w:multiLevelType w:val="hybridMultilevel"/>
    <w:lvl w:ilvl="0">
      <w:lvlJc w:val="left"/>
      <w:lvlText w:val="(%1)"/>
      <w:numFmt w:val="decimal"/>
      <w:start w:val="1"/>
    </w:lvl>
    <w:lvl w:ilvl="1">
      <w:lvlJc w:val="left"/>
      <w:lvlText w:val="(%2)"/>
      <w:numFmt w:val="lowerLetter"/>
      <w:start w:val="1"/>
    </w:lvl>
  </w:abstractNum>
  <w:abstractNum w:abstractNumId="183">
    <w:nsid w:val="69D3947C"/>
    <w:multiLevelType w:val="hybridMultilevel"/>
    <w:lvl w:ilvl="0">
      <w:lvlJc w:val="left"/>
      <w:lvlText w:val="(%1)"/>
      <w:numFmt w:val="decimal"/>
      <w:start w:val="6"/>
    </w:lvl>
  </w:abstractNum>
  <w:abstractNum w:abstractNumId="184">
    <w:nsid w:val="2539DFA5"/>
    <w:multiLevelType w:val="hybridMultilevel"/>
    <w:lvl w:ilvl="0">
      <w:lvlJc w:val="left"/>
      <w:lvlText w:val="(%1)"/>
      <w:numFmt w:val="decimal"/>
      <w:start w:val="1"/>
    </w:lvl>
    <w:lvl w:ilvl="1">
      <w:lvlJc w:val="left"/>
      <w:lvlText w:val="(%2)"/>
      <w:numFmt w:val="lowerLetter"/>
      <w:start w:val="1"/>
    </w:lvl>
  </w:abstractNum>
  <w:abstractNum w:abstractNumId="185">
    <w:nsid w:val="2DB88089"/>
    <w:multiLevelType w:val="hybridMultilevel"/>
    <w:lvl w:ilvl="0">
      <w:lvlJc w:val="left"/>
      <w:lvlText w:val="%1"/>
      <w:numFmt w:val="decimal"/>
      <w:start w:val="1"/>
    </w:lvl>
    <w:lvl w:ilvl="1">
      <w:lvlJc w:val="left"/>
      <w:lvlText w:val="(%2)"/>
      <w:numFmt w:val="lowerLetter"/>
      <w:start w:val="2"/>
    </w:lvl>
  </w:abstractNum>
  <w:abstractNum w:abstractNumId="186">
    <w:nsid w:val="706B674E"/>
    <w:multiLevelType w:val="hybridMultilevel"/>
    <w:lvl w:ilvl="0">
      <w:lvlJc w:val="left"/>
      <w:lvlText w:val="(%1)"/>
      <w:numFmt w:val="decimal"/>
      <w:start w:val="3"/>
    </w:lvl>
    <w:lvl w:ilvl="1">
      <w:lvlJc w:val="left"/>
      <w:lvlText w:val="%2"/>
      <w:numFmt w:val="lowerLetter"/>
      <w:start w:val="1"/>
    </w:lvl>
  </w:abstractNum>
  <w:abstractNum w:abstractNumId="187">
    <w:nsid w:val="2C106A57"/>
    <w:multiLevelType w:val="hybridMultilevel"/>
    <w:lvl w:ilvl="0">
      <w:lvlJc w:val="left"/>
      <w:lvlText w:val="(%1)"/>
      <w:numFmt w:val="decimal"/>
      <w:start w:val="13"/>
    </w:lvl>
    <w:lvl w:ilvl="1">
      <w:lvlJc w:val="left"/>
      <w:lvlText w:val="(%2)"/>
      <w:numFmt w:val="lowerLetter"/>
      <w:start w:val="1"/>
    </w:lvl>
  </w:abstractNum>
  <w:abstractNum w:abstractNumId="188">
    <w:nsid w:val="684EED59"/>
    <w:multiLevelType w:val="hybridMultilevel"/>
    <w:lvl w:ilvl="0">
      <w:lvlJc w:val="left"/>
      <w:lvlText w:val="(%1)"/>
      <w:numFmt w:val="decimal"/>
      <w:start w:val="22"/>
    </w:lvl>
    <w:lvl w:ilvl="1">
      <w:lvlJc w:val="left"/>
      <w:lvlText w:val="(%2)"/>
      <w:numFmt w:val="lowerLetter"/>
      <w:start w:val="1"/>
    </w:lvl>
  </w:abstractNum>
  <w:abstractNum w:abstractNumId="189">
    <w:nsid w:val="545EE5D3"/>
    <w:multiLevelType w:val="hybridMultilevel"/>
    <w:lvl w:ilvl="0">
      <w:lvlJc w:val="left"/>
      <w:lvlText w:val="(%1)"/>
      <w:numFmt w:val="decimal"/>
      <w:start w:val="1"/>
    </w:lvl>
  </w:abstractNum>
  <w:abstractNum w:abstractNumId="190">
    <w:nsid w:val="4A66051"/>
    <w:multiLevelType w:val="hybridMultilevel"/>
    <w:lvl w:ilvl="0">
      <w:lvlJc w:val="left"/>
      <w:lvlText w:val="(%1)"/>
      <w:numFmt w:val="decimal"/>
      <w:start w:val="1"/>
    </w:lvl>
  </w:abstractNum>
  <w:abstractNum w:abstractNumId="191">
    <w:nsid w:val="20F4BDAD"/>
    <w:multiLevelType w:val="hybridMultilevel"/>
    <w:lvl w:ilvl="0">
      <w:lvlJc w:val="left"/>
      <w:lvlText w:val="(%1)"/>
      <w:numFmt w:val="decimal"/>
      <w:start w:val="1"/>
    </w:lvl>
  </w:abstractNum>
  <w:abstractNum w:abstractNumId="192">
    <w:nsid w:val="639DEFAC"/>
    <w:multiLevelType w:val="hybridMultilevel"/>
    <w:lvl w:ilvl="0">
      <w:lvlJc w:val="left"/>
      <w:lvlText w:val="(%1)"/>
      <w:numFmt w:val="decimal"/>
      <w:start w:val="1"/>
    </w:lvl>
  </w:abstractNum>
  <w:abstractNum w:abstractNumId="193">
    <w:nsid w:val="501F9786"/>
    <w:multiLevelType w:val="hybridMultilevel"/>
    <w:lvl w:ilvl="0">
      <w:lvlJc w:val="left"/>
      <w:lvlText w:val="(%1)"/>
      <w:numFmt w:val="decimal"/>
      <w:start w:val="1"/>
    </w:lvl>
  </w:abstractNum>
  <w:abstractNum w:abstractNumId="194">
    <w:nsid w:val="6B057295"/>
    <w:multiLevelType w:val="hybridMultilevel"/>
    <w:lvl w:ilvl="0">
      <w:lvlJc w:val="left"/>
      <w:lvlText w:val="(%1)"/>
      <w:numFmt w:val="decimal"/>
      <w:start w:val="1"/>
    </w:lvl>
  </w:abstractNum>
  <w:abstractNum w:abstractNumId="195">
    <w:nsid w:val="2771AC80"/>
    <w:multiLevelType w:val="hybridMultilevel"/>
    <w:lvl w:ilvl="0">
      <w:lvlJc w:val="left"/>
      <w:lvlText w:val="(%1)"/>
      <w:numFmt w:val="decimal"/>
      <w:start w:val="2"/>
    </w:lvl>
  </w:abstractNum>
  <w:abstractNum w:abstractNumId="196">
    <w:nsid w:val="1C4A08EC"/>
    <w:multiLevelType w:val="hybridMultilevel"/>
    <w:lvl w:ilvl="0">
      <w:lvlJc w:val="left"/>
      <w:lvlText w:val="(%1)"/>
      <w:numFmt w:val="decimal"/>
      <w:start w:val="1"/>
    </w:lvl>
  </w:abstractNum>
  <w:abstractNum w:abstractNumId="197">
    <w:nsid w:val="1958BD17"/>
    <w:multiLevelType w:val="hybridMultilevel"/>
    <w:lvl w:ilvl="0">
      <w:lvlJc w:val="left"/>
      <w:lvlText w:val="(%1)"/>
      <w:numFmt w:val="decimal"/>
      <w:start w:val="1"/>
    </w:lvl>
  </w:abstractNum>
  <w:abstractNum w:abstractNumId="198">
    <w:nsid w:val="4E647FE4"/>
    <w:multiLevelType w:val="hybridMultilevel"/>
    <w:lvl w:ilvl="0">
      <w:lvlJc w:val="left"/>
      <w:lvlText w:val="•"/>
      <w:numFmt w:val="bullet"/>
      <w:start w:val="1"/>
    </w:lvl>
  </w:abstractNum>
  <w:abstractNum w:abstractNumId="199">
    <w:nsid w:val="E0BB885"/>
    <w:multiLevelType w:val="hybridMultilevel"/>
    <w:lvl w:ilvl="0">
      <w:lvlJc w:val="left"/>
      <w:lvlText w:val="•"/>
      <w:numFmt w:val="bullet"/>
      <w:start w:val="1"/>
    </w:lvl>
  </w:abstractNum>
  <w:abstractNum w:abstractNumId="200">
    <w:nsid w:val="565976F1"/>
    <w:multiLevelType w:val="hybridMultilevel"/>
    <w:lvl w:ilvl="0">
      <w:lvlJc w:val="left"/>
      <w:lvlText w:val="•"/>
      <w:numFmt w:val="bullet"/>
      <w:start w:val="1"/>
    </w:lvl>
  </w:abstractNum>
  <w:abstractNum w:abstractNumId="201">
    <w:nsid w:val="64212B8C"/>
    <w:multiLevelType w:val="hybridMultilevel"/>
    <w:lvl w:ilvl="0">
      <w:lvlJc w:val="left"/>
      <w:lvlText w:val="•"/>
      <w:numFmt w:val="bullet"/>
      <w:start w:val="1"/>
    </w:lvl>
  </w:abstractNum>
  <w:abstractNum w:abstractNumId="202">
    <w:nsid w:val="5C17530C"/>
    <w:multiLevelType w:val="hybridMultilevel"/>
    <w:lvl w:ilvl="0">
      <w:lvlJc w:val="left"/>
      <w:lvlText w:val="•"/>
      <w:numFmt w:val="bullet"/>
      <w:start w:val="1"/>
    </w:lvl>
  </w:abstractNum>
  <w:abstractNum w:abstractNumId="203">
    <w:nsid w:val="19A52566"/>
    <w:multiLevelType w:val="hybridMultilevel"/>
    <w:lvl w:ilvl="0">
      <w:lvlJc w:val="left"/>
      <w:lvlText w:val="•"/>
      <w:numFmt w:val="bullet"/>
      <w:start w:val="1"/>
    </w:lvl>
  </w:abstractNum>
  <w:abstractNum w:abstractNumId="204">
    <w:nsid w:val="335A1DF1"/>
    <w:multiLevelType w:val="hybridMultilevel"/>
    <w:lvl w:ilvl="0">
      <w:lvlJc w:val="left"/>
      <w:lvlText w:val="•"/>
      <w:numFmt w:val="bullet"/>
      <w:start w:val="1"/>
    </w:lvl>
  </w:abstractNum>
  <w:abstractNum w:abstractNumId="205">
    <w:nsid w:val="28677B7C"/>
    <w:multiLevelType w:val="hybridMultilevel"/>
    <w:lvl w:ilvl="0">
      <w:lvlJc w:val="left"/>
      <w:lvlText w:val="*"/>
      <w:numFmt w:val="bullet"/>
      <w:start w:val="1"/>
    </w:lvl>
  </w:abstractNum>
  <w:abstractNum w:abstractNumId="206">
    <w:nsid w:val="378D97C0"/>
    <w:multiLevelType w:val="hybridMultilevel"/>
    <w:lvl w:ilvl="0">
      <w:lvlJc w:val="left"/>
      <w:lvlText w:val="(%1)"/>
      <w:numFmt w:val="decimal"/>
      <w:start w:val="3"/>
    </w:lvl>
  </w:abstractNum>
  <w:abstractNum w:abstractNumId="207">
    <w:nsid w:val="1D91467C"/>
    <w:multiLevelType w:val="hybridMultilevel"/>
    <w:lvl w:ilvl="0">
      <w:lvlJc w:val="left"/>
      <w:lvlText w:val="%1."/>
      <w:numFmt w:val="decimal"/>
      <w:start w:val="11"/>
    </w:lvl>
  </w:abstractNum>
  <w:abstractNum w:abstractNumId="208">
    <w:nsid w:val="316032BB"/>
    <w:multiLevelType w:val="hybridMultilevel"/>
    <w:lvl w:ilvl="0">
      <w:lvlJc w:val="left"/>
      <w:lvlText w:val="%1."/>
      <w:numFmt w:val="decimal"/>
      <w:start w:val="12"/>
    </w:lvl>
  </w:abstractNum>
  <w:abstractNum w:abstractNumId="209">
    <w:nsid w:val="44344C22"/>
    <w:multiLevelType w:val="hybridMultilevel"/>
    <w:lvl w:ilvl="0">
      <w:lvlJc w:val="left"/>
      <w:lvlText w:val="(%1)"/>
      <w:numFmt w:val="decimal"/>
      <w:start w:val="1"/>
    </w:lvl>
  </w:abstractNum>
  <w:abstractNum w:abstractNumId="210">
    <w:nsid w:val="13CDFCFC"/>
    <w:multiLevelType w:val="hybridMultilevel"/>
    <w:lvl w:ilvl="0">
      <w:lvlJc w:val="left"/>
      <w:lvlText w:val="(%1)"/>
      <w:numFmt w:val="decimal"/>
      <w:start w:val="5"/>
    </w:lvl>
  </w:abstractNum>
  <w:abstractNum w:abstractNumId="211">
    <w:nsid w:val="471745E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2">
    <w:nsid w:val="1DDBC66"/>
    <w:multiLevelType w:val="hybridMultilevel"/>
    <w:lvl w:ilvl="0">
      <w:lvlJc w:val="left"/>
      <w:lvlText w:val="%1"/>
      <w:numFmt w:val="decimal"/>
      <w:start w:val="1"/>
    </w:lvl>
    <w:lvl w:ilvl="1">
      <w:lvlJc w:val="left"/>
      <w:lvlText w:val="(%2)"/>
      <w:numFmt w:val="lowerRoman"/>
      <w:start w:val="3"/>
    </w:lvl>
  </w:abstractNum>
  <w:abstractNum w:abstractNumId="213">
    <w:nsid w:val="30AADFDA"/>
    <w:multiLevelType w:val="hybridMultilevel"/>
    <w:lvl w:ilvl="0">
      <w:lvlJc w:val="left"/>
      <w:lvlText w:val="(%1)"/>
      <w:numFmt w:val="decimal"/>
      <w:start w:val="2"/>
    </w:lvl>
    <w:lvl w:ilvl="1">
      <w:lvlJc w:val="left"/>
      <w:lvlText w:val="(%2)"/>
      <w:numFmt w:val="lowerRoman"/>
      <w:start w:val="1"/>
    </w:lvl>
  </w:abstractNum>
  <w:abstractNum w:abstractNumId="214">
    <w:nsid w:val="30EADA61"/>
    <w:multiLevelType w:val="hybridMultilevel"/>
    <w:lvl w:ilvl="0">
      <w:lvlJc w:val="left"/>
      <w:lvlText w:val="(%1)"/>
      <w:numFmt w:val="lowerLetter"/>
      <w:start w:val="2"/>
    </w:lvl>
    <w:lvl w:ilvl="1">
      <w:lvlJc w:val="left"/>
      <w:lvlText w:val="(%2)"/>
      <w:numFmt w:val="decimal"/>
      <w:start w:val="1"/>
    </w:lvl>
  </w:abstractNum>
  <w:abstractNum w:abstractNumId="215">
    <w:nsid w:val="27179C0B"/>
    <w:multiLevelType w:val="hybridMultilevel"/>
    <w:lvl w:ilvl="0">
      <w:lvlJc w:val="left"/>
      <w:lvlText w:val="(%1)"/>
      <w:numFmt w:val="decimal"/>
      <w:start w:val="1"/>
    </w:lvl>
  </w:abstractNum>
  <w:abstractNum w:abstractNumId="216">
    <w:nsid w:val="5E636063"/>
    <w:multiLevelType w:val="hybridMultilevel"/>
    <w:lvl w:ilvl="0">
      <w:lvlJc w:val="left"/>
      <w:lvlText w:val="(%1)"/>
      <w:numFmt w:val="lowerLetter"/>
      <w:start w:val="2"/>
    </w:lvl>
  </w:abstractNum>
  <w:abstractNum w:abstractNumId="217">
    <w:nsid w:val="215641AF"/>
    <w:multiLevelType w:val="hybridMultilevel"/>
    <w:lvl w:ilvl="0">
      <w:lvlJc w:val="left"/>
      <w:lvlText w:val="%1)"/>
      <w:numFmt w:val="lowerLetter"/>
      <w:start w:val="1"/>
    </w:lvl>
  </w:abstractNum>
  <w:abstractNum w:abstractNumId="218">
    <w:nsid w:val="53280662"/>
    <w:multiLevelType w:val="hybridMultilevel"/>
    <w:lvl w:ilvl="0">
      <w:lvlJc w:val="left"/>
      <w:lvlText w:val="%1)"/>
      <w:numFmt w:val="lowerLetter"/>
      <w:start w:val="2"/>
    </w:lvl>
  </w:abstractNum>
  <w:abstractNum w:abstractNumId="219">
    <w:nsid w:val="46B24DBC"/>
    <w:multiLevelType w:val="hybridMultilevel"/>
    <w:lvl w:ilvl="0">
      <w:lvlJc w:val="left"/>
      <w:lvlText w:val="*"/>
      <w:numFmt w:val="bullet"/>
      <w:start w:val="1"/>
    </w:lvl>
    <w:lvl w:ilvl="1">
      <w:lvlJc w:val="left"/>
      <w:lvlText w:val="%2."/>
      <w:numFmt w:val="decimal"/>
      <w:start w:val="1"/>
    </w:lvl>
  </w:abstractNum>
  <w:abstractNum w:abstractNumId="220">
    <w:nsid w:val="75B52783"/>
    <w:multiLevelType w:val="hybridMultilevel"/>
    <w:lvl w:ilvl="0">
      <w:lvlJc w:val="left"/>
      <w:lvlText w:val="**"/>
      <w:numFmt w:val="bullet"/>
      <w:start w:val="1"/>
    </w:lvl>
    <w:lvl w:ilvl="1">
      <w:lvlJc w:val="left"/>
      <w:lvlText w:val="%2"/>
      <w:numFmt w:val="decimal"/>
      <w:start w:val="1"/>
    </w:lvl>
  </w:abstractNum>
  <w:abstractNum w:abstractNumId="221">
    <w:nsid w:val="57CE66B4"/>
    <w:multiLevelType w:val="hybridMultilevel"/>
    <w:lvl w:ilvl="0">
      <w:lvlJc w:val="left"/>
      <w:lvlText w:val="*"/>
      <w:numFmt w:val="bullet"/>
      <w:start w:val="1"/>
    </w:lvl>
  </w:abstractNum>
  <w:abstractNum w:abstractNumId="222">
    <w:nsid w:val="67A70B69"/>
    <w:multiLevelType w:val="hybridMultilevel"/>
    <w:lvl w:ilvl="0">
      <w:lvlJc w:val="left"/>
      <w:lvlText w:val="**"/>
      <w:numFmt w:val="bullet"/>
      <w:start w:val="1"/>
    </w:lvl>
  </w:abstractNum>
  <w:abstractNum w:abstractNumId="223">
    <w:nsid w:val="5953172F"/>
    <w:multiLevelType w:val="hybridMultilevel"/>
    <w:lvl w:ilvl="0">
      <w:lvlJc w:val="left"/>
      <w:lvlText w:val="☐"/>
      <w:numFmt w:val="bullet"/>
      <w:start w:val="1"/>
    </w:lvl>
  </w:abstractNum>
  <w:abstractNum w:abstractNumId="224">
    <w:nsid w:val="27EDFE3A"/>
    <w:multiLevelType w:val="hybridMultilevel"/>
    <w:lvl w:ilvl="0">
      <w:lvlJc w:val="left"/>
      <w:lvlText w:val="☐"/>
      <w:numFmt w:val="bullet"/>
      <w:start w:val="1"/>
    </w:lvl>
  </w:abstractNum>
  <w:abstractNum w:abstractNumId="225">
    <w:nsid w:val="52AC7DFF"/>
    <w:multiLevelType w:val="hybridMultilevel"/>
    <w:lvl w:ilvl="0">
      <w:lvlJc w:val="left"/>
      <w:lvlText w:val="(%1)"/>
      <w:numFmt w:val="lowerRoman"/>
      <w:start w:val="2"/>
    </w:lvl>
  </w:abstractNum>
  <w:abstractNum w:abstractNumId="226">
    <w:nsid w:val="C4C3AF"/>
    <w:multiLevelType w:val="hybridMultilevel"/>
    <w:lvl w:ilvl="0">
      <w:lvlJc w:val="left"/>
      <w:lvlText w:val="☐"/>
      <w:numFmt w:val="bullet"/>
      <w:start w:val="1"/>
    </w:lvl>
  </w:abstractNum>
  <w:abstractNum w:abstractNumId="227">
    <w:nsid w:val="44380727"/>
    <w:multiLevelType w:val="hybridMultilevel"/>
    <w:lvl w:ilvl="0">
      <w:lvlJc w:val="left"/>
      <w:lvlText w:val="(%1)"/>
      <w:numFmt w:val="lowerRoman"/>
      <w:start w:val="4"/>
    </w:lvl>
  </w:abstractNum>
  <w:abstractNum w:abstractNumId="228">
    <w:nsid w:val="6C053B16"/>
    <w:multiLevelType w:val="hybridMultilevel"/>
    <w:lvl w:ilvl="0">
      <w:lvlJc w:val="left"/>
      <w:lvlText w:val="%1."/>
      <w:numFmt w:val="decimal"/>
      <w:start w:val="1"/>
    </w:lvl>
    <w:lvl w:ilvl="1">
      <w:lvlJc w:val="left"/>
      <w:lvlText w:val="%2."/>
      <w:numFmt w:val="lowerLetter"/>
      <w:start w:val="2"/>
    </w:lvl>
  </w:abstractNum>
  <w:abstractNum w:abstractNumId="229">
    <w:nsid w:val="4F294393"/>
    <w:multiLevelType w:val="hybridMultilevel"/>
    <w:lvl w:ilvl="0">
      <w:lvlJc w:val="left"/>
      <w:lvlText w:val="*"/>
      <w:numFmt w:val="bullet"/>
      <w:start w:val="1"/>
    </w:lvl>
  </w:abstractNum>
  <w:abstractNum w:abstractNumId="230">
    <w:nsid w:val="5243BFAC"/>
    <w:multiLevelType w:val="hybridMultilevel"/>
    <w:lvl w:ilvl="0">
      <w:lvlJc w:val="left"/>
      <w:lvlText w:val="(%1)"/>
      <w:numFmt w:val="decimal"/>
      <w:start w:val="1"/>
    </w:lvl>
  </w:abstractNum>
  <w:abstractNum w:abstractNumId="231">
    <w:nsid w:val="425EB207"/>
    <w:multiLevelType w:val="hybridMultilevel"/>
    <w:lvl w:ilvl="0">
      <w:lvlJc w:val="left"/>
      <w:lvlText w:val="•"/>
      <w:numFmt w:val="bullet"/>
      <w:start w:val="1"/>
    </w:lvl>
  </w:abstractNum>
  <w:abstractNum w:abstractNumId="232">
    <w:nsid w:val="334A6F1F"/>
    <w:multiLevelType w:val="hybridMultilevel"/>
    <w:lvl w:ilvl="0">
      <w:lvlJc w:val="left"/>
      <w:lvlText w:val="(%1)"/>
      <w:numFmt w:val="decimal"/>
      <w:start w:val="1"/>
    </w:lvl>
  </w:abstractNum>
  <w:abstractNum w:abstractNumId="233">
    <w:nsid w:val="2E5B12B8"/>
    <w:multiLevelType w:val="hybridMultilevel"/>
    <w:lvl w:ilvl="0">
      <w:lvlJc w:val="left"/>
      <w:lvlText w:val="%1."/>
      <w:numFmt w:val="decimal"/>
      <w:start w:val="1"/>
    </w:lvl>
  </w:abstractNum>
  <w:abstractNum w:abstractNumId="234">
    <w:nsid w:val="5C03D76D"/>
    <w:multiLevelType w:val="hybridMultilevel"/>
    <w:lvl w:ilvl="0">
      <w:lvlJc w:val="left"/>
      <w:lvlText w:val="*"/>
      <w:numFmt w:val="bullet"/>
      <w:start w:val="1"/>
    </w:lvl>
  </w:abstractNum>
  <w:abstractNum w:abstractNumId="235">
    <w:nsid w:val="66A48D11"/>
    <w:multiLevelType w:val="hybridMultilevel"/>
    <w:lvl w:ilvl="0">
      <w:lvlJc w:val="left"/>
      <w:lvlText w:val="**"/>
      <w:numFmt w:val="bullet"/>
      <w:start w:val="1"/>
    </w:lvl>
  </w:abstractNum>
  <w:abstractNum w:abstractNumId="236">
    <w:nsid w:val="56C28E34"/>
    <w:multiLevelType w:val="hybridMultilevel"/>
    <w:lvl w:ilvl="0">
      <w:lvlJc w:val="left"/>
      <w:lvlText w:val="***"/>
      <w:numFmt w:val="bullet"/>
      <w:start w:val="1"/>
    </w:lvl>
  </w:abstractNum>
  <w:abstractNum w:abstractNumId="237">
    <w:nsid w:val="13916F2D"/>
    <w:multiLevelType w:val="hybridMultilevel"/>
    <w:lvl w:ilvl="0">
      <w:lvlJc w:val="left"/>
      <w:lvlText w:val="☐"/>
      <w:numFmt w:val="bullet"/>
      <w:start w:val="1"/>
    </w:lvl>
  </w:abstractNum>
  <w:abstractNum w:abstractNumId="238">
    <w:nsid w:val="435D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2019-12-20T18:31:51Z</dcterms:created>
  <dcterms:modified xsi:type="dcterms:W3CDTF">2019-12-20T18:31:51Z</dcterms:modified>
</cp:coreProperties>
</file>