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Wynn Resorts,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983134107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983134107</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Capital World Investors</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9,548,104.00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9,584,511.00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9,584,511.00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Wynn Resorts, Ltd.</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3131 Las Vegas Blvd S, Las Vegas, NV 89109</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Capital World Investors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333 SOUTH HOPE STREET, 55TH FLOOR, LOS ANGELES, CALIFORNIA 90071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N/A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983134107</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(h)</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Times New Roman" w:cs="Times New Roman" w:eastAsia="Times New Roman" w:hAnsi="Times New Roman"/>
          <w:sz w:val="21"/>
          <w:szCs w:val="21"/>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2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49" w:lineRule="exact"/>
        <w:rPr>
          <w:sz w:val="20"/>
          <w:szCs w:val="20"/>
          <w:color w:val="auto"/>
        </w:rPr>
      </w:pPr>
    </w:p>
    <w:p>
      <w:pPr>
        <w:ind w:right="6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20"/>
        <w:spacing w:after="0" w:line="241" w:lineRule="auto"/>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38" w:orient="portrait"/>
          <w:cols w:equalWidth="0" w:num="2">
            <w:col w:w="620" w:space="300"/>
            <w:col w:w="10220"/>
          </w:cols>
          <w:pgMar w:left="360" w:top="111" w:right="399" w:bottom="11" w:gutter="0" w:footer="0" w:header="0"/>
        </w:sectPr>
      </w:pPr>
    </w:p>
    <w:p>
      <w:pPr>
        <w:spacing w:after="0" w:line="33" w:lineRule="exact"/>
        <w:rPr>
          <w:sz w:val="20"/>
          <w:szCs w:val="20"/>
          <w:color w:val="auto"/>
        </w:rPr>
      </w:pPr>
    </w:p>
    <w:p>
      <w:pPr>
        <w:jc w:val="both"/>
        <w:ind w:left="920" w:right="660"/>
        <w:spacing w:after="0" w:line="253" w:lineRule="auto"/>
        <w:rPr>
          <w:sz w:val="20"/>
          <w:szCs w:val="20"/>
          <w:color w:val="auto"/>
        </w:rPr>
      </w:pPr>
      <w:r>
        <w:rPr>
          <w:rFonts w:ascii="Times New Roman" w:cs="Times New Roman" w:eastAsia="Times New Roman" w:hAnsi="Times New Roman"/>
          <w:sz w:val="21"/>
          <w:szCs w:val="21"/>
          <w:color w:val="auto"/>
        </w:rPr>
        <w:t>9,584,511 ** **Capital World Investors ("CWI") is a division of Capital Research and Management Company ("CRMC"), as well as its investment management subsidiaries and affiliates Capital Bank and Trust Company,</w:t>
      </w:r>
    </w:p>
    <w:p>
      <w:pPr>
        <w:spacing w:after="0" w:line="1" w:lineRule="exact"/>
        <w:rPr>
          <w:sz w:val="20"/>
          <w:szCs w:val="20"/>
          <w:color w:val="auto"/>
        </w:rPr>
      </w:pPr>
    </w:p>
    <w:p>
      <w:pPr>
        <w:ind w:left="920" w:right="140" w:hanging="912"/>
        <w:spacing w:after="0" w:line="245" w:lineRule="auto"/>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Capital International, Inc., Capital International Limited, Capital International Sarl, Capital International K.K., Capital Group Private Client Services, Inc., and Capital Group Investment Management Private Limited (together with CRMC, the "investment management entities"). CWI's divisions of each of the investment management entities collectively provide investment management services under the name "Capital World Investors." CWI is deemed to be the beneficial owner of 9,584,511 shares or 9.2% of the 104,554,301 shares believed to be outstanding.</w:t>
      </w:r>
    </w:p>
    <w:p>
      <w:pPr>
        <w:spacing w:after="0" w:line="1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9.2 %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11"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9,548,104</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9,584,511</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1" w:right="399" w:bottom="11"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ectPr>
          <w:pgSz w:w="11900" w:h="16838" w:orient="portrait"/>
          <w:cols w:equalWidth="0" w:num="1">
            <w:col w:w="11140"/>
          </w:cols>
          <w:pgMar w:left="360" w:top="111" w:right="399" w:bottom="11" w:gutter="0" w:footer="0" w:header="0"/>
          <w:type w:val="continuous"/>
        </w:sectPr>
      </w:pPr>
    </w:p>
    <w:bookmarkStart w:id="3" w:name="page4"/>
    <w:bookmarkEnd w:id="3"/>
    <w:p>
      <w:pPr>
        <w:ind w:left="1160"/>
        <w:spacing w:after="0"/>
        <w:rPr>
          <w:sz w:val="20"/>
          <w:szCs w:val="20"/>
          <w:color w:val="auto"/>
        </w:rPr>
      </w:pPr>
      <w:r>
        <w:rPr>
          <w:rFonts w:ascii="Times New Roman" w:cs="Times New Roman" w:eastAsia="Times New Roman" w:hAnsi="Times New Roman"/>
          <w:sz w:val="22"/>
          <w:szCs w:val="22"/>
          <w:color w:val="auto"/>
        </w:rPr>
        <w:t>Capital World Investors</w:t>
      </w:r>
    </w:p>
    <w:p>
      <w:pPr>
        <w:spacing w:after="0" w:line="153"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Timothy J. Moon</w:t>
      </w:r>
    </w:p>
    <w:p>
      <w:pPr>
        <w:jc w:val="right"/>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Vice President and Senior Counsel, Capital</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Research and Management Company</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08/04/2025</w:t>
      </w:r>
    </w:p>
    <w:sectPr>
      <w:pgSz w:w="11900" w:h="16838" w:orient="portrait"/>
      <w:cols w:equalWidth="0" w:num="1">
        <w:col w:w="9400"/>
      </w:cols>
      <w:pgMar w:left="1440" w:top="112" w:right="10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2025-08-13T11:59:44Z</dcterms:created>
  <dcterms:modified xsi:type="dcterms:W3CDTF">2025-08-13T11:59:44Z</dcterms:modified>
</cp:coreProperties>
</file>