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General Counsel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81.64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53,349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to satisfy tax withholding obligation upon the vesting of restricted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cancellation of previously granted restricted stock in accordance with the terms of the reporting person's restricted stock grant agreement.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2022-03-02T19:37:04Z</dcterms:created>
  <dcterms:modified xsi:type="dcterms:W3CDTF">2022-03-02T19:37:04Z</dcterms:modified>
</cp:coreProperties>
</file>